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131"/>
        <w:gridCol w:w="3730"/>
      </w:tblGrid>
      <w:tr w:rsidR="00E60789" w:rsidRPr="00AA7BD9" w14:paraId="18CBBB52" w14:textId="77777777">
        <w:trPr>
          <w:trHeight w:hRule="exact" w:val="418"/>
          <w:jc w:val="center"/>
        </w:trPr>
        <w:tc>
          <w:tcPr>
            <w:tcW w:w="8861" w:type="dxa"/>
            <w:gridSpan w:val="2"/>
          </w:tcPr>
          <w:p w14:paraId="494936E5" w14:textId="77777777" w:rsidR="00E60789" w:rsidRPr="00AA7BD9" w:rsidRDefault="00AA7BD9">
            <w:pPr>
              <w:pStyle w:val="a3"/>
              <w:jc w:val="center"/>
              <w:rPr>
                <w:rFonts w:ascii="Tahoma" w:hAnsi="Tahoma" w:cs="Tahoma"/>
                <w:color w:val="000080"/>
                <w:rtl/>
              </w:rPr>
            </w:pPr>
            <w:bookmarkStart w:id="0" w:name="LastJudge"/>
            <w:r w:rsidRPr="00AA7BD9">
              <w:rPr>
                <w:rFonts w:ascii="Tahoma" w:hAnsi="Tahoma" w:cs="Tahoma"/>
                <w:b/>
                <w:bCs/>
                <w:color w:val="000080"/>
                <w:rtl/>
              </w:rPr>
              <w:t>בית המשפט המחוזי בחיפה</w:t>
            </w:r>
          </w:p>
        </w:tc>
      </w:tr>
      <w:tr w:rsidR="00E60789" w:rsidRPr="00AA7BD9" w14:paraId="049BB1B5" w14:textId="77777777">
        <w:trPr>
          <w:trHeight w:val="337"/>
          <w:jc w:val="center"/>
        </w:trPr>
        <w:tc>
          <w:tcPr>
            <w:tcW w:w="5131" w:type="dxa"/>
          </w:tcPr>
          <w:p w14:paraId="5ADE013E" w14:textId="77777777" w:rsidR="00E60789" w:rsidRPr="00AA7BD9" w:rsidRDefault="00AA7BD9">
            <w:pPr>
              <w:rPr>
                <w:rFonts w:cs="FrankRuehl"/>
                <w:sz w:val="28"/>
                <w:szCs w:val="28"/>
                <w:rtl/>
              </w:rPr>
            </w:pPr>
            <w:r w:rsidRPr="00AA7BD9">
              <w:rPr>
                <w:rFonts w:cs="FrankRuehl"/>
                <w:sz w:val="28"/>
                <w:szCs w:val="28"/>
                <w:rtl/>
              </w:rPr>
              <w:t>ת"פ</w:t>
            </w:r>
            <w:r w:rsidRPr="00AA7BD9">
              <w:rPr>
                <w:rFonts w:cs="FrankRuehl" w:hint="cs"/>
                <w:sz w:val="28"/>
                <w:szCs w:val="28"/>
                <w:rtl/>
              </w:rPr>
              <w:t xml:space="preserve"> </w:t>
            </w:r>
            <w:r w:rsidRPr="00AA7BD9">
              <w:rPr>
                <w:rFonts w:cs="FrankRuehl"/>
                <w:sz w:val="28"/>
                <w:szCs w:val="28"/>
                <w:rtl/>
              </w:rPr>
              <w:t>7566-11-09</w:t>
            </w:r>
            <w:r w:rsidRPr="00AA7BD9">
              <w:rPr>
                <w:rFonts w:cs="FrankRuehl" w:hint="cs"/>
                <w:sz w:val="28"/>
                <w:szCs w:val="28"/>
                <w:rtl/>
              </w:rPr>
              <w:t xml:space="preserve"> </w:t>
            </w:r>
            <w:r w:rsidRPr="00AA7BD9">
              <w:rPr>
                <w:rFonts w:cs="FrankRuehl"/>
                <w:sz w:val="28"/>
                <w:szCs w:val="28"/>
                <w:rtl/>
              </w:rPr>
              <w:t>מדינת ישראל נ' סביחאת</w:t>
            </w:r>
          </w:p>
          <w:p w14:paraId="11E29A2B" w14:textId="77777777" w:rsidR="00E60789" w:rsidRPr="00AA7BD9" w:rsidRDefault="00E60789">
            <w:pPr>
              <w:pStyle w:val="a3"/>
              <w:rPr>
                <w:rFonts w:cs="FrankRuehl"/>
                <w:sz w:val="28"/>
                <w:szCs w:val="28"/>
                <w:rtl/>
              </w:rPr>
            </w:pPr>
          </w:p>
        </w:tc>
        <w:tc>
          <w:tcPr>
            <w:tcW w:w="3730" w:type="dxa"/>
          </w:tcPr>
          <w:p w14:paraId="3D4113A7" w14:textId="77777777" w:rsidR="00E60789" w:rsidRPr="00AA7BD9" w:rsidRDefault="00AA7BD9">
            <w:pPr>
              <w:pStyle w:val="a3"/>
              <w:jc w:val="right"/>
              <w:rPr>
                <w:rFonts w:cs="FrankRuehl"/>
                <w:sz w:val="28"/>
                <w:szCs w:val="28"/>
                <w:rtl/>
              </w:rPr>
            </w:pPr>
            <w:r w:rsidRPr="00AA7BD9">
              <w:rPr>
                <w:rFonts w:cs="FrankRuehl"/>
                <w:sz w:val="28"/>
                <w:szCs w:val="28"/>
                <w:rtl/>
              </w:rPr>
              <w:t>04 ינואר 2011</w:t>
            </w:r>
          </w:p>
        </w:tc>
      </w:tr>
    </w:tbl>
    <w:p w14:paraId="63FD1D88" w14:textId="77777777" w:rsidR="00E60789" w:rsidRPr="00AA7BD9" w:rsidRDefault="00AA7BD9">
      <w:pPr>
        <w:pStyle w:val="a3"/>
        <w:rPr>
          <w:rtl/>
        </w:rPr>
      </w:pPr>
      <w:r w:rsidRPr="00AA7BD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2"/>
        <w:gridCol w:w="3966"/>
        <w:gridCol w:w="3642"/>
      </w:tblGrid>
      <w:tr w:rsidR="00E60789" w:rsidRPr="00AA7BD9" w14:paraId="6932AD74" w14:textId="77777777">
        <w:trPr>
          <w:trHeight w:val="295"/>
          <w:jc w:val="center"/>
        </w:trPr>
        <w:tc>
          <w:tcPr>
            <w:tcW w:w="1212" w:type="dxa"/>
            <w:tcBorders>
              <w:top w:val="nil"/>
              <w:left w:val="nil"/>
              <w:bottom w:val="nil"/>
              <w:right w:val="nil"/>
            </w:tcBorders>
            <w:shd w:val="clear" w:color="auto" w:fill="auto"/>
          </w:tcPr>
          <w:p w14:paraId="0062CDC4" w14:textId="77777777" w:rsidR="00E60789" w:rsidRPr="00F94024" w:rsidRDefault="00AA7BD9" w:rsidP="00F94024">
            <w:pPr>
              <w:ind w:right="360"/>
              <w:jc w:val="both"/>
              <w:rPr>
                <w:rFonts w:ascii="Arial" w:hAnsi="Arial"/>
                <w:b/>
                <w:bCs/>
                <w:sz w:val="26"/>
                <w:szCs w:val="26"/>
              </w:rPr>
            </w:pPr>
            <w:r w:rsidRPr="00F94024">
              <w:rPr>
                <w:rFonts w:ascii="Arial" w:hAnsi="Arial" w:hint="cs"/>
                <w:b/>
                <w:bCs/>
                <w:rtl/>
              </w:rPr>
              <w:t>ב</w:t>
            </w:r>
            <w:r w:rsidRPr="00F94024">
              <w:rPr>
                <w:rFonts w:ascii="Arial" w:hAnsi="Arial"/>
                <w:b/>
                <w:bCs/>
                <w:rtl/>
              </w:rPr>
              <w:t>פני</w:t>
            </w:r>
            <w:r w:rsidRPr="00F94024">
              <w:rPr>
                <w:rFonts w:ascii="Arial" w:hAnsi="Arial"/>
                <w:b/>
                <w:bCs/>
                <w:sz w:val="26"/>
                <w:szCs w:val="26"/>
                <w:rtl/>
              </w:rPr>
              <w:t xml:space="preserve"> </w:t>
            </w:r>
          </w:p>
        </w:tc>
        <w:tc>
          <w:tcPr>
            <w:tcW w:w="7608" w:type="dxa"/>
            <w:gridSpan w:val="2"/>
            <w:tcBorders>
              <w:top w:val="nil"/>
              <w:left w:val="nil"/>
              <w:bottom w:val="nil"/>
              <w:right w:val="nil"/>
            </w:tcBorders>
            <w:shd w:val="clear" w:color="auto" w:fill="auto"/>
          </w:tcPr>
          <w:p w14:paraId="697C8622" w14:textId="77777777" w:rsidR="00E60789" w:rsidRPr="00F94024" w:rsidRDefault="00AA7BD9" w:rsidP="00F94024">
            <w:pPr>
              <w:ind w:right="360"/>
              <w:jc w:val="both"/>
              <w:rPr>
                <w:sz w:val="22"/>
                <w:szCs w:val="22"/>
              </w:rPr>
            </w:pPr>
            <w:r w:rsidRPr="00F94024">
              <w:rPr>
                <w:rFonts w:ascii="Arial" w:hAnsi="Arial" w:hint="cs"/>
                <w:b/>
                <w:bCs/>
                <w:rtl/>
              </w:rPr>
              <w:t>כב' ה</w:t>
            </w:r>
            <w:r w:rsidRPr="00F94024">
              <w:rPr>
                <w:rFonts w:ascii="Arial" w:hAnsi="Arial"/>
                <w:b/>
                <w:bCs/>
                <w:rtl/>
              </w:rPr>
              <w:t>שופט</w:t>
            </w:r>
            <w:r w:rsidRPr="00F94024">
              <w:rPr>
                <w:rFonts w:ascii="Arial" w:hAnsi="Arial" w:hint="cs"/>
                <w:b/>
                <w:bCs/>
                <w:rtl/>
              </w:rPr>
              <w:t xml:space="preserve">  </w:t>
            </w:r>
            <w:r w:rsidRPr="00F94024">
              <w:rPr>
                <w:rFonts w:ascii="Arial" w:hAnsi="Arial"/>
                <w:b/>
                <w:bCs/>
                <w:rtl/>
              </w:rPr>
              <w:t>יוסף אלרון</w:t>
            </w:r>
          </w:p>
        </w:tc>
      </w:tr>
      <w:tr w:rsidR="00E60789" w:rsidRPr="00AA7BD9" w14:paraId="3F6C8668" w14:textId="77777777">
        <w:trPr>
          <w:trHeight w:val="355"/>
          <w:jc w:val="center"/>
        </w:trPr>
        <w:tc>
          <w:tcPr>
            <w:tcW w:w="1212" w:type="dxa"/>
            <w:tcBorders>
              <w:top w:val="nil"/>
              <w:left w:val="nil"/>
              <w:bottom w:val="nil"/>
              <w:right w:val="nil"/>
            </w:tcBorders>
            <w:shd w:val="clear" w:color="auto" w:fill="auto"/>
          </w:tcPr>
          <w:p w14:paraId="583520F8" w14:textId="77777777" w:rsidR="00E60789" w:rsidRPr="00F94024" w:rsidRDefault="00E60789" w:rsidP="00F94024">
            <w:pPr>
              <w:ind w:right="360"/>
              <w:jc w:val="both"/>
              <w:rPr>
                <w:rFonts w:ascii="Arial" w:hAnsi="Arial"/>
                <w:b/>
                <w:bCs/>
                <w:rtl/>
              </w:rPr>
            </w:pPr>
            <w:bookmarkStart w:id="1" w:name="FirstAppellant"/>
          </w:p>
          <w:p w14:paraId="093E9E2B" w14:textId="77777777" w:rsidR="00E60789" w:rsidRPr="00F94024" w:rsidRDefault="00AA7BD9" w:rsidP="00F94024">
            <w:pPr>
              <w:ind w:right="360"/>
              <w:jc w:val="both"/>
              <w:rPr>
                <w:rFonts w:ascii="Arial" w:hAnsi="Arial"/>
                <w:b/>
                <w:bCs/>
              </w:rPr>
            </w:pPr>
            <w:r w:rsidRPr="00F94024">
              <w:rPr>
                <w:rFonts w:ascii="Arial" w:hAnsi="Arial" w:hint="cs"/>
                <w:b/>
                <w:bCs/>
                <w:sz w:val="22"/>
                <w:szCs w:val="22"/>
                <w:rtl/>
              </w:rPr>
              <w:t>בעניין</w:t>
            </w:r>
          </w:p>
        </w:tc>
        <w:tc>
          <w:tcPr>
            <w:tcW w:w="3966" w:type="dxa"/>
            <w:tcBorders>
              <w:top w:val="nil"/>
              <w:left w:val="nil"/>
              <w:bottom w:val="nil"/>
              <w:right w:val="nil"/>
            </w:tcBorders>
            <w:shd w:val="clear" w:color="auto" w:fill="auto"/>
          </w:tcPr>
          <w:p w14:paraId="42468374" w14:textId="77777777" w:rsidR="00E60789" w:rsidRPr="00F94024" w:rsidRDefault="00E60789" w:rsidP="00F94024">
            <w:pPr>
              <w:ind w:right="360"/>
              <w:jc w:val="both"/>
              <w:rPr>
                <w:rFonts w:ascii="Arial" w:hAnsi="Arial"/>
                <w:b/>
                <w:bCs/>
                <w:rtl/>
              </w:rPr>
            </w:pPr>
          </w:p>
          <w:p w14:paraId="262DDCF2" w14:textId="77777777" w:rsidR="00E60789" w:rsidRPr="00F94024" w:rsidRDefault="00AA7BD9" w:rsidP="00F94024">
            <w:pPr>
              <w:ind w:right="360"/>
              <w:jc w:val="both"/>
              <w:rPr>
                <w:b/>
                <w:bCs/>
                <w:sz w:val="20"/>
                <w:szCs w:val="20"/>
              </w:rPr>
            </w:pPr>
            <w:r w:rsidRPr="00F94024">
              <w:rPr>
                <w:rFonts w:ascii="Arial" w:hAnsi="Arial"/>
                <w:b/>
                <w:bCs/>
                <w:rtl/>
              </w:rPr>
              <w:t>מדינת ישראל</w:t>
            </w:r>
          </w:p>
        </w:tc>
        <w:tc>
          <w:tcPr>
            <w:tcW w:w="3642" w:type="dxa"/>
            <w:tcBorders>
              <w:top w:val="nil"/>
              <w:left w:val="nil"/>
              <w:bottom w:val="nil"/>
              <w:right w:val="nil"/>
            </w:tcBorders>
            <w:shd w:val="clear" w:color="auto" w:fill="auto"/>
          </w:tcPr>
          <w:p w14:paraId="488207A8" w14:textId="77777777" w:rsidR="00E60789" w:rsidRPr="00F94024" w:rsidRDefault="00E60789" w:rsidP="00F94024">
            <w:pPr>
              <w:ind w:right="360"/>
              <w:jc w:val="both"/>
              <w:rPr>
                <w:rFonts w:ascii="Arial" w:hAnsi="Arial"/>
                <w:b/>
                <w:bCs/>
              </w:rPr>
            </w:pPr>
          </w:p>
        </w:tc>
      </w:tr>
      <w:bookmarkEnd w:id="1"/>
      <w:tr w:rsidR="00E60789" w:rsidRPr="00AA7BD9" w14:paraId="33E7674D" w14:textId="77777777">
        <w:trPr>
          <w:trHeight w:val="355"/>
          <w:jc w:val="center"/>
        </w:trPr>
        <w:tc>
          <w:tcPr>
            <w:tcW w:w="1212" w:type="dxa"/>
            <w:tcBorders>
              <w:top w:val="nil"/>
              <w:left w:val="nil"/>
              <w:bottom w:val="nil"/>
              <w:right w:val="nil"/>
            </w:tcBorders>
            <w:shd w:val="clear" w:color="auto" w:fill="auto"/>
          </w:tcPr>
          <w:p w14:paraId="416D1D78" w14:textId="77777777" w:rsidR="00E60789" w:rsidRPr="00F94024" w:rsidRDefault="00E60789" w:rsidP="00F94024">
            <w:pPr>
              <w:ind w:right="360"/>
              <w:jc w:val="both"/>
              <w:rPr>
                <w:rFonts w:ascii="Arial" w:hAnsi="Arial"/>
                <w:b/>
                <w:bCs/>
                <w:rtl/>
              </w:rPr>
            </w:pPr>
          </w:p>
        </w:tc>
        <w:tc>
          <w:tcPr>
            <w:tcW w:w="3966" w:type="dxa"/>
            <w:tcBorders>
              <w:top w:val="nil"/>
              <w:left w:val="nil"/>
              <w:bottom w:val="nil"/>
              <w:right w:val="nil"/>
            </w:tcBorders>
            <w:shd w:val="clear" w:color="auto" w:fill="auto"/>
          </w:tcPr>
          <w:p w14:paraId="12106EB2" w14:textId="77777777" w:rsidR="00E60789" w:rsidRPr="00F94024" w:rsidRDefault="00E60789" w:rsidP="00F94024">
            <w:pPr>
              <w:ind w:right="360"/>
              <w:jc w:val="both"/>
              <w:rPr>
                <w:b/>
                <w:bCs/>
                <w:sz w:val="20"/>
                <w:szCs w:val="20"/>
                <w:rtl/>
              </w:rPr>
            </w:pPr>
          </w:p>
        </w:tc>
        <w:tc>
          <w:tcPr>
            <w:tcW w:w="3642" w:type="dxa"/>
            <w:tcBorders>
              <w:top w:val="nil"/>
              <w:left w:val="nil"/>
              <w:bottom w:val="nil"/>
              <w:right w:val="nil"/>
            </w:tcBorders>
            <w:shd w:val="clear" w:color="auto" w:fill="auto"/>
          </w:tcPr>
          <w:p w14:paraId="1B735DEF" w14:textId="77777777" w:rsidR="00E60789" w:rsidRPr="00F94024" w:rsidRDefault="00AA7BD9" w:rsidP="00F94024">
            <w:pPr>
              <w:ind w:right="360"/>
              <w:jc w:val="both"/>
              <w:rPr>
                <w:rFonts w:ascii="Arial" w:hAnsi="Arial"/>
                <w:b/>
                <w:bCs/>
                <w:rtl/>
              </w:rPr>
            </w:pPr>
            <w:r w:rsidRPr="00F94024">
              <w:rPr>
                <w:rFonts w:ascii="Arial" w:hAnsi="Arial" w:hint="cs"/>
                <w:b/>
                <w:bCs/>
                <w:rtl/>
              </w:rPr>
              <w:t>ה</w:t>
            </w:r>
            <w:r w:rsidRPr="00F94024">
              <w:rPr>
                <w:rFonts w:ascii="Arial" w:hAnsi="Arial"/>
                <w:b/>
                <w:bCs/>
                <w:rtl/>
              </w:rPr>
              <w:t>מאשימה</w:t>
            </w:r>
          </w:p>
        </w:tc>
      </w:tr>
      <w:tr w:rsidR="00E60789" w:rsidRPr="00AA7BD9" w14:paraId="0135CD4B" w14:textId="77777777">
        <w:trPr>
          <w:trHeight w:val="355"/>
          <w:jc w:val="center"/>
        </w:trPr>
        <w:tc>
          <w:tcPr>
            <w:tcW w:w="1212" w:type="dxa"/>
            <w:tcBorders>
              <w:top w:val="nil"/>
              <w:left w:val="nil"/>
              <w:bottom w:val="nil"/>
              <w:right w:val="nil"/>
            </w:tcBorders>
            <w:shd w:val="clear" w:color="auto" w:fill="auto"/>
          </w:tcPr>
          <w:p w14:paraId="4F72C7C5" w14:textId="77777777" w:rsidR="00E60789" w:rsidRPr="00F94024" w:rsidRDefault="00E60789" w:rsidP="00F94024">
            <w:pPr>
              <w:ind w:right="360"/>
              <w:jc w:val="both"/>
              <w:rPr>
                <w:rFonts w:ascii="Arial" w:hAnsi="Arial"/>
                <w:b/>
                <w:bCs/>
                <w:rtl/>
              </w:rPr>
            </w:pPr>
          </w:p>
        </w:tc>
        <w:tc>
          <w:tcPr>
            <w:tcW w:w="7608" w:type="dxa"/>
            <w:gridSpan w:val="2"/>
            <w:tcBorders>
              <w:top w:val="nil"/>
              <w:left w:val="nil"/>
              <w:bottom w:val="nil"/>
              <w:right w:val="nil"/>
            </w:tcBorders>
            <w:shd w:val="clear" w:color="auto" w:fill="auto"/>
          </w:tcPr>
          <w:p w14:paraId="01669F65" w14:textId="77777777" w:rsidR="00E60789" w:rsidRPr="00F94024" w:rsidRDefault="00E60789" w:rsidP="00F94024">
            <w:pPr>
              <w:ind w:right="360"/>
              <w:jc w:val="both"/>
              <w:rPr>
                <w:rFonts w:ascii="Arial" w:hAnsi="Arial"/>
                <w:b/>
                <w:bCs/>
                <w:rtl/>
              </w:rPr>
            </w:pPr>
          </w:p>
          <w:p w14:paraId="58FD9C76" w14:textId="77777777" w:rsidR="00E60789" w:rsidRPr="00F94024" w:rsidRDefault="00AA7BD9" w:rsidP="00F94024">
            <w:pPr>
              <w:ind w:right="360"/>
              <w:jc w:val="both"/>
              <w:rPr>
                <w:rFonts w:ascii="Arial" w:hAnsi="Arial"/>
                <w:b/>
                <w:bCs/>
                <w:rtl/>
              </w:rPr>
            </w:pPr>
            <w:r w:rsidRPr="00F94024">
              <w:rPr>
                <w:rFonts w:ascii="Arial" w:hAnsi="Arial"/>
                <w:b/>
                <w:bCs/>
                <w:rtl/>
              </w:rPr>
              <w:t>נגד</w:t>
            </w:r>
          </w:p>
          <w:p w14:paraId="1468529B" w14:textId="77777777" w:rsidR="00E60789" w:rsidRPr="00F94024" w:rsidRDefault="00E60789" w:rsidP="00F94024">
            <w:pPr>
              <w:ind w:right="360"/>
              <w:jc w:val="both"/>
              <w:rPr>
                <w:rFonts w:ascii="Arial" w:hAnsi="Arial"/>
                <w:b/>
                <w:bCs/>
              </w:rPr>
            </w:pPr>
          </w:p>
        </w:tc>
      </w:tr>
      <w:tr w:rsidR="00E60789" w:rsidRPr="00AA7BD9" w14:paraId="5FCBE7D8" w14:textId="77777777">
        <w:trPr>
          <w:trHeight w:val="355"/>
          <w:jc w:val="center"/>
        </w:trPr>
        <w:tc>
          <w:tcPr>
            <w:tcW w:w="1212" w:type="dxa"/>
            <w:tcBorders>
              <w:top w:val="nil"/>
              <w:left w:val="nil"/>
              <w:bottom w:val="nil"/>
              <w:right w:val="nil"/>
            </w:tcBorders>
            <w:shd w:val="clear" w:color="auto" w:fill="auto"/>
          </w:tcPr>
          <w:p w14:paraId="08116694" w14:textId="77777777" w:rsidR="00E60789" w:rsidRPr="00F94024" w:rsidRDefault="00E60789" w:rsidP="00F94024">
            <w:pPr>
              <w:ind w:right="360"/>
              <w:jc w:val="both"/>
              <w:rPr>
                <w:rFonts w:ascii="Arial" w:hAnsi="Arial"/>
                <w:b/>
                <w:bCs/>
                <w:rtl/>
              </w:rPr>
            </w:pPr>
          </w:p>
        </w:tc>
        <w:tc>
          <w:tcPr>
            <w:tcW w:w="3966" w:type="dxa"/>
            <w:tcBorders>
              <w:top w:val="nil"/>
              <w:left w:val="nil"/>
              <w:bottom w:val="nil"/>
              <w:right w:val="nil"/>
            </w:tcBorders>
            <w:shd w:val="clear" w:color="auto" w:fill="auto"/>
          </w:tcPr>
          <w:p w14:paraId="1E98F550" w14:textId="77777777" w:rsidR="00E60789" w:rsidRPr="00F94024" w:rsidRDefault="00AA7BD9" w:rsidP="00F94024">
            <w:pPr>
              <w:ind w:right="360"/>
              <w:jc w:val="both"/>
              <w:rPr>
                <w:b/>
                <w:bCs/>
                <w:sz w:val="20"/>
                <w:szCs w:val="20"/>
                <w:rtl/>
              </w:rPr>
            </w:pPr>
            <w:r w:rsidRPr="00F94024">
              <w:rPr>
                <w:rFonts w:ascii="Arial" w:hAnsi="Arial"/>
                <w:b/>
                <w:bCs/>
                <w:rtl/>
              </w:rPr>
              <w:t>אשרף סביחאת</w:t>
            </w:r>
          </w:p>
        </w:tc>
        <w:tc>
          <w:tcPr>
            <w:tcW w:w="3642" w:type="dxa"/>
            <w:tcBorders>
              <w:top w:val="nil"/>
              <w:left w:val="nil"/>
              <w:bottom w:val="nil"/>
              <w:right w:val="nil"/>
            </w:tcBorders>
            <w:shd w:val="clear" w:color="auto" w:fill="auto"/>
          </w:tcPr>
          <w:p w14:paraId="6D07D038" w14:textId="77777777" w:rsidR="00E60789" w:rsidRPr="00F94024" w:rsidRDefault="00E60789" w:rsidP="00F94024">
            <w:pPr>
              <w:ind w:right="360"/>
              <w:jc w:val="both"/>
              <w:rPr>
                <w:rFonts w:ascii="Arial" w:hAnsi="Arial"/>
                <w:b/>
                <w:bCs/>
              </w:rPr>
            </w:pPr>
          </w:p>
        </w:tc>
      </w:tr>
      <w:tr w:rsidR="00E60789" w:rsidRPr="00AA7BD9" w14:paraId="3AE2D80D" w14:textId="77777777">
        <w:trPr>
          <w:trHeight w:val="355"/>
          <w:jc w:val="center"/>
        </w:trPr>
        <w:tc>
          <w:tcPr>
            <w:tcW w:w="1212" w:type="dxa"/>
            <w:tcBorders>
              <w:top w:val="nil"/>
              <w:left w:val="nil"/>
              <w:bottom w:val="nil"/>
              <w:right w:val="nil"/>
            </w:tcBorders>
            <w:shd w:val="clear" w:color="auto" w:fill="auto"/>
          </w:tcPr>
          <w:p w14:paraId="2C8A367E" w14:textId="77777777" w:rsidR="00E60789" w:rsidRPr="00F94024" w:rsidRDefault="00E60789" w:rsidP="00F94024">
            <w:pPr>
              <w:ind w:right="360"/>
              <w:jc w:val="both"/>
              <w:rPr>
                <w:rFonts w:ascii="Arial" w:hAnsi="Arial"/>
                <w:b/>
                <w:bCs/>
                <w:rtl/>
              </w:rPr>
            </w:pPr>
          </w:p>
        </w:tc>
        <w:tc>
          <w:tcPr>
            <w:tcW w:w="3966" w:type="dxa"/>
            <w:tcBorders>
              <w:top w:val="nil"/>
              <w:left w:val="nil"/>
              <w:bottom w:val="nil"/>
              <w:right w:val="nil"/>
            </w:tcBorders>
            <w:shd w:val="clear" w:color="auto" w:fill="auto"/>
          </w:tcPr>
          <w:p w14:paraId="4D593E43" w14:textId="77777777" w:rsidR="00E60789" w:rsidRPr="00F94024" w:rsidRDefault="00E60789" w:rsidP="00F94024">
            <w:pPr>
              <w:ind w:right="360"/>
              <w:jc w:val="both"/>
              <w:rPr>
                <w:b/>
                <w:bCs/>
                <w:sz w:val="20"/>
                <w:szCs w:val="20"/>
                <w:rtl/>
              </w:rPr>
            </w:pPr>
          </w:p>
        </w:tc>
        <w:tc>
          <w:tcPr>
            <w:tcW w:w="3642" w:type="dxa"/>
            <w:tcBorders>
              <w:top w:val="nil"/>
              <w:left w:val="nil"/>
              <w:bottom w:val="nil"/>
              <w:right w:val="nil"/>
            </w:tcBorders>
            <w:shd w:val="clear" w:color="auto" w:fill="auto"/>
          </w:tcPr>
          <w:p w14:paraId="73B67CE8" w14:textId="77777777" w:rsidR="00E60789" w:rsidRPr="00F94024" w:rsidRDefault="00AA7BD9" w:rsidP="00F94024">
            <w:pPr>
              <w:ind w:right="360"/>
              <w:jc w:val="both"/>
              <w:rPr>
                <w:rFonts w:ascii="Arial" w:hAnsi="Arial"/>
                <w:b/>
                <w:bCs/>
              </w:rPr>
            </w:pPr>
            <w:r w:rsidRPr="00F94024">
              <w:rPr>
                <w:rFonts w:ascii="Arial" w:hAnsi="Arial" w:hint="cs"/>
                <w:b/>
                <w:bCs/>
                <w:rtl/>
              </w:rPr>
              <w:t>ה</w:t>
            </w:r>
            <w:r w:rsidRPr="00F94024">
              <w:rPr>
                <w:rFonts w:ascii="Arial" w:hAnsi="Arial"/>
                <w:b/>
                <w:bCs/>
                <w:rtl/>
              </w:rPr>
              <w:t>נאשם</w:t>
            </w:r>
          </w:p>
        </w:tc>
      </w:tr>
    </w:tbl>
    <w:p w14:paraId="2B8749A9" w14:textId="77777777" w:rsidR="00C07F97" w:rsidRDefault="00C07F97">
      <w:pPr>
        <w:ind w:right="360"/>
        <w:jc w:val="both"/>
        <w:rPr>
          <w:rtl/>
        </w:rPr>
      </w:pPr>
      <w:bookmarkStart w:id="2" w:name="LawTable"/>
      <w:bookmarkEnd w:id="2"/>
    </w:p>
    <w:p w14:paraId="00219132" w14:textId="77777777" w:rsidR="00C07F97" w:rsidRPr="00C07F97" w:rsidRDefault="00C07F97" w:rsidP="00C07F97">
      <w:pPr>
        <w:spacing w:after="120" w:line="240" w:lineRule="exact"/>
        <w:ind w:left="283" w:right="360" w:hanging="283"/>
        <w:jc w:val="both"/>
        <w:rPr>
          <w:rFonts w:ascii="FrankRuehl" w:hAnsi="FrankRuehl" w:cs="FrankRuehl"/>
          <w:rtl/>
        </w:rPr>
      </w:pPr>
    </w:p>
    <w:p w14:paraId="22CBD281" w14:textId="77777777" w:rsidR="00C07F97" w:rsidRPr="00C07F97" w:rsidRDefault="00C07F97" w:rsidP="00C07F97">
      <w:pPr>
        <w:spacing w:after="120" w:line="240" w:lineRule="exact"/>
        <w:ind w:left="283" w:right="360" w:hanging="283"/>
        <w:jc w:val="both"/>
        <w:rPr>
          <w:rFonts w:ascii="FrankRuehl" w:hAnsi="FrankRuehl" w:cs="FrankRuehl"/>
          <w:rtl/>
        </w:rPr>
      </w:pPr>
      <w:r w:rsidRPr="00C07F97">
        <w:rPr>
          <w:rFonts w:ascii="FrankRuehl" w:hAnsi="FrankRuehl" w:cs="FrankRuehl"/>
          <w:rtl/>
        </w:rPr>
        <w:t xml:space="preserve">חקיקה שאוזכרה: </w:t>
      </w:r>
    </w:p>
    <w:p w14:paraId="00576035" w14:textId="77777777" w:rsidR="00C07F97" w:rsidRPr="00C07F97" w:rsidRDefault="00C07F97" w:rsidP="00C07F97">
      <w:pPr>
        <w:spacing w:after="120" w:line="240" w:lineRule="exact"/>
        <w:ind w:left="283" w:right="360" w:hanging="283"/>
        <w:jc w:val="both"/>
        <w:rPr>
          <w:rFonts w:ascii="FrankRuehl" w:hAnsi="FrankRuehl" w:cs="FrankRuehl"/>
          <w:rtl/>
        </w:rPr>
      </w:pPr>
      <w:hyperlink r:id="rId6" w:history="1">
        <w:r w:rsidRPr="00C07F97">
          <w:rPr>
            <w:rFonts w:ascii="FrankRuehl" w:hAnsi="FrankRuehl" w:cs="FrankRuehl"/>
            <w:color w:val="0000FF"/>
            <w:u w:val="single"/>
            <w:rtl/>
          </w:rPr>
          <w:t>חוק העונשין, תשל"ז-1977</w:t>
        </w:r>
      </w:hyperlink>
      <w:r w:rsidRPr="00C07F97">
        <w:rPr>
          <w:rFonts w:ascii="FrankRuehl" w:hAnsi="FrankRuehl" w:cs="FrankRuehl"/>
          <w:rtl/>
        </w:rPr>
        <w:t xml:space="preserve">: סע'  </w:t>
      </w:r>
      <w:hyperlink r:id="rId7" w:history="1">
        <w:r w:rsidRPr="00C07F97">
          <w:rPr>
            <w:rFonts w:ascii="FrankRuehl" w:hAnsi="FrankRuehl" w:cs="FrankRuehl"/>
            <w:color w:val="0000FF"/>
            <w:u w:val="single"/>
            <w:rtl/>
          </w:rPr>
          <w:t>144(א)</w:t>
        </w:r>
      </w:hyperlink>
      <w:r w:rsidRPr="00C07F97">
        <w:rPr>
          <w:rFonts w:ascii="FrankRuehl" w:hAnsi="FrankRuehl" w:cs="FrankRuehl"/>
          <w:rtl/>
        </w:rPr>
        <w:t xml:space="preserve">, </w:t>
      </w:r>
      <w:hyperlink r:id="rId8" w:history="1">
        <w:r w:rsidRPr="00C07F97">
          <w:rPr>
            <w:rFonts w:ascii="FrankRuehl" w:hAnsi="FrankRuehl" w:cs="FrankRuehl"/>
            <w:color w:val="0000FF"/>
            <w:u w:val="single"/>
            <w:rtl/>
          </w:rPr>
          <w:t>(ב)</w:t>
        </w:r>
      </w:hyperlink>
      <w:r w:rsidRPr="00C07F97">
        <w:rPr>
          <w:rFonts w:ascii="FrankRuehl" w:hAnsi="FrankRuehl" w:cs="FrankRuehl"/>
          <w:rtl/>
        </w:rPr>
        <w:t xml:space="preserve">, </w:t>
      </w:r>
      <w:hyperlink r:id="rId9" w:history="1">
        <w:r w:rsidRPr="00C07F97">
          <w:rPr>
            <w:rFonts w:ascii="FrankRuehl" w:hAnsi="FrankRuehl" w:cs="FrankRuehl"/>
            <w:color w:val="0000FF"/>
            <w:u w:val="single"/>
            <w:rtl/>
          </w:rPr>
          <w:t>(ג)</w:t>
        </w:r>
      </w:hyperlink>
    </w:p>
    <w:p w14:paraId="33127BBD" w14:textId="77777777" w:rsidR="00C07F97" w:rsidRPr="00C07F97" w:rsidRDefault="00C07F97" w:rsidP="00C07F97">
      <w:pPr>
        <w:spacing w:after="120" w:line="240" w:lineRule="exact"/>
        <w:ind w:left="283" w:right="360" w:hanging="283"/>
        <w:jc w:val="both"/>
        <w:rPr>
          <w:rFonts w:ascii="FrankRuehl" w:hAnsi="FrankRuehl" w:cs="FrankRuehl"/>
          <w:rtl/>
        </w:rPr>
      </w:pPr>
    </w:p>
    <w:p w14:paraId="6721DB20" w14:textId="77777777" w:rsidR="00C07F97" w:rsidRPr="00C07F97" w:rsidRDefault="00C07F97">
      <w:pPr>
        <w:ind w:right="360"/>
        <w:jc w:val="both"/>
        <w:rPr>
          <w:rtl/>
        </w:rPr>
      </w:pPr>
      <w:bookmarkStart w:id="3" w:name="LawTable_End"/>
      <w:bookmarkEnd w:id="3"/>
    </w:p>
    <w:p w14:paraId="18E03E35" w14:textId="77777777" w:rsidR="00124DF8" w:rsidRPr="00124DF8" w:rsidRDefault="00124DF8">
      <w:pPr>
        <w:ind w:right="360"/>
        <w:jc w:val="both"/>
        <w:rPr>
          <w:rtl/>
        </w:rPr>
      </w:pPr>
    </w:p>
    <w:p w14:paraId="6DBF3A16" w14:textId="77777777" w:rsidR="00124DF8" w:rsidRPr="00124DF8" w:rsidRDefault="00124DF8">
      <w:pPr>
        <w:ind w:right="360"/>
        <w:jc w:val="both"/>
        <w:rPr>
          <w:rtl/>
        </w:rPr>
      </w:pPr>
    </w:p>
    <w:p w14:paraId="5C245F18" w14:textId="77777777" w:rsidR="008B3AC1" w:rsidRPr="008B3AC1" w:rsidRDefault="008B3AC1">
      <w:pPr>
        <w:ind w:right="360"/>
        <w:jc w:val="both"/>
        <w:rPr>
          <w:rtl/>
        </w:rPr>
      </w:pPr>
    </w:p>
    <w:p w14:paraId="7A60F45B" w14:textId="77777777" w:rsidR="008B3AC1" w:rsidRPr="008B3AC1" w:rsidRDefault="008B3AC1">
      <w:pPr>
        <w:ind w:right="360"/>
        <w:jc w:val="both"/>
        <w:rPr>
          <w:rtl/>
        </w:rPr>
      </w:pPr>
    </w:p>
    <w:p w14:paraId="748B42B0" w14:textId="77777777" w:rsidR="00E60789" w:rsidRPr="008B3AC1" w:rsidRDefault="00E60789">
      <w:pPr>
        <w:ind w:right="360"/>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60789" w14:paraId="602B8F31" w14:textId="77777777">
        <w:trPr>
          <w:trHeight w:val="355"/>
          <w:jc w:val="center"/>
        </w:trPr>
        <w:tc>
          <w:tcPr>
            <w:tcW w:w="8820" w:type="dxa"/>
            <w:tcBorders>
              <w:top w:val="nil"/>
              <w:left w:val="nil"/>
              <w:bottom w:val="nil"/>
              <w:right w:val="nil"/>
            </w:tcBorders>
            <w:shd w:val="clear" w:color="auto" w:fill="auto"/>
          </w:tcPr>
          <w:p w14:paraId="1D8A4F0E" w14:textId="77777777" w:rsidR="00AA7BD9" w:rsidRPr="00F94024" w:rsidRDefault="00AA7BD9" w:rsidP="00F94024">
            <w:pPr>
              <w:ind w:right="360"/>
              <w:jc w:val="center"/>
              <w:rPr>
                <w:rFonts w:ascii="Arial" w:hAnsi="Arial"/>
                <w:b/>
                <w:bCs/>
                <w:sz w:val="30"/>
                <w:szCs w:val="30"/>
                <w:u w:val="single"/>
                <w:rtl/>
              </w:rPr>
            </w:pPr>
            <w:bookmarkStart w:id="4" w:name="PsakDin" w:colFirst="0" w:colLast="0"/>
            <w:bookmarkEnd w:id="0"/>
            <w:r w:rsidRPr="00F94024">
              <w:rPr>
                <w:rFonts w:ascii="Arial" w:hAnsi="Arial"/>
                <w:b/>
                <w:bCs/>
                <w:sz w:val="30"/>
                <w:szCs w:val="30"/>
                <w:u w:val="single"/>
                <w:rtl/>
              </w:rPr>
              <w:t>גזר דין</w:t>
            </w:r>
          </w:p>
          <w:p w14:paraId="5E077BF7" w14:textId="77777777" w:rsidR="00E60789" w:rsidRPr="00F94024" w:rsidRDefault="00E60789" w:rsidP="00F94024">
            <w:pPr>
              <w:ind w:right="360"/>
              <w:jc w:val="center"/>
              <w:rPr>
                <w:rFonts w:ascii="Arial" w:hAnsi="Arial"/>
                <w:bCs/>
                <w:sz w:val="32"/>
                <w:szCs w:val="32"/>
                <w:u w:val="single"/>
                <w:rtl/>
              </w:rPr>
            </w:pPr>
          </w:p>
        </w:tc>
      </w:tr>
      <w:bookmarkEnd w:id="4"/>
    </w:tbl>
    <w:p w14:paraId="02212A30" w14:textId="77777777" w:rsidR="00E60789" w:rsidRDefault="00E60789">
      <w:pPr>
        <w:ind w:right="360"/>
        <w:jc w:val="both"/>
        <w:rPr>
          <w:u w:val="single"/>
          <w:rtl/>
        </w:rPr>
      </w:pPr>
    </w:p>
    <w:p w14:paraId="4D5C2FAE" w14:textId="77777777" w:rsidR="00E60789" w:rsidRDefault="00AA7BD9">
      <w:pPr>
        <w:spacing w:line="360" w:lineRule="auto"/>
        <w:ind w:right="360"/>
        <w:jc w:val="both"/>
        <w:rPr>
          <w:rtl/>
        </w:rPr>
      </w:pPr>
      <w:bookmarkStart w:id="5" w:name="ABSTRACT_START"/>
      <w:bookmarkEnd w:id="5"/>
      <w:r>
        <w:rPr>
          <w:rFonts w:hint="cs"/>
          <w:rtl/>
        </w:rPr>
        <w:t xml:space="preserve">הנאשם הורשע על פי הודאתו בכתב האישום, בעבירות לפי </w:t>
      </w:r>
      <w:hyperlink r:id="rId10" w:history="1">
        <w:r w:rsidR="00124DF8" w:rsidRPr="00124DF8">
          <w:rPr>
            <w:color w:val="0000FF"/>
            <w:u w:val="single"/>
            <w:rtl/>
          </w:rPr>
          <w:t>סעיף 144(א)</w:t>
        </w:r>
      </w:hyperlink>
      <w:r>
        <w:rPr>
          <w:rFonts w:hint="cs"/>
          <w:rtl/>
        </w:rPr>
        <w:t xml:space="preserve"> רישא+ </w:t>
      </w:r>
      <w:hyperlink r:id="rId11" w:history="1">
        <w:r w:rsidR="00124DF8" w:rsidRPr="00124DF8">
          <w:rPr>
            <w:color w:val="0000FF"/>
            <w:u w:val="single"/>
            <w:rtl/>
          </w:rPr>
          <w:t>(ב)</w:t>
        </w:r>
      </w:hyperlink>
      <w:r>
        <w:rPr>
          <w:rFonts w:hint="cs"/>
          <w:rtl/>
        </w:rPr>
        <w:t xml:space="preserve"> רישא + סעיף קטן </w:t>
      </w:r>
      <w:hyperlink r:id="rId12" w:history="1">
        <w:r w:rsidR="00124DF8" w:rsidRPr="00124DF8">
          <w:rPr>
            <w:rStyle w:val="Hyperlink"/>
            <w:rtl/>
          </w:rPr>
          <w:t>(ג)</w:t>
        </w:r>
      </w:hyperlink>
      <w:r>
        <w:rPr>
          <w:rFonts w:hint="cs"/>
          <w:rtl/>
        </w:rPr>
        <w:t xml:space="preserve"> ל</w:t>
      </w:r>
      <w:hyperlink r:id="rId13" w:history="1">
        <w:r w:rsidR="008B3AC1" w:rsidRPr="008B3AC1">
          <w:rPr>
            <w:rStyle w:val="Hyperlink"/>
            <w:rtl/>
          </w:rPr>
          <w:t>חוק העונשין</w:t>
        </w:r>
      </w:hyperlink>
      <w:r>
        <w:rPr>
          <w:rFonts w:hint="cs"/>
          <w:rtl/>
        </w:rPr>
        <w:t xml:space="preserve"> תשל"ז-1977, קרי, עבירות בנשק.</w:t>
      </w:r>
    </w:p>
    <w:p w14:paraId="649E018D" w14:textId="77777777" w:rsidR="00E60789" w:rsidRDefault="00E60789">
      <w:pPr>
        <w:spacing w:line="360" w:lineRule="auto"/>
        <w:ind w:right="360"/>
        <w:jc w:val="both"/>
        <w:rPr>
          <w:rtl/>
        </w:rPr>
      </w:pPr>
      <w:bookmarkStart w:id="6" w:name="ABSTRACT_END"/>
      <w:bookmarkEnd w:id="6"/>
    </w:p>
    <w:p w14:paraId="1CAE58D0" w14:textId="77777777" w:rsidR="00E60789" w:rsidRDefault="00AA7BD9">
      <w:pPr>
        <w:spacing w:line="360" w:lineRule="auto"/>
        <w:ind w:left="720" w:right="360" w:hanging="720"/>
        <w:jc w:val="both"/>
        <w:rPr>
          <w:b/>
          <w:bCs/>
          <w:u w:val="single"/>
          <w:rtl/>
        </w:rPr>
      </w:pPr>
      <w:r>
        <w:rPr>
          <w:rFonts w:hint="cs"/>
          <w:rtl/>
        </w:rPr>
        <w:t>א.</w:t>
      </w:r>
      <w:r>
        <w:rPr>
          <w:rFonts w:hint="cs"/>
          <w:rtl/>
        </w:rPr>
        <w:tab/>
      </w:r>
      <w:r>
        <w:rPr>
          <w:rFonts w:hint="cs"/>
          <w:b/>
          <w:bCs/>
          <w:u w:val="single"/>
          <w:rtl/>
        </w:rPr>
        <w:t>עובדות כתב האישום</w:t>
      </w:r>
    </w:p>
    <w:p w14:paraId="6791EE30" w14:textId="77777777" w:rsidR="00E60789" w:rsidRDefault="00E60789">
      <w:pPr>
        <w:spacing w:line="360" w:lineRule="auto"/>
        <w:ind w:right="360"/>
        <w:jc w:val="both"/>
        <w:rPr>
          <w:b/>
          <w:bCs/>
          <w:u w:val="single"/>
          <w:rtl/>
        </w:rPr>
      </w:pPr>
    </w:p>
    <w:p w14:paraId="646BA457" w14:textId="77777777" w:rsidR="00E60789" w:rsidRDefault="00AA7BD9">
      <w:pPr>
        <w:spacing w:line="360" w:lineRule="auto"/>
        <w:ind w:right="360"/>
        <w:jc w:val="both"/>
      </w:pPr>
      <w:r>
        <w:rPr>
          <w:rFonts w:hint="cs"/>
          <w:rtl/>
        </w:rPr>
        <w:t xml:space="preserve">ביום ה- 05.11.09 בסמוך לשעה 17:00 הנאשם נשא, הוביל והחזיק שלא כדין נשק ברכבו, אקדח תופי </w:t>
      </w:r>
      <w:r>
        <w:t>webiey</w:t>
      </w:r>
      <w:r>
        <w:rPr>
          <w:rFonts w:hint="cs"/>
          <w:rtl/>
        </w:rPr>
        <w:t>, מתחת לריפוד במושב שליד הנהג.</w:t>
      </w:r>
    </w:p>
    <w:p w14:paraId="108C95F2" w14:textId="77777777" w:rsidR="00E60789" w:rsidRDefault="00E60789">
      <w:pPr>
        <w:spacing w:line="360" w:lineRule="auto"/>
        <w:ind w:right="360"/>
        <w:jc w:val="both"/>
      </w:pPr>
    </w:p>
    <w:p w14:paraId="7C610D72" w14:textId="77777777" w:rsidR="00E60789" w:rsidRDefault="00AA7BD9">
      <w:pPr>
        <w:spacing w:line="360" w:lineRule="auto"/>
        <w:ind w:left="720" w:right="360" w:hanging="720"/>
        <w:jc w:val="both"/>
        <w:rPr>
          <w:b/>
          <w:bCs/>
          <w:u w:val="single"/>
          <w:rtl/>
        </w:rPr>
      </w:pPr>
      <w:r>
        <w:rPr>
          <w:rFonts w:hint="cs"/>
          <w:rtl/>
        </w:rPr>
        <w:t>ב.</w:t>
      </w:r>
      <w:r>
        <w:rPr>
          <w:rFonts w:hint="cs"/>
          <w:rtl/>
        </w:rPr>
        <w:tab/>
      </w:r>
      <w:r>
        <w:rPr>
          <w:rFonts w:hint="cs"/>
          <w:b/>
          <w:bCs/>
          <w:u w:val="single"/>
          <w:rtl/>
        </w:rPr>
        <w:t>תסקיר שירות המבחן</w:t>
      </w:r>
    </w:p>
    <w:p w14:paraId="324DD8E2" w14:textId="77777777" w:rsidR="00E60789" w:rsidRDefault="00E60789">
      <w:pPr>
        <w:spacing w:line="360" w:lineRule="auto"/>
        <w:ind w:left="360" w:right="360"/>
        <w:jc w:val="both"/>
        <w:rPr>
          <w:rFonts w:cs="Miriam"/>
          <w:rtl/>
        </w:rPr>
      </w:pPr>
    </w:p>
    <w:p w14:paraId="6F86235A" w14:textId="77777777" w:rsidR="00E60789" w:rsidRDefault="00AA7BD9">
      <w:pPr>
        <w:spacing w:line="360" w:lineRule="auto"/>
        <w:ind w:right="360"/>
        <w:jc w:val="both"/>
      </w:pPr>
      <w:r>
        <w:rPr>
          <w:rFonts w:hint="cs"/>
          <w:rtl/>
        </w:rPr>
        <w:t>בתסקיר שהוכן בעניינו של הנאשם, פורטו מכלול נסיבותיו האישיות והמשפחתיות, בכלל זה היותו נשוי ואב לשלושה ילדים המנהל אורח חיים נורמטיבי.</w:t>
      </w:r>
    </w:p>
    <w:p w14:paraId="080717F4" w14:textId="77777777" w:rsidR="00E60789" w:rsidRDefault="00E60789">
      <w:pPr>
        <w:spacing w:line="360" w:lineRule="auto"/>
        <w:ind w:right="360"/>
        <w:jc w:val="both"/>
      </w:pPr>
    </w:p>
    <w:p w14:paraId="132EA09E" w14:textId="77777777" w:rsidR="00E60789" w:rsidRDefault="00AA7BD9">
      <w:pPr>
        <w:spacing w:line="360" w:lineRule="auto"/>
        <w:ind w:left="26" w:right="360"/>
        <w:jc w:val="both"/>
        <w:rPr>
          <w:rtl/>
        </w:rPr>
      </w:pPr>
      <w:r>
        <w:rPr>
          <w:rFonts w:hint="cs"/>
          <w:rtl/>
        </w:rPr>
        <w:lastRenderedPageBreak/>
        <w:t>להתרשמות קצין המבחן, הנאשם מכיר באחריותו לביצועה ולחומרתה של העבירה, ואף הפיק את הלקח  המתבקש מהסתבכות זו בפלילים:</w:t>
      </w:r>
    </w:p>
    <w:p w14:paraId="7ED490FB" w14:textId="77777777" w:rsidR="00E60789" w:rsidRDefault="00E60789">
      <w:pPr>
        <w:ind w:left="26" w:right="360"/>
        <w:jc w:val="both"/>
        <w:rPr>
          <w:rtl/>
        </w:rPr>
      </w:pPr>
    </w:p>
    <w:p w14:paraId="3BCAE73E" w14:textId="77777777" w:rsidR="00E60789" w:rsidRDefault="00AA7BD9">
      <w:pPr>
        <w:ind w:left="746" w:right="1440"/>
        <w:jc w:val="both"/>
        <w:rPr>
          <w:b/>
          <w:bCs/>
          <w:rtl/>
        </w:rPr>
      </w:pPr>
      <w:r>
        <w:rPr>
          <w:rFonts w:cs="Miriam" w:hint="cs"/>
          <w:rtl/>
        </w:rPr>
        <w:t>"...הינו מודע לחומרת מעשיו ולסיכון הטמון באחזקת אקדח ללא רישיון. הוא הבטיח לא לחזור להתנהגות דומה וציין כי, הפיק והפנים הלקחים הדרושים ממעשהו"</w:t>
      </w:r>
      <w:r>
        <w:rPr>
          <w:rFonts w:hint="cs"/>
          <w:b/>
          <w:bCs/>
          <w:rtl/>
        </w:rPr>
        <w:t xml:space="preserve"> (תסקיר שירות המבחן מיום 05.12.10 עמ' 2).</w:t>
      </w:r>
    </w:p>
    <w:p w14:paraId="72160B50" w14:textId="77777777" w:rsidR="00E60789" w:rsidRDefault="00E60789">
      <w:pPr>
        <w:spacing w:line="360" w:lineRule="auto"/>
        <w:ind w:left="1106" w:right="360"/>
        <w:jc w:val="both"/>
        <w:rPr>
          <w:b/>
          <w:bCs/>
          <w:rtl/>
        </w:rPr>
      </w:pPr>
    </w:p>
    <w:p w14:paraId="52BCFB71" w14:textId="77777777" w:rsidR="00E60789" w:rsidRDefault="00AA7BD9">
      <w:pPr>
        <w:spacing w:line="360" w:lineRule="auto"/>
        <w:ind w:right="360"/>
        <w:jc w:val="both"/>
        <w:rPr>
          <w:rtl/>
        </w:rPr>
      </w:pPr>
      <w:r>
        <w:rPr>
          <w:rFonts w:hint="cs"/>
          <w:rtl/>
        </w:rPr>
        <w:t xml:space="preserve">כמו כן, ציין קצין המבחן, את דברי הנאשם כי מצא את הנשק עת טייל בחורשה הסמוכה לכפרו וכי סקרנות והעדר שיקול דעת לגבי ההשלכות והתוצאות, גרמו לו ליטול את האקדח במקום לדווח זאת לגורמי המשטרה. </w:t>
      </w:r>
    </w:p>
    <w:p w14:paraId="3706EFCC" w14:textId="77777777" w:rsidR="00E60789" w:rsidRDefault="00E60789">
      <w:pPr>
        <w:spacing w:line="360" w:lineRule="auto"/>
        <w:ind w:right="360"/>
        <w:jc w:val="both"/>
        <w:rPr>
          <w:rtl/>
        </w:rPr>
      </w:pPr>
    </w:p>
    <w:p w14:paraId="202A4578" w14:textId="77777777" w:rsidR="00E60789" w:rsidRDefault="00AA7BD9">
      <w:pPr>
        <w:spacing w:line="360" w:lineRule="auto"/>
        <w:ind w:right="360"/>
        <w:jc w:val="both"/>
        <w:rPr>
          <w:rtl/>
        </w:rPr>
      </w:pPr>
      <w:r>
        <w:rPr>
          <w:rFonts w:hint="cs"/>
          <w:rtl/>
        </w:rPr>
        <w:t xml:space="preserve">עוד הביא קצין המבחן מדברי הנאשם כי לא היתה לו כל כוונה להשתמש בנשק או להעבירו לאחרים, כמו גם שלל כוונה או התייחסות אלימה אחרת. </w:t>
      </w:r>
    </w:p>
    <w:p w14:paraId="10B7D6B3" w14:textId="77777777" w:rsidR="00E60789" w:rsidRDefault="00E60789">
      <w:pPr>
        <w:spacing w:line="360" w:lineRule="auto"/>
        <w:ind w:right="360"/>
        <w:jc w:val="both"/>
        <w:rPr>
          <w:rtl/>
        </w:rPr>
      </w:pPr>
    </w:p>
    <w:p w14:paraId="77B45D27" w14:textId="77777777" w:rsidR="00E60789" w:rsidRDefault="00AA7BD9">
      <w:pPr>
        <w:spacing w:line="360" w:lineRule="auto"/>
        <w:ind w:right="360"/>
        <w:jc w:val="both"/>
        <w:rPr>
          <w:rtl/>
        </w:rPr>
      </w:pPr>
      <w:r>
        <w:rPr>
          <w:rFonts w:hint="cs"/>
          <w:rtl/>
        </w:rPr>
        <w:t xml:space="preserve">זאת ועוד, קצין המבחן מציין כי הנאשם קיבל אחריות, הביע חרטה ואינו תופס עצמו כמי שמחפש להתגרות בחוק וגורמי הסמכות וזוהי לו עבירה יחידה. </w:t>
      </w:r>
    </w:p>
    <w:p w14:paraId="5D668FFC" w14:textId="77777777" w:rsidR="00E60789" w:rsidRDefault="00E60789">
      <w:pPr>
        <w:spacing w:line="360" w:lineRule="auto"/>
        <w:ind w:right="360"/>
        <w:jc w:val="both"/>
        <w:rPr>
          <w:rtl/>
        </w:rPr>
      </w:pPr>
    </w:p>
    <w:p w14:paraId="42AEA943" w14:textId="77777777" w:rsidR="00E60789" w:rsidRDefault="00AA7BD9">
      <w:pPr>
        <w:spacing w:line="360" w:lineRule="auto"/>
        <w:ind w:right="360"/>
        <w:jc w:val="both"/>
        <w:rPr>
          <w:rtl/>
        </w:rPr>
      </w:pPr>
      <w:r>
        <w:rPr>
          <w:rFonts w:hint="cs"/>
          <w:rtl/>
        </w:rPr>
        <w:t xml:space="preserve">להתרשמותו של קצין המבחן, בשל מאפייני אישיותו הדלים, הנאשם לא בשל להשתלב בהליך טיפול אפשרי, כמו גם העובדה כי לא ביטא נזקקות טיפולית. ומשכך, נמנע מהמלצה להעמידו בצו מבחן. </w:t>
      </w:r>
    </w:p>
    <w:p w14:paraId="41A04CB3" w14:textId="77777777" w:rsidR="00E60789" w:rsidRDefault="00E60789">
      <w:pPr>
        <w:spacing w:line="360" w:lineRule="auto"/>
        <w:ind w:right="360"/>
        <w:jc w:val="both"/>
        <w:rPr>
          <w:rtl/>
        </w:rPr>
      </w:pPr>
    </w:p>
    <w:p w14:paraId="3DAB554E" w14:textId="77777777" w:rsidR="00E60789" w:rsidRDefault="00AA7BD9">
      <w:pPr>
        <w:spacing w:line="360" w:lineRule="auto"/>
        <w:ind w:right="360"/>
        <w:jc w:val="both"/>
        <w:rPr>
          <w:rFonts w:cs="Miriam"/>
          <w:rtl/>
        </w:rPr>
      </w:pPr>
      <w:r>
        <w:rPr>
          <w:rFonts w:hint="cs"/>
          <w:rtl/>
        </w:rPr>
        <w:t>קצין המבחן מסכם את תסקירו  כי ניכר על הנאשם שהינו במצוקה מההליך המשפטי וגזר הדין הצפוי לו, ולהערכתו "</w:t>
      </w:r>
      <w:r>
        <w:rPr>
          <w:rFonts w:cs="Miriam" w:hint="cs"/>
          <w:rtl/>
        </w:rPr>
        <w:t>למאסר בפועל יהיו השלכות פוגעניות עבורו ועבור משפחתו, כאשר כניסתו לכלא תגרום לפיטוריו ממקום עבודתו ותיצור מצוקה כלכלית במשפחתו. מה גם, אנו סבורים כי נוכח מאפייני אישיותו, כפי שצויינו מעלה, אשרף (הנאשם י' א') יתקשה לשמור על התנהלות מאוזנת בין כתלי הכלא, ויש חשש לרגרסיה בתפקודו".</w:t>
      </w:r>
    </w:p>
    <w:p w14:paraId="70F468D9" w14:textId="77777777" w:rsidR="00E60789" w:rsidRDefault="00E60789">
      <w:pPr>
        <w:spacing w:line="360" w:lineRule="auto"/>
        <w:ind w:right="360"/>
        <w:jc w:val="both"/>
        <w:rPr>
          <w:rtl/>
        </w:rPr>
      </w:pPr>
    </w:p>
    <w:p w14:paraId="6B675307" w14:textId="77777777" w:rsidR="00E60789" w:rsidRDefault="00AA7BD9">
      <w:pPr>
        <w:spacing w:line="360" w:lineRule="auto"/>
        <w:ind w:right="360"/>
        <w:jc w:val="both"/>
        <w:rPr>
          <w:rtl/>
        </w:rPr>
      </w:pPr>
      <w:r>
        <w:rPr>
          <w:rFonts w:hint="cs"/>
          <w:rtl/>
        </w:rPr>
        <w:t xml:space="preserve">מבלי להתעלם מחומרת העבירה, המליץ קצין המבחן להימנע מהטלת מאסר בפועל ולחילופין, לשקול עונש של עבודות שירות, זאת בנוסף למאסר מותנה וקנס. </w:t>
      </w:r>
    </w:p>
    <w:p w14:paraId="75E919AB" w14:textId="77777777" w:rsidR="00E60789" w:rsidRDefault="00E60789">
      <w:pPr>
        <w:spacing w:line="360" w:lineRule="auto"/>
        <w:ind w:right="360"/>
        <w:jc w:val="both"/>
        <w:rPr>
          <w:rtl/>
        </w:rPr>
      </w:pPr>
    </w:p>
    <w:p w14:paraId="0A8AA524" w14:textId="77777777" w:rsidR="00E60789" w:rsidRDefault="00AA7BD9">
      <w:pPr>
        <w:spacing w:line="360" w:lineRule="auto"/>
        <w:ind w:right="360"/>
        <w:jc w:val="both"/>
        <w:rPr>
          <w:b/>
          <w:bCs/>
          <w:u w:val="single"/>
          <w:rtl/>
        </w:rPr>
      </w:pPr>
      <w:r>
        <w:rPr>
          <w:rFonts w:hint="cs"/>
          <w:rtl/>
        </w:rPr>
        <w:t>ג.</w:t>
      </w:r>
      <w:r>
        <w:rPr>
          <w:rFonts w:hint="cs"/>
          <w:rtl/>
        </w:rPr>
        <w:tab/>
      </w:r>
      <w:r>
        <w:rPr>
          <w:rFonts w:hint="cs"/>
          <w:b/>
          <w:bCs/>
          <w:u w:val="single"/>
          <w:rtl/>
        </w:rPr>
        <w:t>טיעוני הצדדים לעונש</w:t>
      </w:r>
    </w:p>
    <w:p w14:paraId="03EE1ED6" w14:textId="77777777" w:rsidR="00E60789" w:rsidRDefault="00E60789">
      <w:pPr>
        <w:spacing w:line="360" w:lineRule="auto"/>
        <w:ind w:right="360"/>
        <w:jc w:val="both"/>
        <w:rPr>
          <w:rtl/>
        </w:rPr>
      </w:pPr>
    </w:p>
    <w:p w14:paraId="6121B987" w14:textId="77777777" w:rsidR="00E60789" w:rsidRDefault="00AA7BD9">
      <w:pPr>
        <w:spacing w:line="360" w:lineRule="auto"/>
        <w:ind w:right="360"/>
        <w:jc w:val="both"/>
        <w:rPr>
          <w:rtl/>
        </w:rPr>
      </w:pPr>
      <w:r>
        <w:rPr>
          <w:rFonts w:hint="cs"/>
          <w:rtl/>
        </w:rPr>
        <w:t xml:space="preserve">באת כח המאשימה בפתח טיעוניה לעונש, הפנתה להרשעתו של הנאשם בעבירה של החזקה, נשיאה והובלת האקדח והדגישה את נסיבות תפיסת האקדח ומיקום היותו מוסתר. </w:t>
      </w:r>
    </w:p>
    <w:p w14:paraId="65D75C50" w14:textId="77777777" w:rsidR="00E60789" w:rsidRDefault="00E60789">
      <w:pPr>
        <w:spacing w:line="360" w:lineRule="auto"/>
        <w:ind w:right="360"/>
        <w:jc w:val="both"/>
        <w:rPr>
          <w:rtl/>
        </w:rPr>
      </w:pPr>
    </w:p>
    <w:p w14:paraId="11FD54F6" w14:textId="77777777" w:rsidR="00E60789" w:rsidRDefault="00AA7BD9">
      <w:pPr>
        <w:spacing w:line="360" w:lineRule="auto"/>
        <w:ind w:right="360"/>
        <w:jc w:val="both"/>
        <w:rPr>
          <w:rtl/>
        </w:rPr>
      </w:pPr>
      <w:r>
        <w:rPr>
          <w:rFonts w:hint="cs"/>
          <w:rtl/>
        </w:rPr>
        <w:lastRenderedPageBreak/>
        <w:t>עוד הוסיפה באת כח המאשימה כי לשיטתה הנאשם לא הצליח להסביר מדוע לא התקשר למשטרה עת מצא את האקדח, לגירסתו,  אלא, כאמור האקדח נתפס בחיפוש שנערך ברכבו.</w:t>
      </w:r>
    </w:p>
    <w:p w14:paraId="3EB12A6C" w14:textId="77777777" w:rsidR="00E60789" w:rsidRDefault="00E60789">
      <w:pPr>
        <w:spacing w:line="360" w:lineRule="auto"/>
        <w:ind w:right="360"/>
        <w:jc w:val="both"/>
        <w:rPr>
          <w:rtl/>
        </w:rPr>
      </w:pPr>
    </w:p>
    <w:p w14:paraId="2DB54EE5" w14:textId="77777777" w:rsidR="00E60789" w:rsidRDefault="00AA7BD9">
      <w:pPr>
        <w:spacing w:line="360" w:lineRule="auto"/>
        <w:ind w:right="360"/>
        <w:jc w:val="both"/>
        <w:rPr>
          <w:rtl/>
        </w:rPr>
      </w:pPr>
      <w:r>
        <w:rPr>
          <w:rFonts w:hint="cs"/>
          <w:rtl/>
        </w:rPr>
        <w:t xml:space="preserve">עוד הוסיפה וטענה באת כח המאשימה כי אי תקינותו ושמישותו של האקדח כעולה מחוות הדעת מעבדת הנשק במטה הארצי, אזי, אין בכך כדי למנוע ביצוע שינויים אשר יביאו את  האקדח לשמישות ומשכך, נשקפת סכנה ממנו. </w:t>
      </w:r>
    </w:p>
    <w:p w14:paraId="1FA082FB" w14:textId="77777777" w:rsidR="00E60789" w:rsidRDefault="00E60789">
      <w:pPr>
        <w:ind w:right="360"/>
        <w:jc w:val="both"/>
        <w:rPr>
          <w:rtl/>
        </w:rPr>
      </w:pPr>
    </w:p>
    <w:p w14:paraId="6BCD9E37" w14:textId="77777777" w:rsidR="00E60789" w:rsidRDefault="00AA7BD9">
      <w:pPr>
        <w:spacing w:line="360" w:lineRule="auto"/>
        <w:ind w:right="360"/>
        <w:jc w:val="both"/>
        <w:rPr>
          <w:rtl/>
        </w:rPr>
      </w:pPr>
      <w:r>
        <w:rPr>
          <w:rFonts w:hint="cs"/>
          <w:rtl/>
        </w:rPr>
        <w:t xml:space="preserve">בסיכום טיעוניה לעונש ביקשה לגזור על הנאשם עונש מאסר בפועל, עונש מאסר מותנה וקנס כספי. </w:t>
      </w:r>
    </w:p>
    <w:p w14:paraId="4A3B8550" w14:textId="77777777" w:rsidR="00E60789" w:rsidRDefault="00E60789">
      <w:pPr>
        <w:ind w:right="360"/>
        <w:jc w:val="both"/>
        <w:rPr>
          <w:rtl/>
        </w:rPr>
      </w:pPr>
    </w:p>
    <w:p w14:paraId="6876261A" w14:textId="77777777" w:rsidR="00E60789" w:rsidRDefault="00AA7BD9">
      <w:pPr>
        <w:spacing w:line="360" w:lineRule="auto"/>
        <w:ind w:right="360"/>
        <w:jc w:val="both"/>
        <w:rPr>
          <w:rtl/>
        </w:rPr>
      </w:pPr>
      <w:r>
        <w:rPr>
          <w:rFonts w:hint="cs"/>
          <w:rtl/>
        </w:rPr>
        <w:t xml:space="preserve">ב"כ הנאשם בפתח טיעוניו לעונש טען כל אשר יכל דברי זכות למרשו, תוך שהפנה לאמור בהרחבה בתסקיר שירות המבחן באשר לנסיבותיו האישיות והמשפחתיות והמלצת שירות המבחן להימנע מהטלת עונש מאסר בפועל. </w:t>
      </w:r>
    </w:p>
    <w:p w14:paraId="17A09DB2" w14:textId="77777777" w:rsidR="00E60789" w:rsidRDefault="00E60789">
      <w:pPr>
        <w:ind w:right="360"/>
        <w:jc w:val="both"/>
        <w:rPr>
          <w:rtl/>
        </w:rPr>
      </w:pPr>
    </w:p>
    <w:p w14:paraId="07CE7EDF" w14:textId="77777777" w:rsidR="00E60789" w:rsidRDefault="00AA7BD9">
      <w:pPr>
        <w:spacing w:line="360" w:lineRule="auto"/>
        <w:ind w:right="360"/>
        <w:jc w:val="both"/>
        <w:rPr>
          <w:rtl/>
        </w:rPr>
      </w:pPr>
      <w:r>
        <w:rPr>
          <w:rFonts w:hint="cs"/>
          <w:rtl/>
        </w:rPr>
        <w:t xml:space="preserve">בנוסף לכך, הפנה ב"כ הנאשם  להודיית הנאשם במסגרת הליך הגישור, להבעת החרטה  הן בפני בית המשפט והן בפני קצין המבחן. </w:t>
      </w:r>
    </w:p>
    <w:p w14:paraId="17E5F640" w14:textId="77777777" w:rsidR="00E60789" w:rsidRDefault="00E60789">
      <w:pPr>
        <w:ind w:right="360"/>
        <w:jc w:val="both"/>
        <w:rPr>
          <w:rtl/>
        </w:rPr>
      </w:pPr>
    </w:p>
    <w:p w14:paraId="6C24A26E" w14:textId="77777777" w:rsidR="00E60789" w:rsidRDefault="00AA7BD9">
      <w:pPr>
        <w:spacing w:line="360" w:lineRule="auto"/>
        <w:ind w:right="360"/>
        <w:jc w:val="both"/>
        <w:rPr>
          <w:rtl/>
        </w:rPr>
      </w:pPr>
      <w:r>
        <w:rPr>
          <w:rFonts w:hint="cs"/>
          <w:rtl/>
        </w:rPr>
        <w:t>זאת ועוד, ב"כ הנאשם הגיש במסגרת ראיותיו לעונש את חוות דעתו של רפ"ק פבל גיבץ קצין מעבדת נשק במטה הארצי ובה קובע הלה כדלקמן:</w:t>
      </w:r>
    </w:p>
    <w:p w14:paraId="5478441B" w14:textId="77777777" w:rsidR="00E60789" w:rsidRDefault="00E60789">
      <w:pPr>
        <w:ind w:right="360"/>
        <w:jc w:val="both"/>
        <w:rPr>
          <w:rtl/>
        </w:rPr>
      </w:pPr>
    </w:p>
    <w:p w14:paraId="24D99A40" w14:textId="77777777" w:rsidR="00E60789" w:rsidRDefault="00AA7BD9">
      <w:pPr>
        <w:ind w:left="765" w:right="1260"/>
        <w:jc w:val="both"/>
        <w:rPr>
          <w:rtl/>
        </w:rPr>
      </w:pPr>
      <w:r>
        <w:rPr>
          <w:rFonts w:cs="Miriam" w:hint="cs"/>
          <w:rtl/>
        </w:rPr>
        <w:t xml:space="preserve">"בדיקות וממצאים: אקדח טופי וובלי מספר סידורי </w:t>
      </w:r>
      <w:r>
        <w:rPr>
          <w:rFonts w:cs="Miriam" w:hint="cs"/>
        </w:rPr>
        <w:t>A</w:t>
      </w:r>
      <w:r>
        <w:rPr>
          <w:rFonts w:cs="Miriam" w:hint="cs"/>
          <w:rtl/>
        </w:rPr>
        <w:t xml:space="preserve">71388 </w:t>
      </w:r>
      <w:r>
        <w:rPr>
          <w:rFonts w:cs="Miriam" w:hint="cs"/>
          <w:u w:val="single"/>
          <w:rtl/>
        </w:rPr>
        <w:t>אינו תקין</w:t>
      </w:r>
      <w:r>
        <w:rPr>
          <w:rFonts w:cs="Miriam" w:hint="cs"/>
          <w:rtl/>
        </w:rPr>
        <w:t xml:space="preserve">      </w:t>
      </w:r>
      <w:r>
        <w:rPr>
          <w:rFonts w:hint="cs"/>
          <w:rtl/>
        </w:rPr>
        <w:t>(כך במקור י' א')</w:t>
      </w:r>
      <w:r>
        <w:rPr>
          <w:rFonts w:cs="Miriam" w:hint="cs"/>
          <w:rtl/>
        </w:rPr>
        <w:t xml:space="preserve"> הנוקר הוחלף או שונה ולא ניתן לבצע ירי במצב בו התקבל לבדיקה</w:t>
      </w:r>
      <w:r>
        <w:rPr>
          <w:rFonts w:hint="cs"/>
          <w:rtl/>
        </w:rPr>
        <w:t>" (ראה נ/2).</w:t>
      </w:r>
    </w:p>
    <w:p w14:paraId="4AFF45F1" w14:textId="77777777" w:rsidR="00E60789" w:rsidRDefault="00E60789">
      <w:pPr>
        <w:spacing w:line="360" w:lineRule="auto"/>
        <w:ind w:right="360"/>
        <w:jc w:val="both"/>
        <w:rPr>
          <w:rtl/>
        </w:rPr>
      </w:pPr>
    </w:p>
    <w:p w14:paraId="3E2B0D56" w14:textId="77777777" w:rsidR="00E60789" w:rsidRDefault="00AA7BD9">
      <w:pPr>
        <w:spacing w:line="360" w:lineRule="auto"/>
        <w:ind w:right="360"/>
        <w:jc w:val="both"/>
      </w:pPr>
      <w:r>
        <w:rPr>
          <w:rFonts w:hint="cs"/>
          <w:rtl/>
        </w:rPr>
        <w:t xml:space="preserve">בסיכומו של דבר ביקש הסניגור שלא למצות את הדין עם הנאשם, ולהימנע מהטלת עונש מאסר בפועל תוך שהפנה אף לאסופת פסיקה בעבירה דומה (ראה נ/3). </w:t>
      </w:r>
    </w:p>
    <w:p w14:paraId="14AB6D78" w14:textId="77777777" w:rsidR="00E60789" w:rsidRDefault="00E60789">
      <w:pPr>
        <w:ind w:left="357" w:right="360"/>
        <w:jc w:val="both"/>
        <w:rPr>
          <w:highlight w:val="magenta"/>
          <w:rtl/>
        </w:rPr>
      </w:pPr>
    </w:p>
    <w:p w14:paraId="0F93442D" w14:textId="77777777" w:rsidR="00E60789" w:rsidRDefault="00AA7BD9">
      <w:pPr>
        <w:spacing w:line="360" w:lineRule="auto"/>
        <w:ind w:left="720" w:right="360" w:hanging="720"/>
        <w:jc w:val="both"/>
        <w:rPr>
          <w:b/>
          <w:bCs/>
          <w:u w:val="single"/>
          <w:rtl/>
        </w:rPr>
      </w:pPr>
      <w:r>
        <w:rPr>
          <w:rFonts w:hint="cs"/>
          <w:rtl/>
        </w:rPr>
        <w:t>ד.</w:t>
      </w:r>
      <w:r>
        <w:rPr>
          <w:rFonts w:hint="cs"/>
          <w:rtl/>
        </w:rPr>
        <w:tab/>
      </w:r>
      <w:r>
        <w:rPr>
          <w:rFonts w:hint="cs"/>
          <w:b/>
          <w:bCs/>
          <w:u w:val="single"/>
          <w:rtl/>
        </w:rPr>
        <w:t>דיון</w:t>
      </w:r>
    </w:p>
    <w:p w14:paraId="1FAB32F0" w14:textId="77777777" w:rsidR="00E60789" w:rsidRDefault="00E60789">
      <w:pPr>
        <w:ind w:right="360"/>
        <w:jc w:val="both"/>
        <w:rPr>
          <w:b/>
          <w:bCs/>
          <w:u w:val="single"/>
        </w:rPr>
      </w:pPr>
    </w:p>
    <w:p w14:paraId="05CDEAB2" w14:textId="77777777" w:rsidR="00E60789" w:rsidRDefault="00AA7BD9">
      <w:pPr>
        <w:ind w:right="360"/>
        <w:jc w:val="both"/>
        <w:rPr>
          <w:rtl/>
        </w:rPr>
      </w:pPr>
      <w:r>
        <w:rPr>
          <w:rFonts w:hint="cs"/>
          <w:rtl/>
        </w:rPr>
        <w:t xml:space="preserve">אין חולק באשר לחומרתן של עבירות בנשק, ובכלל זה, להחזקת אקדח שלא כדין. </w:t>
      </w:r>
    </w:p>
    <w:p w14:paraId="47B16968" w14:textId="77777777" w:rsidR="00E60789" w:rsidRDefault="00E60789">
      <w:pPr>
        <w:ind w:right="360"/>
        <w:jc w:val="both"/>
        <w:rPr>
          <w:rtl/>
        </w:rPr>
      </w:pPr>
    </w:p>
    <w:p w14:paraId="7C25A434" w14:textId="77777777" w:rsidR="00E60789" w:rsidRDefault="00AA7BD9">
      <w:pPr>
        <w:spacing w:line="360" w:lineRule="auto"/>
        <w:ind w:right="360"/>
        <w:jc w:val="both"/>
        <w:rPr>
          <w:rtl/>
        </w:rPr>
      </w:pPr>
      <w:r>
        <w:rPr>
          <w:rFonts w:hint="cs"/>
          <w:rtl/>
        </w:rPr>
        <w:t>זאת ועוד, בתי המשפט עמדו לא אחת על החומרה שיש לראות בהחזקת הנשק ולפסע שבין החזקת נשק שלא כדין לעשיית שימוש בו ו/או העברתו לגורמים עבריינים.</w:t>
      </w:r>
    </w:p>
    <w:p w14:paraId="4B194E89" w14:textId="77777777" w:rsidR="00E60789" w:rsidRDefault="00E60789">
      <w:pPr>
        <w:ind w:right="360"/>
        <w:jc w:val="both"/>
        <w:rPr>
          <w:rtl/>
        </w:rPr>
      </w:pPr>
    </w:p>
    <w:p w14:paraId="24E6AA20" w14:textId="77777777" w:rsidR="00E60789" w:rsidRDefault="00AA7BD9">
      <w:pPr>
        <w:ind w:right="360"/>
        <w:jc w:val="both"/>
        <w:rPr>
          <w:rtl/>
        </w:rPr>
      </w:pPr>
      <w:r>
        <w:rPr>
          <w:rFonts w:hint="cs"/>
          <w:rtl/>
        </w:rPr>
        <w:t>לעניין זה אפנה לנאמר ב</w:t>
      </w:r>
      <w:r w:rsidRPr="00966A6C">
        <w:rPr>
          <w:color w:val="000000"/>
          <w:rtl/>
        </w:rPr>
        <w:t>ע"פ 910/85</w:t>
      </w:r>
      <w:r>
        <w:rPr>
          <w:rFonts w:hint="cs"/>
          <w:rtl/>
        </w:rPr>
        <w:t xml:space="preserve">: </w:t>
      </w:r>
    </w:p>
    <w:p w14:paraId="4019449F" w14:textId="77777777" w:rsidR="00E60789" w:rsidRDefault="00E60789">
      <w:pPr>
        <w:ind w:right="360"/>
        <w:jc w:val="both"/>
        <w:rPr>
          <w:rtl/>
        </w:rPr>
      </w:pPr>
    </w:p>
    <w:p w14:paraId="246A6E0A" w14:textId="77777777" w:rsidR="00E60789" w:rsidRDefault="00AA7BD9">
      <w:pPr>
        <w:ind w:left="1106" w:right="1260"/>
        <w:jc w:val="both"/>
        <w:rPr>
          <w:b/>
          <w:bCs/>
          <w:rtl/>
        </w:rPr>
      </w:pPr>
      <w:r>
        <w:rPr>
          <w:rFonts w:cs="Miriam" w:hint="cs"/>
          <w:rtl/>
        </w:rPr>
        <w:t>"אין אנו יכולים להתעלם מהעובדה,שהחזקת נשק שלא כדין הינה עבירה נפוצה, אשר מסכנת את בטחון הציבור במידה רצינית, והדברים ידועים. חשוב שתחדור לתודעת כל תושבי המדינה הידיעה, שמי שביודעין מקבל לרשותו כלי נשק שלא כדין, צפוי בגין עבירה זו לעונש מכאיב, אפילו אין הוא מתכוון אישית לבצע פשע מסוים ומוגדר בעזרת הנשק האמור".</w:t>
      </w:r>
      <w:r>
        <w:rPr>
          <w:rFonts w:hint="cs"/>
          <w:rtl/>
        </w:rPr>
        <w:t xml:space="preserve"> </w:t>
      </w:r>
      <w:r>
        <w:rPr>
          <w:rFonts w:hint="cs"/>
          <w:b/>
          <w:bCs/>
          <w:rtl/>
        </w:rPr>
        <w:t>(אברהים קונדוס נ' מדינת ישראל, תק-על 86(2), 670).</w:t>
      </w:r>
    </w:p>
    <w:p w14:paraId="220C4D27" w14:textId="77777777" w:rsidR="00E60789" w:rsidRDefault="00E60789">
      <w:pPr>
        <w:spacing w:line="360" w:lineRule="auto"/>
        <w:ind w:right="360"/>
        <w:jc w:val="both"/>
        <w:rPr>
          <w:rtl/>
        </w:rPr>
      </w:pPr>
    </w:p>
    <w:p w14:paraId="4CF88AA3" w14:textId="77777777" w:rsidR="00E60789" w:rsidRDefault="00E60789">
      <w:pPr>
        <w:spacing w:line="360" w:lineRule="auto"/>
        <w:ind w:right="360"/>
        <w:jc w:val="both"/>
        <w:rPr>
          <w:rtl/>
        </w:rPr>
      </w:pPr>
    </w:p>
    <w:p w14:paraId="75EB7544" w14:textId="77777777" w:rsidR="00E60789" w:rsidRDefault="00E60789">
      <w:pPr>
        <w:spacing w:line="360" w:lineRule="auto"/>
        <w:ind w:right="360"/>
        <w:jc w:val="both"/>
        <w:rPr>
          <w:rtl/>
        </w:rPr>
      </w:pPr>
    </w:p>
    <w:p w14:paraId="64FE9AAD" w14:textId="77777777" w:rsidR="00E60789" w:rsidRDefault="00E60789">
      <w:pPr>
        <w:spacing w:line="360" w:lineRule="auto"/>
        <w:ind w:right="360"/>
        <w:jc w:val="both"/>
        <w:rPr>
          <w:rtl/>
        </w:rPr>
      </w:pPr>
    </w:p>
    <w:p w14:paraId="1680CB1F" w14:textId="77777777" w:rsidR="00E60789" w:rsidRDefault="00AA7BD9">
      <w:pPr>
        <w:ind w:right="360"/>
        <w:jc w:val="both"/>
        <w:rPr>
          <w:rtl/>
        </w:rPr>
      </w:pPr>
      <w:r>
        <w:rPr>
          <w:rFonts w:hint="cs"/>
          <w:rtl/>
        </w:rPr>
        <w:t>זאת ועוד, אפנה לנאמר ב</w:t>
      </w:r>
      <w:hyperlink r:id="rId14" w:history="1">
        <w:r w:rsidR="008B3AC1" w:rsidRPr="008B3AC1">
          <w:rPr>
            <w:rStyle w:val="Hyperlink"/>
            <w:rtl/>
          </w:rPr>
          <w:t>ע"פ 3289/03</w:t>
        </w:r>
      </w:hyperlink>
      <w:r>
        <w:rPr>
          <w:rFonts w:hint="cs"/>
          <w:rtl/>
        </w:rPr>
        <w:t>:</w:t>
      </w:r>
    </w:p>
    <w:p w14:paraId="65FD29CB" w14:textId="77777777" w:rsidR="00E60789" w:rsidRDefault="00E60789">
      <w:pPr>
        <w:spacing w:line="360" w:lineRule="auto"/>
        <w:ind w:right="360"/>
        <w:jc w:val="both"/>
        <w:rPr>
          <w:rtl/>
        </w:rPr>
      </w:pPr>
    </w:p>
    <w:p w14:paraId="3C39402A" w14:textId="77777777" w:rsidR="00E60789" w:rsidRDefault="00AA7BD9">
      <w:pPr>
        <w:ind w:left="1106" w:right="1440"/>
        <w:jc w:val="both"/>
        <w:rPr>
          <w:b/>
          <w:bCs/>
          <w:rtl/>
        </w:rPr>
      </w:pPr>
      <w:r>
        <w:rPr>
          <w:rFonts w:hAnsi="David" w:cs="Miriam" w:hint="cs"/>
          <w:rtl/>
        </w:rPr>
        <w:t>"[...] החזקה ונשיאה של נשק על ידי מי שאינו מורשה לכך, הנן עבירות בעלות חומרה יתרה, ובמיוחד בימינו אלה. כדי להלחם בתופעה זו בה חוטאים לא מעטים, ומתוך חשש שנשק המוחזק שלא כדין יגיע לידיים עברייניות או עוינות, קצב המחוקק לצדן של העבירות עונשי מאסר כבדים, מתוך שסבר כי בדרך זו יהיה כדי להרתיע את הרבים. אך כפי שהמציאות מלמדת, אותה מטרה ששם המחוקק לנגד עיניו, רחוקה מהגשמה, ומכאן הצורך להחמיר בעונשיהם של אלה החוטאים בתחום זה, כדי למנוע את פגיעתם בציבור"</w:t>
      </w:r>
      <w:r>
        <w:rPr>
          <w:rFonts w:hint="cs"/>
          <w:b/>
          <w:bCs/>
          <w:rtl/>
        </w:rPr>
        <w:t xml:space="preserve"> (אבשלום קוממי נ' מדינת ישראל, תק-על 2003(4), 78).</w:t>
      </w:r>
    </w:p>
    <w:p w14:paraId="7B5F68EA" w14:textId="77777777" w:rsidR="00E60789" w:rsidRDefault="00E60789">
      <w:pPr>
        <w:spacing w:line="360" w:lineRule="auto"/>
        <w:ind w:right="360"/>
        <w:jc w:val="both"/>
        <w:rPr>
          <w:rtl/>
        </w:rPr>
      </w:pPr>
    </w:p>
    <w:p w14:paraId="1648DB29" w14:textId="77777777" w:rsidR="00E60789" w:rsidRDefault="00E60789">
      <w:pPr>
        <w:spacing w:line="360" w:lineRule="auto"/>
        <w:ind w:right="360"/>
        <w:jc w:val="both"/>
        <w:rPr>
          <w:rtl/>
        </w:rPr>
      </w:pPr>
    </w:p>
    <w:p w14:paraId="040C7B01" w14:textId="77777777" w:rsidR="00E60789" w:rsidRDefault="00AA7BD9">
      <w:pPr>
        <w:spacing w:line="360" w:lineRule="auto"/>
        <w:ind w:right="360"/>
        <w:jc w:val="both"/>
        <w:rPr>
          <w:rtl/>
        </w:rPr>
      </w:pPr>
      <w:r>
        <w:rPr>
          <w:rFonts w:hint="cs"/>
          <w:rtl/>
        </w:rPr>
        <w:t xml:space="preserve">במקרה דנן, הנאשם נשא והחזיק נשק שלא כדין ומבלי שיהיה לו רישיון כדין לעשות כן וכעולה מדבריו בפני קצין המבחן, והינו מודע לחומרת העבירה ולעובדה כי עליו להיענש בגין כך. </w:t>
      </w:r>
    </w:p>
    <w:p w14:paraId="6DD7974C" w14:textId="77777777" w:rsidR="00E60789" w:rsidRDefault="00E60789">
      <w:pPr>
        <w:spacing w:line="360" w:lineRule="auto"/>
        <w:ind w:right="360"/>
        <w:jc w:val="both"/>
        <w:rPr>
          <w:rtl/>
        </w:rPr>
      </w:pPr>
    </w:p>
    <w:p w14:paraId="02D438D2" w14:textId="77777777" w:rsidR="00E60789" w:rsidRDefault="00AA7BD9">
      <w:pPr>
        <w:spacing w:line="360" w:lineRule="auto"/>
        <w:ind w:right="360"/>
        <w:jc w:val="both"/>
        <w:rPr>
          <w:rtl/>
        </w:rPr>
      </w:pPr>
      <w:r>
        <w:rPr>
          <w:rFonts w:hint="cs"/>
          <w:rtl/>
        </w:rPr>
        <w:t xml:space="preserve">כעולה מבדיקת מעבדת הנשק במטה הארצי של משטרת ישראל, אזי, בפנינו </w:t>
      </w:r>
      <w:r>
        <w:rPr>
          <w:rFonts w:hint="cs"/>
          <w:b/>
          <w:bCs/>
          <w:rtl/>
        </w:rPr>
        <w:t>אקדח שאינו תקין ולא ניתן לבצע ירי במצב בו התקבל לבדיקה.</w:t>
      </w:r>
    </w:p>
    <w:p w14:paraId="22948DA8" w14:textId="77777777" w:rsidR="00E60789" w:rsidRDefault="00E60789">
      <w:pPr>
        <w:spacing w:line="360" w:lineRule="auto"/>
        <w:ind w:right="360"/>
        <w:jc w:val="both"/>
        <w:rPr>
          <w:rtl/>
        </w:rPr>
      </w:pPr>
    </w:p>
    <w:p w14:paraId="380B36CF" w14:textId="77777777" w:rsidR="00E60789" w:rsidRDefault="00AA7BD9">
      <w:pPr>
        <w:spacing w:line="360" w:lineRule="auto"/>
        <w:ind w:right="360"/>
        <w:jc w:val="both"/>
        <w:rPr>
          <w:rtl/>
        </w:rPr>
      </w:pPr>
      <w:r>
        <w:rPr>
          <w:rFonts w:hint="cs"/>
          <w:rtl/>
        </w:rPr>
        <w:t xml:space="preserve">יחד עם האמור לעיל, אין להקל ראש בעובדה כי הנאשם החזיק את האקדח ולא טרח גם אם נקבל את גרסתו בדבר מציאתו בחורשה הסמוכה לביתו למוסרו למשטרת ישראל. עם זאת, אני סבור כי בהחלט ניתן ליתן משקל לעובדת אי תקינותו של האקדח לעניין העונש שיש לגזור עליו. </w:t>
      </w:r>
    </w:p>
    <w:p w14:paraId="21426656" w14:textId="77777777" w:rsidR="00E60789" w:rsidRDefault="00E60789">
      <w:pPr>
        <w:spacing w:line="360" w:lineRule="auto"/>
        <w:ind w:right="360"/>
        <w:jc w:val="both"/>
        <w:rPr>
          <w:rtl/>
        </w:rPr>
      </w:pPr>
    </w:p>
    <w:p w14:paraId="0B5CC17E" w14:textId="77777777" w:rsidR="00E60789" w:rsidRDefault="00AA7BD9">
      <w:pPr>
        <w:spacing w:line="360" w:lineRule="auto"/>
        <w:ind w:right="360"/>
        <w:jc w:val="both"/>
        <w:rPr>
          <w:rtl/>
        </w:rPr>
      </w:pPr>
      <w:r>
        <w:rPr>
          <w:rFonts w:hint="cs"/>
          <w:rtl/>
        </w:rPr>
        <w:t xml:space="preserve">בנוסף לאמור לעיל, בעניינינו, נסיבות לקולא נוספות, כעולה מתסקיר שירות המבחן כפי שפורטו לעיל, העדר עבר פלילי, הודאתו במסגרת הליך הגישור שהתנהל בעניינו ואשר ייתר את שמיעת הראיות בתיק, הבעת החרטה, ובסופו של יום גם המלצת קצין המבחן להימנע מעונש מאסר בפועל. </w:t>
      </w:r>
    </w:p>
    <w:p w14:paraId="0077C6DC" w14:textId="77777777" w:rsidR="00E60789" w:rsidRDefault="00E60789">
      <w:pPr>
        <w:spacing w:line="360" w:lineRule="auto"/>
        <w:ind w:right="360"/>
        <w:jc w:val="both"/>
        <w:rPr>
          <w:rtl/>
        </w:rPr>
      </w:pPr>
    </w:p>
    <w:p w14:paraId="0E148F5C" w14:textId="77777777" w:rsidR="00E60789" w:rsidRDefault="00AA7BD9">
      <w:pPr>
        <w:spacing w:line="360" w:lineRule="auto"/>
        <w:ind w:right="360"/>
        <w:jc w:val="both"/>
        <w:rPr>
          <w:rtl/>
        </w:rPr>
      </w:pPr>
      <w:r>
        <w:rPr>
          <w:rFonts w:hint="cs"/>
          <w:rtl/>
        </w:rPr>
        <w:t>לפיכך, לאחר ששקלתי את מכלול השיקולים הרלוונטיים, אני מחליט לגזור על הנאשם את העונשים הבאים:</w:t>
      </w:r>
    </w:p>
    <w:p w14:paraId="45CC810F" w14:textId="77777777" w:rsidR="00E60789" w:rsidRDefault="00E60789">
      <w:pPr>
        <w:spacing w:line="360" w:lineRule="auto"/>
        <w:ind w:right="360"/>
        <w:jc w:val="both"/>
        <w:rPr>
          <w:rtl/>
        </w:rPr>
      </w:pPr>
    </w:p>
    <w:p w14:paraId="517FEA1D" w14:textId="77777777" w:rsidR="00E60789" w:rsidRDefault="00AA7BD9">
      <w:pPr>
        <w:spacing w:line="360" w:lineRule="auto"/>
        <w:ind w:left="720" w:right="360" w:hanging="720"/>
        <w:jc w:val="both"/>
        <w:rPr>
          <w:rtl/>
        </w:rPr>
      </w:pPr>
      <w:r>
        <w:rPr>
          <w:rFonts w:hint="cs"/>
          <w:rtl/>
        </w:rPr>
        <w:t>א.</w:t>
      </w:r>
      <w:r>
        <w:rPr>
          <w:rtl/>
        </w:rPr>
        <w:tab/>
      </w:r>
      <w:r>
        <w:rPr>
          <w:rFonts w:hint="cs"/>
          <w:rtl/>
        </w:rPr>
        <w:t xml:space="preserve">6 חודשי מאסר בפועל אשר ירוצו במסגרת עבודות שירות, במועצה המקומית כפר קרע </w:t>
      </w:r>
      <w:r>
        <w:rPr>
          <w:rtl/>
        </w:rPr>
        <w:t>–</w:t>
      </w:r>
      <w:r>
        <w:rPr>
          <w:rFonts w:hint="cs"/>
          <w:rtl/>
        </w:rPr>
        <w:t xml:space="preserve"> על פי חוות דעת הממונה על עבודות שירות </w:t>
      </w:r>
      <w:r>
        <w:rPr>
          <w:rtl/>
        </w:rPr>
        <w:t>–</w:t>
      </w:r>
      <w:r>
        <w:rPr>
          <w:rFonts w:hint="cs"/>
          <w:rtl/>
        </w:rPr>
        <w:t xml:space="preserve"> ולצורך כך, עליו להתייצב ביום 05.01.11 בשעה 08.00 במפקדת מחוז צפון </w:t>
      </w:r>
      <w:r>
        <w:rPr>
          <w:rtl/>
        </w:rPr>
        <w:t>–</w:t>
      </w:r>
      <w:r>
        <w:rPr>
          <w:rFonts w:hint="cs"/>
          <w:rtl/>
        </w:rPr>
        <w:t xml:space="preserve"> יחידת עבודות שירות של השב"ס.</w:t>
      </w:r>
    </w:p>
    <w:p w14:paraId="33452B9C" w14:textId="77777777" w:rsidR="00E60789" w:rsidRDefault="00E60789">
      <w:pPr>
        <w:spacing w:line="360" w:lineRule="auto"/>
        <w:ind w:left="720" w:right="360" w:hanging="720"/>
        <w:jc w:val="both"/>
        <w:rPr>
          <w:rtl/>
        </w:rPr>
      </w:pPr>
    </w:p>
    <w:p w14:paraId="7FA6C7AD" w14:textId="77777777" w:rsidR="00E60789" w:rsidRDefault="00AA7BD9">
      <w:pPr>
        <w:spacing w:line="360" w:lineRule="auto"/>
        <w:ind w:right="360"/>
        <w:jc w:val="both"/>
        <w:rPr>
          <w:rtl/>
        </w:rPr>
      </w:pPr>
      <w:r>
        <w:rPr>
          <w:rFonts w:hint="cs"/>
          <w:rtl/>
        </w:rPr>
        <w:t>ב.</w:t>
      </w:r>
      <w:r>
        <w:rPr>
          <w:rFonts w:hint="cs"/>
          <w:rtl/>
        </w:rPr>
        <w:tab/>
      </w:r>
      <w:r>
        <w:rPr>
          <w:rFonts w:hint="cs"/>
          <w:u w:val="single"/>
          <w:rtl/>
        </w:rPr>
        <w:t>10</w:t>
      </w:r>
      <w:r>
        <w:rPr>
          <w:rFonts w:hint="cs"/>
          <w:rtl/>
        </w:rPr>
        <w:t xml:space="preserve"> חודשי מאסר על תנאי ל</w:t>
      </w:r>
      <w:r>
        <w:rPr>
          <w:rFonts w:hint="cs"/>
          <w:b/>
          <w:bCs/>
          <w:rtl/>
        </w:rPr>
        <w:t xml:space="preserve">משך שנתיים </w:t>
      </w:r>
      <w:r>
        <w:rPr>
          <w:rFonts w:hint="cs"/>
          <w:rtl/>
        </w:rPr>
        <w:t>לבל יעבור עבירות בנשק מסוג פשע.</w:t>
      </w:r>
    </w:p>
    <w:p w14:paraId="3C47270B" w14:textId="77777777" w:rsidR="00E60789" w:rsidRDefault="00E60789">
      <w:pPr>
        <w:spacing w:line="360" w:lineRule="auto"/>
        <w:ind w:right="360"/>
        <w:jc w:val="both"/>
        <w:rPr>
          <w:rtl/>
        </w:rPr>
      </w:pPr>
    </w:p>
    <w:p w14:paraId="10B199C1" w14:textId="77777777" w:rsidR="00E60789" w:rsidRDefault="00AA7BD9">
      <w:pPr>
        <w:spacing w:line="360" w:lineRule="auto"/>
        <w:ind w:left="720" w:right="360" w:hanging="720"/>
        <w:jc w:val="both"/>
        <w:rPr>
          <w:rtl/>
        </w:rPr>
      </w:pPr>
      <w:r>
        <w:rPr>
          <w:rFonts w:hint="cs"/>
          <w:rtl/>
        </w:rPr>
        <w:t>ג.</w:t>
      </w:r>
      <w:r>
        <w:rPr>
          <w:rFonts w:hint="cs"/>
          <w:rtl/>
        </w:rPr>
        <w:tab/>
        <w:t xml:space="preserve">קנס כספי בסך של 3,000 ₪ לתשלום ב- 3 תשלומים שווים ורצופים החל </w:t>
      </w:r>
      <w:r>
        <w:rPr>
          <w:rFonts w:hint="cs"/>
          <w:u w:val="single"/>
          <w:rtl/>
        </w:rPr>
        <w:t xml:space="preserve">מיום 02.02.11 </w:t>
      </w:r>
      <w:r>
        <w:rPr>
          <w:rFonts w:hint="cs"/>
          <w:rtl/>
        </w:rPr>
        <w:t>ולא יאוחר מכל 02 לכל חודש שלאחריו.</w:t>
      </w:r>
    </w:p>
    <w:p w14:paraId="086442E7" w14:textId="77777777" w:rsidR="00E60789" w:rsidRDefault="00E60789">
      <w:pPr>
        <w:spacing w:line="360" w:lineRule="auto"/>
        <w:ind w:right="360"/>
        <w:jc w:val="both"/>
        <w:rPr>
          <w:rtl/>
        </w:rPr>
      </w:pPr>
    </w:p>
    <w:p w14:paraId="09675DD4" w14:textId="77777777" w:rsidR="00E60789" w:rsidRDefault="00AA7BD9">
      <w:pPr>
        <w:spacing w:line="360" w:lineRule="auto"/>
        <w:ind w:right="360"/>
        <w:jc w:val="both"/>
        <w:rPr>
          <w:rtl/>
        </w:rPr>
      </w:pPr>
      <w:r>
        <w:rPr>
          <w:rFonts w:hint="cs"/>
          <w:rtl/>
        </w:rPr>
        <w:t xml:space="preserve">כמו כן, אני מורה על חילוט האקדח. </w:t>
      </w:r>
    </w:p>
    <w:p w14:paraId="5D87538C" w14:textId="77777777" w:rsidR="00E60789" w:rsidRDefault="00E60789">
      <w:pPr>
        <w:spacing w:line="360" w:lineRule="auto"/>
        <w:ind w:right="360"/>
        <w:jc w:val="both"/>
        <w:rPr>
          <w:rtl/>
        </w:rPr>
      </w:pPr>
    </w:p>
    <w:p w14:paraId="2B9D1148" w14:textId="77777777" w:rsidR="00E60789" w:rsidRDefault="00AA7BD9">
      <w:pPr>
        <w:spacing w:line="360" w:lineRule="auto"/>
        <w:ind w:right="360"/>
        <w:jc w:val="both"/>
        <w:rPr>
          <w:rtl/>
        </w:rPr>
      </w:pPr>
      <w:r>
        <w:rPr>
          <w:rFonts w:hint="cs"/>
          <w:rtl/>
        </w:rPr>
        <w:t>זכות ערעור לבית המשפט העליון תוך 45 יום מהיום.</w:t>
      </w:r>
    </w:p>
    <w:p w14:paraId="43ACAE74" w14:textId="77777777" w:rsidR="00AA7BD9" w:rsidRPr="00AA7BD9" w:rsidRDefault="00AA7BD9">
      <w:pPr>
        <w:spacing w:line="360" w:lineRule="auto"/>
        <w:ind w:right="360"/>
        <w:jc w:val="both"/>
        <w:rPr>
          <w:color w:val="FFFFFF"/>
          <w:sz w:val="2"/>
          <w:szCs w:val="2"/>
          <w:rtl/>
        </w:rPr>
      </w:pPr>
    </w:p>
    <w:p w14:paraId="52AD73ED" w14:textId="77777777" w:rsidR="00AA7BD9" w:rsidRPr="00AA7BD9" w:rsidRDefault="00AA7BD9">
      <w:pPr>
        <w:spacing w:line="360" w:lineRule="auto"/>
        <w:ind w:right="360"/>
        <w:jc w:val="both"/>
        <w:rPr>
          <w:color w:val="FFFFFF"/>
          <w:sz w:val="2"/>
          <w:szCs w:val="2"/>
          <w:rtl/>
        </w:rPr>
      </w:pPr>
      <w:r w:rsidRPr="00AA7BD9">
        <w:rPr>
          <w:color w:val="FFFFFF"/>
          <w:sz w:val="2"/>
          <w:szCs w:val="2"/>
          <w:rtl/>
        </w:rPr>
        <w:t>5129371</w:t>
      </w:r>
    </w:p>
    <w:p w14:paraId="6345387E" w14:textId="77777777" w:rsidR="00E60789" w:rsidRDefault="00AA7BD9">
      <w:pPr>
        <w:spacing w:line="360" w:lineRule="auto"/>
        <w:ind w:right="360"/>
        <w:jc w:val="both"/>
        <w:rPr>
          <w:rtl/>
        </w:rPr>
      </w:pPr>
      <w:r w:rsidRPr="00AA7BD9">
        <w:rPr>
          <w:color w:val="FFFFFF"/>
          <w:sz w:val="2"/>
          <w:szCs w:val="2"/>
          <w:rtl/>
        </w:rPr>
        <w:t>54678313</w:t>
      </w:r>
    </w:p>
    <w:p w14:paraId="71951B1A" w14:textId="77777777" w:rsidR="00E60789" w:rsidRDefault="00E60789">
      <w:pPr>
        <w:spacing w:line="360" w:lineRule="auto"/>
        <w:ind w:right="360"/>
        <w:jc w:val="both"/>
        <w:rPr>
          <w:rFonts w:ascii="Arial" w:hAnsi="Arial"/>
          <w:rtl/>
        </w:rPr>
      </w:pPr>
    </w:p>
    <w:p w14:paraId="003DB2C7" w14:textId="77777777" w:rsidR="00AA7BD9" w:rsidRPr="00AA7BD9" w:rsidRDefault="00AA7BD9" w:rsidP="00AA7BD9">
      <w:pPr>
        <w:keepNext/>
        <w:rPr>
          <w:rFonts w:ascii="David" w:hAnsi="David"/>
          <w:color w:val="000000"/>
          <w:sz w:val="22"/>
          <w:szCs w:val="22"/>
          <w:rtl/>
        </w:rPr>
      </w:pPr>
    </w:p>
    <w:p w14:paraId="5A00395C" w14:textId="77777777" w:rsidR="00264A7A" w:rsidRPr="00264A7A" w:rsidRDefault="00264A7A" w:rsidP="00AA7BD9">
      <w:pPr>
        <w:keepNext/>
        <w:rPr>
          <w:rFonts w:ascii="David" w:hAnsi="David"/>
          <w:color w:val="FFFFFF"/>
          <w:sz w:val="2"/>
          <w:szCs w:val="2"/>
          <w:rtl/>
        </w:rPr>
      </w:pPr>
    </w:p>
    <w:p w14:paraId="55A559AF" w14:textId="77777777" w:rsidR="00264A7A" w:rsidRPr="00264A7A" w:rsidRDefault="00264A7A" w:rsidP="00AA7BD9">
      <w:pPr>
        <w:keepNext/>
        <w:rPr>
          <w:rFonts w:ascii="David" w:hAnsi="David"/>
          <w:color w:val="FFFFFF"/>
          <w:sz w:val="2"/>
          <w:szCs w:val="2"/>
          <w:rtl/>
        </w:rPr>
      </w:pPr>
      <w:r w:rsidRPr="00264A7A">
        <w:rPr>
          <w:rFonts w:ascii="David" w:hAnsi="David"/>
          <w:color w:val="FFFFFF"/>
          <w:sz w:val="2"/>
          <w:szCs w:val="2"/>
          <w:rtl/>
        </w:rPr>
        <w:t>5129371</w:t>
      </w:r>
    </w:p>
    <w:p w14:paraId="436E7FF1" w14:textId="77777777" w:rsidR="00E60789" w:rsidRDefault="00AA7BD9">
      <w:pPr>
        <w:ind w:right="360"/>
        <w:jc w:val="both"/>
        <w:rPr>
          <w:rFonts w:cs="FrankRuehl"/>
          <w:sz w:val="28"/>
          <w:szCs w:val="28"/>
          <w:rtl/>
        </w:rPr>
      </w:pPr>
      <w:r>
        <w:rPr>
          <w:rFonts w:ascii="Arial" w:hAnsi="Arial"/>
          <w:b/>
          <w:bCs/>
          <w:rtl/>
        </w:rPr>
        <w:t xml:space="preserve">ניתן היום,  כ"ח טבת תשע"א, 04 ינואר 2011, במעמד באי כח הצדדים והנאשם. </w:t>
      </w:r>
    </w:p>
    <w:p w14:paraId="012F1393" w14:textId="77777777" w:rsidR="00264A7A" w:rsidRPr="00264A7A" w:rsidRDefault="00264A7A" w:rsidP="00264A7A">
      <w:pPr>
        <w:keepNext/>
        <w:rPr>
          <w:rFonts w:ascii="David" w:hAnsi="David"/>
          <w:color w:val="000000"/>
          <w:sz w:val="22"/>
          <w:szCs w:val="22"/>
          <w:rtl/>
        </w:rPr>
      </w:pPr>
    </w:p>
    <w:p w14:paraId="060EABC6" w14:textId="77777777" w:rsidR="00264A7A" w:rsidRPr="00264A7A" w:rsidRDefault="00264A7A" w:rsidP="00264A7A">
      <w:pPr>
        <w:keepNext/>
        <w:rPr>
          <w:rFonts w:ascii="David" w:hAnsi="David"/>
          <w:color w:val="000000"/>
          <w:sz w:val="22"/>
          <w:szCs w:val="22"/>
          <w:rtl/>
        </w:rPr>
      </w:pPr>
      <w:r w:rsidRPr="00264A7A">
        <w:rPr>
          <w:rFonts w:ascii="David" w:hAnsi="David"/>
          <w:color w:val="000000"/>
          <w:sz w:val="22"/>
          <w:szCs w:val="22"/>
          <w:rtl/>
        </w:rPr>
        <w:t>יוסף אלרון 54678313-/</w:t>
      </w:r>
    </w:p>
    <w:p w14:paraId="7BE07556" w14:textId="77777777" w:rsidR="00E60789" w:rsidRDefault="00AA7BD9">
      <w:pPr>
        <w:ind w:right="360"/>
        <w:jc w:val="both"/>
        <w:rPr>
          <w:rFonts w:ascii="Arial" w:hAnsi="Arial" w:cs="FrankRuehl"/>
          <w:sz w:val="28"/>
          <w:szCs w:val="28"/>
          <w:rtl/>
        </w:rPr>
      </w:pPr>
      <w:r>
        <w:rPr>
          <w:rFonts w:ascii="Arial" w:hAnsi="Arial" w:cs="FrankRuehl"/>
          <w:sz w:val="28"/>
          <w:szCs w:val="28"/>
          <w:rtl/>
        </w:rPr>
        <w:t xml:space="preserve">             </w:t>
      </w:r>
    </w:p>
    <w:p w14:paraId="6D026899" w14:textId="77777777" w:rsidR="00AA7BD9" w:rsidRDefault="00AA7BD9" w:rsidP="00AA7BD9">
      <w:r w:rsidRPr="00AA7BD9">
        <w:rPr>
          <w:color w:val="000000"/>
          <w:rtl/>
        </w:rPr>
        <w:t>נוסח מסמך זה כפוף לשינויי ניסוח ועריכה</w:t>
      </w:r>
    </w:p>
    <w:p w14:paraId="10739605" w14:textId="77777777" w:rsidR="00AA7BD9" w:rsidRDefault="00AA7BD9" w:rsidP="00AA7BD9">
      <w:pPr>
        <w:rPr>
          <w:rtl/>
        </w:rPr>
      </w:pPr>
    </w:p>
    <w:p w14:paraId="3D4EE89A" w14:textId="77777777" w:rsidR="00AA7BD9" w:rsidRDefault="00AA7BD9" w:rsidP="00AA7BD9">
      <w:pPr>
        <w:jc w:val="center"/>
        <w:rPr>
          <w:color w:val="0000FF"/>
          <w:u w:val="single"/>
        </w:rPr>
      </w:pPr>
      <w:r w:rsidRPr="00966A6C">
        <w:rPr>
          <w:color w:val="000000"/>
          <w:rtl/>
        </w:rPr>
        <w:t>בעניין עריכה ושינויים במסמכי פסיקה, חקיקה ועוד באתר נבו – הקש כאן</w:t>
      </w:r>
    </w:p>
    <w:sectPr w:rsidR="00AA7BD9" w:rsidSect="00264A7A">
      <w:headerReference w:type="even" r:id="rId15"/>
      <w:headerReference w:type="default" r:id="rId16"/>
      <w:footerReference w:type="even" r:id="rId17"/>
      <w:footerReference w:type="default" r:id="rId18"/>
      <w:pgSz w:w="11907" w:h="16840" w:code="9"/>
      <w:pgMar w:top="1701" w:right="1701" w:bottom="2552" w:left="144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576A8" w14:textId="77777777" w:rsidR="009C6B6D" w:rsidRPr="00833E53" w:rsidRDefault="009C6B6D">
      <w:pPr>
        <w:rPr>
          <w:rFonts w:cs="Arial"/>
          <w:szCs w:val="20"/>
        </w:rPr>
      </w:pPr>
      <w:r>
        <w:separator/>
      </w:r>
    </w:p>
  </w:endnote>
  <w:endnote w:type="continuationSeparator" w:id="0">
    <w:p w14:paraId="0642AC0C" w14:textId="77777777" w:rsidR="009C6B6D" w:rsidRPr="00833E53" w:rsidRDefault="009C6B6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1B925" w14:textId="77777777" w:rsidR="009C6B6D" w:rsidRDefault="009C6B6D" w:rsidP="00264A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189736" w14:textId="77777777" w:rsidR="009C6B6D" w:rsidRPr="00264A7A" w:rsidRDefault="009C6B6D" w:rsidP="00264A7A">
    <w:pPr>
      <w:pStyle w:val="a4"/>
      <w:pBdr>
        <w:top w:val="single" w:sz="4" w:space="1" w:color="auto"/>
        <w:between w:val="single" w:sz="4" w:space="0" w:color="auto"/>
      </w:pBdr>
      <w:spacing w:after="60"/>
      <w:jc w:val="center"/>
      <w:rPr>
        <w:rFonts w:ascii="FrankRuehl" w:hAnsi="FrankRuehl" w:cs="FrankRuehl"/>
        <w:color w:val="000000"/>
      </w:rPr>
    </w:pPr>
    <w:r w:rsidRPr="00264A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DE1E3" w14:textId="77777777" w:rsidR="009C6B6D" w:rsidRDefault="009C6B6D" w:rsidP="00264A7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0B28">
      <w:rPr>
        <w:rFonts w:ascii="FrankRuehl" w:hAnsi="FrankRuehl" w:cs="FrankRuehl"/>
        <w:noProof/>
        <w:rtl/>
      </w:rPr>
      <w:t>1</w:t>
    </w:r>
    <w:r>
      <w:rPr>
        <w:rFonts w:ascii="FrankRuehl" w:hAnsi="FrankRuehl" w:cs="FrankRuehl"/>
        <w:rtl/>
      </w:rPr>
      <w:fldChar w:fldCharType="end"/>
    </w:r>
  </w:p>
  <w:p w14:paraId="334FA6B2" w14:textId="77777777" w:rsidR="009C6B6D" w:rsidRPr="00264A7A" w:rsidRDefault="009C6B6D" w:rsidP="00264A7A">
    <w:pPr>
      <w:pStyle w:val="a4"/>
      <w:pBdr>
        <w:top w:val="single" w:sz="4" w:space="1" w:color="auto"/>
        <w:between w:val="single" w:sz="4" w:space="0" w:color="auto"/>
      </w:pBdr>
      <w:spacing w:after="60"/>
      <w:jc w:val="center"/>
      <w:rPr>
        <w:rFonts w:ascii="FrankRuehl" w:hAnsi="FrankRuehl" w:cs="FrankRuehl"/>
        <w:color w:val="000000"/>
      </w:rPr>
    </w:pPr>
    <w:r w:rsidRPr="00264A7A">
      <w:rPr>
        <w:rFonts w:ascii="FrankRuehl" w:hAnsi="FrankRuehl" w:cs="FrankRuehl"/>
        <w:color w:val="000000"/>
      </w:rPr>
      <w:pict w14:anchorId="14F03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6472" w14:textId="77777777" w:rsidR="009C6B6D" w:rsidRPr="00833E53" w:rsidRDefault="009C6B6D">
      <w:pPr>
        <w:rPr>
          <w:rFonts w:cs="Arial"/>
          <w:szCs w:val="20"/>
        </w:rPr>
      </w:pPr>
      <w:r>
        <w:separator/>
      </w:r>
    </w:p>
  </w:footnote>
  <w:footnote w:type="continuationSeparator" w:id="0">
    <w:p w14:paraId="46DAE320" w14:textId="77777777" w:rsidR="009C6B6D" w:rsidRPr="00833E53" w:rsidRDefault="009C6B6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1EE4" w14:textId="77777777" w:rsidR="009C6B6D" w:rsidRPr="00264A7A" w:rsidRDefault="009C6B6D" w:rsidP="00264A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7566-11-09</w:t>
    </w:r>
    <w:r>
      <w:rPr>
        <w:rFonts w:ascii="David" w:hAnsi="David"/>
        <w:color w:val="000000"/>
        <w:sz w:val="22"/>
        <w:szCs w:val="22"/>
        <w:rtl/>
      </w:rPr>
      <w:tab/>
      <w:t xml:space="preserve"> מדינת ישראל נ' אשרף סביחאת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A565" w14:textId="77777777" w:rsidR="009C6B6D" w:rsidRPr="00264A7A" w:rsidRDefault="009C6B6D" w:rsidP="00264A7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7566-11-09</w:t>
    </w:r>
    <w:r>
      <w:rPr>
        <w:rFonts w:ascii="David" w:hAnsi="David"/>
        <w:color w:val="000000"/>
        <w:sz w:val="22"/>
        <w:szCs w:val="22"/>
        <w:rtl/>
      </w:rPr>
      <w:tab/>
      <w:t xml:space="preserve"> מדינת ישראל נ' אשרף סביחאת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60789"/>
    <w:rsid w:val="00042D26"/>
    <w:rsid w:val="00124DF8"/>
    <w:rsid w:val="002316C8"/>
    <w:rsid w:val="002400C8"/>
    <w:rsid w:val="00264A7A"/>
    <w:rsid w:val="00506366"/>
    <w:rsid w:val="00530CD7"/>
    <w:rsid w:val="008B3AC1"/>
    <w:rsid w:val="00966A6C"/>
    <w:rsid w:val="009C6B6D"/>
    <w:rsid w:val="00AA7BD9"/>
    <w:rsid w:val="00C07F97"/>
    <w:rsid w:val="00DF0B28"/>
    <w:rsid w:val="00E60789"/>
    <w:rsid w:val="00F940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478955D"/>
  <w15:chartTrackingRefBased/>
  <w15:docId w15:val="{0AD91F56-6D3F-4E86-800A-47348358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078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60789"/>
    <w:pPr>
      <w:tabs>
        <w:tab w:val="center" w:pos="4153"/>
        <w:tab w:val="right" w:pos="8306"/>
      </w:tabs>
    </w:pPr>
  </w:style>
  <w:style w:type="paragraph" w:styleId="a4">
    <w:name w:val="footer"/>
    <w:basedOn w:val="a"/>
    <w:rsid w:val="00E60789"/>
    <w:pPr>
      <w:tabs>
        <w:tab w:val="center" w:pos="4153"/>
        <w:tab w:val="right" w:pos="8306"/>
      </w:tabs>
    </w:pPr>
  </w:style>
  <w:style w:type="table" w:styleId="a5">
    <w:name w:val="Table Grid"/>
    <w:basedOn w:val="a1"/>
    <w:rsid w:val="00E607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rsid w:val="00AA7BD9"/>
  </w:style>
  <w:style w:type="character" w:styleId="Hyperlink">
    <w:name w:val="Hyperlink"/>
    <w:rsid w:val="00AA7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law/70301"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144.a" TargetMode="External"/><Relationship Id="rId12" Type="http://schemas.openxmlformats.org/officeDocument/2006/relationships/hyperlink" Target="http://www.nevo.co.il/law/70301/144.c"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c" TargetMode="External"/><Relationship Id="rId14" Type="http://schemas.openxmlformats.org/officeDocument/2006/relationships/hyperlink" Target="http://www.nevo.co.il/case/588728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5589</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6693</CharactersWithSpaces>
  <SharedDoc>false</SharedDoc>
  <HLinks>
    <vt:vector size="54" baseType="variant">
      <vt:variant>
        <vt:i4>3866739</vt:i4>
      </vt:variant>
      <vt:variant>
        <vt:i4>24</vt:i4>
      </vt:variant>
      <vt:variant>
        <vt:i4>0</vt:i4>
      </vt:variant>
      <vt:variant>
        <vt:i4>5</vt:i4>
      </vt:variant>
      <vt:variant>
        <vt:lpwstr>http://www.nevo.co.il/case/5887284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2024-01-07T12:11:00Z</dcterms:created>
  <dcterms:modified xsi:type="dcterms:W3CDTF">2024-01-07T12:11:00Z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7566</vt:lpwstr>
  </property>
  <property fmtid="{D5CDD505-2E9C-101B-9397-08002B2CF9AE}" pid="6" name="NEWPARTB">
    <vt:lpwstr>11</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אשרף סביחאת</vt:lpwstr>
  </property>
  <property fmtid="{D5CDD505-2E9C-101B-9397-08002B2CF9AE}" pid="10" name="JUDGE">
    <vt:lpwstr>יוסף אלרון</vt:lpwstr>
  </property>
  <property fmtid="{D5CDD505-2E9C-101B-9397-08002B2CF9AE}" pid="11" name="CITY">
    <vt:lpwstr>חי'</vt:lpwstr>
  </property>
  <property fmtid="{D5CDD505-2E9C-101B-9397-08002B2CF9AE}" pid="12" name="DATE">
    <vt:lpwstr>20110104</vt:lpwstr>
  </property>
  <property fmtid="{D5CDD505-2E9C-101B-9397-08002B2CF9AE}" pid="13" name="TYPE_N_DATE">
    <vt:lpwstr>39020110104</vt:lpwstr>
  </property>
  <property fmtid="{D5CDD505-2E9C-101B-9397-08002B2CF9AE}" pid="14" name="WORDNUMPAGES">
    <vt:lpwstr>5</vt:lpwstr>
  </property>
  <property fmtid="{D5CDD505-2E9C-101B-9397-08002B2CF9AE}" pid="15" name="TYPE_ABS_DATE">
    <vt:lpwstr>390020110104</vt:lpwstr>
  </property>
  <property fmtid="{D5CDD505-2E9C-101B-9397-08002B2CF9AE}" pid="16" name="RemarkFileName">
    <vt:lpwstr>mechozi me 09 11 7566 913 htm</vt:lpwstr>
  </property>
  <property fmtid="{D5CDD505-2E9C-101B-9397-08002B2CF9AE}" pid="17" name="ISABSTRACT">
    <vt:lpwstr>Y</vt:lpwstr>
  </property>
  <property fmtid="{D5CDD505-2E9C-101B-9397-08002B2CF9AE}" pid="18" name="LAWYER">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5887284</vt:lpwstr>
  </property>
  <property fmtid="{D5CDD505-2E9C-101B-9397-08002B2CF9AE}" pid="40" name="LAWLISTTMP1">
    <vt:lpwstr>70301/144.a;144.b;144.c</vt:lpwstr>
  </property>
</Properties>
</file>