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4"/>
        <w:gridCol w:w="3677"/>
      </w:tblGrid>
      <w:tr w:rsidR="00472EA3" w:rsidRPr="00D810CD" w14:paraId="1512E9F2" w14:textId="77777777">
        <w:trPr>
          <w:trHeight w:hRule="exact" w:val="418"/>
          <w:jc w:val="center"/>
        </w:trPr>
        <w:tc>
          <w:tcPr>
            <w:tcW w:w="8721" w:type="dxa"/>
            <w:gridSpan w:val="2"/>
          </w:tcPr>
          <w:p w14:paraId="77EB3310" w14:textId="77777777" w:rsidR="00472EA3" w:rsidRPr="00D810CD" w:rsidRDefault="00D810CD">
            <w:pPr>
              <w:pStyle w:val="a3"/>
              <w:jc w:val="center"/>
              <w:rPr>
                <w:rFonts w:ascii="Tahoma" w:hAnsi="Tahoma" w:cs="Tahoma"/>
                <w:color w:val="000080"/>
                <w:rtl/>
              </w:rPr>
            </w:pPr>
            <w:bookmarkStart w:id="0" w:name="LastJudge"/>
            <w:r w:rsidRPr="00D810CD">
              <w:rPr>
                <w:rFonts w:ascii="Tahoma" w:hAnsi="Tahoma" w:cs="Tahoma"/>
                <w:b/>
                <w:bCs/>
                <w:color w:val="000080"/>
                <w:rtl/>
              </w:rPr>
              <w:t>בית המשפט המחוזי מרכז</w:t>
            </w:r>
          </w:p>
        </w:tc>
      </w:tr>
      <w:tr w:rsidR="00472EA3" w:rsidRPr="00D810CD" w14:paraId="6B7A8D3D" w14:textId="77777777">
        <w:trPr>
          <w:trHeight w:val="337"/>
          <w:jc w:val="center"/>
        </w:trPr>
        <w:tc>
          <w:tcPr>
            <w:tcW w:w="5044" w:type="dxa"/>
          </w:tcPr>
          <w:p w14:paraId="11A5A995" w14:textId="77777777" w:rsidR="00472EA3" w:rsidRPr="00D810CD" w:rsidRDefault="00D810CD">
            <w:pPr>
              <w:rPr>
                <w:sz w:val="28"/>
                <w:szCs w:val="28"/>
                <w:rtl/>
              </w:rPr>
            </w:pPr>
            <w:r w:rsidRPr="00D810CD">
              <w:rPr>
                <w:sz w:val="28"/>
                <w:szCs w:val="28"/>
                <w:rtl/>
              </w:rPr>
              <w:t>ת"פ</w:t>
            </w:r>
            <w:r w:rsidRPr="00D810CD">
              <w:rPr>
                <w:rFonts w:hint="cs"/>
                <w:sz w:val="28"/>
                <w:szCs w:val="28"/>
                <w:rtl/>
              </w:rPr>
              <w:t xml:space="preserve"> </w:t>
            </w:r>
            <w:r w:rsidRPr="00D810CD">
              <w:rPr>
                <w:sz w:val="28"/>
                <w:szCs w:val="28"/>
                <w:rtl/>
              </w:rPr>
              <w:t>33734-07-11</w:t>
            </w:r>
            <w:r w:rsidRPr="00D810CD">
              <w:rPr>
                <w:rFonts w:hint="cs"/>
                <w:sz w:val="28"/>
                <w:szCs w:val="28"/>
                <w:rtl/>
              </w:rPr>
              <w:t xml:space="preserve"> </w:t>
            </w:r>
            <w:r w:rsidRPr="00D810CD">
              <w:rPr>
                <w:sz w:val="28"/>
                <w:szCs w:val="28"/>
                <w:rtl/>
              </w:rPr>
              <w:t>מדינת ישראל נ' אבו גריבה</w:t>
            </w:r>
          </w:p>
          <w:p w14:paraId="1B67633E" w14:textId="77777777" w:rsidR="00472EA3" w:rsidRPr="00D810CD" w:rsidRDefault="00472EA3">
            <w:pPr>
              <w:pStyle w:val="a3"/>
              <w:rPr>
                <w:sz w:val="28"/>
                <w:szCs w:val="28"/>
                <w:rtl/>
              </w:rPr>
            </w:pPr>
          </w:p>
        </w:tc>
        <w:tc>
          <w:tcPr>
            <w:tcW w:w="3677" w:type="dxa"/>
          </w:tcPr>
          <w:p w14:paraId="6856F825" w14:textId="77777777" w:rsidR="00472EA3" w:rsidRPr="00D810CD" w:rsidRDefault="00D810CD">
            <w:pPr>
              <w:pStyle w:val="a3"/>
              <w:jc w:val="right"/>
              <w:rPr>
                <w:sz w:val="28"/>
                <w:szCs w:val="28"/>
                <w:rtl/>
              </w:rPr>
            </w:pPr>
            <w:r w:rsidRPr="00D810CD">
              <w:rPr>
                <w:sz w:val="28"/>
                <w:szCs w:val="28"/>
                <w:rtl/>
              </w:rPr>
              <w:t>11 אוקטובר 2011</w:t>
            </w:r>
          </w:p>
        </w:tc>
      </w:tr>
    </w:tbl>
    <w:p w14:paraId="57894948" w14:textId="77777777" w:rsidR="00472EA3" w:rsidRPr="00D810CD" w:rsidRDefault="00D810CD">
      <w:pPr>
        <w:pStyle w:val="a3"/>
        <w:rPr>
          <w:rtl/>
        </w:rPr>
      </w:pPr>
      <w:r w:rsidRPr="00D810CD">
        <w:rPr>
          <w:rFonts w:hint="cs"/>
          <w:rtl/>
        </w:rPr>
        <w:t xml:space="preserve"> </w:t>
      </w:r>
    </w:p>
    <w:tbl>
      <w:tblPr>
        <w:bidiVisual/>
        <w:tblW w:w="0" w:type="auto"/>
        <w:jc w:val="center"/>
        <w:tblLook w:val="0000" w:firstRow="0" w:lastRow="0" w:firstColumn="0" w:lastColumn="0" w:noHBand="0" w:noVBand="0"/>
      </w:tblPr>
      <w:tblGrid>
        <w:gridCol w:w="3973"/>
        <w:gridCol w:w="1071"/>
        <w:gridCol w:w="3676"/>
      </w:tblGrid>
      <w:tr w:rsidR="00472EA3" w:rsidRPr="00D810CD" w14:paraId="0114CBF1" w14:textId="77777777">
        <w:trPr>
          <w:trHeight w:val="337"/>
          <w:jc w:val="center"/>
        </w:trPr>
        <w:tc>
          <w:tcPr>
            <w:tcW w:w="3973" w:type="dxa"/>
          </w:tcPr>
          <w:p w14:paraId="48CD2D31" w14:textId="77777777" w:rsidR="00472EA3" w:rsidRPr="00D810CD" w:rsidRDefault="00D810CD">
            <w:pPr>
              <w:jc w:val="both"/>
              <w:rPr>
                <w:rFonts w:ascii="David" w:eastAsia="David" w:hAnsi="David"/>
                <w:b/>
                <w:bCs/>
              </w:rPr>
            </w:pPr>
            <w:r w:rsidRPr="00D810CD">
              <w:rPr>
                <w:rFonts w:hint="cs"/>
                <w:b/>
                <w:bCs/>
                <w:rtl/>
              </w:rPr>
              <w:t>לפני כב' השופטת ק. רג'יניאנו</w:t>
            </w:r>
          </w:p>
        </w:tc>
        <w:tc>
          <w:tcPr>
            <w:tcW w:w="1071" w:type="dxa"/>
          </w:tcPr>
          <w:p w14:paraId="024B8912" w14:textId="77777777" w:rsidR="00472EA3" w:rsidRPr="00D810CD" w:rsidRDefault="00472EA3">
            <w:pPr>
              <w:pStyle w:val="a3"/>
              <w:jc w:val="both"/>
              <w:rPr>
                <w:b/>
                <w:bCs/>
              </w:rPr>
            </w:pPr>
          </w:p>
        </w:tc>
        <w:tc>
          <w:tcPr>
            <w:tcW w:w="3676" w:type="dxa"/>
          </w:tcPr>
          <w:p w14:paraId="26D629F8" w14:textId="77777777" w:rsidR="00472EA3" w:rsidRPr="00D810CD" w:rsidRDefault="00472EA3">
            <w:pPr>
              <w:pStyle w:val="a3"/>
              <w:jc w:val="both"/>
              <w:rPr>
                <w:b/>
                <w:bCs/>
              </w:rPr>
            </w:pPr>
          </w:p>
        </w:tc>
      </w:tr>
    </w:tbl>
    <w:p w14:paraId="15E0938D" w14:textId="77777777" w:rsidR="00472EA3" w:rsidRPr="00D810CD" w:rsidRDefault="00472EA3">
      <w:pPr>
        <w:rPr>
          <w:rtl/>
        </w:rPr>
      </w:pPr>
    </w:p>
    <w:tbl>
      <w:tblPr>
        <w:bidiVisual/>
        <w:tblW w:w="0" w:type="auto"/>
        <w:tblInd w:w="-28" w:type="dxa"/>
        <w:tblLayout w:type="fixed"/>
        <w:tblLook w:val="01E0" w:firstRow="1" w:lastRow="1" w:firstColumn="1" w:lastColumn="1" w:noHBand="0" w:noVBand="0"/>
      </w:tblPr>
      <w:tblGrid>
        <w:gridCol w:w="3240"/>
        <w:gridCol w:w="5562"/>
      </w:tblGrid>
      <w:tr w:rsidR="00472EA3" w:rsidRPr="00D810CD" w14:paraId="59BB4E09" w14:textId="77777777">
        <w:tc>
          <w:tcPr>
            <w:tcW w:w="3240" w:type="dxa"/>
            <w:shd w:val="clear" w:color="auto" w:fill="auto"/>
          </w:tcPr>
          <w:p w14:paraId="63894823" w14:textId="77777777" w:rsidR="00472EA3" w:rsidRPr="002D5F70" w:rsidRDefault="00D810CD" w:rsidP="002D5F70">
            <w:pPr>
              <w:ind w:left="26"/>
              <w:rPr>
                <w:rFonts w:ascii="David" w:eastAsia="David" w:hAnsi="David"/>
                <w:b/>
                <w:bCs/>
              </w:rPr>
            </w:pPr>
            <w:bookmarkStart w:id="1" w:name="FirstAppellant"/>
            <w:r w:rsidRPr="002D5F70">
              <w:rPr>
                <w:rFonts w:hint="cs"/>
                <w:b/>
                <w:bCs/>
                <w:rtl/>
              </w:rPr>
              <w:t>המאשימה</w:t>
            </w:r>
          </w:p>
        </w:tc>
        <w:tc>
          <w:tcPr>
            <w:tcW w:w="5562" w:type="dxa"/>
            <w:shd w:val="clear" w:color="auto" w:fill="auto"/>
          </w:tcPr>
          <w:p w14:paraId="24A149BC" w14:textId="77777777" w:rsidR="00472EA3" w:rsidRPr="002D5F70" w:rsidRDefault="00D810CD">
            <w:pPr>
              <w:rPr>
                <w:rFonts w:ascii="David" w:eastAsia="David" w:hAnsi="David"/>
                <w:b/>
                <w:bCs/>
                <w:rtl/>
              </w:rPr>
            </w:pPr>
            <w:r w:rsidRPr="002D5F70">
              <w:rPr>
                <w:rFonts w:hint="cs"/>
                <w:b/>
                <w:bCs/>
                <w:rtl/>
              </w:rPr>
              <w:t>מדינת ישראל</w:t>
            </w:r>
          </w:p>
          <w:p w14:paraId="5A967960" w14:textId="77777777" w:rsidR="00472EA3" w:rsidRPr="002D5F70" w:rsidRDefault="00472EA3">
            <w:pPr>
              <w:rPr>
                <w:rFonts w:ascii="David" w:eastAsia="David" w:hAnsi="David"/>
                <w:b/>
                <w:bCs/>
              </w:rPr>
            </w:pPr>
          </w:p>
        </w:tc>
      </w:tr>
      <w:bookmarkEnd w:id="1"/>
      <w:tr w:rsidR="00472EA3" w:rsidRPr="00D810CD" w14:paraId="37069EA9" w14:textId="77777777">
        <w:tc>
          <w:tcPr>
            <w:tcW w:w="8802" w:type="dxa"/>
            <w:gridSpan w:val="2"/>
            <w:shd w:val="clear" w:color="auto" w:fill="auto"/>
          </w:tcPr>
          <w:p w14:paraId="01AD9A45" w14:textId="77777777" w:rsidR="00472EA3" w:rsidRPr="002D5F70" w:rsidRDefault="00472EA3" w:rsidP="002D5F70">
            <w:pPr>
              <w:jc w:val="both"/>
              <w:rPr>
                <w:rFonts w:ascii="Arial" w:eastAsia="David" w:hAnsi="Arial"/>
                <w:b/>
                <w:bCs/>
                <w:rtl/>
              </w:rPr>
            </w:pPr>
          </w:p>
          <w:p w14:paraId="7C040B3A" w14:textId="77777777" w:rsidR="00472EA3" w:rsidRPr="002D5F70" w:rsidRDefault="00D810CD" w:rsidP="002D5F70">
            <w:pPr>
              <w:jc w:val="center"/>
              <w:rPr>
                <w:rFonts w:ascii="Arial" w:hAnsi="Arial"/>
                <w:b/>
                <w:bCs/>
                <w:rtl/>
              </w:rPr>
            </w:pPr>
            <w:r w:rsidRPr="002D5F70">
              <w:rPr>
                <w:rFonts w:ascii="Arial" w:hAnsi="Arial" w:hint="cs"/>
                <w:b/>
                <w:bCs/>
                <w:rtl/>
              </w:rPr>
              <w:t>נגד</w:t>
            </w:r>
          </w:p>
          <w:p w14:paraId="422F98D3" w14:textId="77777777" w:rsidR="00472EA3" w:rsidRPr="002D5F70" w:rsidRDefault="00472EA3" w:rsidP="002D5F70">
            <w:pPr>
              <w:jc w:val="center"/>
              <w:rPr>
                <w:rFonts w:ascii="Arial" w:eastAsia="David" w:hAnsi="Arial"/>
                <w:b/>
                <w:bCs/>
              </w:rPr>
            </w:pPr>
          </w:p>
        </w:tc>
      </w:tr>
      <w:tr w:rsidR="00472EA3" w:rsidRPr="00D810CD" w14:paraId="3304DDBF" w14:textId="77777777">
        <w:tc>
          <w:tcPr>
            <w:tcW w:w="3240" w:type="dxa"/>
            <w:shd w:val="clear" w:color="auto" w:fill="auto"/>
          </w:tcPr>
          <w:p w14:paraId="1401823A" w14:textId="77777777" w:rsidR="00472EA3" w:rsidRPr="002D5F70" w:rsidRDefault="00D810CD" w:rsidP="002D5F70">
            <w:pPr>
              <w:ind w:left="26"/>
              <w:rPr>
                <w:rFonts w:ascii="David" w:eastAsia="David" w:hAnsi="David"/>
                <w:b/>
                <w:bCs/>
              </w:rPr>
            </w:pPr>
            <w:r w:rsidRPr="002D5F70">
              <w:rPr>
                <w:rFonts w:hint="cs"/>
                <w:b/>
                <w:bCs/>
                <w:rtl/>
              </w:rPr>
              <w:t>הנאשם</w:t>
            </w:r>
          </w:p>
        </w:tc>
        <w:tc>
          <w:tcPr>
            <w:tcW w:w="5562" w:type="dxa"/>
            <w:shd w:val="clear" w:color="auto" w:fill="auto"/>
          </w:tcPr>
          <w:p w14:paraId="18EDB3D4" w14:textId="77777777" w:rsidR="00472EA3" w:rsidRPr="002D5F70" w:rsidRDefault="00D810CD">
            <w:pPr>
              <w:rPr>
                <w:rFonts w:ascii="David" w:eastAsia="David" w:hAnsi="David"/>
                <w:b/>
                <w:bCs/>
                <w:rtl/>
              </w:rPr>
            </w:pPr>
            <w:r w:rsidRPr="002D5F70">
              <w:rPr>
                <w:rFonts w:hint="cs"/>
                <w:b/>
                <w:bCs/>
                <w:rtl/>
              </w:rPr>
              <w:t xml:space="preserve"> פראס אבו גריבה </w:t>
            </w:r>
          </w:p>
          <w:p w14:paraId="72188DCD" w14:textId="77777777" w:rsidR="00472EA3" w:rsidRPr="002D5F70" w:rsidRDefault="00472EA3">
            <w:pPr>
              <w:rPr>
                <w:rFonts w:ascii="David" w:eastAsia="David" w:hAnsi="David"/>
              </w:rPr>
            </w:pPr>
          </w:p>
        </w:tc>
      </w:tr>
    </w:tbl>
    <w:p w14:paraId="5CBBADFE" w14:textId="77777777" w:rsidR="00415167" w:rsidRDefault="00415167">
      <w:pPr>
        <w:rPr>
          <w:rtl/>
        </w:rPr>
      </w:pPr>
      <w:bookmarkStart w:id="2" w:name="LawTable"/>
      <w:bookmarkEnd w:id="2"/>
    </w:p>
    <w:p w14:paraId="270EDFA9" w14:textId="77777777" w:rsidR="00415167" w:rsidRPr="00415167" w:rsidRDefault="00415167" w:rsidP="00415167">
      <w:pPr>
        <w:spacing w:after="120" w:line="240" w:lineRule="exact"/>
        <w:ind w:left="283" w:hanging="283"/>
        <w:jc w:val="both"/>
        <w:rPr>
          <w:rFonts w:ascii="FrankRuehl" w:hAnsi="FrankRuehl" w:cs="FrankRuehl"/>
          <w:rtl/>
        </w:rPr>
      </w:pPr>
    </w:p>
    <w:p w14:paraId="00A72FF0" w14:textId="77777777" w:rsidR="00415167" w:rsidRPr="00415167" w:rsidRDefault="00415167" w:rsidP="00415167">
      <w:pPr>
        <w:spacing w:after="120" w:line="240" w:lineRule="exact"/>
        <w:ind w:left="283" w:hanging="283"/>
        <w:jc w:val="both"/>
        <w:rPr>
          <w:rFonts w:ascii="FrankRuehl" w:hAnsi="FrankRuehl" w:cs="FrankRuehl"/>
          <w:rtl/>
        </w:rPr>
      </w:pPr>
      <w:r w:rsidRPr="00415167">
        <w:rPr>
          <w:rFonts w:ascii="FrankRuehl" w:hAnsi="FrankRuehl" w:cs="FrankRuehl"/>
          <w:rtl/>
        </w:rPr>
        <w:t xml:space="preserve">חקיקה שאוזכרה: </w:t>
      </w:r>
    </w:p>
    <w:p w14:paraId="28E6BFFD" w14:textId="77777777" w:rsidR="00415167" w:rsidRPr="00415167" w:rsidRDefault="00415167" w:rsidP="00415167">
      <w:pPr>
        <w:spacing w:after="120" w:line="240" w:lineRule="exact"/>
        <w:ind w:left="283" w:hanging="283"/>
        <w:jc w:val="both"/>
        <w:rPr>
          <w:rFonts w:ascii="FrankRuehl" w:hAnsi="FrankRuehl" w:cs="FrankRuehl"/>
          <w:rtl/>
        </w:rPr>
      </w:pPr>
      <w:hyperlink r:id="rId6" w:history="1">
        <w:r w:rsidRPr="00415167">
          <w:rPr>
            <w:rFonts w:ascii="FrankRuehl" w:hAnsi="FrankRuehl" w:cs="FrankRuehl"/>
            <w:color w:val="0000FF"/>
            <w:u w:val="single"/>
            <w:rtl/>
          </w:rPr>
          <w:t>חוק העונשין, תשל"ז-1977</w:t>
        </w:r>
      </w:hyperlink>
      <w:r w:rsidRPr="00415167">
        <w:rPr>
          <w:rFonts w:ascii="FrankRuehl" w:hAnsi="FrankRuehl" w:cs="FrankRuehl"/>
          <w:rtl/>
        </w:rPr>
        <w:t xml:space="preserve">: סע'  </w:t>
      </w:r>
      <w:hyperlink r:id="rId7" w:history="1">
        <w:r w:rsidRPr="00415167">
          <w:rPr>
            <w:rFonts w:ascii="FrankRuehl" w:hAnsi="FrankRuehl" w:cs="FrankRuehl"/>
            <w:color w:val="0000FF"/>
            <w:u w:val="single"/>
            <w:rtl/>
          </w:rPr>
          <w:t>144</w:t>
        </w:r>
      </w:hyperlink>
    </w:p>
    <w:p w14:paraId="3760106C" w14:textId="77777777" w:rsidR="00415167" w:rsidRPr="00415167" w:rsidRDefault="00415167" w:rsidP="00415167">
      <w:pPr>
        <w:spacing w:after="120" w:line="240" w:lineRule="exact"/>
        <w:ind w:left="283" w:hanging="283"/>
        <w:jc w:val="both"/>
        <w:rPr>
          <w:rFonts w:ascii="FrankRuehl" w:hAnsi="FrankRuehl" w:cs="FrankRuehl"/>
          <w:rtl/>
        </w:rPr>
      </w:pPr>
    </w:p>
    <w:p w14:paraId="7B62D776" w14:textId="77777777" w:rsidR="00415167" w:rsidRPr="00415167" w:rsidRDefault="00415167">
      <w:pPr>
        <w:rPr>
          <w:rtl/>
        </w:rPr>
      </w:pPr>
      <w:bookmarkStart w:id="3" w:name="LawTable_End"/>
      <w:bookmarkEnd w:id="3"/>
    </w:p>
    <w:p w14:paraId="19F0B252" w14:textId="77777777" w:rsidR="00415167" w:rsidRPr="00415167" w:rsidRDefault="00415167">
      <w:pPr>
        <w:rPr>
          <w:rtl/>
        </w:rPr>
      </w:pPr>
    </w:p>
    <w:p w14:paraId="41F5AF5B" w14:textId="77777777" w:rsidR="008A5B14" w:rsidRPr="008A5B14" w:rsidRDefault="008A5B14">
      <w:pPr>
        <w:rPr>
          <w:rtl/>
        </w:rPr>
      </w:pPr>
    </w:p>
    <w:p w14:paraId="09551F69" w14:textId="77777777" w:rsidR="008A5B14" w:rsidRPr="008A5B14" w:rsidRDefault="008A5B14">
      <w:pPr>
        <w:rPr>
          <w:rtl/>
        </w:rPr>
      </w:pPr>
    </w:p>
    <w:p w14:paraId="21A2C175" w14:textId="77777777" w:rsidR="00472EA3" w:rsidRPr="008A5B14" w:rsidRDefault="00472EA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2EA3" w14:paraId="53F9F8ED" w14:textId="77777777">
        <w:trPr>
          <w:trHeight w:val="355"/>
          <w:jc w:val="center"/>
        </w:trPr>
        <w:tc>
          <w:tcPr>
            <w:tcW w:w="8820" w:type="dxa"/>
            <w:tcBorders>
              <w:top w:val="nil"/>
              <w:left w:val="nil"/>
              <w:bottom w:val="nil"/>
              <w:right w:val="nil"/>
            </w:tcBorders>
            <w:shd w:val="clear" w:color="auto" w:fill="auto"/>
          </w:tcPr>
          <w:p w14:paraId="7BE475D3" w14:textId="77777777" w:rsidR="00D810CD" w:rsidRPr="002D5F70" w:rsidRDefault="00D810CD" w:rsidP="002D5F70">
            <w:pPr>
              <w:jc w:val="center"/>
              <w:rPr>
                <w:rFonts w:ascii="Arial" w:hAnsi="Arial"/>
                <w:b/>
                <w:bCs/>
                <w:sz w:val="32"/>
                <w:szCs w:val="32"/>
                <w:u w:val="single"/>
                <w:rtl/>
              </w:rPr>
            </w:pPr>
            <w:bookmarkStart w:id="4" w:name="PsakDin" w:colFirst="0" w:colLast="0"/>
            <w:bookmarkEnd w:id="0"/>
            <w:r w:rsidRPr="002D5F70">
              <w:rPr>
                <w:rFonts w:ascii="Arial" w:hAnsi="Arial"/>
                <w:b/>
                <w:bCs/>
                <w:sz w:val="32"/>
                <w:szCs w:val="32"/>
                <w:u w:val="single"/>
                <w:rtl/>
              </w:rPr>
              <w:t>גזר דין</w:t>
            </w:r>
          </w:p>
          <w:p w14:paraId="06891512" w14:textId="77777777" w:rsidR="00472EA3" w:rsidRPr="002D5F70" w:rsidRDefault="00472EA3" w:rsidP="002D5F70">
            <w:pPr>
              <w:jc w:val="center"/>
              <w:rPr>
                <w:rFonts w:ascii="Arial" w:hAnsi="Arial"/>
                <w:bCs/>
                <w:sz w:val="32"/>
                <w:szCs w:val="32"/>
                <w:u w:val="single"/>
                <w:rtl/>
              </w:rPr>
            </w:pPr>
          </w:p>
        </w:tc>
      </w:tr>
      <w:bookmarkEnd w:id="4"/>
    </w:tbl>
    <w:p w14:paraId="37CF8E70" w14:textId="77777777" w:rsidR="00472EA3" w:rsidRDefault="00472EA3">
      <w:pPr>
        <w:rPr>
          <w:rFonts w:ascii="Arial" w:hAnsi="Arial" w:cs="FrankRuehl"/>
          <w:sz w:val="28"/>
          <w:szCs w:val="28"/>
          <w:rtl/>
        </w:rPr>
      </w:pPr>
    </w:p>
    <w:p w14:paraId="30983F92" w14:textId="77777777" w:rsidR="00472EA3" w:rsidRDefault="00D810CD">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הנאשם הורשע על פי הודאתו בעובדות כתב אישום מתוקן ובמסגרת הסדר טיעון, בעבירה של החזקת נשק.</w:t>
      </w:r>
    </w:p>
    <w:p w14:paraId="5BCB988F" w14:textId="77777777" w:rsidR="00472EA3" w:rsidRDefault="00D810CD">
      <w:pPr>
        <w:spacing w:line="360" w:lineRule="auto"/>
        <w:ind w:left="720"/>
        <w:jc w:val="both"/>
        <w:rPr>
          <w:rFonts w:ascii="Arial" w:hAnsi="Arial"/>
          <w:rtl/>
        </w:rPr>
      </w:pPr>
      <w:bookmarkStart w:id="6" w:name="ABSTRACT_END"/>
      <w:bookmarkEnd w:id="6"/>
      <w:r>
        <w:rPr>
          <w:rFonts w:ascii="Arial" w:hAnsi="Arial" w:hint="cs"/>
          <w:rtl/>
        </w:rPr>
        <w:t>הצדדים הציגו הסדר טיעון במסגרתו עתרה התביעה לעונש מאסר בפועל של 10 חודשים ומאסר על תנאי והסנגור טען באופן חופשי לעונש.</w:t>
      </w:r>
    </w:p>
    <w:p w14:paraId="2CA87B98" w14:textId="77777777" w:rsidR="00472EA3" w:rsidRDefault="00D810CD">
      <w:pPr>
        <w:spacing w:line="360" w:lineRule="auto"/>
        <w:ind w:left="720"/>
        <w:jc w:val="both"/>
        <w:rPr>
          <w:rFonts w:ascii="Arial" w:hAnsi="Arial"/>
          <w:rtl/>
        </w:rPr>
      </w:pPr>
      <w:r>
        <w:rPr>
          <w:rFonts w:ascii="Arial" w:hAnsi="Arial" w:hint="cs"/>
          <w:rtl/>
        </w:rPr>
        <w:t xml:space="preserve">על פי עובדות כתב האישום המתוקן, בתאריך 13.6.11 בשעה 21:00 לערך, החזיק הנאשם בלוד בנשק מאולתר מסוג תת מקלע, בלא רשות כדין להחזקתו. </w:t>
      </w:r>
    </w:p>
    <w:p w14:paraId="569A414C" w14:textId="77777777" w:rsidR="00472EA3" w:rsidRDefault="00472EA3">
      <w:pPr>
        <w:spacing w:line="360" w:lineRule="auto"/>
        <w:ind w:left="720"/>
        <w:jc w:val="both"/>
        <w:rPr>
          <w:rFonts w:ascii="Arial" w:hAnsi="Arial"/>
          <w:rtl/>
        </w:rPr>
      </w:pPr>
    </w:p>
    <w:p w14:paraId="76C7DA98" w14:textId="77777777" w:rsidR="00472EA3" w:rsidRDefault="00D810CD">
      <w:pPr>
        <w:spacing w:line="360" w:lineRule="auto"/>
        <w:ind w:left="720" w:hanging="720"/>
        <w:jc w:val="both"/>
        <w:rPr>
          <w:rFonts w:ascii="Arial" w:hAnsi="Arial"/>
          <w:rtl/>
        </w:rPr>
      </w:pPr>
      <w:r>
        <w:rPr>
          <w:rFonts w:ascii="Arial" w:hAnsi="Arial" w:hint="cs"/>
          <w:rtl/>
        </w:rPr>
        <w:t>2.</w:t>
      </w:r>
      <w:r>
        <w:rPr>
          <w:rFonts w:ascii="Arial" w:hAnsi="Arial" w:hint="cs"/>
          <w:rtl/>
        </w:rPr>
        <w:tab/>
        <w:t xml:space="preserve">במסגרת הראיות לעונש, הגישה ב"כ התביעה גיליון הרישום הפלילי של הנאשם. לנאשם הרשעה משנת 2004, בעבירות של היזק לרכוש במזיד וירי מנשק חם באזור מגורים (עבירה משנת 2003). </w:t>
      </w:r>
    </w:p>
    <w:p w14:paraId="6C19FF30" w14:textId="77777777" w:rsidR="00472EA3" w:rsidRDefault="00D810CD">
      <w:pPr>
        <w:spacing w:line="360" w:lineRule="auto"/>
        <w:ind w:left="720"/>
        <w:jc w:val="both"/>
        <w:rPr>
          <w:rFonts w:ascii="Arial" w:hAnsi="Arial"/>
          <w:rtl/>
        </w:rPr>
      </w:pPr>
      <w:r>
        <w:rPr>
          <w:rFonts w:ascii="Arial" w:hAnsi="Arial" w:hint="cs"/>
          <w:rtl/>
        </w:rPr>
        <w:t xml:space="preserve">הנאשם זימן 3 עדי אופי. אשת הנאשם ושני עדים הקשורים לעבודתו של הנאשם. מר אבי עובדיה (תת אלוף במילואים), מנהל מוסכים ומנהל העבודה של הנאשם. הוא העיד כי הוא מכיר את הנאשם מזה כשנתיים, הנאשם משמש בתפקידו כסגן מנהל מוסך. הוא ציין כי הנאשם הינו עובד חרוץ, ציין כי נוח לבריות, איש צוות מעולה ונותן מענה לכל מי שפונה, בכל שעה משעות היממה. </w:t>
      </w:r>
    </w:p>
    <w:p w14:paraId="3C5FCBF3" w14:textId="77777777" w:rsidR="00472EA3" w:rsidRDefault="00D810CD">
      <w:pPr>
        <w:spacing w:line="360" w:lineRule="auto"/>
        <w:ind w:left="720"/>
        <w:jc w:val="both"/>
        <w:rPr>
          <w:rFonts w:ascii="Arial" w:hAnsi="Arial"/>
          <w:rtl/>
        </w:rPr>
      </w:pPr>
      <w:r>
        <w:rPr>
          <w:rFonts w:ascii="Arial" w:hAnsi="Arial" w:hint="cs"/>
          <w:rtl/>
        </w:rPr>
        <w:lastRenderedPageBreak/>
        <w:t>העד הנוסף, מר בשארה מסעוד, מנהלו הישיר של הנאשם. הוא דיבר בשבחו של הנאשם כאדם וציין מסירותו לעבודה.</w:t>
      </w:r>
    </w:p>
    <w:p w14:paraId="421FF854" w14:textId="77777777" w:rsidR="00472EA3" w:rsidRDefault="00D810CD">
      <w:pPr>
        <w:spacing w:line="360" w:lineRule="auto"/>
        <w:ind w:left="720"/>
        <w:jc w:val="both"/>
        <w:rPr>
          <w:rFonts w:ascii="Arial" w:hAnsi="Arial"/>
          <w:rtl/>
        </w:rPr>
      </w:pPr>
      <w:r>
        <w:rPr>
          <w:rFonts w:ascii="Arial" w:hAnsi="Arial" w:hint="cs"/>
          <w:rtl/>
        </w:rPr>
        <w:t>בנוסף, הוגש בהסכמה מכתב המופנה לבית המשפט של אל"מ במילואים איינהורן דורון, סמנכ"ל חטיבת ההובלה בחברת תעבורה, ממנו עולה כי הוא מכיר את הנאשם מזה 10 שנים כאשר הגיע (העד) לעבוד בחברה.</w:t>
      </w:r>
    </w:p>
    <w:p w14:paraId="5F867A31" w14:textId="77777777" w:rsidR="00472EA3" w:rsidRDefault="00D810CD">
      <w:pPr>
        <w:spacing w:line="360" w:lineRule="auto"/>
        <w:ind w:left="720"/>
        <w:jc w:val="both"/>
        <w:rPr>
          <w:rFonts w:ascii="Arial" w:hAnsi="Arial"/>
          <w:b/>
          <w:bCs/>
          <w:rtl/>
        </w:rPr>
      </w:pPr>
      <w:r>
        <w:rPr>
          <w:rFonts w:ascii="Arial" w:hAnsi="Arial" w:hint="cs"/>
          <w:rtl/>
        </w:rPr>
        <w:t xml:space="preserve">הוא ציין במכתבו </w:t>
      </w:r>
      <w:r>
        <w:rPr>
          <w:rFonts w:ascii="Arial" w:hAnsi="Arial" w:hint="cs"/>
          <w:b/>
          <w:bCs/>
          <w:rtl/>
        </w:rPr>
        <w:t>"בפארס גלומות תכונות מדהימות של אנושיות, חברות, מקצועיות ואמינות"</w:t>
      </w:r>
      <w:r>
        <w:rPr>
          <w:rFonts w:ascii="Arial" w:hAnsi="Arial" w:hint="cs"/>
          <w:rtl/>
        </w:rPr>
        <w:t xml:space="preserve">, הוא מציין כי הנאשם הוא </w:t>
      </w:r>
      <w:r>
        <w:rPr>
          <w:rFonts w:ascii="Arial" w:hAnsi="Arial" w:hint="cs"/>
          <w:b/>
          <w:bCs/>
          <w:rtl/>
        </w:rPr>
        <w:t>"מקצוען בחסד עליון"</w:t>
      </w:r>
      <w:r>
        <w:rPr>
          <w:rFonts w:ascii="Arial" w:hAnsi="Arial" w:hint="cs"/>
          <w:rtl/>
        </w:rPr>
        <w:t xml:space="preserve">, ממלא תפקידו במקצועיות </w:t>
      </w:r>
      <w:r>
        <w:rPr>
          <w:rFonts w:ascii="Arial" w:hAnsi="Arial" w:hint="cs"/>
          <w:b/>
          <w:bCs/>
          <w:rtl/>
        </w:rPr>
        <w:t>"עם חיוך ומוטיבציה גבוהה".</w:t>
      </w:r>
    </w:p>
    <w:p w14:paraId="450A952C" w14:textId="77777777" w:rsidR="00472EA3" w:rsidRDefault="00D810CD">
      <w:pPr>
        <w:spacing w:line="360" w:lineRule="auto"/>
        <w:ind w:left="720"/>
        <w:jc w:val="both"/>
        <w:rPr>
          <w:rFonts w:ascii="Arial" w:hAnsi="Arial"/>
          <w:b/>
          <w:bCs/>
          <w:rtl/>
        </w:rPr>
      </w:pPr>
      <w:r>
        <w:rPr>
          <w:rFonts w:ascii="Arial" w:hAnsi="Arial" w:hint="cs"/>
          <w:rtl/>
        </w:rPr>
        <w:t xml:space="preserve">הוא הוסיף כי במלחמת הלבנון השנייה פנה אליו הנאשם בבקשה להצטרף אליו למלחמה כדי </w:t>
      </w:r>
      <w:r>
        <w:rPr>
          <w:rFonts w:ascii="Arial" w:hAnsi="Arial" w:hint="cs"/>
          <w:b/>
          <w:bCs/>
          <w:rtl/>
        </w:rPr>
        <w:t>"לתרום".</w:t>
      </w:r>
    </w:p>
    <w:p w14:paraId="42099DFD" w14:textId="77777777" w:rsidR="00472EA3" w:rsidRDefault="00472EA3">
      <w:pPr>
        <w:spacing w:line="360" w:lineRule="auto"/>
        <w:ind w:left="720"/>
        <w:jc w:val="both"/>
        <w:rPr>
          <w:rFonts w:ascii="Arial" w:hAnsi="Arial"/>
          <w:b/>
          <w:bCs/>
          <w:rtl/>
        </w:rPr>
      </w:pPr>
    </w:p>
    <w:p w14:paraId="05FEC70F" w14:textId="77777777" w:rsidR="00472EA3" w:rsidRDefault="00D810CD">
      <w:pPr>
        <w:spacing w:line="360" w:lineRule="auto"/>
        <w:jc w:val="both"/>
        <w:rPr>
          <w:rFonts w:ascii="Arial" w:hAnsi="Arial"/>
          <w:rtl/>
        </w:rPr>
      </w:pPr>
      <w:r>
        <w:rPr>
          <w:rFonts w:ascii="Arial" w:hAnsi="Arial" w:hint="cs"/>
          <w:rtl/>
        </w:rPr>
        <w:t>3.</w:t>
      </w:r>
      <w:r>
        <w:rPr>
          <w:rFonts w:ascii="Arial" w:hAnsi="Arial" w:hint="cs"/>
          <w:rtl/>
        </w:rPr>
        <w:tab/>
        <w:t>כתב האישום המקורי ייחס לנאשם עבירה של נשיאת נשק.</w:t>
      </w:r>
    </w:p>
    <w:p w14:paraId="1A273D41" w14:textId="77777777" w:rsidR="00472EA3" w:rsidRDefault="00D810CD">
      <w:pPr>
        <w:spacing w:line="360" w:lineRule="auto"/>
        <w:ind w:left="720"/>
        <w:jc w:val="both"/>
        <w:rPr>
          <w:rFonts w:ascii="Arial" w:hAnsi="Arial"/>
          <w:rtl/>
        </w:rPr>
      </w:pPr>
      <w:r>
        <w:rPr>
          <w:rFonts w:ascii="Arial" w:hAnsi="Arial" w:hint="cs"/>
          <w:rtl/>
        </w:rPr>
        <w:t xml:space="preserve">ב"כ המאשימה ציינה בטיעוניה, כי ביום ביצוע העבירה נרצחה אחותו של הנאשם בפתח ביתה, ובעלה ובנה נורו אף הם ונפצעו אנושות. </w:t>
      </w:r>
    </w:p>
    <w:p w14:paraId="6E659FEE" w14:textId="77777777" w:rsidR="00472EA3" w:rsidRDefault="00D810CD">
      <w:pPr>
        <w:spacing w:line="360" w:lineRule="auto"/>
        <w:ind w:left="720"/>
        <w:jc w:val="both"/>
        <w:rPr>
          <w:rFonts w:ascii="Arial" w:hAnsi="Arial"/>
          <w:rtl/>
        </w:rPr>
      </w:pPr>
      <w:r>
        <w:rPr>
          <w:rFonts w:ascii="Arial" w:hAnsi="Arial" w:hint="cs"/>
          <w:rtl/>
        </w:rPr>
        <w:t>ב"כ המאשימה ציינה בהגינותה, כי בפני התביעה קשיים ראייתיים וכי כתב האישום תוקן בעקבות החלטת בית המשפט שניתנה במסגרת הבקשה למעצר, בגדרה קבע בית המשפט כי קיימים קשיים ראייתיים להוכיח את העבירה של נשיאת נשק וגם החזקה בנשק והורה על שחרורו של הנאשם.</w:t>
      </w:r>
    </w:p>
    <w:p w14:paraId="4BB56BF1" w14:textId="77777777" w:rsidR="00472EA3" w:rsidRDefault="00D810CD">
      <w:pPr>
        <w:spacing w:line="360" w:lineRule="auto"/>
        <w:ind w:left="720"/>
        <w:jc w:val="both"/>
        <w:rPr>
          <w:rFonts w:ascii="Arial" w:hAnsi="Arial"/>
          <w:rtl/>
        </w:rPr>
      </w:pPr>
      <w:r>
        <w:rPr>
          <w:rFonts w:ascii="Arial" w:hAnsi="Arial" w:hint="cs"/>
          <w:rtl/>
        </w:rPr>
        <w:t>היא ציינה כי הקושי הראייתי קיים לגבי כתב האישום המתוקן, אולם משבחר הנאשם להודות לגישתה, 10 חודשי מאסר, הוא עונש ראוי ומאוזן.</w:t>
      </w:r>
    </w:p>
    <w:p w14:paraId="09FAC768" w14:textId="77777777" w:rsidR="00472EA3" w:rsidRDefault="00D810CD">
      <w:pPr>
        <w:spacing w:line="360" w:lineRule="auto"/>
        <w:ind w:left="720"/>
        <w:jc w:val="both"/>
        <w:rPr>
          <w:rFonts w:ascii="Arial" w:hAnsi="Arial"/>
          <w:rtl/>
        </w:rPr>
      </w:pPr>
      <w:r>
        <w:rPr>
          <w:rFonts w:ascii="Arial" w:hAnsi="Arial" w:hint="cs"/>
          <w:rtl/>
        </w:rPr>
        <w:t xml:space="preserve">היא הוסיפה, כי לא נעשה שימוש בנשק נושא כתב האישום, אולם הסכסוך בין שתי המשפחות לא בא על פתרונו ויש בעונש שייגזר על הנאשם כדי לגרום לרגיעה בשטח. </w:t>
      </w:r>
    </w:p>
    <w:p w14:paraId="74C0A5DD" w14:textId="77777777" w:rsidR="00472EA3" w:rsidRDefault="00472EA3">
      <w:pPr>
        <w:spacing w:line="360" w:lineRule="auto"/>
        <w:jc w:val="both"/>
        <w:rPr>
          <w:rFonts w:ascii="Arial" w:hAnsi="Arial"/>
          <w:rtl/>
        </w:rPr>
      </w:pPr>
    </w:p>
    <w:p w14:paraId="1DA7FB42" w14:textId="77777777" w:rsidR="00472EA3" w:rsidRDefault="00D810CD">
      <w:pPr>
        <w:spacing w:line="360" w:lineRule="auto"/>
        <w:ind w:left="720" w:hanging="720"/>
        <w:jc w:val="both"/>
        <w:rPr>
          <w:rFonts w:ascii="Arial" w:hAnsi="Arial"/>
          <w:rtl/>
        </w:rPr>
      </w:pPr>
      <w:r>
        <w:rPr>
          <w:rFonts w:ascii="Arial" w:hAnsi="Arial" w:hint="cs"/>
          <w:rtl/>
        </w:rPr>
        <w:t>4.</w:t>
      </w:r>
      <w:r>
        <w:rPr>
          <w:rFonts w:ascii="Arial" w:hAnsi="Arial" w:hint="cs"/>
          <w:rtl/>
        </w:rPr>
        <w:tab/>
        <w:t>ב"כ הנאשם טען כי הסתבכותו של הנאשם נגרמה בעקבות הסיטואציה הטראגית שבה מצא עצמו באותו יום, כאשר אחותו נרצחה בפתח ביתו ובעלה ובנה נפצעו קשה.</w:t>
      </w:r>
    </w:p>
    <w:p w14:paraId="505EE313" w14:textId="77777777" w:rsidR="00472EA3" w:rsidRDefault="00D810CD">
      <w:pPr>
        <w:spacing w:line="360" w:lineRule="auto"/>
        <w:ind w:left="720"/>
        <w:jc w:val="both"/>
        <w:rPr>
          <w:rFonts w:ascii="Arial" w:hAnsi="Arial"/>
          <w:rtl/>
        </w:rPr>
      </w:pPr>
      <w:r>
        <w:rPr>
          <w:rFonts w:ascii="Arial" w:hAnsi="Arial" w:hint="cs"/>
          <w:rtl/>
        </w:rPr>
        <w:t>הוא ציין כי על פי ראיות התביעה, נוכחותו במקום במהומה שפרצה לאחר האירוע הטראגי הייתה לשם השכנת שלום ומניעת אלימות והנאשם הודה למרות הקושי הראייתי בהוכחת כתב האישום המתוקן והסיכוי הלא מבוטל שהדיון היה מסתיים בזיכוי. הוא הוסיף כי העד המרכזי בתיק הוא שוטר, לגביו נקבע בהחלטת השחרור ממעצר שהסתירות בעדויותיו זועקות.</w:t>
      </w:r>
    </w:p>
    <w:p w14:paraId="633A3068" w14:textId="77777777" w:rsidR="00472EA3" w:rsidRDefault="00D810CD">
      <w:pPr>
        <w:spacing w:line="360" w:lineRule="auto"/>
        <w:ind w:left="720"/>
        <w:jc w:val="both"/>
        <w:rPr>
          <w:rFonts w:ascii="Arial" w:hAnsi="Arial"/>
          <w:rtl/>
        </w:rPr>
      </w:pPr>
      <w:r>
        <w:rPr>
          <w:rFonts w:ascii="Arial" w:hAnsi="Arial" w:hint="cs"/>
          <w:rtl/>
        </w:rPr>
        <w:t>בנסיבות אלה, לשיטתו, לקיחת האחריות והבעת החרטה בשל טעות שעשה הנאשם, היא כנה ואמיתית וצריכה לקבל ביטוי משמעותי בגזירת הדין. ועוד, הנאשם נעצר רק אחרי חודש ובמהלך כל התקופה הוא תפקד באופן רגיל.</w:t>
      </w:r>
    </w:p>
    <w:p w14:paraId="4A60042F" w14:textId="77777777" w:rsidR="00472EA3" w:rsidRDefault="00D810CD">
      <w:pPr>
        <w:spacing w:line="360" w:lineRule="auto"/>
        <w:ind w:left="720"/>
        <w:jc w:val="both"/>
        <w:rPr>
          <w:rFonts w:ascii="Arial" w:hAnsi="Arial"/>
          <w:rtl/>
        </w:rPr>
      </w:pPr>
      <w:r>
        <w:rPr>
          <w:rFonts w:ascii="Arial" w:hAnsi="Arial" w:hint="cs"/>
          <w:rtl/>
        </w:rPr>
        <w:t xml:space="preserve">הסנגור הפנה לעדויותיהם ולאישיותם של עדיי האופי, שהתייחסו לאורח חייו הנורמטיבי של הנאשם ודברו בשבחו. </w:t>
      </w:r>
    </w:p>
    <w:p w14:paraId="608D6952" w14:textId="77777777" w:rsidR="00472EA3" w:rsidRDefault="00D810CD">
      <w:pPr>
        <w:spacing w:line="360" w:lineRule="auto"/>
        <w:ind w:left="720"/>
        <w:jc w:val="both"/>
        <w:rPr>
          <w:rFonts w:ascii="Arial" w:hAnsi="Arial"/>
          <w:rtl/>
        </w:rPr>
      </w:pPr>
      <w:r>
        <w:rPr>
          <w:rFonts w:ascii="Arial" w:hAnsi="Arial" w:hint="cs"/>
          <w:rtl/>
        </w:rPr>
        <w:lastRenderedPageBreak/>
        <w:t xml:space="preserve">עוד טען כי אילו מלכתחילה הוגש כתב האישום בעבירה הנוכחית, הוא היה מוגש בבית משפט השלום (ולא למחוזי) ורמת הענישה הייתה ממילא נמוכה יותר. </w:t>
      </w:r>
    </w:p>
    <w:p w14:paraId="2C0E5E5C" w14:textId="77777777" w:rsidR="00472EA3" w:rsidRDefault="00D810CD">
      <w:pPr>
        <w:spacing w:line="360" w:lineRule="auto"/>
        <w:ind w:left="720"/>
        <w:jc w:val="both"/>
        <w:rPr>
          <w:rFonts w:ascii="Arial" w:hAnsi="Arial"/>
          <w:rtl/>
        </w:rPr>
      </w:pPr>
      <w:r>
        <w:rPr>
          <w:rFonts w:ascii="Arial" w:hAnsi="Arial" w:hint="cs"/>
          <w:rtl/>
        </w:rPr>
        <w:t>ועוד, בנו של הנאשם עבר לפני שלוש שנים תאונת דרכים קשה, הוא עובר תהליך שיקום, בסיוע הנאשם.</w:t>
      </w:r>
    </w:p>
    <w:p w14:paraId="3E46B4A8" w14:textId="77777777" w:rsidR="00472EA3" w:rsidRDefault="00D810CD">
      <w:pPr>
        <w:spacing w:line="360" w:lineRule="auto"/>
        <w:ind w:left="720"/>
        <w:jc w:val="both"/>
        <w:rPr>
          <w:rFonts w:ascii="Arial" w:hAnsi="Arial"/>
          <w:rtl/>
        </w:rPr>
      </w:pPr>
      <w:r>
        <w:rPr>
          <w:rFonts w:ascii="Arial" w:hAnsi="Arial" w:hint="cs"/>
          <w:rtl/>
        </w:rPr>
        <w:t>לגישת הסנגור, מדובר בנסיבות חריגות שאינן מצדיקות מאסר מאחורי סורג ובריח ושליחתו של הנאשם למאסר בפועל תגרום לו לנזק בלתי הפיך.</w:t>
      </w:r>
    </w:p>
    <w:p w14:paraId="398D6494" w14:textId="77777777" w:rsidR="00472EA3" w:rsidRDefault="00D810CD">
      <w:pPr>
        <w:spacing w:line="360" w:lineRule="auto"/>
        <w:ind w:left="720"/>
        <w:jc w:val="both"/>
        <w:rPr>
          <w:rFonts w:ascii="Arial" w:hAnsi="Arial"/>
          <w:rtl/>
        </w:rPr>
      </w:pPr>
      <w:r>
        <w:rPr>
          <w:rFonts w:ascii="Arial" w:hAnsi="Arial" w:hint="cs"/>
          <w:rtl/>
        </w:rPr>
        <w:t>הסנגור הגיש לעיוני מספר גזרי דין של בית משפט השלום, בהם הסתפק בית המשפט במאסר בעבודות שירות.</w:t>
      </w:r>
    </w:p>
    <w:p w14:paraId="0058498D" w14:textId="77777777" w:rsidR="00472EA3" w:rsidRDefault="00D810CD">
      <w:pPr>
        <w:spacing w:line="360" w:lineRule="auto"/>
        <w:ind w:left="720" w:hanging="720"/>
        <w:jc w:val="both"/>
        <w:rPr>
          <w:rFonts w:ascii="Arial" w:hAnsi="Arial"/>
          <w:b/>
          <w:bCs/>
          <w:rtl/>
        </w:rPr>
      </w:pPr>
      <w:r>
        <w:rPr>
          <w:rFonts w:ascii="Arial" w:hAnsi="Arial" w:hint="cs"/>
          <w:rtl/>
        </w:rPr>
        <w:t>5.</w:t>
      </w:r>
      <w:r>
        <w:rPr>
          <w:rFonts w:ascii="Arial" w:hAnsi="Arial" w:hint="cs"/>
          <w:rtl/>
        </w:rPr>
        <w:tab/>
        <w:t>על עבירות הנשק כבר נאמר רבות. למרבה הצער, הן אינן תופעה נדירה בחברתנו, לא כל שכן במגזר הערבי.</w:t>
      </w:r>
    </w:p>
    <w:p w14:paraId="560A5A26" w14:textId="77777777" w:rsidR="00472EA3" w:rsidRDefault="00D810CD">
      <w:pPr>
        <w:spacing w:line="360" w:lineRule="auto"/>
        <w:ind w:left="720"/>
        <w:jc w:val="both"/>
        <w:rPr>
          <w:rFonts w:ascii="Arial" w:hAnsi="Arial"/>
          <w:rtl/>
        </w:rPr>
      </w:pPr>
      <w:r>
        <w:rPr>
          <w:rFonts w:ascii="Arial" w:hAnsi="Arial" w:hint="cs"/>
          <w:rtl/>
        </w:rPr>
        <w:t>ניסיון החיים מלמד כי לעיתים, המרחק בין החזקת הנשק והשימוש בו הוא קצר ביותר, גם בשל דברים של מה בכך, מחלוקות פעוטות.</w:t>
      </w:r>
    </w:p>
    <w:p w14:paraId="663138EC" w14:textId="77777777" w:rsidR="00472EA3" w:rsidRDefault="00D810CD">
      <w:pPr>
        <w:spacing w:line="360" w:lineRule="auto"/>
        <w:ind w:left="720"/>
        <w:jc w:val="both"/>
        <w:rPr>
          <w:rFonts w:ascii="Arial" w:hAnsi="Arial"/>
          <w:rtl/>
        </w:rPr>
      </w:pPr>
      <w:r>
        <w:rPr>
          <w:rFonts w:ascii="Arial" w:hAnsi="Arial" w:hint="cs"/>
          <w:rtl/>
        </w:rPr>
        <w:t>על כן, קבעו בתי המשפט כי יש צורך בענישה מחמירה, כדי לנסות ולהקטין את מימדי תופעה זו. חוששני כי להדביר אותה כליל אי אפשר יהיה.</w:t>
      </w:r>
    </w:p>
    <w:p w14:paraId="0961AB27" w14:textId="77777777" w:rsidR="00472EA3" w:rsidRDefault="00D810CD">
      <w:pPr>
        <w:spacing w:line="360" w:lineRule="auto"/>
        <w:ind w:left="720"/>
        <w:jc w:val="both"/>
        <w:rPr>
          <w:rFonts w:ascii="Arial" w:hAnsi="Arial"/>
          <w:rtl/>
        </w:rPr>
      </w:pPr>
      <w:r>
        <w:rPr>
          <w:rFonts w:ascii="Arial" w:hAnsi="Arial" w:hint="cs"/>
          <w:rtl/>
        </w:rPr>
        <w:t xml:space="preserve">בתי המשפט תורמים את תרומתם באמצעות ענישה, שמכוחה נכלאים העבריינים גם מאחורי סורג ובריח. </w:t>
      </w:r>
    </w:p>
    <w:p w14:paraId="02EF9C7C" w14:textId="77777777" w:rsidR="00472EA3" w:rsidRDefault="00D810CD">
      <w:pPr>
        <w:spacing w:line="360" w:lineRule="auto"/>
        <w:ind w:left="720"/>
        <w:jc w:val="both"/>
        <w:rPr>
          <w:rFonts w:ascii="Arial" w:hAnsi="Arial"/>
          <w:rtl/>
        </w:rPr>
      </w:pPr>
      <w:r>
        <w:rPr>
          <w:rFonts w:ascii="Arial" w:hAnsi="Arial" w:hint="cs"/>
          <w:rtl/>
        </w:rPr>
        <w:t>בנסיבות יוצאות דופן, נותנים בתי המשפט את הבכורה לנסיבות האישיות, המועדפות על פני האינטרס הציבורי, שבדרך כלל ידו על העליונה, שאז מתחשב בית המשפט באופן מיוחד בנסיבות האישיות.</w:t>
      </w:r>
    </w:p>
    <w:p w14:paraId="3D53060E" w14:textId="77777777" w:rsidR="00472EA3" w:rsidRDefault="00D810CD">
      <w:pPr>
        <w:spacing w:line="360" w:lineRule="auto"/>
        <w:ind w:left="720"/>
        <w:jc w:val="both"/>
        <w:rPr>
          <w:rFonts w:ascii="Arial" w:hAnsi="Arial"/>
          <w:rtl/>
        </w:rPr>
      </w:pPr>
      <w:r>
        <w:rPr>
          <w:rFonts w:ascii="Arial" w:hAnsi="Arial" w:hint="cs"/>
          <w:rtl/>
        </w:rPr>
        <w:t>הנימוקים שפורטו בפני, תוך מתן דגש מיוחד לקושי הראייתי, שבפניו ניצבה התביעה (שלא היה במחלוקת) ואישיותו המיוחדת של הנאשם, הביאו אותי למסקנה כי עניינו של הנאשם נמנה עם אותם מקרים חריגים המצדיקים התחשבות בנסיבות הכוללות של האירוע, דלותן של הראיות ובנסיבות האישיות של הנאשם.</w:t>
      </w:r>
    </w:p>
    <w:p w14:paraId="351C2C18" w14:textId="77777777" w:rsidR="00472EA3" w:rsidRDefault="00D810CD">
      <w:pPr>
        <w:spacing w:line="360" w:lineRule="auto"/>
        <w:ind w:left="720"/>
        <w:jc w:val="both"/>
        <w:rPr>
          <w:rFonts w:ascii="Arial" w:hAnsi="Arial"/>
          <w:rtl/>
        </w:rPr>
      </w:pPr>
      <w:r>
        <w:rPr>
          <w:rFonts w:ascii="Arial" w:hAnsi="Arial" w:hint="cs"/>
          <w:rtl/>
        </w:rPr>
        <w:t>מבלי להמעיט מחומרת העבירה, גם הנסיבות של האירוע בהן הוחזק הנשק, הן יוצאות דופן. הוא החזיק בנשק לאחר שאחותו נרצחה בפתח ביתם.</w:t>
      </w:r>
    </w:p>
    <w:p w14:paraId="14D45982" w14:textId="77777777" w:rsidR="00472EA3" w:rsidRDefault="00D810CD">
      <w:pPr>
        <w:spacing w:line="360" w:lineRule="auto"/>
        <w:ind w:firstLine="720"/>
        <w:jc w:val="both"/>
        <w:rPr>
          <w:rFonts w:ascii="Arial" w:hAnsi="Arial"/>
          <w:rtl/>
        </w:rPr>
      </w:pPr>
      <w:r>
        <w:rPr>
          <w:rFonts w:ascii="Arial" w:hAnsi="Arial" w:hint="cs"/>
          <w:rtl/>
        </w:rPr>
        <w:t>למרות היריות שנורו לאחר הרצח, הנאשם לא עשה שימוש בנשק ופניו היו לשלום.</w:t>
      </w:r>
    </w:p>
    <w:p w14:paraId="317A79F6" w14:textId="77777777" w:rsidR="00472EA3" w:rsidRDefault="00D810CD">
      <w:pPr>
        <w:spacing w:line="360" w:lineRule="auto"/>
        <w:ind w:firstLine="720"/>
        <w:jc w:val="both"/>
        <w:rPr>
          <w:rFonts w:ascii="Arial" w:hAnsi="Arial"/>
          <w:rtl/>
        </w:rPr>
      </w:pPr>
      <w:r>
        <w:rPr>
          <w:rFonts w:ascii="Arial" w:hAnsi="Arial" w:hint="cs"/>
          <w:rtl/>
        </w:rPr>
        <w:t>הנאשם, אדם חיובי לכל הדעות.</w:t>
      </w:r>
    </w:p>
    <w:p w14:paraId="42A5B2E0" w14:textId="77777777" w:rsidR="00472EA3" w:rsidRDefault="00D810CD">
      <w:pPr>
        <w:spacing w:line="360" w:lineRule="auto"/>
        <w:ind w:left="720"/>
        <w:jc w:val="both"/>
        <w:rPr>
          <w:rFonts w:ascii="Arial" w:hAnsi="Arial"/>
          <w:rtl/>
        </w:rPr>
      </w:pPr>
      <w:r>
        <w:rPr>
          <w:rFonts w:ascii="Arial" w:hAnsi="Arial" w:hint="cs"/>
          <w:rtl/>
        </w:rPr>
        <w:t>עדויות האופי שנשמעו הן חריגות כאשר באו מפיהם של אנשי צבא (לשעבר) וכשמדובר בעבירה כגון זו.</w:t>
      </w:r>
    </w:p>
    <w:p w14:paraId="69CC136A" w14:textId="77777777" w:rsidR="00472EA3" w:rsidRDefault="00D810CD">
      <w:pPr>
        <w:spacing w:line="360" w:lineRule="auto"/>
        <w:ind w:firstLine="720"/>
        <w:jc w:val="both"/>
        <w:rPr>
          <w:rFonts w:ascii="Arial" w:hAnsi="Arial"/>
          <w:rtl/>
        </w:rPr>
      </w:pPr>
      <w:r>
        <w:rPr>
          <w:rFonts w:ascii="Arial" w:hAnsi="Arial" w:hint="cs"/>
          <w:rtl/>
        </w:rPr>
        <w:t>הרשעתו הקודמת הינה ישנה, מלפני 8 שנים, ואין בה כדי לשנות עמדתי.</w:t>
      </w:r>
    </w:p>
    <w:p w14:paraId="5511B3C1" w14:textId="77777777" w:rsidR="00472EA3" w:rsidRDefault="00472EA3">
      <w:pPr>
        <w:spacing w:line="360" w:lineRule="auto"/>
        <w:ind w:firstLine="720"/>
        <w:jc w:val="both"/>
        <w:rPr>
          <w:rFonts w:ascii="Arial" w:hAnsi="Arial"/>
          <w:rtl/>
        </w:rPr>
      </w:pPr>
    </w:p>
    <w:p w14:paraId="2329E2AF" w14:textId="77777777" w:rsidR="00472EA3" w:rsidRDefault="00D810CD">
      <w:pPr>
        <w:spacing w:line="360" w:lineRule="auto"/>
        <w:jc w:val="both"/>
        <w:rPr>
          <w:rFonts w:ascii="Arial" w:hAnsi="Arial"/>
          <w:rtl/>
        </w:rPr>
      </w:pPr>
      <w:r>
        <w:rPr>
          <w:rFonts w:ascii="Arial" w:hAnsi="Arial" w:hint="cs"/>
          <w:rtl/>
        </w:rPr>
        <w:t>6.</w:t>
      </w:r>
      <w:r>
        <w:rPr>
          <w:rFonts w:ascii="Arial" w:hAnsi="Arial" w:hint="cs"/>
          <w:rtl/>
        </w:rPr>
        <w:tab/>
        <w:t>סוף דבר, אני גוזרת על הנאשם את העונשים הבאים:</w:t>
      </w:r>
    </w:p>
    <w:p w14:paraId="18EA18D0" w14:textId="77777777" w:rsidR="00472EA3" w:rsidRDefault="00D810CD">
      <w:pPr>
        <w:spacing w:line="360" w:lineRule="auto"/>
        <w:ind w:left="1440" w:hanging="720"/>
        <w:jc w:val="both"/>
        <w:rPr>
          <w:rFonts w:ascii="Arial" w:hAnsi="Arial"/>
          <w:rtl/>
        </w:rPr>
      </w:pPr>
      <w:r>
        <w:rPr>
          <w:rFonts w:ascii="Arial" w:hAnsi="Arial" w:hint="cs"/>
          <w:rtl/>
        </w:rPr>
        <w:t>1.</w:t>
      </w:r>
      <w:r>
        <w:rPr>
          <w:rFonts w:ascii="Arial" w:hAnsi="Arial" w:hint="cs"/>
          <w:rtl/>
        </w:rPr>
        <w:tab/>
        <w:t>6 חודשי מאסר שירוצו בעבודות שירות, בכפוף לחוות דעתו של הממונה על עבודות שירות.</w:t>
      </w:r>
    </w:p>
    <w:p w14:paraId="67C690BE" w14:textId="77777777" w:rsidR="00472EA3" w:rsidRDefault="00D810CD">
      <w:pPr>
        <w:spacing w:line="360" w:lineRule="auto"/>
        <w:ind w:left="1440" w:hanging="720"/>
        <w:jc w:val="both"/>
        <w:rPr>
          <w:rFonts w:ascii="Arial" w:hAnsi="Arial"/>
          <w:rtl/>
        </w:rPr>
      </w:pPr>
      <w:r>
        <w:rPr>
          <w:rFonts w:ascii="Arial" w:hAnsi="Arial" w:hint="cs"/>
          <w:rtl/>
        </w:rPr>
        <w:t>2.</w:t>
      </w:r>
      <w:r>
        <w:rPr>
          <w:rFonts w:ascii="Arial" w:hAnsi="Arial" w:hint="cs"/>
          <w:rtl/>
        </w:rPr>
        <w:tab/>
        <w:t xml:space="preserve">10 חודשי מאסר על תנאי למשך 3 שנים, שלא יעבור עבירה לפי </w:t>
      </w:r>
      <w:hyperlink r:id="rId8" w:history="1">
        <w:r w:rsidR="00415167" w:rsidRPr="00415167">
          <w:rPr>
            <w:rFonts w:ascii="Arial" w:hAnsi="Arial"/>
            <w:color w:val="0000FF"/>
            <w:u w:val="single"/>
            <w:rtl/>
          </w:rPr>
          <w:t>סעיף 144</w:t>
        </w:r>
      </w:hyperlink>
      <w:r>
        <w:rPr>
          <w:rFonts w:ascii="Arial" w:hAnsi="Arial" w:hint="cs"/>
          <w:rtl/>
        </w:rPr>
        <w:t xml:space="preserve"> ל</w:t>
      </w:r>
      <w:hyperlink r:id="rId9" w:history="1">
        <w:r w:rsidR="008A5B14" w:rsidRPr="008A5B14">
          <w:rPr>
            <w:rStyle w:val="Hyperlink"/>
            <w:rFonts w:ascii="Arial" w:hAnsi="Arial"/>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w:t>
      </w:r>
    </w:p>
    <w:p w14:paraId="47ABB72B" w14:textId="77777777" w:rsidR="00472EA3" w:rsidRDefault="00D810CD">
      <w:pPr>
        <w:spacing w:line="360" w:lineRule="auto"/>
        <w:ind w:left="1440" w:hanging="720"/>
        <w:jc w:val="both"/>
        <w:rPr>
          <w:rFonts w:ascii="Arial" w:hAnsi="Arial"/>
          <w:rtl/>
        </w:rPr>
      </w:pPr>
      <w:r>
        <w:rPr>
          <w:rFonts w:ascii="Arial" w:hAnsi="Arial" w:hint="cs"/>
          <w:rtl/>
        </w:rPr>
        <w:t>3.</w:t>
      </w:r>
      <w:r>
        <w:rPr>
          <w:rFonts w:ascii="Arial" w:hAnsi="Arial" w:hint="cs"/>
          <w:rtl/>
        </w:rPr>
        <w:tab/>
        <w:t xml:space="preserve">קנס בסך 2,500 ₪ או 30 ימי מאסר תמורתו. הקנס ישולם לא יאוחר מיום 15.11.11. </w:t>
      </w:r>
    </w:p>
    <w:p w14:paraId="219EC6E9" w14:textId="77777777" w:rsidR="00472EA3" w:rsidRDefault="00D810CD">
      <w:pPr>
        <w:spacing w:line="360" w:lineRule="auto"/>
        <w:ind w:left="1440" w:hanging="720"/>
        <w:jc w:val="both"/>
        <w:rPr>
          <w:rFonts w:ascii="Arial" w:hAnsi="Arial"/>
          <w:rtl/>
        </w:rPr>
      </w:pPr>
      <w:r>
        <w:rPr>
          <w:rFonts w:ascii="Arial" w:hAnsi="Arial" w:hint="cs"/>
          <w:rtl/>
        </w:rPr>
        <w:tab/>
        <w:t>הנשק שנתפס יחולט או יושמד, הכל לפי העניין.</w:t>
      </w:r>
    </w:p>
    <w:p w14:paraId="6341ADC3" w14:textId="77777777" w:rsidR="00472EA3" w:rsidRDefault="00472EA3">
      <w:pPr>
        <w:spacing w:line="360" w:lineRule="auto"/>
        <w:ind w:left="720" w:hanging="720"/>
        <w:jc w:val="both"/>
        <w:rPr>
          <w:rFonts w:ascii="Arial" w:hAnsi="Arial"/>
          <w:rtl/>
        </w:rPr>
      </w:pPr>
    </w:p>
    <w:p w14:paraId="69B3F8DD" w14:textId="77777777" w:rsidR="00472EA3" w:rsidRDefault="00D810CD">
      <w:pPr>
        <w:spacing w:line="360" w:lineRule="auto"/>
        <w:ind w:left="720"/>
        <w:jc w:val="both"/>
        <w:rPr>
          <w:rFonts w:ascii="Arial" w:hAnsi="Arial"/>
          <w:rtl/>
        </w:rPr>
      </w:pPr>
      <w:r>
        <w:rPr>
          <w:rFonts w:ascii="Arial" w:hAnsi="Arial" w:hint="cs"/>
          <w:rtl/>
        </w:rPr>
        <w:t>הממונה על עבודות השירות יבדוק כשירותו של הנאשם לבצע עבודות שירות. חוות הדעת של הממונה תוגש לבית המשפט לישיבה ביום 4.12.11.</w:t>
      </w:r>
    </w:p>
    <w:p w14:paraId="385F2D1F" w14:textId="77777777" w:rsidR="00472EA3" w:rsidRDefault="00472EA3">
      <w:pPr>
        <w:spacing w:line="360" w:lineRule="auto"/>
        <w:jc w:val="both"/>
        <w:rPr>
          <w:rFonts w:ascii="Arial" w:hAnsi="Arial"/>
          <w:rtl/>
        </w:rPr>
      </w:pPr>
    </w:p>
    <w:p w14:paraId="3652DB40" w14:textId="77777777" w:rsidR="00472EA3" w:rsidRDefault="00D810CD">
      <w:pPr>
        <w:spacing w:line="360" w:lineRule="auto"/>
        <w:jc w:val="both"/>
        <w:rPr>
          <w:rFonts w:ascii="Arial" w:hAnsi="Arial"/>
          <w:rtl/>
        </w:rPr>
      </w:pPr>
      <w:r>
        <w:rPr>
          <w:rFonts w:ascii="Arial" w:hAnsi="Arial" w:hint="cs"/>
          <w:rtl/>
        </w:rPr>
        <w:t xml:space="preserve">הנאשם יוזמן על פי כתובתו - רח' החשמונאים 5/29, לוד, מס' טלפון </w:t>
      </w:r>
      <w:r>
        <w:rPr>
          <w:rFonts w:ascii="Arial" w:hAnsi="Arial"/>
          <w:rtl/>
        </w:rPr>
        <w:t>–</w:t>
      </w:r>
      <w:r>
        <w:rPr>
          <w:rFonts w:ascii="Arial" w:hAnsi="Arial" w:hint="cs"/>
          <w:rtl/>
        </w:rPr>
        <w:t xml:space="preserve"> 0507-983950 ובאמצעות בא כוחו, עו"ד גיא קפרי, מס' פקס- 153777059070.</w:t>
      </w:r>
    </w:p>
    <w:p w14:paraId="23B1E9B0" w14:textId="77777777" w:rsidR="00472EA3" w:rsidRDefault="00472EA3">
      <w:pPr>
        <w:spacing w:line="360" w:lineRule="auto"/>
        <w:jc w:val="both"/>
        <w:rPr>
          <w:rFonts w:ascii="Arial" w:hAnsi="Arial"/>
          <w:rtl/>
        </w:rPr>
      </w:pPr>
    </w:p>
    <w:p w14:paraId="7B5ECAB1" w14:textId="77777777" w:rsidR="00472EA3" w:rsidRDefault="00D810CD">
      <w:pPr>
        <w:spacing w:line="360" w:lineRule="auto"/>
        <w:jc w:val="both"/>
        <w:rPr>
          <w:rFonts w:ascii="Arial" w:hAnsi="Arial"/>
          <w:rtl/>
        </w:rPr>
      </w:pPr>
      <w:r>
        <w:rPr>
          <w:rFonts w:ascii="Arial" w:hAnsi="Arial" w:hint="cs"/>
          <w:rtl/>
        </w:rPr>
        <w:t>המזכירות תודיע לממונה על עבודות השירות תוכן ההחלטה.</w:t>
      </w:r>
    </w:p>
    <w:p w14:paraId="7E92EC9F" w14:textId="77777777" w:rsidR="00472EA3" w:rsidRDefault="00472EA3">
      <w:pPr>
        <w:spacing w:line="360" w:lineRule="auto"/>
        <w:jc w:val="both"/>
        <w:rPr>
          <w:rFonts w:ascii="Arial" w:hAnsi="Arial"/>
          <w:b/>
          <w:bCs/>
          <w:rtl/>
        </w:rPr>
      </w:pPr>
    </w:p>
    <w:p w14:paraId="658C8792" w14:textId="77777777" w:rsidR="00D810CD" w:rsidRPr="00D810CD" w:rsidRDefault="00D810CD">
      <w:pPr>
        <w:spacing w:line="360" w:lineRule="auto"/>
        <w:jc w:val="both"/>
        <w:rPr>
          <w:rFonts w:ascii="Arial" w:hAnsi="Arial" w:hint="cs"/>
          <w:b/>
          <w:bCs/>
          <w:color w:val="FFFFFF"/>
          <w:sz w:val="2"/>
          <w:szCs w:val="2"/>
          <w:rtl/>
        </w:rPr>
      </w:pPr>
    </w:p>
    <w:p w14:paraId="5B39D6F6" w14:textId="77777777" w:rsidR="00D810CD" w:rsidRPr="00D810CD" w:rsidRDefault="00D810CD">
      <w:pPr>
        <w:spacing w:line="360" w:lineRule="auto"/>
        <w:jc w:val="both"/>
        <w:rPr>
          <w:rFonts w:ascii="Arial" w:hAnsi="Arial" w:hint="cs"/>
          <w:b/>
          <w:bCs/>
          <w:color w:val="FFFFFF"/>
          <w:sz w:val="2"/>
          <w:szCs w:val="2"/>
          <w:rtl/>
        </w:rPr>
      </w:pPr>
      <w:r w:rsidRPr="00D810CD">
        <w:rPr>
          <w:rFonts w:ascii="Arial" w:hAnsi="Arial"/>
          <w:b/>
          <w:bCs/>
          <w:color w:val="FFFFFF"/>
          <w:sz w:val="2"/>
          <w:szCs w:val="2"/>
          <w:rtl/>
        </w:rPr>
        <w:t>5129371</w:t>
      </w:r>
    </w:p>
    <w:p w14:paraId="54F87CEC" w14:textId="77777777" w:rsidR="00472EA3" w:rsidRDefault="00D810CD">
      <w:pPr>
        <w:spacing w:line="360" w:lineRule="auto"/>
        <w:jc w:val="both"/>
        <w:rPr>
          <w:rFonts w:ascii="Arial" w:hAnsi="Arial"/>
          <w:b/>
          <w:bCs/>
          <w:rtl/>
        </w:rPr>
      </w:pPr>
      <w:r w:rsidRPr="00D810CD">
        <w:rPr>
          <w:rFonts w:ascii="Arial" w:hAnsi="Arial"/>
          <w:b/>
          <w:bCs/>
          <w:color w:val="FFFFFF"/>
          <w:sz w:val="2"/>
          <w:szCs w:val="2"/>
          <w:rtl/>
        </w:rPr>
        <w:t>54678313</w:t>
      </w:r>
      <w:r>
        <w:rPr>
          <w:rFonts w:ascii="Arial" w:hAnsi="Arial" w:hint="cs"/>
          <w:b/>
          <w:bCs/>
          <w:rtl/>
        </w:rPr>
        <w:t>נקבע לדיון ל-4.12.11 בשעה 11:30.</w:t>
      </w:r>
    </w:p>
    <w:p w14:paraId="5BDD569B" w14:textId="77777777" w:rsidR="00472EA3" w:rsidRDefault="00472EA3">
      <w:pPr>
        <w:spacing w:line="360" w:lineRule="auto"/>
        <w:jc w:val="both"/>
        <w:rPr>
          <w:rFonts w:ascii="Arial" w:hAnsi="Arial"/>
          <w:rtl/>
        </w:rPr>
      </w:pPr>
    </w:p>
    <w:p w14:paraId="55504F39" w14:textId="77777777" w:rsidR="00D810CD" w:rsidRPr="00D810CD" w:rsidRDefault="00D810CD" w:rsidP="00D810CD">
      <w:pPr>
        <w:keepNext/>
        <w:rPr>
          <w:rFonts w:ascii="David" w:hAnsi="David"/>
          <w:color w:val="000000"/>
          <w:sz w:val="22"/>
          <w:szCs w:val="22"/>
          <w:rtl/>
        </w:rPr>
      </w:pPr>
    </w:p>
    <w:p w14:paraId="04FC3286" w14:textId="77777777" w:rsidR="00D810CD" w:rsidRPr="00D810CD" w:rsidRDefault="00D810CD" w:rsidP="00D810CD">
      <w:pPr>
        <w:keepNext/>
        <w:rPr>
          <w:rFonts w:ascii="David" w:hAnsi="David"/>
          <w:color w:val="000000"/>
          <w:sz w:val="22"/>
          <w:szCs w:val="22"/>
          <w:rtl/>
        </w:rPr>
      </w:pPr>
      <w:r w:rsidRPr="00D810CD">
        <w:rPr>
          <w:rFonts w:ascii="David" w:hAnsi="David"/>
          <w:color w:val="000000"/>
          <w:sz w:val="22"/>
          <w:szCs w:val="22"/>
          <w:rtl/>
        </w:rPr>
        <w:t>ק. רג'יניאנו 54678313</w:t>
      </w:r>
    </w:p>
    <w:p w14:paraId="5A2AF8F9" w14:textId="77777777" w:rsidR="00472EA3" w:rsidRDefault="00D810CD">
      <w:pPr>
        <w:rPr>
          <w:rFonts w:cs="FrankRuehl"/>
          <w:sz w:val="28"/>
          <w:szCs w:val="28"/>
          <w:rtl/>
        </w:rPr>
      </w:pPr>
      <w:r>
        <w:rPr>
          <w:rFonts w:ascii="Arial" w:hAnsi="Arial"/>
          <w:rtl/>
        </w:rPr>
        <w:t xml:space="preserve">ניתן היום,  י"ג תשרי תשע"ב, 11 אוקטובר 2011, בנוכחות הנאשם וב"כ הצדדים. </w:t>
      </w:r>
    </w:p>
    <w:p w14:paraId="3D9E4E6F" w14:textId="77777777" w:rsidR="00472EA3" w:rsidRDefault="00D810CD">
      <w:pPr>
        <w:jc w:val="right"/>
        <w:rPr>
          <w:rFonts w:ascii="Arial" w:hAnsi="Arial" w:cs="FrankRuehl"/>
          <w:sz w:val="28"/>
          <w:szCs w:val="28"/>
          <w:rtl/>
        </w:rPr>
      </w:pPr>
      <w:r>
        <w:rPr>
          <w:rFonts w:ascii="Arial" w:hAnsi="Arial" w:cs="FrankRuehl"/>
          <w:sz w:val="28"/>
          <w:szCs w:val="28"/>
          <w:rtl/>
        </w:rPr>
        <w:t xml:space="preserve">             </w:t>
      </w:r>
    </w:p>
    <w:p w14:paraId="7D33DA54" w14:textId="77777777" w:rsidR="00D810CD" w:rsidRDefault="00D810CD" w:rsidP="00D810CD">
      <w:r w:rsidRPr="00D810CD">
        <w:rPr>
          <w:color w:val="000000"/>
          <w:rtl/>
        </w:rPr>
        <w:t>נוסח מסמך זה כפוף לשינויי ניסוח ועריכה</w:t>
      </w:r>
    </w:p>
    <w:p w14:paraId="494BB8D5" w14:textId="77777777" w:rsidR="00D810CD" w:rsidRDefault="00D810CD" w:rsidP="00D810CD">
      <w:pPr>
        <w:rPr>
          <w:rtl/>
        </w:rPr>
      </w:pPr>
    </w:p>
    <w:p w14:paraId="78FEA801" w14:textId="77777777" w:rsidR="00D810CD" w:rsidRDefault="00D810CD" w:rsidP="00D810CD">
      <w:pPr>
        <w:jc w:val="center"/>
        <w:rPr>
          <w:color w:val="0000FF"/>
          <w:u w:val="single"/>
        </w:rPr>
      </w:pPr>
      <w:r w:rsidRPr="00315BF3">
        <w:rPr>
          <w:color w:val="000000"/>
          <w:rtl/>
        </w:rPr>
        <w:t>בעניין עריכה ושינויים במסמכי פסיקה, חקיקה ועוד באתר נבו – הקש כאן</w:t>
      </w:r>
    </w:p>
    <w:p w14:paraId="5C802C64" w14:textId="77777777" w:rsidR="00472EA3" w:rsidRPr="00D810CD" w:rsidRDefault="00472EA3" w:rsidP="00D810CD">
      <w:pPr>
        <w:jc w:val="center"/>
        <w:rPr>
          <w:color w:val="0000FF"/>
          <w:u w:val="single"/>
        </w:rPr>
      </w:pPr>
    </w:p>
    <w:sectPr w:rsidR="00472EA3" w:rsidRPr="00D810CD" w:rsidSect="00D810CD">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525BE" w14:textId="77777777" w:rsidR="002D5F70" w:rsidRPr="003B07C1" w:rsidRDefault="002D5F70">
      <w:pPr>
        <w:rPr>
          <w:rFonts w:cs="Arial"/>
          <w:szCs w:val="20"/>
        </w:rPr>
      </w:pPr>
      <w:r>
        <w:separator/>
      </w:r>
    </w:p>
  </w:endnote>
  <w:endnote w:type="continuationSeparator" w:id="0">
    <w:p w14:paraId="54FA7711" w14:textId="77777777" w:rsidR="002D5F70" w:rsidRPr="003B07C1" w:rsidRDefault="002D5F7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AFF3" w14:textId="77777777" w:rsidR="000E41E1" w:rsidRDefault="000E41E1" w:rsidP="00D810C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C9DFDEE" w14:textId="77777777" w:rsidR="000E41E1" w:rsidRPr="00D810CD" w:rsidRDefault="000E41E1" w:rsidP="00D810CD">
    <w:pPr>
      <w:pStyle w:val="a4"/>
      <w:pBdr>
        <w:top w:val="single" w:sz="4" w:space="1" w:color="auto"/>
        <w:between w:val="single" w:sz="4" w:space="0" w:color="auto"/>
      </w:pBdr>
      <w:spacing w:after="60"/>
      <w:jc w:val="center"/>
      <w:rPr>
        <w:rFonts w:ascii="FrankRuehl" w:hAnsi="FrankRuehl" w:cs="FrankRuehl"/>
        <w:color w:val="000000"/>
      </w:rPr>
    </w:pPr>
    <w:r w:rsidRPr="00D810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BCAA" w14:textId="77777777" w:rsidR="000E41E1" w:rsidRDefault="000E41E1" w:rsidP="00D810C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4793">
      <w:rPr>
        <w:rFonts w:ascii="FrankRuehl" w:hAnsi="FrankRuehl" w:cs="FrankRuehl"/>
        <w:noProof/>
        <w:rtl/>
      </w:rPr>
      <w:t>1</w:t>
    </w:r>
    <w:r>
      <w:rPr>
        <w:rFonts w:ascii="FrankRuehl" w:hAnsi="FrankRuehl" w:cs="FrankRuehl"/>
        <w:rtl/>
      </w:rPr>
      <w:fldChar w:fldCharType="end"/>
    </w:r>
  </w:p>
  <w:p w14:paraId="25BC921D" w14:textId="77777777" w:rsidR="000E41E1" w:rsidRPr="00D810CD" w:rsidRDefault="000E41E1" w:rsidP="00D810CD">
    <w:pPr>
      <w:pStyle w:val="a4"/>
      <w:pBdr>
        <w:top w:val="single" w:sz="4" w:space="1" w:color="auto"/>
        <w:between w:val="single" w:sz="4" w:space="0" w:color="auto"/>
      </w:pBdr>
      <w:spacing w:after="60"/>
      <w:jc w:val="center"/>
      <w:rPr>
        <w:rFonts w:ascii="FrankRuehl" w:hAnsi="FrankRuehl" w:cs="FrankRuehl"/>
        <w:color w:val="000000"/>
      </w:rPr>
    </w:pPr>
    <w:r w:rsidRPr="00D810CD">
      <w:rPr>
        <w:rFonts w:ascii="FrankRuehl" w:hAnsi="FrankRuehl" w:cs="FrankRuehl"/>
        <w:color w:val="000000"/>
      </w:rPr>
      <w:pict w14:anchorId="54FE7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EAA3" w14:textId="77777777" w:rsidR="002D5F70" w:rsidRPr="003B07C1" w:rsidRDefault="002D5F70">
      <w:pPr>
        <w:rPr>
          <w:rFonts w:cs="Arial"/>
          <w:szCs w:val="20"/>
        </w:rPr>
      </w:pPr>
      <w:r>
        <w:separator/>
      </w:r>
    </w:p>
  </w:footnote>
  <w:footnote w:type="continuationSeparator" w:id="0">
    <w:p w14:paraId="30B6E4C8" w14:textId="77777777" w:rsidR="002D5F70" w:rsidRPr="003B07C1" w:rsidRDefault="002D5F7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EB3B" w14:textId="77777777" w:rsidR="000E41E1" w:rsidRPr="00D810CD" w:rsidRDefault="000E41E1" w:rsidP="00D810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33734-07-11</w:t>
    </w:r>
    <w:r>
      <w:rPr>
        <w:rFonts w:ascii="David" w:hAnsi="David"/>
        <w:color w:val="000000"/>
        <w:sz w:val="22"/>
        <w:szCs w:val="22"/>
        <w:rtl/>
      </w:rPr>
      <w:tab/>
      <w:t xml:space="preserve"> מדינת ישראל נ' פראס אבו גריבה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FBCF" w14:textId="77777777" w:rsidR="000E41E1" w:rsidRPr="00D810CD" w:rsidRDefault="000E41E1" w:rsidP="00D810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33734-07-11</w:t>
    </w:r>
    <w:r>
      <w:rPr>
        <w:rFonts w:ascii="David" w:hAnsi="David"/>
        <w:color w:val="000000"/>
        <w:sz w:val="22"/>
        <w:szCs w:val="22"/>
        <w:rtl/>
      </w:rPr>
      <w:tab/>
      <w:t xml:space="preserve"> מדינת ישראל נ' פראס אבו גריבה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2EA3"/>
    <w:rsid w:val="000E2B46"/>
    <w:rsid w:val="000E41E1"/>
    <w:rsid w:val="00167DE0"/>
    <w:rsid w:val="002D5F70"/>
    <w:rsid w:val="00315BF3"/>
    <w:rsid w:val="00415167"/>
    <w:rsid w:val="00472EA3"/>
    <w:rsid w:val="004A1C6B"/>
    <w:rsid w:val="0069577E"/>
    <w:rsid w:val="006F4793"/>
    <w:rsid w:val="008A5B14"/>
    <w:rsid w:val="00C931CD"/>
    <w:rsid w:val="00CB0907"/>
    <w:rsid w:val="00D810CD"/>
    <w:rsid w:val="00E20D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47067E"/>
  <w15:chartTrackingRefBased/>
  <w15:docId w15:val="{83500AA6-F589-46C0-B7E7-0FC3887A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EA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72EA3"/>
    <w:pPr>
      <w:tabs>
        <w:tab w:val="center" w:pos="4153"/>
        <w:tab w:val="right" w:pos="8306"/>
      </w:tabs>
    </w:pPr>
  </w:style>
  <w:style w:type="paragraph" w:styleId="a4">
    <w:name w:val="footer"/>
    <w:basedOn w:val="a"/>
    <w:rsid w:val="00472EA3"/>
    <w:pPr>
      <w:tabs>
        <w:tab w:val="center" w:pos="4153"/>
        <w:tab w:val="right" w:pos="8306"/>
      </w:tabs>
    </w:pPr>
  </w:style>
  <w:style w:type="table" w:styleId="a5">
    <w:name w:val="Table Grid"/>
    <w:basedOn w:val="a1"/>
    <w:rsid w:val="00472E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472EA3"/>
  </w:style>
  <w:style w:type="character" w:styleId="Hyperlink">
    <w:name w:val="Hyperlink"/>
    <w:rsid w:val="00D81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14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980</Words>
  <Characters>4905</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5874</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ליאור קובי</cp:lastModifiedBy>
  <cp:revision>2</cp:revision>
  <dcterms:created xsi:type="dcterms:W3CDTF">2024-01-07T12:06:00Z</dcterms:created>
  <dcterms:modified xsi:type="dcterms:W3CDTF">2024-01-07T12:06:00Z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33734</vt:lpwstr>
  </property>
  <property fmtid="{D5CDD505-2E9C-101B-9397-08002B2CF9AE}" pid="6" name="NEWPARTB">
    <vt:lpwstr>07</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פראס אבו גריבה</vt:lpwstr>
  </property>
  <property fmtid="{D5CDD505-2E9C-101B-9397-08002B2CF9AE}" pid="10" name="JUDGE">
    <vt:lpwstr>ק. רג'יניאנו</vt:lpwstr>
  </property>
  <property fmtid="{D5CDD505-2E9C-101B-9397-08002B2CF9AE}" pid="11" name="CITY">
    <vt:lpwstr>מרכז</vt:lpwstr>
  </property>
  <property fmtid="{D5CDD505-2E9C-101B-9397-08002B2CF9AE}" pid="12" name="DATE">
    <vt:lpwstr>20111011</vt:lpwstr>
  </property>
  <property fmtid="{D5CDD505-2E9C-101B-9397-08002B2CF9AE}" pid="13" name="TYPE_N_DATE">
    <vt:lpwstr>39020111011</vt:lpwstr>
  </property>
  <property fmtid="{D5CDD505-2E9C-101B-9397-08002B2CF9AE}" pid="14" name="WORDNUMPAGES">
    <vt:lpwstr>4</vt:lpwstr>
  </property>
  <property fmtid="{D5CDD505-2E9C-101B-9397-08002B2CF9AE}" pid="15" name="TYPE_ABS_DATE">
    <vt:lpwstr>390020111011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vt:lpwstr>
  </property>
</Properties>
</file>