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3"/>
        <w:gridCol w:w="3668"/>
      </w:tblGrid>
      <w:tr w:rsidR="00CB465A" w:rsidRPr="0020163F" w14:paraId="4345B87B" w14:textId="77777777">
        <w:trPr>
          <w:trHeight w:hRule="exact" w:val="418"/>
          <w:jc w:val="center"/>
        </w:trPr>
        <w:tc>
          <w:tcPr>
            <w:tcW w:w="8721" w:type="dxa"/>
            <w:gridSpan w:val="2"/>
          </w:tcPr>
          <w:p w14:paraId="0C9B778B" w14:textId="77777777" w:rsidR="00CB465A" w:rsidRPr="0020163F" w:rsidRDefault="0020163F">
            <w:pPr>
              <w:pStyle w:val="a3"/>
              <w:jc w:val="center"/>
              <w:rPr>
                <w:rFonts w:ascii="Tahoma" w:hAnsi="Tahoma" w:cs="Tahoma"/>
                <w:color w:val="000080"/>
                <w:rtl/>
              </w:rPr>
            </w:pPr>
            <w:bookmarkStart w:id="0" w:name="LastJudge"/>
            <w:r w:rsidRPr="0020163F">
              <w:rPr>
                <w:rFonts w:ascii="Tahoma" w:hAnsi="Tahoma" w:cs="Tahoma"/>
                <w:b/>
                <w:bCs/>
                <w:color w:val="000080"/>
                <w:rtl/>
              </w:rPr>
              <w:t>בית המשפט המחוזי בחיפה</w:t>
            </w:r>
          </w:p>
        </w:tc>
      </w:tr>
      <w:tr w:rsidR="00CB465A" w:rsidRPr="0020163F" w14:paraId="3164E353" w14:textId="77777777">
        <w:trPr>
          <w:trHeight w:val="337"/>
          <w:jc w:val="center"/>
        </w:trPr>
        <w:tc>
          <w:tcPr>
            <w:tcW w:w="5053" w:type="dxa"/>
          </w:tcPr>
          <w:p w14:paraId="64C32E3C" w14:textId="77777777" w:rsidR="00CB465A" w:rsidRPr="0020163F" w:rsidRDefault="0020163F">
            <w:pPr>
              <w:rPr>
                <w:rFonts w:cs="FrankRuehl"/>
                <w:sz w:val="28"/>
                <w:szCs w:val="28"/>
                <w:rtl/>
              </w:rPr>
            </w:pPr>
            <w:r w:rsidRPr="0020163F">
              <w:rPr>
                <w:rFonts w:cs="FrankRuehl"/>
                <w:sz w:val="28"/>
                <w:szCs w:val="28"/>
                <w:rtl/>
              </w:rPr>
              <w:t>ת"פ</w:t>
            </w:r>
            <w:r w:rsidRPr="0020163F">
              <w:rPr>
                <w:rFonts w:cs="FrankRuehl" w:hint="cs"/>
                <w:sz w:val="28"/>
                <w:szCs w:val="28"/>
                <w:rtl/>
              </w:rPr>
              <w:t xml:space="preserve"> </w:t>
            </w:r>
            <w:r w:rsidRPr="0020163F">
              <w:rPr>
                <w:rFonts w:cs="FrankRuehl"/>
                <w:sz w:val="28"/>
                <w:szCs w:val="28"/>
                <w:rtl/>
              </w:rPr>
              <w:t>13401-03-12</w:t>
            </w:r>
            <w:r w:rsidRPr="0020163F">
              <w:rPr>
                <w:rFonts w:cs="FrankRuehl" w:hint="cs"/>
                <w:sz w:val="28"/>
                <w:szCs w:val="28"/>
                <w:rtl/>
              </w:rPr>
              <w:t xml:space="preserve"> </w:t>
            </w:r>
            <w:r w:rsidRPr="0020163F">
              <w:rPr>
                <w:rFonts w:cs="FrankRuehl"/>
                <w:sz w:val="28"/>
                <w:szCs w:val="28"/>
                <w:rtl/>
              </w:rPr>
              <w:t>מדינת ישראל נ' ח'ורי(עציר)</w:t>
            </w:r>
          </w:p>
          <w:p w14:paraId="2ED18EB0" w14:textId="77777777" w:rsidR="00CB465A" w:rsidRPr="0020163F" w:rsidRDefault="00CB465A">
            <w:pPr>
              <w:pStyle w:val="a3"/>
              <w:rPr>
                <w:rFonts w:cs="FrankRuehl"/>
                <w:sz w:val="28"/>
                <w:szCs w:val="28"/>
                <w:rtl/>
              </w:rPr>
            </w:pPr>
          </w:p>
        </w:tc>
        <w:tc>
          <w:tcPr>
            <w:tcW w:w="3668" w:type="dxa"/>
          </w:tcPr>
          <w:p w14:paraId="385BB614" w14:textId="77777777" w:rsidR="00CB465A" w:rsidRPr="0020163F" w:rsidRDefault="0020163F">
            <w:pPr>
              <w:pStyle w:val="a3"/>
              <w:jc w:val="right"/>
              <w:rPr>
                <w:rFonts w:cs="FrankRuehl"/>
                <w:sz w:val="28"/>
                <w:szCs w:val="28"/>
                <w:rtl/>
              </w:rPr>
            </w:pPr>
            <w:r w:rsidRPr="0020163F">
              <w:rPr>
                <w:rFonts w:cs="FrankRuehl" w:hint="cs"/>
                <w:sz w:val="28"/>
                <w:szCs w:val="28"/>
                <w:rtl/>
              </w:rPr>
              <w:t>07</w:t>
            </w:r>
            <w:r w:rsidRPr="0020163F">
              <w:rPr>
                <w:rFonts w:cs="FrankRuehl"/>
                <w:sz w:val="28"/>
                <w:szCs w:val="28"/>
                <w:rtl/>
              </w:rPr>
              <w:t xml:space="preserve"> יוני 2012</w:t>
            </w:r>
          </w:p>
        </w:tc>
      </w:tr>
    </w:tbl>
    <w:p w14:paraId="0671BAA0" w14:textId="77777777" w:rsidR="00CB465A" w:rsidRPr="0020163F" w:rsidRDefault="0020163F" w:rsidP="00706C34">
      <w:pPr>
        <w:pStyle w:val="a3"/>
      </w:pPr>
      <w:r w:rsidRPr="0020163F">
        <w:rPr>
          <w:rFonts w:hint="cs"/>
          <w:rtl/>
        </w:rPr>
        <w:t xml:space="preserve"> </w:t>
      </w:r>
      <w:r w:rsidRPr="0020163F">
        <w:rPr>
          <w:rFonts w:cs="Times New Roman" w:hint="cs"/>
          <w:b/>
          <w:bCs/>
          <w:sz w:val="26"/>
          <w:szCs w:val="28"/>
          <w:rtl/>
        </w:rPr>
        <w:t xml:space="preserve"> </w:t>
      </w:r>
    </w:p>
    <w:tbl>
      <w:tblPr>
        <w:bidiVisual/>
        <w:tblW w:w="8802" w:type="dxa"/>
        <w:tblInd w:w="-28" w:type="dxa"/>
        <w:tblLook w:val="01E0" w:firstRow="1" w:lastRow="1" w:firstColumn="1" w:lastColumn="1" w:noHBand="0" w:noVBand="0"/>
      </w:tblPr>
      <w:tblGrid>
        <w:gridCol w:w="28"/>
        <w:gridCol w:w="2852"/>
        <w:gridCol w:w="5867"/>
        <w:gridCol w:w="55"/>
      </w:tblGrid>
      <w:tr w:rsidR="00CB465A" w:rsidRPr="0020163F" w14:paraId="36C17199" w14:textId="77777777">
        <w:trPr>
          <w:gridBefore w:val="1"/>
          <w:gridAfter w:val="1"/>
          <w:wBefore w:w="28" w:type="dxa"/>
          <w:wAfter w:w="55" w:type="dxa"/>
        </w:trPr>
        <w:tc>
          <w:tcPr>
            <w:tcW w:w="8719" w:type="dxa"/>
            <w:gridSpan w:val="2"/>
          </w:tcPr>
          <w:p w14:paraId="54114CF0" w14:textId="77777777" w:rsidR="00CB465A" w:rsidRPr="0020163F" w:rsidRDefault="0020163F">
            <w:pPr>
              <w:spacing w:line="360" w:lineRule="auto"/>
              <w:jc w:val="both"/>
              <w:rPr>
                <w:rFonts w:ascii="David" w:eastAsia="David" w:hAnsi="David"/>
                <w:b/>
                <w:bCs/>
                <w:sz w:val="26"/>
                <w:szCs w:val="26"/>
              </w:rPr>
            </w:pPr>
            <w:r w:rsidRPr="0020163F">
              <w:rPr>
                <w:rFonts w:hint="cs"/>
                <w:b/>
                <w:bCs/>
                <w:sz w:val="26"/>
                <w:szCs w:val="26"/>
                <w:rtl/>
              </w:rPr>
              <w:t>בפני כב' השופטת חני הורוביץ</w:t>
            </w:r>
            <w:r w:rsidRPr="0020163F">
              <w:rPr>
                <w:rFonts w:hint="cs"/>
                <w:rtl/>
              </w:rPr>
              <w:t xml:space="preserve"> </w:t>
            </w:r>
          </w:p>
        </w:tc>
      </w:tr>
      <w:tr w:rsidR="00CB465A" w:rsidRPr="0020163F" w14:paraId="7F15F11A" w14:textId="77777777">
        <w:tc>
          <w:tcPr>
            <w:tcW w:w="2880" w:type="dxa"/>
            <w:gridSpan w:val="2"/>
          </w:tcPr>
          <w:p w14:paraId="362FCF54" w14:textId="77777777" w:rsidR="00CB465A" w:rsidRPr="0020163F" w:rsidRDefault="0020163F">
            <w:pPr>
              <w:ind w:left="26"/>
              <w:rPr>
                <w:rFonts w:ascii="David" w:eastAsia="David" w:hAnsi="David"/>
                <w:b/>
                <w:bCs/>
                <w:sz w:val="26"/>
                <w:szCs w:val="26"/>
              </w:rPr>
            </w:pPr>
            <w:bookmarkStart w:id="1" w:name="FirstAppellant"/>
            <w:r w:rsidRPr="0020163F">
              <w:rPr>
                <w:rFonts w:hint="cs"/>
                <w:b/>
                <w:bCs/>
                <w:sz w:val="26"/>
                <w:szCs w:val="26"/>
                <w:rtl/>
              </w:rPr>
              <w:t>המאשימה:</w:t>
            </w:r>
          </w:p>
        </w:tc>
        <w:tc>
          <w:tcPr>
            <w:tcW w:w="5922" w:type="dxa"/>
            <w:gridSpan w:val="2"/>
          </w:tcPr>
          <w:p w14:paraId="63318DB3" w14:textId="77777777" w:rsidR="00CB465A" w:rsidRPr="0020163F" w:rsidRDefault="0020163F">
            <w:pPr>
              <w:rPr>
                <w:rFonts w:ascii="David" w:eastAsia="David" w:hAnsi="David"/>
                <w:b/>
                <w:bCs/>
                <w:sz w:val="26"/>
                <w:szCs w:val="26"/>
              </w:rPr>
            </w:pPr>
            <w:r w:rsidRPr="0020163F">
              <w:rPr>
                <w:rFonts w:hint="cs"/>
                <w:b/>
                <w:bCs/>
                <w:sz w:val="26"/>
                <w:szCs w:val="26"/>
                <w:rtl/>
              </w:rPr>
              <w:t>מדינת ישראל</w:t>
            </w:r>
          </w:p>
        </w:tc>
      </w:tr>
      <w:bookmarkEnd w:id="1"/>
      <w:tr w:rsidR="00CB465A" w:rsidRPr="0020163F" w14:paraId="0DAF7C4B" w14:textId="77777777">
        <w:tc>
          <w:tcPr>
            <w:tcW w:w="8802" w:type="dxa"/>
            <w:gridSpan w:val="4"/>
          </w:tcPr>
          <w:p w14:paraId="07CF73ED" w14:textId="77777777" w:rsidR="00CB465A" w:rsidRPr="0020163F" w:rsidRDefault="00CB465A">
            <w:pPr>
              <w:jc w:val="both"/>
              <w:rPr>
                <w:rFonts w:ascii="Arial" w:eastAsia="David" w:hAnsi="Arial"/>
                <w:b/>
                <w:bCs/>
                <w:sz w:val="26"/>
                <w:szCs w:val="26"/>
                <w:rtl/>
              </w:rPr>
            </w:pPr>
          </w:p>
          <w:p w14:paraId="3C9EF9C7" w14:textId="77777777" w:rsidR="00CB465A" w:rsidRPr="0020163F" w:rsidRDefault="0020163F">
            <w:pPr>
              <w:jc w:val="center"/>
              <w:rPr>
                <w:rFonts w:ascii="Arial" w:hAnsi="Arial"/>
                <w:b/>
                <w:bCs/>
                <w:sz w:val="26"/>
                <w:szCs w:val="26"/>
                <w:rtl/>
              </w:rPr>
            </w:pPr>
            <w:r w:rsidRPr="0020163F">
              <w:rPr>
                <w:rFonts w:ascii="Arial" w:hAnsi="Arial" w:hint="cs"/>
                <w:b/>
                <w:bCs/>
                <w:sz w:val="26"/>
                <w:szCs w:val="26"/>
                <w:rtl/>
              </w:rPr>
              <w:t>נגד</w:t>
            </w:r>
          </w:p>
          <w:p w14:paraId="39E1275A" w14:textId="77777777" w:rsidR="00CB465A" w:rsidRPr="0020163F" w:rsidRDefault="00CB465A">
            <w:pPr>
              <w:jc w:val="center"/>
              <w:rPr>
                <w:rFonts w:ascii="Arial" w:eastAsia="David" w:hAnsi="Arial"/>
                <w:b/>
                <w:bCs/>
                <w:sz w:val="26"/>
                <w:szCs w:val="26"/>
              </w:rPr>
            </w:pPr>
          </w:p>
        </w:tc>
      </w:tr>
      <w:tr w:rsidR="00CB465A" w:rsidRPr="0020163F" w14:paraId="00DADD16" w14:textId="77777777">
        <w:tc>
          <w:tcPr>
            <w:tcW w:w="2880" w:type="dxa"/>
            <w:gridSpan w:val="2"/>
          </w:tcPr>
          <w:p w14:paraId="203FFF7F" w14:textId="77777777" w:rsidR="00CB465A" w:rsidRPr="0020163F" w:rsidRDefault="0020163F">
            <w:pPr>
              <w:ind w:left="26"/>
              <w:rPr>
                <w:rFonts w:ascii="David" w:eastAsia="David" w:hAnsi="David"/>
                <w:b/>
                <w:bCs/>
                <w:sz w:val="26"/>
                <w:szCs w:val="26"/>
              </w:rPr>
            </w:pPr>
            <w:r w:rsidRPr="0020163F">
              <w:rPr>
                <w:rFonts w:hint="cs"/>
                <w:b/>
                <w:bCs/>
                <w:sz w:val="26"/>
                <w:szCs w:val="26"/>
                <w:rtl/>
              </w:rPr>
              <w:t>הנאשם:</w:t>
            </w:r>
          </w:p>
        </w:tc>
        <w:tc>
          <w:tcPr>
            <w:tcW w:w="5922" w:type="dxa"/>
            <w:gridSpan w:val="2"/>
          </w:tcPr>
          <w:p w14:paraId="52397218" w14:textId="77777777" w:rsidR="00CB465A" w:rsidRPr="0020163F" w:rsidRDefault="0020163F">
            <w:pPr>
              <w:rPr>
                <w:rFonts w:ascii="David" w:eastAsia="David" w:hAnsi="David"/>
                <w:b/>
                <w:bCs/>
                <w:sz w:val="26"/>
                <w:szCs w:val="26"/>
              </w:rPr>
            </w:pPr>
            <w:r w:rsidRPr="0020163F">
              <w:rPr>
                <w:rFonts w:hint="cs"/>
                <w:b/>
                <w:bCs/>
                <w:sz w:val="26"/>
                <w:szCs w:val="26"/>
                <w:rtl/>
              </w:rPr>
              <w:t xml:space="preserve">מוסא ח'ורי ת"ז 032679755 </w:t>
            </w:r>
          </w:p>
        </w:tc>
      </w:tr>
    </w:tbl>
    <w:p w14:paraId="67604AB7" w14:textId="77777777" w:rsidR="00B5637F" w:rsidRDefault="00B5637F">
      <w:pPr>
        <w:rPr>
          <w:rtl/>
        </w:rPr>
      </w:pPr>
      <w:bookmarkStart w:id="2" w:name="LawTable"/>
      <w:bookmarkEnd w:id="2"/>
    </w:p>
    <w:p w14:paraId="741F3162" w14:textId="77777777" w:rsidR="00B5637F" w:rsidRPr="00B5637F" w:rsidRDefault="00B5637F" w:rsidP="00B5637F">
      <w:pPr>
        <w:spacing w:after="120" w:line="240" w:lineRule="exact"/>
        <w:ind w:left="283" w:hanging="283"/>
        <w:jc w:val="both"/>
        <w:rPr>
          <w:rFonts w:ascii="FrankRuehl" w:hAnsi="FrankRuehl" w:cs="FrankRuehl"/>
          <w:rtl/>
        </w:rPr>
      </w:pPr>
    </w:p>
    <w:p w14:paraId="6BB67F46" w14:textId="77777777" w:rsidR="00B5637F" w:rsidRPr="00B5637F" w:rsidRDefault="00B5637F" w:rsidP="00B5637F">
      <w:pPr>
        <w:spacing w:after="120" w:line="240" w:lineRule="exact"/>
        <w:ind w:left="283" w:hanging="283"/>
        <w:jc w:val="both"/>
        <w:rPr>
          <w:rFonts w:ascii="FrankRuehl" w:hAnsi="FrankRuehl" w:cs="FrankRuehl"/>
          <w:rtl/>
        </w:rPr>
      </w:pPr>
      <w:r w:rsidRPr="00B5637F">
        <w:rPr>
          <w:rFonts w:ascii="FrankRuehl" w:hAnsi="FrankRuehl" w:cs="FrankRuehl"/>
          <w:rtl/>
        </w:rPr>
        <w:t xml:space="preserve">חקיקה שאוזכרה: </w:t>
      </w:r>
    </w:p>
    <w:p w14:paraId="533D983D" w14:textId="77777777" w:rsidR="00B5637F" w:rsidRPr="00B5637F" w:rsidRDefault="00B5637F" w:rsidP="00B5637F">
      <w:pPr>
        <w:spacing w:after="120" w:line="240" w:lineRule="exact"/>
        <w:ind w:left="283" w:hanging="283"/>
        <w:jc w:val="both"/>
        <w:rPr>
          <w:rFonts w:ascii="FrankRuehl" w:hAnsi="FrankRuehl" w:cs="FrankRuehl"/>
          <w:color w:val="0000FF"/>
          <w:u w:val="single"/>
          <w:rtl/>
        </w:rPr>
      </w:pPr>
      <w:hyperlink r:id="rId6" w:history="1">
        <w:r w:rsidRPr="00B5637F">
          <w:rPr>
            <w:rStyle w:val="Hyperlink"/>
            <w:rFonts w:ascii="FrankRuehl" w:hAnsi="FrankRuehl" w:cs="FrankRuehl"/>
            <w:rtl/>
          </w:rPr>
          <w:t>חוק העונשין, תשל"ז-1977</w:t>
        </w:r>
      </w:hyperlink>
    </w:p>
    <w:p w14:paraId="7D064714" w14:textId="77777777" w:rsidR="00B5637F" w:rsidRPr="00B5637F" w:rsidRDefault="00B5637F" w:rsidP="00B5637F">
      <w:pPr>
        <w:spacing w:after="120" w:line="240" w:lineRule="exact"/>
        <w:ind w:left="283" w:hanging="283"/>
        <w:jc w:val="both"/>
        <w:rPr>
          <w:rFonts w:ascii="FrankRuehl" w:hAnsi="FrankRuehl" w:cs="FrankRuehl"/>
          <w:rtl/>
        </w:rPr>
      </w:pPr>
    </w:p>
    <w:p w14:paraId="74E1D22F" w14:textId="77777777" w:rsidR="00B5637F" w:rsidRPr="00B5637F" w:rsidRDefault="00B5637F">
      <w:pPr>
        <w:rPr>
          <w:rtl/>
        </w:rPr>
      </w:pPr>
      <w:bookmarkStart w:id="3" w:name="LawTable_End"/>
      <w:bookmarkEnd w:id="3"/>
    </w:p>
    <w:p w14:paraId="16494219" w14:textId="77777777" w:rsidR="00B5637F" w:rsidRPr="00B5637F" w:rsidRDefault="00B5637F">
      <w:pPr>
        <w:rPr>
          <w:rtl/>
        </w:rPr>
      </w:pPr>
    </w:p>
    <w:p w14:paraId="137977A6" w14:textId="77777777" w:rsidR="00CB465A" w:rsidRPr="00B5637F" w:rsidRDefault="00CB465A">
      <w:pPr>
        <w:rPr>
          <w:rtl/>
        </w:rPr>
      </w:pPr>
    </w:p>
    <w:tbl>
      <w:tblPr>
        <w:tblStyle w:val="a5"/>
        <w:bidiVisual/>
        <w:tblW w:w="8820" w:type="dxa"/>
        <w:jc w:val="center"/>
        <w:tblLook w:val="01E0" w:firstRow="1" w:lastRow="1" w:firstColumn="1" w:lastColumn="1" w:noHBand="0" w:noVBand="0"/>
      </w:tblPr>
      <w:tblGrid>
        <w:gridCol w:w="8820"/>
      </w:tblGrid>
      <w:tr w:rsidR="00CB465A" w14:paraId="2A577067" w14:textId="77777777">
        <w:trPr>
          <w:trHeight w:val="355"/>
          <w:jc w:val="center"/>
        </w:trPr>
        <w:tc>
          <w:tcPr>
            <w:tcW w:w="8820" w:type="dxa"/>
            <w:tcBorders>
              <w:top w:val="nil"/>
              <w:left w:val="nil"/>
              <w:bottom w:val="nil"/>
              <w:right w:val="nil"/>
            </w:tcBorders>
          </w:tcPr>
          <w:p w14:paraId="35EFE87B" w14:textId="77777777" w:rsidR="0020163F" w:rsidRPr="0020163F" w:rsidRDefault="0020163F" w:rsidP="0020163F">
            <w:pPr>
              <w:jc w:val="center"/>
              <w:rPr>
                <w:rFonts w:ascii="Arial" w:hAnsi="Arial" w:cs="FrankRuehl"/>
                <w:b/>
                <w:bCs/>
                <w:sz w:val="32"/>
                <w:szCs w:val="32"/>
                <w:u w:val="single"/>
                <w:rtl/>
              </w:rPr>
            </w:pPr>
            <w:bookmarkStart w:id="4" w:name="PsakDin" w:colFirst="0" w:colLast="0"/>
            <w:bookmarkEnd w:id="0"/>
            <w:r w:rsidRPr="0020163F">
              <w:rPr>
                <w:rFonts w:ascii="Arial" w:hAnsi="Arial" w:cs="FrankRuehl"/>
                <w:b/>
                <w:bCs/>
                <w:sz w:val="32"/>
                <w:szCs w:val="32"/>
                <w:u w:val="single"/>
                <w:rtl/>
              </w:rPr>
              <w:t>גזר דין</w:t>
            </w:r>
          </w:p>
          <w:p w14:paraId="4FB693F8" w14:textId="77777777" w:rsidR="00CB465A" w:rsidRPr="0020163F" w:rsidRDefault="00CB465A" w:rsidP="0020163F">
            <w:pPr>
              <w:jc w:val="center"/>
              <w:rPr>
                <w:rFonts w:ascii="Arial" w:hAnsi="Arial" w:cs="FrankRuehl"/>
                <w:bCs/>
                <w:sz w:val="32"/>
                <w:szCs w:val="32"/>
                <w:u w:val="single"/>
                <w:rtl/>
              </w:rPr>
            </w:pPr>
          </w:p>
        </w:tc>
      </w:tr>
      <w:bookmarkEnd w:id="4"/>
    </w:tbl>
    <w:p w14:paraId="777FFB0D" w14:textId="77777777" w:rsidR="00CB465A" w:rsidRDefault="00CB465A">
      <w:pPr>
        <w:rPr>
          <w:rtl/>
        </w:rPr>
      </w:pPr>
    </w:p>
    <w:p w14:paraId="03CF278C" w14:textId="77777777" w:rsidR="00CB465A" w:rsidRDefault="0020163F">
      <w:pPr>
        <w:spacing w:line="360" w:lineRule="auto"/>
        <w:rPr>
          <w:b/>
          <w:bCs/>
          <w:u w:val="single"/>
          <w:rtl/>
        </w:rPr>
      </w:pPr>
      <w:r>
        <w:rPr>
          <w:rFonts w:hint="cs"/>
          <w:b/>
          <w:bCs/>
          <w:u w:val="single"/>
          <w:rtl/>
        </w:rPr>
        <w:t>א. מבוא</w:t>
      </w:r>
    </w:p>
    <w:p w14:paraId="3D2CE938" w14:textId="77777777" w:rsidR="00CB465A" w:rsidRDefault="0020163F">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הנאשם הודה, טרם שמיעת ראיות, בעובדות כתב אישום מתוקן והורשע בביצוע העבירות: </w:t>
      </w:r>
      <w:r>
        <w:rPr>
          <w:rFonts w:hint="cs"/>
          <w:b/>
          <w:bCs/>
          <w:rtl/>
        </w:rPr>
        <w:t>החזקת נשק שלא כדין</w:t>
      </w:r>
      <w:r>
        <w:rPr>
          <w:rFonts w:hint="cs"/>
          <w:rtl/>
        </w:rPr>
        <w:t xml:space="preserve"> - עבירה לפי סעיפים 144(א) (רישא + סיפא) + 144(ג) ל</w:t>
      </w:r>
      <w:hyperlink r:id="rId7" w:history="1">
        <w:r w:rsidR="00B5637F" w:rsidRPr="00B5637F">
          <w:rPr>
            <w:rStyle w:val="Hyperlink"/>
            <w:rtl/>
          </w:rPr>
          <w:t>חוק העונשין</w:t>
        </w:r>
      </w:hyperlink>
      <w:r>
        <w:rPr>
          <w:rFonts w:hint="cs"/>
          <w:rtl/>
        </w:rPr>
        <w:t xml:space="preserve">, תשל"ז-1977 (להלן: </w:t>
      </w:r>
      <w:r>
        <w:rPr>
          <w:rFonts w:hint="cs"/>
          <w:b/>
          <w:bCs/>
          <w:rtl/>
        </w:rPr>
        <w:t>"</w:t>
      </w:r>
      <w:r>
        <w:rPr>
          <w:rFonts w:hint="cs"/>
          <w:rtl/>
        </w:rPr>
        <w:t>החוק</w:t>
      </w:r>
      <w:r>
        <w:rPr>
          <w:rFonts w:hint="cs"/>
          <w:b/>
          <w:bCs/>
          <w:rtl/>
        </w:rPr>
        <w:t>"</w:t>
      </w:r>
      <w:r>
        <w:rPr>
          <w:rFonts w:hint="cs"/>
          <w:rtl/>
        </w:rPr>
        <w:t xml:space="preserve">), </w:t>
      </w:r>
      <w:r>
        <w:rPr>
          <w:rFonts w:hint="cs"/>
          <w:b/>
          <w:bCs/>
          <w:rtl/>
        </w:rPr>
        <w:t>נשיאת והובלת נשק</w:t>
      </w:r>
      <w:r>
        <w:rPr>
          <w:rFonts w:hint="cs"/>
          <w:rtl/>
        </w:rPr>
        <w:t xml:space="preserve"> - עבירה לפי סעיפים 144(ב) (רישא + סיפא) + 144(ג) לחוק ו</w:t>
      </w:r>
      <w:r>
        <w:rPr>
          <w:rFonts w:hint="cs"/>
          <w:b/>
          <w:bCs/>
          <w:rtl/>
        </w:rPr>
        <w:t xml:space="preserve">יריות באזור מגורים </w:t>
      </w:r>
      <w:r>
        <w:rPr>
          <w:rFonts w:hint="cs"/>
          <w:rtl/>
        </w:rPr>
        <w:t>- עבירה לפי סעיף 340א לחוק.</w:t>
      </w:r>
      <w:bookmarkStart w:id="6" w:name="ABSTRACT_END"/>
      <w:bookmarkEnd w:id="6"/>
    </w:p>
    <w:p w14:paraId="7EFBEE7E" w14:textId="77777777" w:rsidR="00CB465A" w:rsidRDefault="00CB465A">
      <w:pPr>
        <w:spacing w:line="360" w:lineRule="auto"/>
        <w:ind w:left="360"/>
        <w:jc w:val="both"/>
      </w:pPr>
    </w:p>
    <w:p w14:paraId="21F96038" w14:textId="77777777" w:rsidR="00CB465A" w:rsidRDefault="0020163F">
      <w:pPr>
        <w:spacing w:line="360" w:lineRule="auto"/>
        <w:rPr>
          <w:b/>
          <w:bCs/>
          <w:u w:val="single"/>
          <w:rtl/>
        </w:rPr>
      </w:pPr>
      <w:r>
        <w:rPr>
          <w:rFonts w:hint="cs"/>
          <w:b/>
          <w:bCs/>
          <w:u w:val="single"/>
          <w:rtl/>
        </w:rPr>
        <w:t>ב. כתב האישום המתוקן</w:t>
      </w:r>
    </w:p>
    <w:p w14:paraId="76ED1557" w14:textId="77777777" w:rsidR="00CB465A" w:rsidRDefault="0020163F">
      <w:pPr>
        <w:spacing w:line="360" w:lineRule="auto"/>
        <w:ind w:left="720" w:hanging="720"/>
        <w:jc w:val="both"/>
        <w:rPr>
          <w:rtl/>
        </w:rPr>
      </w:pPr>
      <w:r>
        <w:rPr>
          <w:rFonts w:hint="cs"/>
          <w:rtl/>
        </w:rPr>
        <w:t>2.</w:t>
      </w:r>
      <w:r>
        <w:rPr>
          <w:rFonts w:hint="cs"/>
          <w:rtl/>
        </w:rPr>
        <w:tab/>
        <w:t xml:space="preserve">מעובדות כתב האישום המתוקן עולה כי בליל 25 -26.2.12, הנאשם החזיק ונשא אקדח גנוב מסוג </w:t>
      </w:r>
      <w:r>
        <w:t>CZ</w:t>
      </w:r>
      <w:r>
        <w:rPr>
          <w:rFonts w:hint="cs"/>
          <w:rtl/>
        </w:rPr>
        <w:t xml:space="preserve"> קליבר </w:t>
      </w:r>
      <w:smartTag w:uri="urn:schemas-microsoft-com:office:smarttags" w:element="metricconverter">
        <w:smartTagPr>
          <w:attr w:name="ProductID" w:val="9 מ&quot;מ"/>
        </w:smartTagPr>
        <w:r>
          <w:rPr>
            <w:rFonts w:hint="cs"/>
            <w:rtl/>
          </w:rPr>
          <w:t>9 מ"מ</w:t>
        </w:r>
      </w:smartTag>
      <w:r>
        <w:rPr>
          <w:rFonts w:hint="cs"/>
          <w:rtl/>
        </w:rPr>
        <w:t xml:space="preserve">, שתי מחסניות שבתוכן כדורי אקדח ו-11 כדורי אקדח </w:t>
      </w:r>
      <w:smartTag w:uri="urn:schemas-microsoft-com:office:smarttags" w:element="metricconverter">
        <w:smartTagPr>
          <w:attr w:name="ProductID" w:val="9 מ&quot;מ"/>
        </w:smartTagPr>
        <w:r>
          <w:rPr>
            <w:rFonts w:hint="cs"/>
            <w:rtl/>
          </w:rPr>
          <w:t>9 מ"מ</w:t>
        </w:r>
      </w:smartTag>
      <w:r>
        <w:rPr>
          <w:rFonts w:hint="cs"/>
          <w:rtl/>
        </w:rPr>
        <w:t xml:space="preserve"> נוספים.  האקדח נגנב ב- 3.2.12 בהתפרצות לבית  ביישוב ציפורי. </w:t>
      </w:r>
    </w:p>
    <w:p w14:paraId="00589203" w14:textId="77777777" w:rsidR="00CB465A" w:rsidRDefault="0020163F">
      <w:pPr>
        <w:spacing w:line="360" w:lineRule="auto"/>
        <w:ind w:left="720"/>
        <w:jc w:val="both"/>
        <w:rPr>
          <w:rtl/>
        </w:rPr>
      </w:pPr>
      <w:r>
        <w:rPr>
          <w:rFonts w:hint="cs"/>
          <w:rtl/>
        </w:rPr>
        <w:t xml:space="preserve">סמוך לשעה 00:38, ברחוב שיבת ציון בחיפה שהינו "איזור מגורים", ירה הנאשם מהאקדח 11 כדורים, ללא הסבר סביר. לאחר מכן נכנס הנאשם עם האקדח, כשהוא טעון עם כדור בקנה ופטיש האקדח משוך לאחור, עם הכדורים ועם המחסניות לרכב, בו שהו אנשים נוספים.  סמוך לשעה 1:50 הנאשם נעצר ברכב על ידי שוטרים. </w:t>
      </w:r>
    </w:p>
    <w:p w14:paraId="60E623AD" w14:textId="77777777" w:rsidR="00CB465A" w:rsidRDefault="00CB465A">
      <w:pPr>
        <w:spacing w:line="360" w:lineRule="auto"/>
        <w:jc w:val="both"/>
        <w:rPr>
          <w:b/>
          <w:bCs/>
          <w:u w:val="single"/>
        </w:rPr>
      </w:pPr>
    </w:p>
    <w:p w14:paraId="77F39297" w14:textId="77777777" w:rsidR="00CB465A" w:rsidRDefault="0020163F">
      <w:pPr>
        <w:spacing w:line="360" w:lineRule="auto"/>
        <w:rPr>
          <w:b/>
          <w:bCs/>
          <w:u w:val="single"/>
          <w:rtl/>
        </w:rPr>
      </w:pPr>
      <w:r>
        <w:rPr>
          <w:rFonts w:hint="cs"/>
          <w:b/>
          <w:bCs/>
          <w:u w:val="single"/>
          <w:rtl/>
        </w:rPr>
        <w:t>ג. תסקיר שירות המבחן</w:t>
      </w:r>
    </w:p>
    <w:p w14:paraId="564BA4EA" w14:textId="77777777" w:rsidR="00CB465A" w:rsidRDefault="0020163F">
      <w:pPr>
        <w:spacing w:line="360" w:lineRule="auto"/>
        <w:ind w:left="720" w:hanging="720"/>
        <w:jc w:val="both"/>
        <w:rPr>
          <w:rtl/>
        </w:rPr>
      </w:pPr>
      <w:r>
        <w:rPr>
          <w:rFonts w:hint="cs"/>
          <w:rtl/>
        </w:rPr>
        <w:lastRenderedPageBreak/>
        <w:t>3.</w:t>
      </w:r>
      <w:r>
        <w:rPr>
          <w:rFonts w:hint="cs"/>
          <w:rtl/>
        </w:rPr>
        <w:tab/>
        <w:t xml:space="preserve">הנאשם רווק בן 26, לדבריו אינו יודע קרוא וכתוב וכיום לומד קריאה וכתיבה בעברית, בבית המעצר. טרם מעצרו, התגורר בגפו בדירה שכורה בחיפה במשך כארבע שנים ועבד באופן עצמאי, בעבודות שיפוצים ותפסנות. </w:t>
      </w:r>
    </w:p>
    <w:p w14:paraId="2F027ACD" w14:textId="77777777" w:rsidR="00CB465A" w:rsidRDefault="00CB465A"/>
    <w:p w14:paraId="0D2DE37E" w14:textId="77777777" w:rsidR="00CB465A" w:rsidRDefault="0020163F">
      <w:pPr>
        <w:spacing w:line="360" w:lineRule="auto"/>
        <w:ind w:left="720" w:hanging="720"/>
        <w:jc w:val="both"/>
      </w:pPr>
      <w:r>
        <w:rPr>
          <w:rFonts w:hint="cs"/>
          <w:rtl/>
        </w:rPr>
        <w:t>4.</w:t>
      </w:r>
      <w:r>
        <w:rPr>
          <w:rFonts w:hint="cs"/>
          <w:rtl/>
        </w:rPr>
        <w:tab/>
        <w:t xml:space="preserve">הנאשם הינו הבן הרביעי במשפחת מוצאו, המונה 5 ילדים. אחיו ואחיותיו בני 29-14, מתפקדים באופן נורמטיבי. אביו ניהל אורח חיים עברייני וריצה מספר עונשי מאסר. כיום  מתקיים מקצבת נכות ומטופל בתחליפי סם. האם עקרת בית. סבלה מאלימות, מבעיות נפשיות, אושפזה בעבר בבית חולים פסיכיאטרי ומטופלת בתרופות. </w:t>
      </w:r>
    </w:p>
    <w:p w14:paraId="347D0428" w14:textId="77777777" w:rsidR="00CB465A" w:rsidRDefault="0020163F">
      <w:pPr>
        <w:spacing w:line="360" w:lineRule="auto"/>
        <w:ind w:left="720"/>
        <w:jc w:val="both"/>
        <w:rPr>
          <w:rtl/>
        </w:rPr>
      </w:pPr>
      <w:r>
        <w:rPr>
          <w:rFonts w:hint="cs"/>
          <w:rtl/>
        </w:rPr>
        <w:t xml:space="preserve">בהיות הנאשם בן 6 הוצא מביתו יחד עם אחיו ואחיותיו למסגרות חוץ ביתיות. הנאשם שהה עם אחיו בפנימיית "אעבלין". בהיותו כבן 11, לאחר שאביו השתקם ומצבה הנפשי של אימו התייצב, הנאשם ואחיו שבו לביתם. לדבריו, עזב את ספסל הלימודים לאחר 8 שנות לימוד ויצא לעבוד. </w:t>
      </w:r>
    </w:p>
    <w:p w14:paraId="3B1552E4" w14:textId="77777777" w:rsidR="00CB465A" w:rsidRDefault="00CB465A">
      <w:pPr>
        <w:spacing w:line="360" w:lineRule="auto"/>
      </w:pPr>
    </w:p>
    <w:p w14:paraId="3C19BEEF" w14:textId="77777777" w:rsidR="00CB465A" w:rsidRDefault="0020163F">
      <w:pPr>
        <w:spacing w:line="360" w:lineRule="auto"/>
        <w:ind w:left="720" w:hanging="720"/>
        <w:jc w:val="both"/>
      </w:pPr>
      <w:r>
        <w:rPr>
          <w:rFonts w:hint="cs"/>
          <w:rtl/>
        </w:rPr>
        <w:t>5.</w:t>
      </w:r>
      <w:r>
        <w:rPr>
          <w:rFonts w:hint="cs"/>
          <w:rtl/>
        </w:rPr>
        <w:tab/>
        <w:t xml:space="preserve">בהתייחסו לעבירה הנדונה טען הנאשם כי בליל המקרה ישב עם מכר מחוץ לביתו, כשראו בחור נוסע על קטנוע במהירות. לטענתו, הבחור הניח חבילה מתחת למדרגות בסמוך אליהם ונסע מהמקום. הוא טען, כי הוא וחברו בדקו מתוך סקרנות את החבילה ומשגילו בה אקדח רצה לבדוק האם מדובר בנשק אמיתי וירה באוויר. עוד טען, כי בהמשך היה בדרכו עם חברים למסור את הנשק למשטרה ונתפס בדרך. </w:t>
      </w:r>
    </w:p>
    <w:p w14:paraId="42BEA2F4" w14:textId="77777777" w:rsidR="00CB465A" w:rsidRDefault="00CB465A">
      <w:pPr>
        <w:spacing w:line="360" w:lineRule="auto"/>
        <w:ind w:left="720" w:hanging="720"/>
        <w:jc w:val="both"/>
        <w:rPr>
          <w:rtl/>
        </w:rPr>
      </w:pPr>
    </w:p>
    <w:p w14:paraId="267E3319" w14:textId="77777777" w:rsidR="00CB465A" w:rsidRDefault="0020163F">
      <w:pPr>
        <w:spacing w:line="360" w:lineRule="auto"/>
        <w:ind w:left="720" w:hanging="720"/>
        <w:jc w:val="both"/>
        <w:rPr>
          <w:rtl/>
        </w:rPr>
      </w:pPr>
      <w:r>
        <w:rPr>
          <w:rFonts w:hint="cs"/>
          <w:rtl/>
        </w:rPr>
        <w:t xml:space="preserve">6. </w:t>
      </w:r>
      <w:r>
        <w:rPr>
          <w:rFonts w:hint="cs"/>
          <w:rtl/>
        </w:rPr>
        <w:tab/>
        <w:t xml:space="preserve">שירות המבחן התרשם מבחור דל ומצומצם, מחוסר אותנטיות וחוסר בהירות ברמת תפקודו ובאורחות חייו, כמו גם ממערכות היחסים שמקיים. </w:t>
      </w:r>
    </w:p>
    <w:p w14:paraId="527B125C" w14:textId="77777777" w:rsidR="00CB465A" w:rsidRDefault="0020163F">
      <w:pPr>
        <w:spacing w:line="360" w:lineRule="auto"/>
        <w:ind w:left="720"/>
        <w:jc w:val="both"/>
        <w:rPr>
          <w:rtl/>
        </w:rPr>
      </w:pPr>
      <w:r>
        <w:rPr>
          <w:rFonts w:hint="cs"/>
          <w:rtl/>
        </w:rPr>
        <w:t>שירות המבחן נמנע מלבוא בהמלצה בעניינו.</w:t>
      </w:r>
    </w:p>
    <w:p w14:paraId="567C29D0" w14:textId="77777777" w:rsidR="00CB465A" w:rsidRDefault="00CB465A">
      <w:pPr>
        <w:spacing w:line="360" w:lineRule="auto"/>
        <w:rPr>
          <w:b/>
          <w:bCs/>
          <w:u w:val="single"/>
        </w:rPr>
      </w:pPr>
    </w:p>
    <w:p w14:paraId="745CFAF5" w14:textId="77777777" w:rsidR="00CB465A" w:rsidRDefault="0020163F">
      <w:pPr>
        <w:spacing w:line="360" w:lineRule="auto"/>
        <w:rPr>
          <w:b/>
          <w:bCs/>
          <w:u w:val="single"/>
          <w:rtl/>
        </w:rPr>
      </w:pPr>
      <w:r>
        <w:rPr>
          <w:rFonts w:hint="cs"/>
          <w:b/>
          <w:bCs/>
          <w:u w:val="single"/>
          <w:rtl/>
        </w:rPr>
        <w:t>ד. טיעוני הצדדים לעונש</w:t>
      </w:r>
    </w:p>
    <w:p w14:paraId="2E148683" w14:textId="77777777" w:rsidR="00CB465A" w:rsidRDefault="0020163F">
      <w:pPr>
        <w:spacing w:line="360" w:lineRule="auto"/>
        <w:ind w:left="720" w:hanging="720"/>
        <w:jc w:val="both"/>
        <w:rPr>
          <w:rtl/>
        </w:rPr>
      </w:pPr>
      <w:r>
        <w:rPr>
          <w:rFonts w:hint="cs"/>
          <w:rtl/>
        </w:rPr>
        <w:t>7.</w:t>
      </w:r>
      <w:r>
        <w:rPr>
          <w:rFonts w:hint="cs"/>
          <w:rtl/>
        </w:rPr>
        <w:tab/>
      </w:r>
      <w:r>
        <w:rPr>
          <w:rFonts w:hint="cs"/>
          <w:u w:val="single"/>
          <w:rtl/>
        </w:rPr>
        <w:t>ב"כ המאשימה</w:t>
      </w:r>
      <w:r>
        <w:rPr>
          <w:rFonts w:hint="cs"/>
          <w:rtl/>
        </w:rPr>
        <w:t xml:space="preserve"> הדגיש את חומרת העבירות והסיכון הרב הטמון בעבירות נשק. החזקה ושימוש בכלי נשק היו למכת מדינה ושומה על בתי המשפט לתרום תרומתם למאבק נגד תופעה מסוכנת זו, ולהטיל עונשי מאסר בפועל משמעותיים, גם כשמדובר בנאשם שעברו נקי. הוא ציין נסיבות מחמירות בכך שהנאשם ירה בתוך העיר והחזיק באקדח כשהוא טעון ומוכן לירי. </w:t>
      </w:r>
    </w:p>
    <w:p w14:paraId="64790CA8" w14:textId="77777777" w:rsidR="00CB465A" w:rsidRDefault="0020163F">
      <w:pPr>
        <w:spacing w:line="360" w:lineRule="auto"/>
        <w:ind w:left="720"/>
        <w:jc w:val="both"/>
        <w:rPr>
          <w:rtl/>
        </w:rPr>
      </w:pPr>
      <w:r>
        <w:rPr>
          <w:rFonts w:hint="cs"/>
          <w:rtl/>
        </w:rPr>
        <w:t xml:space="preserve">הפרקליט הפנה לפסיקת בתי המשפט, במסגרתה הוטלו (ואושרו) עונשי מאסר בפועל הנעים בטווח בין 36 עד 50 חודשי מאסר בפועל. </w:t>
      </w:r>
    </w:p>
    <w:p w14:paraId="12E7644C" w14:textId="77777777" w:rsidR="00CB465A" w:rsidRDefault="0020163F">
      <w:pPr>
        <w:spacing w:line="360" w:lineRule="auto"/>
        <w:ind w:left="720"/>
        <w:jc w:val="both"/>
        <w:rPr>
          <w:rtl/>
        </w:rPr>
      </w:pPr>
      <w:r>
        <w:rPr>
          <w:rFonts w:hint="cs"/>
          <w:rtl/>
        </w:rPr>
        <w:t xml:space="preserve">ב"כ המאשימה ביקש להטיל על הנאשם מאסר בפועל ממושך, עונשי מאסר על תנאי לתקופה מרתיעה וקנס כספי. </w:t>
      </w:r>
    </w:p>
    <w:p w14:paraId="51FF743A" w14:textId="77777777" w:rsidR="00CB465A" w:rsidRDefault="00CB465A">
      <w:pPr>
        <w:spacing w:line="360" w:lineRule="auto"/>
        <w:rPr>
          <w:u w:val="single"/>
          <w:rtl/>
        </w:rPr>
      </w:pPr>
    </w:p>
    <w:p w14:paraId="501AACE3" w14:textId="77777777" w:rsidR="00CB465A" w:rsidRDefault="0020163F">
      <w:pPr>
        <w:spacing w:line="360" w:lineRule="auto"/>
        <w:ind w:left="720" w:hanging="720"/>
        <w:jc w:val="both"/>
        <w:rPr>
          <w:rtl/>
        </w:rPr>
      </w:pPr>
      <w:r>
        <w:rPr>
          <w:rFonts w:hint="cs"/>
          <w:rtl/>
        </w:rPr>
        <w:lastRenderedPageBreak/>
        <w:t>8.</w:t>
      </w:r>
      <w:r>
        <w:rPr>
          <w:rFonts w:hint="cs"/>
          <w:rtl/>
        </w:rPr>
        <w:tab/>
      </w:r>
      <w:r>
        <w:rPr>
          <w:rFonts w:hint="cs"/>
          <w:u w:val="single"/>
          <w:rtl/>
        </w:rPr>
        <w:t>ב"כ הנאשם</w:t>
      </w:r>
      <w:r>
        <w:rPr>
          <w:rFonts w:hint="cs"/>
          <w:rtl/>
        </w:rPr>
        <w:t xml:space="preserve"> הדגיש כי מדובר בצעיר בן 26 שעברו נקי. על אף נסיבות חייו הקשות, כמפורט בתסקיר שירות המבחן, ניהל הנאשם אורח חיים תקין ומדובר במעשה שטות בגינו הסתבך. הנאשם כבר בהזדמנות הראשונה טען כי מצא את הנשק, רצה לבדוק אם מדובר באמת בנשק והתכוון להביאו למשטרה. הנאשם לא נמלט מהמשטרה ושיתף פעולה. מדובר במעשה שטות, מעידה ראשונה וחד פעמית. </w:t>
      </w:r>
    </w:p>
    <w:p w14:paraId="2A6755CF" w14:textId="77777777" w:rsidR="00CB465A" w:rsidRDefault="0020163F">
      <w:pPr>
        <w:spacing w:line="360" w:lineRule="auto"/>
        <w:ind w:left="720"/>
        <w:jc w:val="both"/>
        <w:rPr>
          <w:rtl/>
        </w:rPr>
      </w:pPr>
      <w:r>
        <w:rPr>
          <w:rFonts w:hint="cs"/>
          <w:rtl/>
        </w:rPr>
        <w:t xml:space="preserve">עוד טען לזכות הנאשם הודאתו, חרטתו וחסכון בזמן שיפוטי. </w:t>
      </w:r>
    </w:p>
    <w:p w14:paraId="5953BBC4" w14:textId="77777777" w:rsidR="00CB465A" w:rsidRDefault="0020163F">
      <w:pPr>
        <w:spacing w:line="360" w:lineRule="auto"/>
        <w:ind w:left="720"/>
        <w:jc w:val="both"/>
        <w:rPr>
          <w:rtl/>
        </w:rPr>
      </w:pPr>
      <w:r>
        <w:rPr>
          <w:rFonts w:hint="cs"/>
          <w:rtl/>
        </w:rPr>
        <w:t xml:space="preserve">הסנגור טען כי הפסיקה שהפנה אליה ב"כ המאשימה מתייחסת לעבירות חמורות יותר. הנאשם לא פעל ממניע כלכלי או בכוונה לבצע עבירות באמצעות הנשק. </w:t>
      </w:r>
    </w:p>
    <w:p w14:paraId="7C5738AC" w14:textId="77777777" w:rsidR="00CB465A" w:rsidRDefault="0020163F">
      <w:pPr>
        <w:spacing w:line="360" w:lineRule="auto"/>
        <w:ind w:left="720"/>
        <w:jc w:val="both"/>
        <w:rPr>
          <w:rtl/>
        </w:rPr>
      </w:pPr>
      <w:r>
        <w:rPr>
          <w:rFonts w:hint="cs"/>
          <w:rtl/>
        </w:rPr>
        <w:t xml:space="preserve">הסנגור טען כי הענישה הינה אינדיווידואלית והפנה לפס"ד במסגרתם בגין עבירות בנשק, לעיתים אף בנסיבות חמורות יותר, הוטלו על נאשמים עונשי מאסר בפועל בין 24 חודשי מאסר בפועל ל- 6 חודשי מאסר שרוצו בעבודות שירות. </w:t>
      </w:r>
    </w:p>
    <w:p w14:paraId="392622F5" w14:textId="77777777" w:rsidR="00CB465A" w:rsidRDefault="0020163F">
      <w:pPr>
        <w:spacing w:line="360" w:lineRule="auto"/>
        <w:ind w:left="720"/>
        <w:jc w:val="both"/>
        <w:rPr>
          <w:rtl/>
        </w:rPr>
      </w:pPr>
      <w:r>
        <w:rPr>
          <w:rFonts w:hint="cs"/>
          <w:rtl/>
        </w:rPr>
        <w:t xml:space="preserve">ב"כ הנאשם ביקש שביהמ"ש יסתפק בתקופת מאסר קצרה, בתקופת מעצרו של הנאשם וכן בקנס סמלי נוכח נסיבותיו האישיות של הנאשם ומשפחתו. </w:t>
      </w:r>
    </w:p>
    <w:p w14:paraId="0717F03E" w14:textId="77777777" w:rsidR="00CB465A" w:rsidRDefault="00CB465A">
      <w:pPr>
        <w:spacing w:line="360" w:lineRule="auto"/>
        <w:ind w:left="720"/>
        <w:jc w:val="both"/>
        <w:rPr>
          <w:rtl/>
        </w:rPr>
      </w:pPr>
    </w:p>
    <w:p w14:paraId="3C6828D4" w14:textId="77777777" w:rsidR="00CB465A" w:rsidRDefault="0020163F">
      <w:pPr>
        <w:spacing w:line="360" w:lineRule="auto"/>
        <w:ind w:left="720" w:hanging="720"/>
        <w:jc w:val="both"/>
        <w:rPr>
          <w:rtl/>
        </w:rPr>
      </w:pPr>
      <w:r>
        <w:rPr>
          <w:rFonts w:hint="cs"/>
          <w:rtl/>
        </w:rPr>
        <w:t>9.</w:t>
      </w:r>
      <w:r>
        <w:rPr>
          <w:rFonts w:hint="cs"/>
          <w:rtl/>
        </w:rPr>
        <w:tab/>
      </w:r>
      <w:r>
        <w:rPr>
          <w:rFonts w:hint="cs"/>
          <w:u w:val="single"/>
          <w:rtl/>
        </w:rPr>
        <w:t>הנאשם</w:t>
      </w:r>
      <w:r>
        <w:rPr>
          <w:rFonts w:hint="cs"/>
          <w:rtl/>
        </w:rPr>
        <w:t xml:space="preserve"> ב"דברו האחרון" אמר שהוא מבקש סליחה, מצטער ומבקש עזרת ביהמ"ש. </w:t>
      </w:r>
    </w:p>
    <w:p w14:paraId="02F33099" w14:textId="77777777" w:rsidR="00CB465A" w:rsidRDefault="00CB465A">
      <w:pPr>
        <w:spacing w:line="360" w:lineRule="auto"/>
        <w:jc w:val="both"/>
        <w:rPr>
          <w:rtl/>
        </w:rPr>
      </w:pPr>
    </w:p>
    <w:p w14:paraId="469C206B" w14:textId="77777777" w:rsidR="00CB465A" w:rsidRDefault="0020163F">
      <w:pPr>
        <w:spacing w:line="360" w:lineRule="auto"/>
        <w:jc w:val="both"/>
        <w:rPr>
          <w:b/>
          <w:bCs/>
          <w:u w:val="single"/>
          <w:rtl/>
        </w:rPr>
      </w:pPr>
      <w:r>
        <w:rPr>
          <w:rFonts w:hint="cs"/>
          <w:b/>
          <w:bCs/>
          <w:u w:val="single"/>
          <w:rtl/>
        </w:rPr>
        <w:t>ה. דיון</w:t>
      </w:r>
    </w:p>
    <w:p w14:paraId="6E94839C" w14:textId="77777777" w:rsidR="00CB465A" w:rsidRDefault="0020163F">
      <w:pPr>
        <w:spacing w:line="360" w:lineRule="auto"/>
        <w:ind w:left="720" w:hanging="720"/>
        <w:jc w:val="both"/>
        <w:rPr>
          <w:rtl/>
        </w:rPr>
      </w:pPr>
      <w:r>
        <w:rPr>
          <w:rFonts w:hint="cs"/>
          <w:rtl/>
        </w:rPr>
        <w:t>10.</w:t>
      </w:r>
      <w:r>
        <w:rPr>
          <w:rFonts w:hint="cs"/>
          <w:rtl/>
        </w:rPr>
        <w:tab/>
        <w:t xml:space="preserve">עבירות בנשק היו לנגע חמור בחברה, הטומן בחובו סיכונים רבים. </w:t>
      </w:r>
    </w:p>
    <w:p w14:paraId="5289E73D" w14:textId="77777777" w:rsidR="00CB465A" w:rsidRDefault="0020163F">
      <w:pPr>
        <w:spacing w:line="360" w:lineRule="auto"/>
        <w:ind w:left="720"/>
        <w:jc w:val="both"/>
        <w:rPr>
          <w:rStyle w:val="normal-h"/>
          <w:rtl/>
        </w:rPr>
      </w:pPr>
      <w:r>
        <w:rPr>
          <w:rFonts w:hint="cs"/>
          <w:rtl/>
        </w:rPr>
        <w:t xml:space="preserve">נאמר לא אחת כי יש מקום להילחם בתופעה של החזקת נשק בידי גורמים בלתי מורשים, נוכח הסכנות הרבות הטמונות בכך שנשק זה עלול להתגלגל לידי עבריינים ולשמש כלי </w:t>
      </w:r>
      <w:r>
        <w:rPr>
          <w:rStyle w:val="normal-h"/>
          <w:rFonts w:hint="cs"/>
          <w:rtl/>
        </w:rPr>
        <w:t>קטלני.</w:t>
      </w:r>
    </w:p>
    <w:p w14:paraId="0F78FAD6" w14:textId="77777777" w:rsidR="00CB465A" w:rsidRDefault="00CB465A">
      <w:pPr>
        <w:spacing w:line="360" w:lineRule="auto"/>
        <w:ind w:left="720"/>
        <w:jc w:val="both"/>
        <w:rPr>
          <w:rStyle w:val="normal-h"/>
          <w:rtl/>
        </w:rPr>
      </w:pPr>
    </w:p>
    <w:p w14:paraId="2F3B97E5" w14:textId="77777777" w:rsidR="00CB465A" w:rsidRDefault="0020163F">
      <w:pPr>
        <w:ind w:left="720"/>
        <w:rPr>
          <w:rtl/>
        </w:rPr>
      </w:pPr>
      <w:r>
        <w:rPr>
          <w:rFonts w:hint="cs"/>
          <w:rtl/>
        </w:rPr>
        <w:t>ב</w:t>
      </w:r>
      <w:hyperlink r:id="rId8" w:history="1">
        <w:r w:rsidR="00B5637F" w:rsidRPr="00B5637F">
          <w:rPr>
            <w:rStyle w:val="Hyperlink"/>
            <w:rtl/>
          </w:rPr>
          <w:t>רע"פ 2718/04</w:t>
        </w:r>
      </w:hyperlink>
      <w:r>
        <w:rPr>
          <w:rFonts w:hint="cs"/>
          <w:rtl/>
        </w:rPr>
        <w:t xml:space="preserve"> </w:t>
      </w:r>
      <w:r>
        <w:rPr>
          <w:rFonts w:hint="cs"/>
          <w:b/>
          <w:bCs/>
          <w:rtl/>
        </w:rPr>
        <w:t>אבו דאחל נ' מדינת ישראל</w:t>
      </w:r>
      <w:r>
        <w:rPr>
          <w:rFonts w:hint="cs"/>
          <w:rtl/>
        </w:rPr>
        <w:t xml:space="preserve"> (לא פורסם) ציין כב' השופט ג'ובראן:</w:t>
      </w:r>
    </w:p>
    <w:p w14:paraId="1C3EEFDB" w14:textId="77777777" w:rsidR="00CB465A" w:rsidRDefault="00CB465A">
      <w:pPr>
        <w:rPr>
          <w:rtl/>
        </w:rPr>
      </w:pPr>
    </w:p>
    <w:p w14:paraId="358458DC" w14:textId="77777777" w:rsidR="00CB465A" w:rsidRDefault="0020163F">
      <w:pPr>
        <w:spacing w:line="360" w:lineRule="auto"/>
        <w:ind w:left="1440" w:right="1400" w:hanging="720"/>
        <w:jc w:val="both"/>
        <w:rPr>
          <w:b/>
          <w:bCs/>
          <w:rtl/>
        </w:rPr>
      </w:pPr>
      <w:r>
        <w:rPr>
          <w:rtl/>
        </w:rPr>
        <w:tab/>
      </w:r>
      <w:r>
        <w:rPr>
          <w:rFonts w:hint="cs"/>
          <w:b/>
          <w:b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sidR="00B5637F">
        <w:rPr>
          <w:rFonts w:hint="cs"/>
          <w:b/>
          <w:bCs/>
          <w:rtl/>
        </w:rPr>
        <w:t xml:space="preserve"> </w:t>
      </w:r>
    </w:p>
    <w:p w14:paraId="3151C185" w14:textId="77777777" w:rsidR="00CB465A" w:rsidRDefault="00CB465A">
      <w:pPr>
        <w:spacing w:line="360" w:lineRule="auto"/>
        <w:ind w:right="1400"/>
        <w:jc w:val="both"/>
        <w:rPr>
          <w:b/>
          <w:bCs/>
          <w:rtl/>
        </w:rPr>
      </w:pPr>
    </w:p>
    <w:p w14:paraId="2879DDBD" w14:textId="77777777" w:rsidR="00CB465A" w:rsidRDefault="0020163F">
      <w:pPr>
        <w:ind w:left="720" w:hanging="720"/>
        <w:rPr>
          <w:rtl/>
        </w:rPr>
      </w:pPr>
      <w:r>
        <w:rPr>
          <w:rtl/>
        </w:rPr>
        <w:tab/>
      </w:r>
      <w:r>
        <w:rPr>
          <w:rFonts w:hint="cs"/>
          <w:rtl/>
        </w:rPr>
        <w:t>ב</w:t>
      </w:r>
      <w:hyperlink r:id="rId9" w:history="1">
        <w:r w:rsidR="00B5637F" w:rsidRPr="00B5637F">
          <w:rPr>
            <w:rStyle w:val="Hyperlink"/>
            <w:rtl/>
          </w:rPr>
          <w:t>רע"פ 5921/08</w:t>
        </w:r>
      </w:hyperlink>
      <w:r>
        <w:rPr>
          <w:rFonts w:hint="cs"/>
          <w:rtl/>
        </w:rPr>
        <w:t xml:space="preserve"> </w:t>
      </w:r>
      <w:r>
        <w:rPr>
          <w:rFonts w:hint="cs"/>
          <w:b/>
          <w:bCs/>
          <w:rtl/>
        </w:rPr>
        <w:t>רג'בי נ' מדינת ישראל</w:t>
      </w:r>
      <w:r>
        <w:rPr>
          <w:rFonts w:hint="cs"/>
          <w:rtl/>
        </w:rPr>
        <w:t xml:space="preserve"> (לא פורסם) נאמר:</w:t>
      </w:r>
      <w:r w:rsidR="00B5637F">
        <w:rPr>
          <w:rFonts w:hint="cs"/>
          <w:rtl/>
        </w:rPr>
        <w:t xml:space="preserve"> </w:t>
      </w:r>
    </w:p>
    <w:p w14:paraId="663C6E01" w14:textId="77777777" w:rsidR="00CB465A" w:rsidRDefault="00CB465A">
      <w:pPr>
        <w:rPr>
          <w:rtl/>
        </w:rPr>
      </w:pPr>
    </w:p>
    <w:p w14:paraId="37550E1B" w14:textId="77777777" w:rsidR="00CB465A" w:rsidRDefault="0020163F">
      <w:pPr>
        <w:spacing w:line="360" w:lineRule="auto"/>
        <w:ind w:left="1440" w:right="1386"/>
        <w:jc w:val="both"/>
        <w:rPr>
          <w:b/>
          <w:bCs/>
          <w:rtl/>
        </w:rPr>
      </w:pPr>
      <w:r>
        <w:rPr>
          <w:rFonts w:hint="cs"/>
          <w:b/>
          <w:bCs/>
          <w:rtl/>
        </w:rPr>
        <w:t>"החזקה של כלי נשק על-ידי מי שאינו מורשה בכך יש פוטנציאל להוביל להסלמה חמורה ולתוצאות קשות של כל אירעו בו יהיה מעורב אותו נושא נשק, וזאת אף מקום שהנשק מוחזק אך למטרות, 'הגנה עצמית בלבד''.</w:t>
      </w:r>
    </w:p>
    <w:p w14:paraId="550AF14E" w14:textId="77777777" w:rsidR="00CB465A" w:rsidRDefault="00CB465A">
      <w:pPr>
        <w:spacing w:line="360" w:lineRule="auto"/>
        <w:ind w:right="1386"/>
        <w:jc w:val="both"/>
        <w:rPr>
          <w:b/>
          <w:bCs/>
          <w:rtl/>
        </w:rPr>
      </w:pPr>
    </w:p>
    <w:p w14:paraId="1FD832D3" w14:textId="77777777" w:rsidR="00CB465A" w:rsidRDefault="00CB465A">
      <w:pPr>
        <w:spacing w:line="360" w:lineRule="auto"/>
        <w:ind w:right="1386"/>
        <w:jc w:val="both"/>
        <w:rPr>
          <w:b/>
          <w:bCs/>
          <w:rtl/>
        </w:rPr>
      </w:pPr>
    </w:p>
    <w:p w14:paraId="44229B4C" w14:textId="77777777" w:rsidR="00CB465A" w:rsidRDefault="00CB465A">
      <w:pPr>
        <w:spacing w:line="360" w:lineRule="auto"/>
        <w:ind w:right="1386"/>
        <w:jc w:val="both"/>
        <w:rPr>
          <w:b/>
          <w:bCs/>
          <w:rtl/>
        </w:rPr>
      </w:pPr>
    </w:p>
    <w:p w14:paraId="7EAC99DB" w14:textId="77777777" w:rsidR="00CB465A" w:rsidRDefault="0020163F">
      <w:pPr>
        <w:spacing w:line="360" w:lineRule="auto"/>
        <w:ind w:left="720" w:hanging="720"/>
        <w:jc w:val="both"/>
        <w:rPr>
          <w:rtl/>
        </w:rPr>
      </w:pPr>
      <w:r>
        <w:rPr>
          <w:rtl/>
        </w:rPr>
        <w:tab/>
      </w:r>
      <w:r>
        <w:rPr>
          <w:rFonts w:hint="cs"/>
          <w:rtl/>
        </w:rPr>
        <w:t>ב</w:t>
      </w:r>
      <w:r w:rsidRPr="007275BE">
        <w:rPr>
          <w:color w:val="000000"/>
          <w:rtl/>
        </w:rPr>
        <w:t>ע"פ 1332/04 מדינת ישראל נ' פס, פ"ד נח</w:t>
      </w:r>
      <w:r>
        <w:rPr>
          <w:rFonts w:hint="cs"/>
          <w:rtl/>
        </w:rPr>
        <w:t>(5) 541, 545 אמר ביהמ"ש העליון:</w:t>
      </w:r>
    </w:p>
    <w:p w14:paraId="3E97724D" w14:textId="77777777" w:rsidR="00CB465A" w:rsidRDefault="0020163F">
      <w:pPr>
        <w:spacing w:line="360" w:lineRule="auto"/>
        <w:ind w:left="1440" w:right="1414"/>
        <w:jc w:val="both"/>
        <w:rPr>
          <w:b/>
          <w:bCs/>
          <w:rtl/>
        </w:rPr>
      </w:pPr>
      <w:r>
        <w:rPr>
          <w:rFonts w:hint="cs"/>
          <w:b/>
          <w:bCs/>
          <w:rtl/>
        </w:rPr>
        <w:t xml:space="preserve">"גם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r w:rsidR="00B5637F">
        <w:rPr>
          <w:rFonts w:hint="cs"/>
          <w:b/>
          <w:bCs/>
          <w:rtl/>
        </w:rPr>
        <w:t xml:space="preserve"> </w:t>
      </w:r>
    </w:p>
    <w:p w14:paraId="5308C4AB" w14:textId="77777777" w:rsidR="00CB465A" w:rsidRDefault="0020163F">
      <w:pPr>
        <w:rPr>
          <w:rtl/>
        </w:rPr>
      </w:pPr>
      <w:r>
        <w:rPr>
          <w:rFonts w:hint="cs"/>
          <w:rtl/>
        </w:rPr>
        <w:tab/>
      </w:r>
    </w:p>
    <w:p w14:paraId="126DC604" w14:textId="77777777" w:rsidR="00CB465A" w:rsidRDefault="0020163F">
      <w:pPr>
        <w:ind w:left="720" w:hanging="720"/>
        <w:rPr>
          <w:rtl/>
        </w:rPr>
      </w:pPr>
      <w:r>
        <w:rPr>
          <w:rtl/>
        </w:rPr>
        <w:tab/>
      </w:r>
      <w:r>
        <w:rPr>
          <w:rFonts w:hint="cs"/>
          <w:rtl/>
        </w:rPr>
        <w:t>ב</w:t>
      </w:r>
      <w:hyperlink r:id="rId10" w:history="1">
        <w:r w:rsidR="00B5637F" w:rsidRPr="00B5637F">
          <w:rPr>
            <w:rStyle w:val="Hyperlink"/>
            <w:rtl/>
          </w:rPr>
          <w:t>ע"פ 5220/09</w:t>
        </w:r>
      </w:hyperlink>
      <w:r>
        <w:rPr>
          <w:rFonts w:hint="cs"/>
          <w:rtl/>
        </w:rPr>
        <w:t xml:space="preserve"> </w:t>
      </w:r>
      <w:r>
        <w:rPr>
          <w:rFonts w:hint="cs"/>
          <w:b/>
          <w:bCs/>
          <w:rtl/>
        </w:rPr>
        <w:t>הייתם עוואודה נ' מדינת ישראל</w:t>
      </w:r>
      <w:r>
        <w:rPr>
          <w:rFonts w:hint="cs"/>
          <w:rtl/>
        </w:rPr>
        <w:t>, נאמר:</w:t>
      </w:r>
    </w:p>
    <w:p w14:paraId="18523E87" w14:textId="77777777" w:rsidR="00CB465A" w:rsidRDefault="00CB465A">
      <w:pPr>
        <w:rPr>
          <w:rtl/>
        </w:rPr>
      </w:pPr>
    </w:p>
    <w:p w14:paraId="263587ED" w14:textId="77777777" w:rsidR="00CB465A" w:rsidRDefault="0020163F">
      <w:pPr>
        <w:spacing w:line="360" w:lineRule="auto"/>
        <w:ind w:left="1440" w:right="1400" w:hanging="720"/>
        <w:jc w:val="both"/>
        <w:rPr>
          <w:b/>
          <w:bCs/>
          <w:rtl/>
        </w:rPr>
      </w:pPr>
      <w:r>
        <w:rPr>
          <w:b/>
          <w:bCs/>
          <w:rtl/>
        </w:rPr>
        <w:tab/>
      </w:r>
      <w:r>
        <w:rPr>
          <w:rFonts w:hint="cs"/>
          <w:b/>
          <w:bCs/>
          <w:rtl/>
        </w:rPr>
        <w:t xml:space="preserve">"דרך המלך בכגון דא, בסופו של יום, צריכה להיות ככלל מאסר מאחורי סורג ובריח, וזאת </w:t>
      </w:r>
      <w:r w:rsidR="00B5637F">
        <w:rPr>
          <w:rFonts w:hint="cs"/>
          <w:b/>
          <w:bCs/>
          <w:rtl/>
        </w:rPr>
        <w:t xml:space="preserve"> </w:t>
      </w:r>
      <w:r>
        <w:rPr>
          <w:rFonts w:hint="cs"/>
          <w:b/>
          <w:bCs/>
          <w:rtl/>
        </w:rPr>
        <w:t xml:space="preserve">בראש וראשונה להרתעת היחיד והרבים: אורך התקופה כרוך כמובן בנסיבות הספציפיות של העושה והמעשה". </w:t>
      </w:r>
    </w:p>
    <w:p w14:paraId="6EAC627E" w14:textId="77777777" w:rsidR="00CB465A" w:rsidRDefault="0020163F">
      <w:pPr>
        <w:spacing w:line="360" w:lineRule="auto"/>
        <w:ind w:left="1440" w:right="1400" w:hanging="720"/>
        <w:jc w:val="both"/>
        <w:rPr>
          <w:b/>
          <w:bCs/>
          <w:rtl/>
        </w:rPr>
      </w:pPr>
      <w:r>
        <w:rPr>
          <w:rtl/>
        </w:rPr>
        <w:tab/>
      </w:r>
      <w:r>
        <w:rPr>
          <w:rFonts w:hint="cs"/>
          <w:rtl/>
        </w:rPr>
        <w:t>וכן:</w:t>
      </w:r>
      <w:r>
        <w:rPr>
          <w:rFonts w:hint="cs"/>
          <w:b/>
          <w:bCs/>
          <w:rtl/>
        </w:rPr>
        <w:t xml:space="preserve">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p>
    <w:p w14:paraId="664B5BFB" w14:textId="77777777" w:rsidR="00CB465A" w:rsidRDefault="00CB465A">
      <w:pPr>
        <w:rPr>
          <w:rtl/>
        </w:rPr>
      </w:pPr>
    </w:p>
    <w:p w14:paraId="74148EB6" w14:textId="77777777" w:rsidR="00CB465A" w:rsidRDefault="0020163F">
      <w:pPr>
        <w:ind w:left="720" w:hanging="720"/>
        <w:rPr>
          <w:rtl/>
        </w:rPr>
      </w:pPr>
      <w:r>
        <w:rPr>
          <w:rtl/>
        </w:rPr>
        <w:tab/>
      </w:r>
      <w:r>
        <w:rPr>
          <w:rFonts w:hint="cs"/>
          <w:rtl/>
        </w:rPr>
        <w:t xml:space="preserve">עוד נקבע כי: </w:t>
      </w:r>
    </w:p>
    <w:p w14:paraId="53B3D6D9" w14:textId="77777777" w:rsidR="00CB465A" w:rsidRDefault="00CB465A">
      <w:pPr>
        <w:rPr>
          <w:rtl/>
        </w:rPr>
      </w:pPr>
    </w:p>
    <w:p w14:paraId="3546310D" w14:textId="77777777" w:rsidR="00CB465A" w:rsidRDefault="0020163F">
      <w:pPr>
        <w:spacing w:line="360" w:lineRule="auto"/>
        <w:ind w:left="1440" w:right="1372" w:hanging="720"/>
        <w:jc w:val="both"/>
        <w:rPr>
          <w:b/>
          <w:bCs/>
          <w:rtl/>
        </w:rPr>
      </w:pPr>
      <w:r>
        <w:rPr>
          <w:b/>
          <w:bCs/>
          <w:rtl/>
        </w:rPr>
        <w:tab/>
      </w:r>
      <w:r>
        <w:rPr>
          <w:rFonts w:hint="cs"/>
          <w:b/>
          <w:bCs/>
          <w:rtl/>
        </w:rPr>
        <w:t>"יש להרים תרומה מספקת לעקירת התופעה של החזקת נשק שלא כדין, אשר לצערנו התפשטה במחוזותינו, ולהטיל עונש מאסר גם על מי שזו עבירתו הראשונה".</w:t>
      </w:r>
      <w:r w:rsidR="00B5637F">
        <w:rPr>
          <w:rFonts w:hint="cs"/>
          <w:b/>
          <w:bCs/>
          <w:rtl/>
        </w:rPr>
        <w:t xml:space="preserve"> </w:t>
      </w:r>
    </w:p>
    <w:p w14:paraId="60D4A0FA" w14:textId="77777777" w:rsidR="00CB465A" w:rsidRDefault="0020163F">
      <w:pPr>
        <w:pStyle w:val="normal-p"/>
        <w:bidi/>
        <w:spacing w:line="360" w:lineRule="auto"/>
        <w:ind w:left="720" w:hanging="720"/>
        <w:jc w:val="both"/>
        <w:rPr>
          <w:rtl/>
        </w:rPr>
      </w:pPr>
      <w:r>
        <w:rPr>
          <w:rStyle w:val="normal-h"/>
          <w:rFonts w:cs="David" w:hint="cs"/>
          <w:rtl/>
        </w:rPr>
        <w:tab/>
        <w:t xml:space="preserve">ראו גם: </w:t>
      </w:r>
      <w:hyperlink r:id="rId11" w:history="1">
        <w:r w:rsidR="00B5637F" w:rsidRPr="00B5637F">
          <w:rPr>
            <w:rStyle w:val="Hyperlink"/>
            <w:rFonts w:cs="David"/>
            <w:rtl/>
          </w:rPr>
          <w:t>ע"פ 4329/10</w:t>
        </w:r>
      </w:hyperlink>
      <w:r>
        <w:rPr>
          <w:rStyle w:val="normal-h"/>
          <w:rFonts w:cs="David" w:hint="cs"/>
          <w:rtl/>
        </w:rPr>
        <w:t xml:space="preserve"> </w:t>
      </w:r>
      <w:r>
        <w:rPr>
          <w:rStyle w:val="normal-h"/>
          <w:rFonts w:cs="David" w:hint="cs"/>
          <w:b/>
          <w:bCs/>
          <w:rtl/>
        </w:rPr>
        <w:t>מוחמד אסמאעיל נ' מדינת ישראל</w:t>
      </w:r>
      <w:r>
        <w:rPr>
          <w:rStyle w:val="normal-h"/>
          <w:rFonts w:cs="David" w:hint="cs"/>
          <w:rtl/>
        </w:rPr>
        <w:t xml:space="preserve"> (ניתן ב- 25.10.10), שם נדחה ערעורו של סטודנט צעיר, ללא עבר פלילי, שנדון בעקבות הודאתו בנשיאת אקדח ל- 20 חודשי מאסר בפועל, 16 חודשים מאסר על תנאי וקנס בסך 10,000 ₪.</w:t>
      </w:r>
    </w:p>
    <w:p w14:paraId="58308E2E" w14:textId="77777777" w:rsidR="00CB465A" w:rsidRDefault="0020163F">
      <w:pPr>
        <w:spacing w:line="360" w:lineRule="auto"/>
        <w:ind w:left="720" w:hanging="720"/>
        <w:jc w:val="both"/>
        <w:rPr>
          <w:rtl/>
        </w:rPr>
      </w:pPr>
      <w:r>
        <w:rPr>
          <w:rtl/>
        </w:rPr>
        <w:tab/>
      </w:r>
      <w:r>
        <w:rPr>
          <w:rFonts w:hint="cs"/>
          <w:rtl/>
        </w:rPr>
        <w:t>ב</w:t>
      </w:r>
      <w:hyperlink r:id="rId12" w:history="1">
        <w:r w:rsidR="00B5637F" w:rsidRPr="00B5637F">
          <w:rPr>
            <w:rStyle w:val="Hyperlink"/>
            <w:rtl/>
          </w:rPr>
          <w:t>ע"פ 761/07</w:t>
        </w:r>
      </w:hyperlink>
      <w:r>
        <w:rPr>
          <w:rFonts w:hint="cs"/>
          <w:rtl/>
        </w:rPr>
        <w:t xml:space="preserve"> </w:t>
      </w:r>
      <w:r>
        <w:rPr>
          <w:rFonts w:hint="cs"/>
          <w:b/>
          <w:bCs/>
          <w:rtl/>
        </w:rPr>
        <w:t>מ"י נ' אדרי</w:t>
      </w:r>
      <w:r>
        <w:rPr>
          <w:rFonts w:hint="cs"/>
          <w:rtl/>
        </w:rPr>
        <w:t xml:space="preserve"> (ניתן ב- 22.02.07) המשיב נתפס כשברשותו אקדח, מחסנית ותחמושת שהוחבאו במקום מוצנע על גופו. ביהמ"ש העליון אשר קיבל את ערעור המדינה, הורה על הכפלת עונש המאסר בפועל שנגזר על המשיב משנה לשנתיים, וקבע: </w:t>
      </w:r>
    </w:p>
    <w:p w14:paraId="59CB621C" w14:textId="77777777" w:rsidR="00CB465A" w:rsidRDefault="0020163F">
      <w:pPr>
        <w:spacing w:line="360" w:lineRule="auto"/>
        <w:ind w:left="1440" w:right="1372" w:hanging="720"/>
        <w:jc w:val="both"/>
        <w:rPr>
          <w:rtl/>
        </w:rPr>
      </w:pPr>
      <w:r>
        <w:rPr>
          <w:rtl/>
        </w:rPr>
        <w:tab/>
      </w:r>
      <w:r>
        <w:rPr>
          <w:rFonts w:hint="cs"/>
          <w:b/>
          <w:b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r>
        <w:rPr>
          <w:rFonts w:hint="cs"/>
          <w:rtl/>
        </w:rPr>
        <w:t>".</w:t>
      </w:r>
    </w:p>
    <w:p w14:paraId="6A7FBF7C" w14:textId="77777777" w:rsidR="00CB465A" w:rsidRDefault="00CB465A">
      <w:pPr>
        <w:spacing w:line="360" w:lineRule="auto"/>
        <w:ind w:left="1134" w:right="1134"/>
        <w:jc w:val="both"/>
        <w:rPr>
          <w:rtl/>
        </w:rPr>
      </w:pPr>
    </w:p>
    <w:p w14:paraId="41E1E6CB" w14:textId="77777777" w:rsidR="00CB465A" w:rsidRDefault="0020163F">
      <w:pPr>
        <w:spacing w:line="360" w:lineRule="auto"/>
        <w:ind w:left="720"/>
        <w:jc w:val="both"/>
        <w:rPr>
          <w:rtl/>
        </w:rPr>
      </w:pPr>
      <w:r>
        <w:rPr>
          <w:rFonts w:hint="cs"/>
          <w:rtl/>
        </w:rPr>
        <w:t>ב</w:t>
      </w:r>
      <w:hyperlink r:id="rId13" w:history="1">
        <w:r w:rsidR="00B5637F" w:rsidRPr="00B5637F">
          <w:rPr>
            <w:rStyle w:val="Hyperlink"/>
            <w:rtl/>
          </w:rPr>
          <w:t>ת"פ 37918-09-10</w:t>
        </w:r>
      </w:hyperlink>
      <w:r>
        <w:rPr>
          <w:rFonts w:hint="cs"/>
          <w:rtl/>
        </w:rPr>
        <w:t xml:space="preserve"> </w:t>
      </w:r>
      <w:r>
        <w:rPr>
          <w:rFonts w:hint="cs"/>
          <w:b/>
          <w:bCs/>
          <w:rtl/>
        </w:rPr>
        <w:t>מ"י נ' אגבריה</w:t>
      </w:r>
      <w:r>
        <w:rPr>
          <w:rFonts w:hint="cs"/>
          <w:rtl/>
        </w:rPr>
        <w:t xml:space="preserve"> (שניתן על-ידי ב- 10.3.11) דובר בנאשם צעיר, כבן 20 וחצי, שעברו נקי והייתה לו זו הסתבכות ראשונה עם החוק. הוא נתפס עם אחיו כשברשותם רובה מסוג קלצ'ניקוב ומחסנית תואמת שהוחבאו בתוך תיק ברכב, בעודם נוסעים בעיבורה של עיר. בגזר הדין השתתי עליו 28 חודשי מאסר, מתוכם 16 בפועל והיתר על תנאי.  </w:t>
      </w:r>
    </w:p>
    <w:p w14:paraId="125FBF0F" w14:textId="77777777" w:rsidR="00CB465A" w:rsidRDefault="00CB465A">
      <w:pPr>
        <w:spacing w:line="360" w:lineRule="auto"/>
        <w:ind w:left="720"/>
        <w:jc w:val="both"/>
        <w:rPr>
          <w:rtl/>
        </w:rPr>
      </w:pPr>
    </w:p>
    <w:p w14:paraId="7E315699" w14:textId="77777777" w:rsidR="00CB465A" w:rsidRDefault="0020163F">
      <w:pPr>
        <w:spacing w:line="360" w:lineRule="auto"/>
        <w:ind w:left="720" w:hanging="720"/>
        <w:jc w:val="both"/>
        <w:rPr>
          <w:rStyle w:val="normal-p-h1"/>
          <w:rtl/>
        </w:rPr>
      </w:pPr>
      <w:r>
        <w:rPr>
          <w:rFonts w:hint="cs"/>
          <w:rtl/>
        </w:rPr>
        <w:t>11.</w:t>
      </w:r>
      <w:r>
        <w:rPr>
          <w:rFonts w:hint="cs"/>
          <w:rtl/>
        </w:rPr>
        <w:tab/>
        <w:t xml:space="preserve">לא אחת נשמעות מפי נאשמים, שנתפסים על ידי המשטרה נושאים בנשק שלא כדין, כי היו בדרכם להביאו לגורמי החוק. טענה זו יש לבחון בקב של חומטין. גרסת הנאשם, גם אם נאמרה מיד כשנתפס "על חם" על ידי המשטרה, נסתרת בעובדות ובהגיון הדברים. נשק שיש לו ערך כלכלי, איננו מושלך ברשות הרבים. כדי לבדוק אם מדובר בנשק אין שום הגיון לירות </w:t>
      </w:r>
      <w:r>
        <w:rPr>
          <w:rFonts w:hint="cs"/>
          <w:u w:val="single"/>
          <w:rtl/>
        </w:rPr>
        <w:t>11</w:t>
      </w:r>
      <w:r>
        <w:rPr>
          <w:rFonts w:hint="cs"/>
          <w:rtl/>
        </w:rPr>
        <w:t xml:space="preserve"> כדורים. כמפורט בעובדות כתב האישום בהן הודה הנאשם, היריות בוצעו למעלה משעה לפני שהנאשם נתפס בכף. גם הסנגור ציין כי תחנת המשטרה נמצאת במרחק קצר,  ממקום בו טען הנאשם כי מצא את הנשק. הנאשם לא פנה מיד למשטרה כשמצא לדבריו חבילה חשודה ולא התקשר למשטרה גם כשגילה לדבריו שמדובר בנשק. הוא ירה בנשק, החזיק בנשק כשהוא דרוך ומוכן לירי והובילו ברכב. </w:t>
      </w:r>
    </w:p>
    <w:p w14:paraId="45D4159B" w14:textId="77777777" w:rsidR="00CB465A" w:rsidRDefault="0020163F">
      <w:pPr>
        <w:spacing w:line="360" w:lineRule="auto"/>
        <w:ind w:left="720"/>
        <w:jc w:val="both"/>
        <w:rPr>
          <w:rStyle w:val="normal-p-h1"/>
          <w:rtl/>
        </w:rPr>
      </w:pPr>
      <w:r>
        <w:rPr>
          <w:rStyle w:val="normal-p-h1"/>
          <w:rFonts w:hint="cs"/>
          <w:rtl/>
        </w:rPr>
        <w:t xml:space="preserve">הנסיבות דנן - נאשם שהחזיק שלא כדין נשק קטלני ותחמושת, ירה באקדח בעיבורי עיר ואף נשא אותו ברכב כשהוא דרוך ומוכן לירי - מצדיקות ענישה מחמירה. שימוש בנשק קטלני, גם אם לא נעשה בכוונה לפגוע באדם או ברכוש, הינו מסוכן, עלול לגרום לפגיעות חמורות ומצדיק החמרה בענישה, מעבר לזו הראוי לה מי שרק החזיק והוביל נשק. </w:t>
      </w:r>
    </w:p>
    <w:p w14:paraId="744DB60B" w14:textId="77777777" w:rsidR="00CB465A" w:rsidRDefault="00CB465A">
      <w:pPr>
        <w:spacing w:line="360" w:lineRule="auto"/>
        <w:rPr>
          <w:b/>
          <w:bCs/>
          <w:u w:val="single"/>
          <w:rtl/>
        </w:rPr>
      </w:pPr>
    </w:p>
    <w:p w14:paraId="644DC2EC" w14:textId="77777777" w:rsidR="00CB465A" w:rsidRDefault="0020163F">
      <w:pPr>
        <w:spacing w:line="360" w:lineRule="auto"/>
        <w:ind w:left="720" w:hanging="720"/>
        <w:jc w:val="both"/>
        <w:rPr>
          <w:rtl/>
        </w:rPr>
      </w:pPr>
      <w:r>
        <w:rPr>
          <w:rFonts w:hint="cs"/>
          <w:rtl/>
        </w:rPr>
        <w:t>12.</w:t>
      </w:r>
      <w:r>
        <w:rPr>
          <w:rFonts w:hint="cs"/>
          <w:rtl/>
        </w:rPr>
        <w:tab/>
        <w:t>מנגד, אשקול את הנסיבות לקולה שיש לנאשם. בפרט עברו הנקי, חרטתו, הודאתו בהזדמנות הראשונה</w:t>
      </w:r>
      <w:r>
        <w:rPr>
          <w:rFonts w:hint="cs"/>
          <w:b/>
          <w:bCs/>
          <w:rtl/>
        </w:rPr>
        <w:t xml:space="preserve"> </w:t>
      </w:r>
      <w:r>
        <w:rPr>
          <w:rFonts w:hint="cs"/>
          <w:rtl/>
        </w:rPr>
        <w:t xml:space="preserve">והעובדה שעל אף הנסיבות המשפחתיות הקשות הנאשם ניהל אורח חיים נורמטיבי. </w:t>
      </w:r>
    </w:p>
    <w:p w14:paraId="163BCC8D" w14:textId="77777777" w:rsidR="00CB465A" w:rsidRDefault="00CB465A">
      <w:pPr>
        <w:spacing w:line="360" w:lineRule="auto"/>
        <w:rPr>
          <w:b/>
          <w:bCs/>
          <w:u w:val="single"/>
          <w:rtl/>
        </w:rPr>
      </w:pPr>
    </w:p>
    <w:p w14:paraId="0F22F785" w14:textId="77777777" w:rsidR="00CB465A" w:rsidRDefault="0020163F">
      <w:pPr>
        <w:spacing w:line="360" w:lineRule="auto"/>
        <w:rPr>
          <w:b/>
          <w:bCs/>
          <w:u w:val="single"/>
          <w:rtl/>
        </w:rPr>
      </w:pPr>
      <w:r>
        <w:rPr>
          <w:rFonts w:hint="cs"/>
          <w:b/>
          <w:bCs/>
          <w:u w:val="single"/>
          <w:rtl/>
        </w:rPr>
        <w:t>ו. העונש</w:t>
      </w:r>
    </w:p>
    <w:p w14:paraId="4B7E68EE" w14:textId="77777777" w:rsidR="00CB465A" w:rsidRDefault="0020163F">
      <w:pPr>
        <w:spacing w:line="360" w:lineRule="auto"/>
        <w:ind w:left="720" w:hanging="720"/>
        <w:jc w:val="both"/>
        <w:rPr>
          <w:rtl/>
        </w:rPr>
      </w:pPr>
      <w:r>
        <w:rPr>
          <w:rFonts w:hint="cs"/>
          <w:rtl/>
        </w:rPr>
        <w:t>13.</w:t>
      </w:r>
      <w:r>
        <w:rPr>
          <w:rFonts w:hint="cs"/>
          <w:rtl/>
        </w:rPr>
        <w:tab/>
        <w:t xml:space="preserve">לאחר ששקלתי את מלוא הנסיבות ואת טענות הצדדים לחומרה ולקולא, הנני גוזרת על </w:t>
      </w:r>
    </w:p>
    <w:p w14:paraId="4B8C5477" w14:textId="77777777" w:rsidR="00CB465A" w:rsidRDefault="0020163F">
      <w:pPr>
        <w:spacing w:line="360" w:lineRule="auto"/>
        <w:ind w:left="720"/>
        <w:jc w:val="both"/>
        <w:rPr>
          <w:rtl/>
        </w:rPr>
      </w:pPr>
      <w:r>
        <w:rPr>
          <w:rFonts w:hint="cs"/>
          <w:rtl/>
        </w:rPr>
        <w:t>הנאשם את העונשים כדלקמן:</w:t>
      </w:r>
    </w:p>
    <w:p w14:paraId="6191498C" w14:textId="77777777" w:rsidR="00CB465A" w:rsidRDefault="0020163F">
      <w:pPr>
        <w:spacing w:line="360" w:lineRule="auto"/>
        <w:ind w:left="720" w:hanging="720"/>
        <w:jc w:val="both"/>
        <w:rPr>
          <w:rtl/>
        </w:rPr>
      </w:pPr>
      <w:r>
        <w:rPr>
          <w:rFonts w:hint="cs"/>
          <w:rtl/>
        </w:rPr>
        <w:tab/>
        <w:t xml:space="preserve">30 חודשי מאסר, מתוכם 20 חודשי מאסר בפועל והיתרה על תנאי. התנאי לבל יעבור בתוך 3 שנים עבירה בנשק. תקופת המאסר בפועל תימנה מיום מעצרו 26.2.12. </w:t>
      </w:r>
    </w:p>
    <w:p w14:paraId="1DBF646A" w14:textId="77777777" w:rsidR="00CB465A" w:rsidRDefault="00CB465A">
      <w:pPr>
        <w:spacing w:line="360" w:lineRule="auto"/>
        <w:rPr>
          <w:rtl/>
        </w:rPr>
      </w:pPr>
    </w:p>
    <w:p w14:paraId="527C0734" w14:textId="77777777" w:rsidR="00CB465A" w:rsidRDefault="0020163F">
      <w:pPr>
        <w:spacing w:line="360" w:lineRule="auto"/>
        <w:ind w:left="720" w:hanging="720"/>
        <w:jc w:val="both"/>
        <w:rPr>
          <w:rtl/>
        </w:rPr>
      </w:pPr>
      <w:r>
        <w:rPr>
          <w:rFonts w:hint="cs"/>
          <w:rtl/>
        </w:rPr>
        <w:tab/>
        <w:t xml:space="preserve">הנני מורה על חילוט הנשק. אין בהוראה זו כדי לאיין את זכותו של </w:t>
      </w:r>
      <w:r>
        <w:rPr>
          <w:rFonts w:hint="cs"/>
          <w:b/>
          <w:bCs/>
          <w:rtl/>
        </w:rPr>
        <w:t>הבעלים החוקי</w:t>
      </w:r>
      <w:r>
        <w:rPr>
          <w:rFonts w:hint="cs"/>
          <w:rtl/>
        </w:rPr>
        <w:t xml:space="preserve"> של האקדח ו/או התחמשת,  לפנות  לקבלו, בהתאם לדין. </w:t>
      </w:r>
    </w:p>
    <w:p w14:paraId="7B2D47C7" w14:textId="77777777" w:rsidR="00CB465A" w:rsidRDefault="00CB465A">
      <w:pPr>
        <w:spacing w:line="360" w:lineRule="auto"/>
        <w:ind w:left="720" w:hanging="720"/>
        <w:jc w:val="both"/>
        <w:rPr>
          <w:rtl/>
        </w:rPr>
      </w:pPr>
    </w:p>
    <w:p w14:paraId="1327A118" w14:textId="77777777" w:rsidR="00CB465A" w:rsidRDefault="0020163F">
      <w:pPr>
        <w:spacing w:line="360" w:lineRule="auto"/>
        <w:rPr>
          <w:rtl/>
        </w:rPr>
      </w:pPr>
      <w:r>
        <w:rPr>
          <w:rFonts w:hint="cs"/>
          <w:rtl/>
        </w:rPr>
        <w:t xml:space="preserve">זכות ערעור לבית המשפט העליון בתוך 45 יום. </w:t>
      </w:r>
    </w:p>
    <w:p w14:paraId="725BDCAC" w14:textId="77777777" w:rsidR="00CB465A" w:rsidRDefault="00CB465A">
      <w:pPr>
        <w:rPr>
          <w:rFonts w:cs="FrankRuehl"/>
          <w:sz w:val="28"/>
          <w:szCs w:val="28"/>
          <w:rtl/>
        </w:rPr>
      </w:pPr>
    </w:p>
    <w:p w14:paraId="492DB336" w14:textId="77777777" w:rsidR="00CB465A" w:rsidRDefault="0020163F">
      <w:pPr>
        <w:rPr>
          <w:rFonts w:cs="FrankRuehl"/>
          <w:sz w:val="28"/>
          <w:szCs w:val="28"/>
          <w:rtl/>
        </w:rPr>
      </w:pPr>
      <w:r>
        <w:rPr>
          <w:rFonts w:ascii="Arial" w:hAnsi="Arial"/>
          <w:rtl/>
        </w:rPr>
        <w:t xml:space="preserve">ניתן היום, י"ז סיון תשע"ב, 07 יוני 2012, במעמד ב"כ המאשימה, הנאשם וסנגורו. </w:t>
      </w:r>
    </w:p>
    <w:p w14:paraId="7940FADA" w14:textId="77777777" w:rsidR="0020163F" w:rsidRPr="0020163F" w:rsidRDefault="0020163F">
      <w:pPr>
        <w:rPr>
          <w:rFonts w:cs="FrankRuehl"/>
          <w:color w:val="FFFFFF"/>
          <w:sz w:val="2"/>
          <w:szCs w:val="2"/>
          <w:rtl/>
        </w:rPr>
      </w:pPr>
    </w:p>
    <w:p w14:paraId="4CE46E09" w14:textId="77777777" w:rsidR="0020163F" w:rsidRPr="0020163F" w:rsidRDefault="0020163F">
      <w:pPr>
        <w:rPr>
          <w:rFonts w:cs="FrankRuehl"/>
          <w:color w:val="FFFFFF"/>
          <w:sz w:val="2"/>
          <w:szCs w:val="2"/>
          <w:rtl/>
        </w:rPr>
      </w:pPr>
      <w:r w:rsidRPr="0020163F">
        <w:rPr>
          <w:rFonts w:cs="FrankRuehl"/>
          <w:color w:val="FFFFFF"/>
          <w:sz w:val="2"/>
          <w:szCs w:val="2"/>
          <w:rtl/>
        </w:rPr>
        <w:t>5129371</w:t>
      </w:r>
    </w:p>
    <w:p w14:paraId="725E3E63" w14:textId="77777777" w:rsidR="00CB465A" w:rsidRDefault="0020163F">
      <w:pPr>
        <w:rPr>
          <w:rFonts w:cs="FrankRuehl"/>
          <w:sz w:val="28"/>
          <w:szCs w:val="28"/>
          <w:rtl/>
        </w:rPr>
      </w:pPr>
      <w:r w:rsidRPr="0020163F">
        <w:rPr>
          <w:rFonts w:cs="FrankRuehl"/>
          <w:color w:val="FFFFFF"/>
          <w:sz w:val="2"/>
          <w:szCs w:val="2"/>
          <w:rtl/>
        </w:rPr>
        <w:t>54678313</w:t>
      </w:r>
    </w:p>
    <w:p w14:paraId="248C441E" w14:textId="77777777" w:rsidR="00CB465A" w:rsidRDefault="00CB465A">
      <w:pPr>
        <w:rPr>
          <w:rFonts w:cs="FrankRuehl"/>
          <w:sz w:val="28"/>
          <w:szCs w:val="28"/>
          <w:rtl/>
        </w:rPr>
      </w:pPr>
    </w:p>
    <w:p w14:paraId="341DF8F5" w14:textId="77777777" w:rsidR="0020163F" w:rsidRPr="0020163F" w:rsidRDefault="0020163F" w:rsidP="0020163F">
      <w:pPr>
        <w:keepNext/>
        <w:rPr>
          <w:rFonts w:ascii="David" w:hAnsi="David"/>
          <w:color w:val="000000"/>
          <w:sz w:val="22"/>
          <w:szCs w:val="22"/>
          <w:rtl/>
        </w:rPr>
      </w:pPr>
    </w:p>
    <w:p w14:paraId="7CE4A278" w14:textId="77777777" w:rsidR="0020163F" w:rsidRPr="0020163F" w:rsidRDefault="0020163F" w:rsidP="0020163F">
      <w:pPr>
        <w:keepNext/>
        <w:rPr>
          <w:rFonts w:ascii="David" w:hAnsi="David"/>
          <w:color w:val="000000"/>
          <w:sz w:val="22"/>
          <w:szCs w:val="22"/>
          <w:rtl/>
        </w:rPr>
      </w:pPr>
      <w:r w:rsidRPr="0020163F">
        <w:rPr>
          <w:rFonts w:ascii="David" w:hAnsi="David"/>
          <w:color w:val="000000"/>
          <w:sz w:val="22"/>
          <w:szCs w:val="22"/>
          <w:rtl/>
        </w:rPr>
        <w:t>חני הורוביץ 54678313</w:t>
      </w:r>
    </w:p>
    <w:p w14:paraId="6A39E322" w14:textId="77777777" w:rsidR="00CB465A" w:rsidRDefault="00CB465A">
      <w:pPr>
        <w:rPr>
          <w:rFonts w:cs="FrankRuehl"/>
          <w:sz w:val="28"/>
          <w:szCs w:val="28"/>
          <w:rtl/>
        </w:rPr>
      </w:pPr>
    </w:p>
    <w:p w14:paraId="49CB6DD6" w14:textId="77777777" w:rsidR="00CB465A" w:rsidRDefault="0020163F">
      <w:pPr>
        <w:jc w:val="right"/>
        <w:rPr>
          <w:rFonts w:ascii="Arial" w:hAnsi="Arial" w:cs="FrankRuehl"/>
          <w:sz w:val="32"/>
          <w:szCs w:val="32"/>
          <w:rtl/>
        </w:rPr>
      </w:pPr>
      <w:r>
        <w:rPr>
          <w:rFonts w:ascii="Arial" w:hAnsi="Arial" w:cs="FrankRuehl"/>
          <w:sz w:val="32"/>
          <w:szCs w:val="32"/>
          <w:rtl/>
        </w:rPr>
        <w:t xml:space="preserve">             </w:t>
      </w:r>
    </w:p>
    <w:p w14:paraId="1C418675" w14:textId="77777777" w:rsidR="0020163F" w:rsidRDefault="0020163F" w:rsidP="0020163F">
      <w:r w:rsidRPr="0020163F">
        <w:rPr>
          <w:color w:val="000000"/>
          <w:rtl/>
        </w:rPr>
        <w:t>נוסח מסמך זה כפוף לשינויי ניסוח ועריכה</w:t>
      </w:r>
    </w:p>
    <w:p w14:paraId="18CFF692" w14:textId="77777777" w:rsidR="0020163F" w:rsidRDefault="0020163F" w:rsidP="0020163F">
      <w:pPr>
        <w:rPr>
          <w:rtl/>
        </w:rPr>
      </w:pPr>
    </w:p>
    <w:p w14:paraId="7D32FE20" w14:textId="77777777" w:rsidR="0020163F" w:rsidRDefault="0020163F" w:rsidP="0020163F">
      <w:pPr>
        <w:jc w:val="center"/>
        <w:rPr>
          <w:color w:val="0000FF"/>
          <w:u w:val="single"/>
        </w:rPr>
      </w:pPr>
      <w:r w:rsidRPr="007275BE">
        <w:rPr>
          <w:color w:val="000000"/>
          <w:rtl/>
        </w:rPr>
        <w:t>בעניין עריכה ושינויים במסמכי פסיקה, חקיקה ועוד באתר נבו – הקש כאן</w:t>
      </w:r>
    </w:p>
    <w:p w14:paraId="284C0F95" w14:textId="77777777" w:rsidR="00CB465A" w:rsidRPr="0020163F" w:rsidRDefault="00CB465A" w:rsidP="0020163F">
      <w:pPr>
        <w:jc w:val="center"/>
        <w:rPr>
          <w:color w:val="0000FF"/>
          <w:u w:val="single"/>
        </w:rPr>
      </w:pPr>
    </w:p>
    <w:sectPr w:rsidR="00CB465A" w:rsidRPr="0020163F" w:rsidSect="0020163F">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C438" w14:textId="77777777" w:rsidR="0008226B" w:rsidRPr="00216255" w:rsidRDefault="0008226B">
      <w:pPr>
        <w:rPr>
          <w:rFonts w:cs="Arial"/>
          <w:szCs w:val="20"/>
        </w:rPr>
      </w:pPr>
      <w:r>
        <w:separator/>
      </w:r>
    </w:p>
  </w:endnote>
  <w:endnote w:type="continuationSeparator" w:id="0">
    <w:p w14:paraId="43CD99D1" w14:textId="77777777" w:rsidR="0008226B" w:rsidRPr="00216255" w:rsidRDefault="0008226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DDCE" w14:textId="77777777" w:rsidR="0008226B" w:rsidRDefault="0008226B" w:rsidP="002016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3DCB0A4B" w14:textId="77777777" w:rsidR="0008226B" w:rsidRPr="0020163F" w:rsidRDefault="0008226B" w:rsidP="0020163F">
    <w:pPr>
      <w:pStyle w:val="a4"/>
      <w:pBdr>
        <w:top w:val="single" w:sz="4" w:space="1" w:color="auto"/>
        <w:between w:val="single" w:sz="4" w:space="0" w:color="auto"/>
      </w:pBdr>
      <w:spacing w:after="60"/>
      <w:jc w:val="center"/>
      <w:rPr>
        <w:rFonts w:ascii="FrankRuehl" w:hAnsi="FrankRuehl" w:cs="FrankRuehl"/>
        <w:color w:val="000000"/>
      </w:rPr>
    </w:pPr>
    <w:r w:rsidRPr="002016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2821" w14:textId="77777777" w:rsidR="0008226B" w:rsidRDefault="0008226B" w:rsidP="002016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54B3">
      <w:rPr>
        <w:rFonts w:ascii="FrankRuehl" w:hAnsi="FrankRuehl" w:cs="FrankRuehl"/>
        <w:noProof/>
        <w:rtl/>
      </w:rPr>
      <w:t>1</w:t>
    </w:r>
    <w:r>
      <w:rPr>
        <w:rFonts w:ascii="FrankRuehl" w:hAnsi="FrankRuehl" w:cs="FrankRuehl"/>
        <w:rtl/>
      </w:rPr>
      <w:fldChar w:fldCharType="end"/>
    </w:r>
  </w:p>
  <w:p w14:paraId="1D52734D" w14:textId="77777777" w:rsidR="0008226B" w:rsidRPr="0020163F" w:rsidRDefault="0008226B" w:rsidP="0020163F">
    <w:pPr>
      <w:pStyle w:val="a4"/>
      <w:pBdr>
        <w:top w:val="single" w:sz="4" w:space="1" w:color="auto"/>
        <w:between w:val="single" w:sz="4" w:space="0" w:color="auto"/>
      </w:pBdr>
      <w:spacing w:after="60"/>
      <w:jc w:val="center"/>
      <w:rPr>
        <w:rFonts w:ascii="FrankRuehl" w:hAnsi="FrankRuehl" w:cs="FrankRuehl"/>
        <w:color w:val="000000"/>
      </w:rPr>
    </w:pPr>
    <w:r w:rsidRPr="0020163F">
      <w:rPr>
        <w:rFonts w:ascii="FrankRuehl" w:hAnsi="FrankRuehl" w:cs="FrankRuehl"/>
        <w:color w:val="000000"/>
      </w:rPr>
      <w:pict w14:anchorId="2B361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877B" w14:textId="77777777" w:rsidR="0008226B" w:rsidRPr="00216255" w:rsidRDefault="0008226B">
      <w:pPr>
        <w:rPr>
          <w:rFonts w:cs="Arial"/>
          <w:szCs w:val="20"/>
        </w:rPr>
      </w:pPr>
      <w:r>
        <w:separator/>
      </w:r>
    </w:p>
  </w:footnote>
  <w:footnote w:type="continuationSeparator" w:id="0">
    <w:p w14:paraId="628E3BE8" w14:textId="77777777" w:rsidR="0008226B" w:rsidRPr="00216255" w:rsidRDefault="0008226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9EF9" w14:textId="77777777" w:rsidR="0008226B" w:rsidRPr="0020163F" w:rsidRDefault="0008226B" w:rsidP="002016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13401-03-12</w:t>
    </w:r>
    <w:r>
      <w:rPr>
        <w:rFonts w:ascii="David" w:hAnsi="David"/>
        <w:color w:val="000000"/>
        <w:sz w:val="22"/>
        <w:szCs w:val="22"/>
        <w:rtl/>
      </w:rPr>
      <w:tab/>
      <w:t xml:space="preserve"> מדינת ישראל נ' מוסא ח'ורי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F953" w14:textId="77777777" w:rsidR="0008226B" w:rsidRPr="0020163F" w:rsidRDefault="0008226B" w:rsidP="002016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13401-03-12</w:t>
    </w:r>
    <w:r>
      <w:rPr>
        <w:rFonts w:ascii="David" w:hAnsi="David"/>
        <w:color w:val="000000"/>
        <w:sz w:val="22"/>
        <w:szCs w:val="22"/>
        <w:rtl/>
      </w:rPr>
      <w:tab/>
      <w:t xml:space="preserve"> מדינת ישראל נ' מוסא ח'ורי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465A"/>
    <w:rsid w:val="0008226B"/>
    <w:rsid w:val="0020163F"/>
    <w:rsid w:val="005254B3"/>
    <w:rsid w:val="00706C34"/>
    <w:rsid w:val="007275BE"/>
    <w:rsid w:val="00845339"/>
    <w:rsid w:val="00A030D0"/>
    <w:rsid w:val="00A26E32"/>
    <w:rsid w:val="00B5637F"/>
    <w:rsid w:val="00CB465A"/>
    <w:rsid w:val="00CD58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C476EDD"/>
  <w15:chartTrackingRefBased/>
  <w15:docId w15:val="{C35AC2B1-7FF9-4E51-B00C-2B7ED4D6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465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B465A"/>
    <w:pPr>
      <w:tabs>
        <w:tab w:val="center" w:pos="4153"/>
        <w:tab w:val="right" w:pos="8306"/>
      </w:tabs>
    </w:pPr>
  </w:style>
  <w:style w:type="paragraph" w:styleId="a4">
    <w:name w:val="footer"/>
    <w:basedOn w:val="a"/>
    <w:rsid w:val="00CB465A"/>
    <w:pPr>
      <w:tabs>
        <w:tab w:val="center" w:pos="4153"/>
        <w:tab w:val="right" w:pos="8306"/>
      </w:tabs>
    </w:pPr>
  </w:style>
  <w:style w:type="table" w:styleId="a5">
    <w:name w:val="Table Grid"/>
    <w:basedOn w:val="a1"/>
    <w:rsid w:val="00CB465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CB465A"/>
  </w:style>
  <w:style w:type="paragraph" w:customStyle="1" w:styleId="normal-p">
    <w:name w:val="normal-p"/>
    <w:basedOn w:val="a"/>
    <w:rsid w:val="00CB465A"/>
    <w:pPr>
      <w:bidi w:val="0"/>
      <w:spacing w:before="100" w:beforeAutospacing="1" w:after="100" w:afterAutospacing="1"/>
    </w:pPr>
    <w:rPr>
      <w:rFonts w:cs="Times New Roman"/>
    </w:rPr>
  </w:style>
  <w:style w:type="character" w:customStyle="1" w:styleId="normal-h">
    <w:name w:val="normal-h"/>
    <w:basedOn w:val="a0"/>
    <w:rsid w:val="00CB465A"/>
  </w:style>
  <w:style w:type="character" w:customStyle="1" w:styleId="normal-p-h1">
    <w:name w:val="normal-p-h1"/>
    <w:basedOn w:val="a0"/>
    <w:rsid w:val="00CB465A"/>
    <w:rPr>
      <w:rFonts w:ascii="Times New Roman" w:hAnsi="Times New Roman" w:cs="Times New Roman" w:hint="default"/>
      <w:sz w:val="24"/>
      <w:szCs w:val="24"/>
    </w:rPr>
  </w:style>
  <w:style w:type="character" w:styleId="Hyperlink">
    <w:name w:val="Hyperlink"/>
    <w:basedOn w:val="a0"/>
    <w:rsid w:val="002016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52404" TargetMode="External"/><Relationship Id="rId13" Type="http://schemas.openxmlformats.org/officeDocument/2006/relationships/hyperlink" Target="http://www.nevo.co.il/case/439942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 TargetMode="External"/><Relationship Id="rId12" Type="http://schemas.openxmlformats.org/officeDocument/2006/relationships/hyperlink" Target="http://www.nevo.co.il/case/5724364"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950172"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6000182"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case/6040482"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1477</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8850</CharactersWithSpaces>
  <SharedDoc>false</SharedDoc>
  <HLinks>
    <vt:vector size="48" baseType="variant">
      <vt:variant>
        <vt:i4>3735676</vt:i4>
      </vt:variant>
      <vt:variant>
        <vt:i4>21</vt:i4>
      </vt:variant>
      <vt:variant>
        <vt:i4>0</vt:i4>
      </vt:variant>
      <vt:variant>
        <vt:i4>5</vt:i4>
      </vt:variant>
      <vt:variant>
        <vt:lpwstr>http://www.nevo.co.il/case/4399420</vt:lpwstr>
      </vt:variant>
      <vt:variant>
        <vt:lpwstr/>
      </vt:variant>
      <vt:variant>
        <vt:i4>3145841</vt:i4>
      </vt:variant>
      <vt:variant>
        <vt:i4>18</vt:i4>
      </vt:variant>
      <vt:variant>
        <vt:i4>0</vt:i4>
      </vt:variant>
      <vt:variant>
        <vt:i4>5</vt:i4>
      </vt:variant>
      <vt:variant>
        <vt:lpwstr>http://www.nevo.co.il/case/5724364</vt:lpwstr>
      </vt:variant>
      <vt:variant>
        <vt:lpwstr/>
      </vt:variant>
      <vt:variant>
        <vt:i4>3342458</vt:i4>
      </vt:variant>
      <vt:variant>
        <vt:i4>15</vt:i4>
      </vt:variant>
      <vt:variant>
        <vt:i4>0</vt:i4>
      </vt:variant>
      <vt:variant>
        <vt:i4>5</vt:i4>
      </vt:variant>
      <vt:variant>
        <vt:lpwstr>http://www.nevo.co.il/case/5950172</vt:lpwstr>
      </vt:variant>
      <vt:variant>
        <vt:lpwstr/>
      </vt:variant>
      <vt:variant>
        <vt:i4>3473532</vt:i4>
      </vt:variant>
      <vt:variant>
        <vt:i4>12</vt:i4>
      </vt:variant>
      <vt:variant>
        <vt:i4>0</vt:i4>
      </vt:variant>
      <vt:variant>
        <vt:i4>5</vt:i4>
      </vt:variant>
      <vt:variant>
        <vt:lpwstr>http://www.nevo.co.il/case/6000182</vt:lpwstr>
      </vt:variant>
      <vt:variant>
        <vt:lpwstr/>
      </vt:variant>
      <vt:variant>
        <vt:i4>3407996</vt:i4>
      </vt:variant>
      <vt:variant>
        <vt:i4>9</vt:i4>
      </vt:variant>
      <vt:variant>
        <vt:i4>0</vt:i4>
      </vt:variant>
      <vt:variant>
        <vt:i4>5</vt:i4>
      </vt:variant>
      <vt:variant>
        <vt:lpwstr>http://www.nevo.co.il/case/6040482</vt:lpwstr>
      </vt:variant>
      <vt:variant>
        <vt:lpwstr/>
      </vt:variant>
      <vt:variant>
        <vt:i4>3145854</vt:i4>
      </vt:variant>
      <vt:variant>
        <vt:i4>6</vt:i4>
      </vt:variant>
      <vt:variant>
        <vt:i4>0</vt:i4>
      </vt:variant>
      <vt:variant>
        <vt:i4>5</vt:i4>
      </vt:variant>
      <vt:variant>
        <vt:lpwstr>http://www.nevo.co.il/case/5852404</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13401</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מוסא ח'ורי</vt:lpwstr>
  </property>
  <property fmtid="{D5CDD505-2E9C-101B-9397-08002B2CF9AE}" pid="10" name="JUDGE">
    <vt:lpwstr>חני הורוביץ</vt:lpwstr>
  </property>
  <property fmtid="{D5CDD505-2E9C-101B-9397-08002B2CF9AE}" pid="11" name="CITY">
    <vt:lpwstr>חי'</vt:lpwstr>
  </property>
  <property fmtid="{D5CDD505-2E9C-101B-9397-08002B2CF9AE}" pid="12" name="DATE">
    <vt:lpwstr>20120607</vt:lpwstr>
  </property>
  <property fmtid="{D5CDD505-2E9C-101B-9397-08002B2CF9AE}" pid="13" name="TYPE_N_DATE">
    <vt:lpwstr>39020120607</vt:lpwstr>
  </property>
  <property fmtid="{D5CDD505-2E9C-101B-9397-08002B2CF9AE}" pid="14" name="WORDNUMPAGES">
    <vt:lpwstr>6</vt:lpwstr>
  </property>
  <property fmtid="{D5CDD505-2E9C-101B-9397-08002B2CF9AE}" pid="15" name="TYPE_ABS_DATE">
    <vt:lpwstr>390020120607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5852404;6040482;6000182;5950172;5724364;4399420</vt:lpwstr>
  </property>
  <property fmtid="{D5CDD505-2E9C-101B-9397-08002B2CF9AE}" pid="36" name="CASENOTES1">
    <vt:lpwstr>ProcID=133;209&amp;PartA=1332&amp;PartC=04</vt:lpwstr>
  </property>
  <property fmtid="{D5CDD505-2E9C-101B-9397-08002B2CF9AE}" pid="37" name="LAWLISTTMP1">
    <vt:lpwstr>70301</vt:lpwstr>
  </property>
</Properties>
</file>