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AA3DCA" w:rsidRPr="00BD3059">
        <w:trPr>
          <w:trHeight w:hRule="exact" w:val="418"/>
          <w:jc w:val="center"/>
        </w:trPr>
        <w:tc>
          <w:tcPr>
            <w:tcW w:w="8720" w:type="dxa"/>
            <w:gridSpan w:val="3"/>
          </w:tcPr>
          <w:p w:rsidR="00AA3DCA" w:rsidRPr="00BD3059" w:rsidRDefault="00BD3059">
            <w:pPr>
              <w:pStyle w:val="a3"/>
              <w:tabs>
                <w:tab w:val="clear" w:pos="8306"/>
              </w:tabs>
              <w:jc w:val="center"/>
              <w:rPr>
                <w:rFonts w:ascii="Tahoma" w:hAnsi="Tahoma" w:cs="Tahoma"/>
                <w:b/>
                <w:bCs/>
                <w:color w:val="000080"/>
                <w:sz w:val="20"/>
                <w:szCs w:val="20"/>
                <w:rtl/>
              </w:rPr>
            </w:pPr>
            <w:bookmarkStart w:id="0" w:name="FirstLawyer"/>
            <w:bookmarkStart w:id="1" w:name="LastJudge"/>
            <w:r w:rsidRPr="00BD3059">
              <w:rPr>
                <w:rFonts w:ascii="Tahoma" w:hAnsi="Tahoma" w:cs="Tahoma"/>
                <w:b/>
                <w:bCs/>
                <w:color w:val="000080"/>
                <w:sz w:val="20"/>
                <w:szCs w:val="20"/>
                <w:rtl/>
              </w:rPr>
              <w:t>בית המשפט המחוזי בנצרת</w:t>
            </w:r>
          </w:p>
        </w:tc>
      </w:tr>
      <w:tr w:rsidR="00AA3DCA" w:rsidRPr="00BD3059">
        <w:trPr>
          <w:trHeight w:val="337"/>
          <w:jc w:val="center"/>
        </w:trPr>
        <w:tc>
          <w:tcPr>
            <w:tcW w:w="6396" w:type="dxa"/>
          </w:tcPr>
          <w:p w:rsidR="00AA3DCA" w:rsidRPr="00BD3059" w:rsidRDefault="00BD3059">
            <w:pPr>
              <w:rPr>
                <w:b/>
                <w:bCs/>
                <w:sz w:val="26"/>
                <w:szCs w:val="26"/>
                <w:rtl/>
              </w:rPr>
            </w:pPr>
            <w:r w:rsidRPr="00BD3059">
              <w:rPr>
                <w:b/>
                <w:bCs/>
                <w:sz w:val="26"/>
                <w:szCs w:val="26"/>
                <w:rtl/>
              </w:rPr>
              <w:t>ת"פ</w:t>
            </w:r>
            <w:r w:rsidRPr="00BD3059">
              <w:rPr>
                <w:rFonts w:hint="cs"/>
                <w:b/>
                <w:bCs/>
                <w:sz w:val="26"/>
                <w:szCs w:val="26"/>
                <w:rtl/>
              </w:rPr>
              <w:t xml:space="preserve"> </w:t>
            </w:r>
            <w:r w:rsidRPr="00BD3059">
              <w:rPr>
                <w:b/>
                <w:bCs/>
                <w:sz w:val="26"/>
                <w:szCs w:val="26"/>
                <w:rtl/>
              </w:rPr>
              <w:t>33577-04-12</w:t>
            </w:r>
            <w:r w:rsidRPr="00BD3059">
              <w:rPr>
                <w:rFonts w:hint="cs"/>
                <w:b/>
                <w:bCs/>
                <w:sz w:val="26"/>
                <w:szCs w:val="26"/>
                <w:rtl/>
              </w:rPr>
              <w:t xml:space="preserve"> </w:t>
            </w:r>
            <w:r w:rsidRPr="00BD3059">
              <w:rPr>
                <w:b/>
                <w:bCs/>
                <w:sz w:val="26"/>
                <w:szCs w:val="26"/>
                <w:rtl/>
              </w:rPr>
              <w:t>מדינת ישראל נ' בן שטרית(עציר)</w:t>
            </w:r>
          </w:p>
          <w:p w:rsidR="00AA3DCA" w:rsidRPr="00BD3059" w:rsidRDefault="00AA3DCA">
            <w:pPr>
              <w:rPr>
                <w:b/>
                <w:bCs/>
                <w:sz w:val="26"/>
                <w:szCs w:val="26"/>
                <w:rtl/>
              </w:rPr>
            </w:pPr>
          </w:p>
        </w:tc>
        <w:tc>
          <w:tcPr>
            <w:tcW w:w="236" w:type="dxa"/>
          </w:tcPr>
          <w:p w:rsidR="00AA3DCA" w:rsidRPr="00BD3059" w:rsidRDefault="00AA3DCA">
            <w:pPr>
              <w:pStyle w:val="a3"/>
              <w:jc w:val="right"/>
              <w:rPr>
                <w:b/>
                <w:bCs/>
                <w:sz w:val="26"/>
                <w:szCs w:val="26"/>
                <w:rtl/>
              </w:rPr>
            </w:pPr>
          </w:p>
        </w:tc>
        <w:tc>
          <w:tcPr>
            <w:tcW w:w="2088" w:type="dxa"/>
          </w:tcPr>
          <w:p w:rsidR="00AA3DCA" w:rsidRPr="00BD3059" w:rsidRDefault="00BD3059">
            <w:pPr>
              <w:pStyle w:val="a3"/>
              <w:tabs>
                <w:tab w:val="clear" w:pos="4153"/>
              </w:tabs>
              <w:jc w:val="right"/>
              <w:rPr>
                <w:b/>
                <w:bCs/>
                <w:sz w:val="26"/>
                <w:szCs w:val="26"/>
                <w:rtl/>
              </w:rPr>
            </w:pPr>
            <w:r w:rsidRPr="00BD3059">
              <w:rPr>
                <w:b/>
                <w:bCs/>
                <w:sz w:val="26"/>
                <w:szCs w:val="26"/>
                <w:rtl/>
              </w:rPr>
              <w:t>31 ינואר 2013</w:t>
            </w:r>
          </w:p>
        </w:tc>
      </w:tr>
    </w:tbl>
    <w:p w:rsidR="00AA3DCA" w:rsidRPr="00BD3059" w:rsidRDefault="00AA3DCA">
      <w:pPr>
        <w:pStyle w:val="a3"/>
        <w:jc w:val="center"/>
        <w:rPr>
          <w:rFonts w:ascii="Tahoma" w:hAnsi="Tahoma" w:cs="Tahoma"/>
          <w:b/>
          <w:bCs/>
          <w:color w:val="000080"/>
          <w:sz w:val="20"/>
          <w:szCs w:val="20"/>
          <w:rtl/>
        </w:rPr>
      </w:pPr>
    </w:p>
    <w:p w:rsidR="00AA3DCA" w:rsidRPr="00BD3059" w:rsidRDefault="00AA3DCA">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AA3DCA" w:rsidRPr="00BD3059">
        <w:trPr>
          <w:trHeight w:val="337"/>
          <w:jc w:val="center"/>
        </w:trPr>
        <w:tc>
          <w:tcPr>
            <w:tcW w:w="1592" w:type="dxa"/>
          </w:tcPr>
          <w:p w:rsidR="00AA3DCA" w:rsidRPr="00BD3059" w:rsidRDefault="00BD3059">
            <w:pPr>
              <w:pStyle w:val="a3"/>
              <w:bidi w:val="0"/>
              <w:spacing w:line="360" w:lineRule="auto"/>
              <w:jc w:val="both"/>
              <w:rPr>
                <w:rFonts w:ascii="Times New Roman" w:hAnsi="Times New Roman"/>
              </w:rPr>
            </w:pPr>
            <w:r w:rsidRPr="00BD3059">
              <w:rPr>
                <w:rFonts w:ascii="Times New Roman" w:hAnsi="Times New Roman"/>
              </w:rPr>
              <w:t xml:space="preserve">   </w:t>
            </w:r>
          </w:p>
        </w:tc>
        <w:tc>
          <w:tcPr>
            <w:tcW w:w="7128" w:type="dxa"/>
          </w:tcPr>
          <w:p w:rsidR="00AA3DCA" w:rsidRPr="00BD3059" w:rsidRDefault="00BD3059">
            <w:pPr>
              <w:pStyle w:val="a3"/>
              <w:jc w:val="right"/>
              <w:rPr>
                <w:b/>
                <w:bCs/>
                <w:sz w:val="26"/>
                <w:szCs w:val="26"/>
                <w:rtl/>
              </w:rPr>
            </w:pPr>
            <w:r w:rsidRPr="00BD3059">
              <w:rPr>
                <w:rFonts w:hint="cs"/>
                <w:rtl/>
              </w:rPr>
              <w:t xml:space="preserve"> 33600-04-12</w:t>
            </w:r>
          </w:p>
        </w:tc>
      </w:tr>
    </w:tbl>
    <w:p w:rsidR="00AA3DCA" w:rsidRPr="00BD3059" w:rsidRDefault="00AA3DCA">
      <w:pPr>
        <w:spacing w:line="360" w:lineRule="auto"/>
        <w:jc w:val="both"/>
        <w:rPr>
          <w:rFonts w:ascii="Arial" w:hAnsi="Arial"/>
          <w:rtl/>
        </w:rPr>
      </w:pPr>
    </w:p>
    <w:p w:rsidR="00AA3DCA" w:rsidRPr="00BD3059" w:rsidRDefault="00AA3DCA">
      <w:pPr>
        <w:spacing w:line="360" w:lineRule="auto"/>
        <w:jc w:val="both"/>
        <w:rPr>
          <w:b/>
          <w:bCs/>
          <w:rtl/>
        </w:rPr>
      </w:pPr>
    </w:p>
    <w:tbl>
      <w:tblPr>
        <w:bidiVisual/>
        <w:tblW w:w="8802" w:type="dxa"/>
        <w:tblInd w:w="-28" w:type="dxa"/>
        <w:tblLook w:val="01E0" w:firstRow="1" w:lastRow="1" w:firstColumn="1" w:lastColumn="1" w:noHBand="0" w:noVBand="0"/>
      </w:tblPr>
      <w:tblGrid>
        <w:gridCol w:w="2880"/>
        <w:gridCol w:w="360"/>
        <w:gridCol w:w="5479"/>
        <w:gridCol w:w="83"/>
      </w:tblGrid>
      <w:tr w:rsidR="00AA3DCA" w:rsidRPr="00BD3059">
        <w:trPr>
          <w:gridAfter w:val="1"/>
          <w:wAfter w:w="55" w:type="dxa"/>
        </w:trPr>
        <w:tc>
          <w:tcPr>
            <w:tcW w:w="8720" w:type="dxa"/>
            <w:gridSpan w:val="3"/>
          </w:tcPr>
          <w:p w:rsidR="00AA3DCA" w:rsidRPr="00BD3059" w:rsidRDefault="00BD3059">
            <w:pPr>
              <w:spacing w:line="360" w:lineRule="auto"/>
              <w:jc w:val="both"/>
              <w:rPr>
                <w:rFonts w:ascii="Times New Roman" w:eastAsia="Times New Roman" w:hAnsi="Times New Roman"/>
                <w:b/>
                <w:bCs/>
                <w:sz w:val="26"/>
                <w:szCs w:val="26"/>
                <w:rtl/>
              </w:rPr>
            </w:pPr>
            <w:r w:rsidRPr="00BD3059">
              <w:rPr>
                <w:rFonts w:ascii="Times New Roman" w:eastAsia="Times New Roman" w:hAnsi="Times New Roman" w:hint="cs"/>
                <w:b/>
                <w:bCs/>
                <w:sz w:val="26"/>
                <w:szCs w:val="26"/>
                <w:rtl/>
              </w:rPr>
              <w:t>בפני כב' ה</w:t>
            </w:r>
            <w:r w:rsidRPr="00BD3059">
              <w:rPr>
                <w:rFonts w:ascii="Times New Roman" w:eastAsia="Times New Roman" w:hAnsi="Times New Roman" w:hint="cs"/>
                <w:rtl/>
              </w:rPr>
              <w:t>שופט יוסף בן-חמו</w:t>
            </w:r>
            <w:r w:rsidRPr="00BD3059">
              <w:rPr>
                <w:rStyle w:val="TimesNewRomanTimesNewRoman"/>
                <w:rFonts w:eastAsia="Times New Roman"/>
                <w:rtl/>
              </w:rPr>
              <w:t xml:space="preserve"> </w:t>
            </w:r>
          </w:p>
        </w:tc>
      </w:tr>
      <w:tr w:rsidR="00AA3DCA" w:rsidRPr="00BD3059">
        <w:tc>
          <w:tcPr>
            <w:tcW w:w="2880" w:type="dxa"/>
          </w:tcPr>
          <w:p w:rsidR="00AA3DCA" w:rsidRPr="00BD3059" w:rsidRDefault="00BD3059">
            <w:pPr>
              <w:ind w:left="26"/>
              <w:rPr>
                <w:rFonts w:ascii="Times New Roman" w:eastAsia="Times New Roman" w:hAnsi="Times New Roman"/>
                <w:b/>
                <w:bCs/>
                <w:sz w:val="26"/>
                <w:szCs w:val="26"/>
                <w:rtl/>
              </w:rPr>
            </w:pPr>
            <w:bookmarkStart w:id="2" w:name="FirstAppellant"/>
            <w:r w:rsidRPr="00BD3059">
              <w:rPr>
                <w:rFonts w:ascii="Times New Roman" w:eastAsia="Times New Roman" w:hAnsi="Times New Roman" w:hint="cs"/>
                <w:b/>
                <w:bCs/>
                <w:sz w:val="26"/>
                <w:szCs w:val="26"/>
                <w:rtl/>
              </w:rPr>
              <w:t>ה</w:t>
            </w:r>
            <w:r w:rsidRPr="00BD3059">
              <w:rPr>
                <w:rFonts w:ascii="Times New Roman" w:eastAsia="Times New Roman" w:hAnsi="Times New Roman" w:hint="cs"/>
                <w:rtl/>
              </w:rPr>
              <w:t xml:space="preserve">מאשימה  </w:t>
            </w:r>
          </w:p>
        </w:tc>
        <w:tc>
          <w:tcPr>
            <w:tcW w:w="5922" w:type="dxa"/>
            <w:gridSpan w:val="3"/>
          </w:tcPr>
          <w:p w:rsidR="00AA3DCA" w:rsidRPr="00BD3059" w:rsidRDefault="00BD3059">
            <w:pPr>
              <w:rPr>
                <w:rFonts w:ascii="Times New Roman" w:eastAsia="Times New Roman" w:hAnsi="Times New Roman"/>
                <w:b/>
                <w:bCs/>
                <w:sz w:val="26"/>
                <w:szCs w:val="26"/>
                <w:rtl/>
              </w:rPr>
            </w:pPr>
            <w:r w:rsidRPr="00BD3059">
              <w:rPr>
                <w:rFonts w:ascii="Times New Roman" w:eastAsia="Times New Roman" w:hAnsi="Times New Roman" w:hint="cs"/>
                <w:rtl/>
              </w:rPr>
              <w:t>מדינת ישראל</w:t>
            </w:r>
          </w:p>
          <w:p w:rsidR="00AA3DCA" w:rsidRPr="00BD3059" w:rsidRDefault="00AA3DCA">
            <w:pPr>
              <w:rPr>
                <w:rFonts w:ascii="Times New Roman" w:eastAsia="Times New Roman" w:hAnsi="Times New Roman"/>
                <w:b/>
                <w:bCs/>
                <w:sz w:val="26"/>
                <w:szCs w:val="26"/>
                <w:rtl/>
              </w:rPr>
            </w:pPr>
          </w:p>
        </w:tc>
      </w:tr>
      <w:bookmarkEnd w:id="2"/>
      <w:tr w:rsidR="00AA3DCA" w:rsidRPr="00BD3059">
        <w:tc>
          <w:tcPr>
            <w:tcW w:w="8802" w:type="dxa"/>
            <w:gridSpan w:val="4"/>
          </w:tcPr>
          <w:p w:rsidR="00AA3DCA" w:rsidRPr="00BD3059" w:rsidRDefault="00AA3DCA">
            <w:pPr>
              <w:jc w:val="both"/>
              <w:rPr>
                <w:rFonts w:ascii="Arial" w:eastAsia="Times New Roman" w:hAnsi="Arial"/>
                <w:b/>
                <w:bCs/>
                <w:sz w:val="26"/>
                <w:szCs w:val="26"/>
                <w:rtl/>
              </w:rPr>
            </w:pPr>
          </w:p>
          <w:p w:rsidR="00AA3DCA" w:rsidRPr="00BD3059" w:rsidRDefault="00BD3059">
            <w:pPr>
              <w:jc w:val="center"/>
              <w:rPr>
                <w:rFonts w:ascii="Arial" w:eastAsia="Times New Roman" w:hAnsi="Arial"/>
                <w:b/>
                <w:bCs/>
                <w:sz w:val="26"/>
                <w:szCs w:val="26"/>
                <w:rtl/>
              </w:rPr>
            </w:pPr>
            <w:r w:rsidRPr="00BD3059">
              <w:rPr>
                <w:rFonts w:ascii="Arial" w:eastAsia="Times New Roman" w:hAnsi="Arial"/>
                <w:b/>
                <w:bCs/>
                <w:sz w:val="26"/>
                <w:szCs w:val="26"/>
                <w:rtl/>
              </w:rPr>
              <w:t>נגד</w:t>
            </w:r>
          </w:p>
          <w:p w:rsidR="00AA3DCA" w:rsidRPr="00BD3059" w:rsidRDefault="00AA3DCA">
            <w:pPr>
              <w:jc w:val="center"/>
              <w:rPr>
                <w:rFonts w:ascii="Arial" w:eastAsia="Times New Roman" w:hAnsi="Arial"/>
                <w:b/>
                <w:bCs/>
                <w:sz w:val="26"/>
                <w:szCs w:val="26"/>
              </w:rPr>
            </w:pPr>
          </w:p>
        </w:tc>
      </w:tr>
      <w:tr w:rsidR="00AA3DCA" w:rsidRPr="00BD3059">
        <w:tc>
          <w:tcPr>
            <w:tcW w:w="2879" w:type="dxa"/>
          </w:tcPr>
          <w:p w:rsidR="00AA3DCA" w:rsidRPr="00BD3059" w:rsidRDefault="00BD3059">
            <w:pPr>
              <w:ind w:left="26"/>
              <w:rPr>
                <w:rFonts w:ascii="Times New Roman" w:eastAsia="Times New Roman" w:hAnsi="Times New Roman"/>
                <w:b/>
                <w:bCs/>
                <w:sz w:val="26"/>
                <w:szCs w:val="26"/>
                <w:rtl/>
              </w:rPr>
            </w:pPr>
            <w:r w:rsidRPr="00BD3059">
              <w:rPr>
                <w:rFonts w:ascii="Times New Roman" w:eastAsia="Times New Roman" w:hAnsi="Times New Roman" w:hint="cs"/>
                <w:b/>
                <w:bCs/>
                <w:sz w:val="26"/>
                <w:szCs w:val="26"/>
                <w:rtl/>
              </w:rPr>
              <w:t>ה</w:t>
            </w:r>
            <w:r w:rsidRPr="00BD3059">
              <w:rPr>
                <w:rFonts w:ascii="Times New Roman" w:eastAsia="Times New Roman" w:hAnsi="Times New Roman" w:hint="cs"/>
                <w:rtl/>
              </w:rPr>
              <w:t xml:space="preserve">נאשם </w:t>
            </w:r>
          </w:p>
        </w:tc>
        <w:tc>
          <w:tcPr>
            <w:tcW w:w="5923" w:type="dxa"/>
            <w:gridSpan w:val="3"/>
          </w:tcPr>
          <w:p w:rsidR="00AA3DCA" w:rsidRPr="00BD3059" w:rsidRDefault="00BD3059">
            <w:pPr>
              <w:rPr>
                <w:rFonts w:ascii="Times New Roman" w:eastAsia="Times New Roman" w:hAnsi="Times New Roman"/>
                <w:b/>
                <w:bCs/>
                <w:sz w:val="26"/>
                <w:szCs w:val="26"/>
                <w:rtl/>
              </w:rPr>
            </w:pPr>
            <w:r w:rsidRPr="00BD3059">
              <w:rPr>
                <w:rFonts w:ascii="Times New Roman" w:eastAsia="Times New Roman" w:hAnsi="Times New Roman" w:hint="cs"/>
                <w:rtl/>
              </w:rPr>
              <w:t>שלום שי בן שטרית, ת.ז. 040254757  (עציר)</w:t>
            </w:r>
          </w:p>
          <w:p w:rsidR="00AA3DCA" w:rsidRPr="00BD3059" w:rsidRDefault="00AA3DCA">
            <w:pPr>
              <w:rPr>
                <w:rFonts w:ascii="Times New Roman" w:eastAsia="Times New Roman" w:hAnsi="Times New Roman"/>
                <w:b/>
                <w:bCs/>
                <w:sz w:val="26"/>
                <w:szCs w:val="26"/>
                <w:rtl/>
              </w:rPr>
            </w:pPr>
          </w:p>
        </w:tc>
      </w:tr>
      <w:tr w:rsidR="00AA3DCA" w:rsidRPr="00BD3059">
        <w:trPr>
          <w:trHeight w:val="692"/>
        </w:trPr>
        <w:tc>
          <w:tcPr>
            <w:tcW w:w="8802" w:type="dxa"/>
            <w:gridSpan w:val="4"/>
          </w:tcPr>
          <w:p w:rsidR="00AA3DCA" w:rsidRPr="00BD3059" w:rsidRDefault="00AA3DCA">
            <w:pPr>
              <w:jc w:val="center"/>
              <w:rPr>
                <w:rFonts w:ascii="Arial" w:hAnsi="Arial"/>
                <w:b/>
                <w:bCs/>
                <w:sz w:val="26"/>
                <w:szCs w:val="26"/>
              </w:rPr>
            </w:pPr>
          </w:p>
        </w:tc>
      </w:tr>
      <w:tr w:rsidR="00AA3DCA" w:rsidRPr="00BD3059">
        <w:tc>
          <w:tcPr>
            <w:tcW w:w="3240" w:type="dxa"/>
            <w:gridSpan w:val="2"/>
          </w:tcPr>
          <w:p w:rsidR="00AA3DCA" w:rsidRPr="00BD3059" w:rsidRDefault="00BD3059">
            <w:r w:rsidRPr="00BD3059">
              <w:rPr>
                <w:rFonts w:ascii="Times New Roman" w:eastAsia="Times New Roman" w:hAnsi="Times New Roman" w:cs="Times New Roman" w:hint="cs"/>
                <w:rtl/>
              </w:rPr>
              <w:t xml:space="preserve"> </w:t>
            </w:r>
          </w:p>
        </w:tc>
        <w:tc>
          <w:tcPr>
            <w:tcW w:w="5562" w:type="dxa"/>
            <w:gridSpan w:val="2"/>
          </w:tcPr>
          <w:p w:rsidR="00AA3DCA" w:rsidRPr="00BD3059" w:rsidRDefault="00BD3059">
            <w:r w:rsidRPr="00BD3059">
              <w:rPr>
                <w:rFonts w:ascii="Times New Roman" w:eastAsia="Times New Roman" w:hAnsi="Times New Roman" w:cs="Times New Roman" w:hint="cs"/>
                <w:rtl/>
              </w:rPr>
              <w:t xml:space="preserve"> </w:t>
            </w:r>
          </w:p>
        </w:tc>
      </w:tr>
    </w:tbl>
    <w:p w:rsidR="00AA3DCA" w:rsidRPr="00BD3059" w:rsidRDefault="00BD3059">
      <w:pPr>
        <w:spacing w:line="360" w:lineRule="auto"/>
        <w:jc w:val="both"/>
        <w:rPr>
          <w:b/>
          <w:bCs/>
          <w:rtl/>
        </w:rPr>
      </w:pPr>
      <w:r w:rsidRPr="00BD3059">
        <w:rPr>
          <w:rFonts w:hint="cs"/>
          <w:b/>
          <w:bCs/>
          <w:rtl/>
        </w:rPr>
        <w:t>נוכחים:</w:t>
      </w:r>
    </w:p>
    <w:p w:rsidR="00AA3DCA" w:rsidRPr="00BD3059" w:rsidRDefault="00BD3059">
      <w:pPr>
        <w:spacing w:line="360" w:lineRule="auto"/>
        <w:jc w:val="both"/>
        <w:rPr>
          <w:b/>
          <w:bCs/>
          <w:rtl/>
        </w:rPr>
      </w:pPr>
      <w:r w:rsidRPr="00BD3059">
        <w:rPr>
          <w:rFonts w:hint="cs"/>
          <w:b/>
          <w:bCs/>
          <w:rtl/>
        </w:rPr>
        <w:t xml:space="preserve">מטעם המאשימה : עו"ד עמוס דניאלי </w:t>
      </w:r>
    </w:p>
    <w:p w:rsidR="00AA3DCA" w:rsidRPr="00BD3059" w:rsidRDefault="00BD3059">
      <w:pPr>
        <w:spacing w:line="360" w:lineRule="auto"/>
        <w:jc w:val="both"/>
        <w:rPr>
          <w:b/>
          <w:bCs/>
          <w:rtl/>
        </w:rPr>
      </w:pPr>
      <w:r w:rsidRPr="00BD3059">
        <w:rPr>
          <w:rFonts w:hint="cs"/>
          <w:b/>
          <w:bCs/>
          <w:rtl/>
        </w:rPr>
        <w:t xml:space="preserve">מטעם הנאשם : בעצמו [הובא באמצעות הליווי] וכן ב"כ עו"ד יוסף רז </w:t>
      </w:r>
    </w:p>
    <w:p w:rsidR="00AA3DCA" w:rsidRPr="00BD3059" w:rsidRDefault="00AA3DCA">
      <w:pPr>
        <w:spacing w:line="360" w:lineRule="auto"/>
        <w:jc w:val="both"/>
        <w:rPr>
          <w:rtl/>
        </w:rPr>
      </w:pPr>
    </w:p>
    <w:p w:rsidR="002030AC" w:rsidRDefault="00BD3059">
      <w:pPr>
        <w:spacing w:line="360" w:lineRule="auto"/>
        <w:jc w:val="center"/>
        <w:rPr>
          <w:rFonts w:ascii="Arial" w:hAnsi="Arial"/>
          <w:sz w:val="28"/>
          <w:szCs w:val="28"/>
          <w:rtl/>
        </w:rPr>
      </w:pPr>
      <w:r w:rsidRPr="00BD3059">
        <w:rPr>
          <w:rFonts w:ascii="Arial" w:hAnsi="Arial"/>
          <w:b/>
          <w:color w:val="FF0000"/>
          <w:sz w:val="28"/>
          <w:rtl/>
        </w:rPr>
        <w:t>במסמך זה הושמטו פרוטוקולים</w:t>
      </w:r>
      <w:bookmarkStart w:id="3" w:name="LawTable"/>
      <w:bookmarkEnd w:id="3"/>
    </w:p>
    <w:p w:rsidR="002030AC" w:rsidRPr="002030AC" w:rsidRDefault="002030AC" w:rsidP="002030AC">
      <w:pPr>
        <w:spacing w:after="120" w:line="240" w:lineRule="exact"/>
        <w:ind w:left="283" w:hanging="283"/>
        <w:jc w:val="both"/>
        <w:rPr>
          <w:rFonts w:ascii="FrankRuehl" w:hAnsi="FrankRuehl" w:cs="FrankRuehl"/>
          <w:rtl/>
        </w:rPr>
      </w:pPr>
    </w:p>
    <w:p w:rsidR="002030AC" w:rsidRPr="002030AC" w:rsidRDefault="002030AC" w:rsidP="002030AC">
      <w:pPr>
        <w:spacing w:after="120" w:line="240" w:lineRule="exact"/>
        <w:ind w:left="283" w:hanging="283"/>
        <w:jc w:val="both"/>
        <w:rPr>
          <w:rFonts w:ascii="FrankRuehl" w:hAnsi="FrankRuehl" w:cs="FrankRuehl"/>
          <w:rtl/>
        </w:rPr>
      </w:pPr>
      <w:r w:rsidRPr="002030AC">
        <w:rPr>
          <w:rFonts w:ascii="FrankRuehl" w:hAnsi="FrankRuehl" w:cs="FrankRuehl"/>
          <w:rtl/>
        </w:rPr>
        <w:t xml:space="preserve">חקיקה שאוזכרה: </w:t>
      </w:r>
    </w:p>
    <w:p w:rsidR="002030AC" w:rsidRPr="002030AC" w:rsidRDefault="002030AC" w:rsidP="002030AC">
      <w:pPr>
        <w:spacing w:after="120" w:line="240" w:lineRule="exact"/>
        <w:ind w:left="283" w:hanging="283"/>
        <w:jc w:val="both"/>
        <w:rPr>
          <w:rFonts w:ascii="FrankRuehl" w:hAnsi="FrankRuehl" w:cs="FrankRuehl"/>
          <w:rtl/>
        </w:rPr>
      </w:pPr>
      <w:hyperlink r:id="rId6" w:history="1">
        <w:r w:rsidRPr="002030AC">
          <w:rPr>
            <w:rFonts w:ascii="FrankRuehl" w:hAnsi="FrankRuehl" w:cs="FrankRuehl"/>
            <w:color w:val="0000FF"/>
            <w:u w:val="single"/>
            <w:rtl/>
          </w:rPr>
          <w:t>חוק העונשין, תשל"ז-1977</w:t>
        </w:r>
      </w:hyperlink>
      <w:r w:rsidRPr="002030AC">
        <w:rPr>
          <w:rFonts w:ascii="FrankRuehl" w:hAnsi="FrankRuehl" w:cs="FrankRuehl"/>
          <w:rtl/>
        </w:rPr>
        <w:t xml:space="preserve">: סע'  </w:t>
      </w:r>
      <w:hyperlink r:id="rId7" w:history="1">
        <w:r w:rsidRPr="002030AC">
          <w:rPr>
            <w:rFonts w:ascii="FrankRuehl" w:hAnsi="FrankRuehl" w:cs="FrankRuehl"/>
            <w:color w:val="0000FF"/>
            <w:u w:val="single"/>
            <w:rtl/>
          </w:rPr>
          <w:t>40ג(א)</w:t>
        </w:r>
      </w:hyperlink>
      <w:r w:rsidRPr="002030AC">
        <w:rPr>
          <w:rFonts w:ascii="FrankRuehl" w:hAnsi="FrankRuehl" w:cs="FrankRuehl"/>
          <w:rtl/>
        </w:rPr>
        <w:t xml:space="preserve">, </w:t>
      </w:r>
      <w:hyperlink r:id="rId8" w:history="1">
        <w:r w:rsidRPr="002030AC">
          <w:rPr>
            <w:rFonts w:ascii="FrankRuehl" w:hAnsi="FrankRuehl" w:cs="FrankRuehl"/>
            <w:color w:val="0000FF"/>
            <w:u w:val="single"/>
            <w:rtl/>
          </w:rPr>
          <w:t>40ו</w:t>
        </w:r>
      </w:hyperlink>
      <w:r w:rsidRPr="002030AC">
        <w:rPr>
          <w:rFonts w:ascii="FrankRuehl" w:hAnsi="FrankRuehl" w:cs="FrankRuehl"/>
          <w:rtl/>
        </w:rPr>
        <w:t xml:space="preserve">, </w:t>
      </w:r>
      <w:hyperlink r:id="rId9" w:history="1">
        <w:r w:rsidRPr="002030AC">
          <w:rPr>
            <w:rFonts w:ascii="FrankRuehl" w:hAnsi="FrankRuehl" w:cs="FrankRuehl"/>
            <w:color w:val="0000FF"/>
            <w:u w:val="single"/>
            <w:rtl/>
          </w:rPr>
          <w:t>40ז'</w:t>
        </w:r>
      </w:hyperlink>
      <w:r w:rsidRPr="002030AC">
        <w:rPr>
          <w:rFonts w:ascii="FrankRuehl" w:hAnsi="FrankRuehl" w:cs="FrankRuehl"/>
          <w:rtl/>
        </w:rPr>
        <w:t xml:space="preserve">, </w:t>
      </w:r>
      <w:hyperlink r:id="rId10" w:history="1">
        <w:r w:rsidRPr="002030AC">
          <w:rPr>
            <w:rFonts w:ascii="FrankRuehl" w:hAnsi="FrankRuehl" w:cs="FrankRuehl"/>
            <w:color w:val="0000FF"/>
            <w:u w:val="single"/>
            <w:rtl/>
          </w:rPr>
          <w:t>40ט</w:t>
        </w:r>
      </w:hyperlink>
      <w:r w:rsidRPr="002030AC">
        <w:rPr>
          <w:rFonts w:ascii="FrankRuehl" w:hAnsi="FrankRuehl" w:cs="FrankRuehl"/>
          <w:rtl/>
        </w:rPr>
        <w:t xml:space="preserve">, </w:t>
      </w:r>
      <w:hyperlink r:id="rId11" w:history="1">
        <w:r w:rsidRPr="002030AC">
          <w:rPr>
            <w:rFonts w:ascii="FrankRuehl" w:hAnsi="FrankRuehl" w:cs="FrankRuehl"/>
            <w:color w:val="0000FF"/>
            <w:u w:val="single"/>
            <w:rtl/>
          </w:rPr>
          <w:t>144(א)</w:t>
        </w:r>
      </w:hyperlink>
      <w:r w:rsidRPr="002030AC">
        <w:rPr>
          <w:rFonts w:ascii="FrankRuehl" w:hAnsi="FrankRuehl" w:cs="FrankRuehl"/>
          <w:rtl/>
        </w:rPr>
        <w:t xml:space="preserve">, </w:t>
      </w:r>
      <w:hyperlink r:id="rId12" w:history="1">
        <w:r w:rsidRPr="002030AC">
          <w:rPr>
            <w:rFonts w:ascii="FrankRuehl" w:hAnsi="FrankRuehl" w:cs="FrankRuehl"/>
            <w:color w:val="0000FF"/>
            <w:u w:val="single"/>
            <w:rtl/>
          </w:rPr>
          <w:t>144(ב)</w:t>
        </w:r>
      </w:hyperlink>
      <w:r w:rsidRPr="002030AC">
        <w:rPr>
          <w:rFonts w:ascii="FrankRuehl" w:hAnsi="FrankRuehl" w:cs="FrankRuehl"/>
          <w:rtl/>
        </w:rPr>
        <w:t xml:space="preserve">, </w:t>
      </w:r>
      <w:hyperlink r:id="rId13" w:history="1">
        <w:r w:rsidRPr="002030AC">
          <w:rPr>
            <w:rFonts w:ascii="FrankRuehl" w:hAnsi="FrankRuehl" w:cs="FrankRuehl"/>
            <w:color w:val="0000FF"/>
            <w:u w:val="single"/>
            <w:rtl/>
          </w:rPr>
          <w:t>329</w:t>
        </w:r>
      </w:hyperlink>
      <w:r w:rsidRPr="002030AC">
        <w:rPr>
          <w:rFonts w:ascii="FrankRuehl" w:hAnsi="FrankRuehl" w:cs="FrankRuehl"/>
          <w:rtl/>
        </w:rPr>
        <w:t xml:space="preserve">, </w:t>
      </w:r>
      <w:hyperlink r:id="rId14" w:history="1">
        <w:r w:rsidRPr="002030AC">
          <w:rPr>
            <w:rFonts w:ascii="FrankRuehl" w:hAnsi="FrankRuehl" w:cs="FrankRuehl"/>
            <w:color w:val="0000FF"/>
            <w:u w:val="single"/>
            <w:rtl/>
          </w:rPr>
          <w:t>329(א)(2)</w:t>
        </w:r>
      </w:hyperlink>
      <w:r w:rsidRPr="002030AC">
        <w:rPr>
          <w:rFonts w:ascii="FrankRuehl" w:hAnsi="FrankRuehl" w:cs="FrankRuehl"/>
          <w:rtl/>
        </w:rPr>
        <w:t xml:space="preserve">, </w:t>
      </w:r>
      <w:hyperlink r:id="rId15" w:history="1">
        <w:r w:rsidRPr="002030AC">
          <w:rPr>
            <w:rFonts w:ascii="FrankRuehl" w:hAnsi="FrankRuehl" w:cs="FrankRuehl"/>
            <w:color w:val="0000FF"/>
            <w:u w:val="single"/>
            <w:rtl/>
          </w:rPr>
          <w:t>340(א)</w:t>
        </w:r>
      </w:hyperlink>
      <w:r w:rsidRPr="002030AC">
        <w:rPr>
          <w:rFonts w:ascii="FrankRuehl" w:hAnsi="FrankRuehl" w:cs="FrankRuehl"/>
          <w:rtl/>
        </w:rPr>
        <w:t xml:space="preserve">, </w:t>
      </w:r>
      <w:hyperlink r:id="rId16" w:history="1">
        <w:r w:rsidRPr="002030AC">
          <w:rPr>
            <w:rFonts w:ascii="FrankRuehl" w:hAnsi="FrankRuehl" w:cs="FrankRuehl"/>
            <w:color w:val="0000FF"/>
            <w:u w:val="single"/>
            <w:rtl/>
          </w:rPr>
          <w:t>40 יג'</w:t>
        </w:r>
      </w:hyperlink>
    </w:p>
    <w:p w:rsidR="002030AC" w:rsidRPr="002030AC" w:rsidRDefault="002030AC" w:rsidP="002030AC">
      <w:pPr>
        <w:spacing w:after="120" w:line="240" w:lineRule="exact"/>
        <w:ind w:left="283" w:hanging="283"/>
        <w:jc w:val="both"/>
        <w:rPr>
          <w:rFonts w:ascii="FrankRuehl" w:hAnsi="FrankRuehl" w:cs="FrankRuehl"/>
          <w:rtl/>
        </w:rPr>
      </w:pPr>
    </w:p>
    <w:p w:rsidR="002030AC" w:rsidRPr="002030AC" w:rsidRDefault="002030AC">
      <w:pPr>
        <w:spacing w:line="360" w:lineRule="auto"/>
        <w:jc w:val="center"/>
        <w:rPr>
          <w:rFonts w:ascii="Arial" w:hAnsi="Arial"/>
          <w:sz w:val="28"/>
          <w:szCs w:val="28"/>
          <w:rtl/>
        </w:rPr>
      </w:pPr>
      <w:bookmarkStart w:id="4" w:name="LawTable_End"/>
      <w:bookmarkEnd w:id="4"/>
    </w:p>
    <w:p w:rsidR="002030AC" w:rsidRPr="002030AC" w:rsidRDefault="002030AC">
      <w:pPr>
        <w:spacing w:line="360" w:lineRule="auto"/>
        <w:jc w:val="center"/>
        <w:rPr>
          <w:rFonts w:ascii="Arial" w:hAnsi="Arial"/>
          <w:b/>
          <w:bCs/>
          <w:sz w:val="28"/>
          <w:szCs w:val="28"/>
          <w:rtl/>
        </w:rPr>
      </w:pPr>
    </w:p>
    <w:p w:rsidR="00AA3DCA" w:rsidRPr="002030AC" w:rsidRDefault="00AA3DCA">
      <w:pPr>
        <w:spacing w:line="360" w:lineRule="auto"/>
        <w:jc w:val="center"/>
        <w:rPr>
          <w:rFonts w:ascii="Arial" w:hAnsi="Arial"/>
          <w:b/>
          <w:bCs/>
          <w:sz w:val="28"/>
          <w:szCs w:val="28"/>
          <w:rtl/>
        </w:rPr>
      </w:pPr>
    </w:p>
    <w:p w:rsidR="00F46AFD" w:rsidRPr="00F46AFD" w:rsidRDefault="00F46AFD">
      <w:pPr>
        <w:spacing w:line="360" w:lineRule="auto"/>
        <w:jc w:val="center"/>
        <w:rPr>
          <w:rFonts w:ascii="Arial" w:hAnsi="Arial"/>
          <w:sz w:val="28"/>
          <w:szCs w:val="28"/>
          <w:rtl/>
        </w:rPr>
      </w:pPr>
    </w:p>
    <w:p w:rsidR="00F46AFD" w:rsidRPr="00F46AFD" w:rsidRDefault="00F46AFD">
      <w:pPr>
        <w:spacing w:line="360" w:lineRule="auto"/>
        <w:jc w:val="center"/>
        <w:rPr>
          <w:rFonts w:ascii="Arial" w:hAnsi="Arial"/>
          <w:b/>
          <w:bCs/>
          <w:sz w:val="28"/>
          <w:szCs w:val="28"/>
          <w:rtl/>
        </w:rPr>
      </w:pPr>
    </w:p>
    <w:p w:rsidR="00BD3059" w:rsidRPr="00F46AFD" w:rsidRDefault="00BD3059">
      <w:pPr>
        <w:spacing w:line="360" w:lineRule="auto"/>
        <w:jc w:val="center"/>
        <w:rPr>
          <w:rFonts w:ascii="Arial" w:hAnsi="Arial"/>
          <w:b/>
          <w:bCs/>
          <w:sz w:val="28"/>
          <w:szCs w:val="28"/>
          <w:rtl/>
        </w:rPr>
      </w:pPr>
    </w:p>
    <w:p w:rsidR="00BD3059" w:rsidRPr="00BD3059" w:rsidRDefault="00BD3059" w:rsidP="00BD3059">
      <w:pPr>
        <w:spacing w:line="360" w:lineRule="auto"/>
        <w:jc w:val="center"/>
        <w:rPr>
          <w:rFonts w:ascii="Arial" w:hAnsi="Arial"/>
          <w:b/>
          <w:bCs/>
          <w:sz w:val="28"/>
          <w:szCs w:val="28"/>
          <w:u w:val="single"/>
          <w:rtl/>
        </w:rPr>
      </w:pPr>
      <w:bookmarkStart w:id="5" w:name="PsakDin"/>
      <w:bookmarkEnd w:id="0"/>
      <w:bookmarkEnd w:id="1"/>
      <w:r w:rsidRPr="00BD3059">
        <w:rPr>
          <w:rFonts w:ascii="Arial" w:hAnsi="Arial"/>
          <w:b/>
          <w:bCs/>
          <w:sz w:val="28"/>
          <w:szCs w:val="28"/>
          <w:u w:val="single"/>
          <w:rtl/>
        </w:rPr>
        <w:t>גזר דין</w:t>
      </w:r>
    </w:p>
    <w:bookmarkEnd w:id="5"/>
    <w:p w:rsidR="00AA3DCA" w:rsidRDefault="00BD3059">
      <w:pPr>
        <w:spacing w:line="360" w:lineRule="auto"/>
        <w:jc w:val="both"/>
        <w:rPr>
          <w:rtl/>
        </w:rPr>
      </w:pPr>
      <w:r>
        <w:rPr>
          <w:rtl/>
        </w:rPr>
        <w:t xml:space="preserve"> </w:t>
      </w:r>
    </w:p>
    <w:p w:rsidR="00AA3DCA" w:rsidRDefault="00BD3059">
      <w:pPr>
        <w:spacing w:line="360" w:lineRule="auto"/>
        <w:jc w:val="both"/>
        <w:rPr>
          <w:rFonts w:ascii="Arial" w:hAnsi="Arial"/>
        </w:rPr>
      </w:pPr>
      <w:bookmarkStart w:id="6" w:name="ABSTRACT_START"/>
      <w:bookmarkEnd w:id="6"/>
      <w:r>
        <w:rPr>
          <w:rFonts w:ascii="Arial" w:hAnsi="Arial" w:hint="cs"/>
          <w:rtl/>
        </w:rPr>
        <w:t xml:space="preserve">הנאשם הורשע, לאחר שמיעת ראיות, בעבירות של החזקת נשק, עבירה לפי </w:t>
      </w:r>
      <w:hyperlink r:id="rId17" w:history="1">
        <w:r w:rsidR="002030AC" w:rsidRPr="002030AC">
          <w:rPr>
            <w:rFonts w:ascii="Arial" w:hAnsi="Arial"/>
            <w:color w:val="0000FF"/>
            <w:u w:val="single"/>
            <w:rtl/>
          </w:rPr>
          <w:t>סעיף 144(א)</w:t>
        </w:r>
      </w:hyperlink>
      <w:r>
        <w:rPr>
          <w:rFonts w:ascii="Arial" w:hAnsi="Arial" w:hint="cs"/>
          <w:rtl/>
        </w:rPr>
        <w:t xml:space="preserve"> רישא + סיפא ל</w:t>
      </w:r>
      <w:hyperlink r:id="rId18" w:history="1">
        <w:r w:rsidR="00F46AFD" w:rsidRPr="00F46AFD">
          <w:rPr>
            <w:rStyle w:val="Hyperlink"/>
            <w:rFonts w:ascii="Arial" w:hAnsi="Arial"/>
            <w:rtl/>
          </w:rPr>
          <w:t>חוק העונשין</w:t>
        </w:r>
      </w:hyperlink>
      <w:r>
        <w:rPr>
          <w:rFonts w:ascii="Arial" w:hAnsi="Arial" w:hint="cs"/>
          <w:rtl/>
        </w:rPr>
        <w:t xml:space="preserve">, התשל"ז – 1977, נשיאת נשק, עבירה לפי </w:t>
      </w:r>
      <w:hyperlink r:id="rId19" w:history="1">
        <w:r w:rsidR="002030AC" w:rsidRPr="002030AC">
          <w:rPr>
            <w:rFonts w:ascii="Arial" w:hAnsi="Arial"/>
            <w:color w:val="0000FF"/>
            <w:u w:val="single"/>
            <w:rtl/>
          </w:rPr>
          <w:t>סעיף 144(ב)</w:t>
        </w:r>
      </w:hyperlink>
      <w:r>
        <w:rPr>
          <w:rFonts w:ascii="Arial" w:hAnsi="Arial" w:hint="cs"/>
          <w:rtl/>
        </w:rPr>
        <w:t xml:space="preserve"> רישא + סיפא לחוק </w:t>
      </w:r>
      <w:r>
        <w:rPr>
          <w:rFonts w:ascii="Arial" w:hAnsi="Arial" w:hint="cs"/>
          <w:rtl/>
        </w:rPr>
        <w:lastRenderedPageBreak/>
        <w:t xml:space="preserve">העונשין, חבלה בכוונה מחמירה, עבירה לפי </w:t>
      </w:r>
      <w:hyperlink r:id="rId20" w:history="1">
        <w:r w:rsidR="002030AC" w:rsidRPr="002030AC">
          <w:rPr>
            <w:rFonts w:ascii="Arial" w:hAnsi="Arial"/>
            <w:color w:val="0000FF"/>
            <w:u w:val="single"/>
            <w:rtl/>
          </w:rPr>
          <w:t>סעיף 329(א)(2)</w:t>
        </w:r>
      </w:hyperlink>
      <w:r>
        <w:rPr>
          <w:rFonts w:ascii="Arial" w:hAnsi="Arial" w:hint="cs"/>
          <w:rtl/>
        </w:rPr>
        <w:t xml:space="preserve"> לחוק העונשין ויריות באזור מגורים, עבירה לפי </w:t>
      </w:r>
      <w:hyperlink r:id="rId21" w:history="1">
        <w:r w:rsidR="002030AC" w:rsidRPr="002030AC">
          <w:rPr>
            <w:rFonts w:ascii="Arial" w:hAnsi="Arial"/>
            <w:color w:val="0000FF"/>
            <w:u w:val="single"/>
            <w:rtl/>
          </w:rPr>
          <w:t>סעיף 340(א)</w:t>
        </w:r>
      </w:hyperlink>
      <w:r>
        <w:rPr>
          <w:rFonts w:ascii="Arial" w:hAnsi="Arial" w:hint="cs"/>
          <w:rtl/>
        </w:rPr>
        <w:t xml:space="preserve"> לחוק העונשין. </w:t>
      </w:r>
    </w:p>
    <w:p w:rsidR="00AA3DCA" w:rsidRDefault="00BD3059">
      <w:pPr>
        <w:spacing w:line="360" w:lineRule="auto"/>
        <w:jc w:val="both"/>
        <w:rPr>
          <w:rFonts w:ascii="Arial" w:hAnsi="Arial"/>
          <w:rtl/>
        </w:rPr>
      </w:pPr>
      <w:bookmarkStart w:id="7" w:name="ABSTRACT_END"/>
      <w:bookmarkEnd w:id="7"/>
      <w:r>
        <w:rPr>
          <w:rFonts w:ascii="Arial" w:hAnsi="Arial" w:hint="cs"/>
          <w:rtl/>
        </w:rPr>
        <w:t xml:space="preserve">על פי עובדות כתב האישום בהן הורשע, פגש הנאשם את המתלונן באזור מגורים בבית שאן ביום 13/4/12 בסמוך לשעה 02:00 לפנות בוקר. במהלך ויכוח זרק המתלונן כוס שהיתה בידו לכיוונו של הנאשם. בתגובה שלף הנאשם אקדח שהיה ברשותו, אותו החזיק שלא כדין, וירה לעברו של המתלונן שלוש יריות, האחת, חלפה בסמוך לראשו, השנייה, בסמוך לגבו והשלישית, שרטה את ברכו הימנית. </w:t>
      </w:r>
    </w:p>
    <w:p w:rsidR="00AA3DCA" w:rsidRDefault="00AA3DCA">
      <w:pPr>
        <w:spacing w:line="360" w:lineRule="auto"/>
        <w:jc w:val="both"/>
        <w:rPr>
          <w:rFonts w:ascii="Arial" w:hAnsi="Arial"/>
          <w:rtl/>
        </w:rPr>
      </w:pPr>
    </w:p>
    <w:p w:rsidR="00AA3DCA" w:rsidRDefault="00BD3059">
      <w:pPr>
        <w:spacing w:line="360" w:lineRule="auto"/>
        <w:jc w:val="both"/>
        <w:rPr>
          <w:rFonts w:ascii="Arial" w:hAnsi="Arial"/>
          <w:rtl/>
        </w:rPr>
      </w:pPr>
      <w:r>
        <w:rPr>
          <w:rFonts w:ascii="Arial" w:hAnsi="Arial" w:hint="cs"/>
          <w:b/>
          <w:bCs/>
          <w:u w:val="single"/>
          <w:rtl/>
        </w:rPr>
        <w:t>טיעוני המאשימה לעונש</w:t>
      </w:r>
      <w:r>
        <w:rPr>
          <w:rFonts w:ascii="Arial" w:hAnsi="Arial" w:hint="cs"/>
          <w:rtl/>
        </w:rPr>
        <w:t xml:space="preserve"> – </w:t>
      </w:r>
    </w:p>
    <w:p w:rsidR="00AA3DCA" w:rsidRDefault="00BD3059">
      <w:pPr>
        <w:spacing w:line="360" w:lineRule="auto"/>
        <w:jc w:val="both"/>
        <w:rPr>
          <w:rFonts w:ascii="Arial" w:hAnsi="Arial"/>
          <w:rtl/>
        </w:rPr>
      </w:pPr>
      <w:r>
        <w:rPr>
          <w:rFonts w:ascii="Arial" w:hAnsi="Arial" w:hint="cs"/>
          <w:rtl/>
        </w:rPr>
        <w:t xml:space="preserve">הערך החברתי בו פגע הנאשם הוא זכותו של אדם לשלמות גופו. סכנת הפגיעה העולה ממעשיו של המתלונן מהכוונה שהתלוותה אליה היא קשה ביותר. הנאשם ביצע עבירה שהיסוד הנפשי שלה הוא גבוה - כוונה לגורם חבלה חמורה. ירי מנשק חם הוא נסיבה מחמירה על פי הוראות </w:t>
      </w:r>
      <w:hyperlink r:id="rId22" w:history="1">
        <w:r w:rsidR="002030AC" w:rsidRPr="002030AC">
          <w:rPr>
            <w:rFonts w:ascii="Arial" w:hAnsi="Arial"/>
            <w:color w:val="0000FF"/>
            <w:u w:val="single"/>
            <w:rtl/>
          </w:rPr>
          <w:t>סעיף 329</w:t>
        </w:r>
      </w:hyperlink>
      <w:r>
        <w:rPr>
          <w:rFonts w:ascii="Arial" w:hAnsi="Arial" w:hint="cs"/>
          <w:rtl/>
        </w:rPr>
        <w:t xml:space="preserve"> לחוק, המייחס לה דרגת חומרה גבוהה יותר מהעבירה של מעשה אלימות רגיל וזאת בשל פוטנציאל הפגיעה הטמון בנשק. הנאשם ירה שלוש יריות. עשיית שימוש בנשק לצורך פתרון "סכסוכים" מחייב תגובה עונשית הולמת. </w:t>
      </w:r>
    </w:p>
    <w:p w:rsidR="00AA3DCA" w:rsidRDefault="00BD3059">
      <w:pPr>
        <w:spacing w:line="360" w:lineRule="auto"/>
        <w:jc w:val="both"/>
        <w:rPr>
          <w:rFonts w:ascii="Arial" w:hAnsi="Arial"/>
          <w:rtl/>
        </w:rPr>
      </w:pPr>
      <w:r>
        <w:rPr>
          <w:rFonts w:ascii="Arial" w:hAnsi="Arial" w:hint="cs"/>
          <w:rtl/>
        </w:rPr>
        <w:t xml:space="preserve">לעניין נסיבות ביצוע העבירה, העבירה בוצעה במלואה על ידי הנאשם והוא האחראי לתוצאותיה. הנזק שהיה עלול להיגרם מביצוע העבירה הינו ברור, רק בנס לא פגעו הכדורים ולא גרמו לפגיעה קשה בגוף או בנפש. </w:t>
      </w:r>
    </w:p>
    <w:p w:rsidR="00AA3DCA" w:rsidRDefault="00BD3059">
      <w:pPr>
        <w:spacing w:line="360" w:lineRule="auto"/>
        <w:jc w:val="both"/>
        <w:rPr>
          <w:rFonts w:ascii="Arial" w:hAnsi="Arial"/>
          <w:rtl/>
        </w:rPr>
      </w:pPr>
      <w:r>
        <w:rPr>
          <w:rFonts w:ascii="Arial" w:hAnsi="Arial" w:hint="cs"/>
          <w:rtl/>
        </w:rPr>
        <w:t xml:space="preserve">לא היתה כל עילה שתצדיק התנהגות כה אלימה מצד הנאשם, הנאשם מבין היטב את משמעות מעשיו. הדברים מתחדדים נוכח עברו של הנאשם. העובדה שנקבעה בהכרעת הדין לפיה הנאשם הוא זה שיזם את המפגש מלמדת היטב על מידת השליטה של הנאשם במעשהו ועל יכולתו להימנע מעשיית המעשה. גם כאשר המתלונן ברח מהמקום המשיך הנאשם לדלוק אחריו וירה לעברו. </w:t>
      </w:r>
    </w:p>
    <w:p w:rsidR="00AA3DCA" w:rsidRDefault="00BD3059">
      <w:pPr>
        <w:spacing w:line="360" w:lineRule="auto"/>
        <w:jc w:val="both"/>
        <w:rPr>
          <w:rFonts w:ascii="Arial" w:hAnsi="Arial"/>
          <w:rtl/>
        </w:rPr>
      </w:pPr>
      <w:r>
        <w:rPr>
          <w:rFonts w:ascii="Arial" w:hAnsi="Arial" w:hint="cs"/>
          <w:rtl/>
        </w:rPr>
        <w:t xml:space="preserve">המאשימה סבורה כי מתחם העונש ההולם לעבירת האלימות – חבלה בכוונה מחמירה -  בה הורשע הנאשם, הוא 5-7 שנות מאסר בפועל, בצירוף עונשים נלווים. המאשימה סבורה כי יש לקבוע מתחם עונש הולם נפרד לעבירת הנשק, ומהנימוקים המפורטים על ידה יש לקבוע מתחם בין 6-8 שנות מאסר. </w:t>
      </w:r>
    </w:p>
    <w:p w:rsidR="00AA3DCA" w:rsidRDefault="00BD3059">
      <w:pPr>
        <w:spacing w:line="360" w:lineRule="auto"/>
        <w:jc w:val="both"/>
        <w:rPr>
          <w:rFonts w:ascii="Arial" w:hAnsi="Arial"/>
          <w:rtl/>
        </w:rPr>
      </w:pPr>
      <w:r>
        <w:rPr>
          <w:rFonts w:ascii="Arial" w:hAnsi="Arial" w:hint="cs"/>
          <w:rtl/>
        </w:rPr>
        <w:t xml:space="preserve">באשר לנסיבות שאינן קשורות בביצוע העבירה, שיש בהן כדי להשפיע על מידת העונש בתוך המתחם, סבורה המאשימה כי אלה פועלות כולן לחובת הנאשם. הפגיעה של העונש בנאשם ובמשפחתו איננה יוצאת דופן ואיננה גדולה מהפגיעה שפגע הנאשם בערכים החברתיים המוגנים. לחובתו של הנאשם עבר פלילי מכביד, הנאשם לא נטל אחריות על מעשיו, לא התאמץ לתקן את תוצאותיהם, לא שיתף פעולה עם רשויות אכיפת החוק, מסר עדות שנקבע כי איננה מהימנה, ניסה להשפיע על עדים. יש ליתן משקל להרתעת הרבים. ביצע את העבירה בתוך פחות משנה מאז שוחרר ממאסרו האחרון. </w:t>
      </w:r>
    </w:p>
    <w:p w:rsidR="00AA3DCA" w:rsidRDefault="00BD3059">
      <w:pPr>
        <w:spacing w:line="360" w:lineRule="auto"/>
        <w:jc w:val="both"/>
        <w:rPr>
          <w:rFonts w:ascii="Arial" w:hAnsi="Arial"/>
          <w:rtl/>
        </w:rPr>
      </w:pPr>
      <w:r>
        <w:rPr>
          <w:rFonts w:ascii="Arial" w:hAnsi="Arial" w:hint="cs"/>
          <w:rtl/>
        </w:rPr>
        <w:t xml:space="preserve">לפיכך, מבקשת המאשימה להשית על הנאשם עונש מאסר המתקרב לרף העליון שבמתחם וכן עונשים נלווים. </w:t>
      </w:r>
    </w:p>
    <w:p w:rsidR="00AA3DCA" w:rsidRDefault="00AA3DCA">
      <w:pPr>
        <w:spacing w:line="360" w:lineRule="auto"/>
        <w:jc w:val="both"/>
        <w:rPr>
          <w:rFonts w:ascii="Arial" w:hAnsi="Arial"/>
          <w:rtl/>
        </w:rPr>
      </w:pPr>
    </w:p>
    <w:p w:rsidR="00AA3DCA" w:rsidRDefault="00BD3059">
      <w:pPr>
        <w:spacing w:line="360" w:lineRule="auto"/>
        <w:jc w:val="both"/>
        <w:rPr>
          <w:rFonts w:ascii="Arial" w:hAnsi="Arial"/>
          <w:rtl/>
        </w:rPr>
      </w:pPr>
      <w:r>
        <w:rPr>
          <w:rFonts w:ascii="Arial" w:hAnsi="Arial" w:hint="cs"/>
          <w:b/>
          <w:bCs/>
          <w:u w:val="single"/>
          <w:rtl/>
        </w:rPr>
        <w:t>טענות ב"כ הנאשם</w:t>
      </w:r>
      <w:r>
        <w:rPr>
          <w:rFonts w:ascii="Arial" w:hAnsi="Arial" w:hint="cs"/>
          <w:rtl/>
        </w:rPr>
        <w:t xml:space="preserve"> – </w:t>
      </w:r>
    </w:p>
    <w:p w:rsidR="00AA3DCA" w:rsidRDefault="00BD3059">
      <w:pPr>
        <w:spacing w:line="360" w:lineRule="auto"/>
        <w:jc w:val="both"/>
        <w:rPr>
          <w:rFonts w:ascii="Arial" w:hAnsi="Arial"/>
          <w:rtl/>
        </w:rPr>
      </w:pPr>
      <w:r>
        <w:rPr>
          <w:rFonts w:ascii="Arial" w:hAnsi="Arial" w:hint="cs"/>
          <w:rtl/>
        </w:rPr>
        <w:lastRenderedPageBreak/>
        <w:t xml:space="preserve">בסופו של יום לא נגרם נזק לא לאדם ולא לרכוש. האירוע ארע בשעת לילה מאוחרת, כך שהסיכון לפגיעה בחפים מפשע היה נמוך. כוונת הנאשם היתה, לכל היותר, להפחיד את המתלונן. היריות חלפו בסמוך לגופו ולא פגעו בו. המתלונן איננו אזרח תמים, אלא עבריין שלחובתו הרשעות ושריצה עונשי מאסר. הערך החברתי של שלום הציבור לא נפגע מהותית. מתחם הענישה הראוי שיש לקבוע כאן הוא בין 6 חודשים ל – 18 חודשי מאסר. </w:t>
      </w:r>
    </w:p>
    <w:p w:rsidR="00AA3DCA" w:rsidRDefault="00BD3059">
      <w:pPr>
        <w:spacing w:line="360" w:lineRule="auto"/>
        <w:jc w:val="both"/>
        <w:rPr>
          <w:rFonts w:ascii="Arial" w:hAnsi="Arial"/>
          <w:rtl/>
        </w:rPr>
      </w:pPr>
      <w:r>
        <w:rPr>
          <w:rFonts w:ascii="Arial" w:hAnsi="Arial" w:hint="cs"/>
          <w:rtl/>
        </w:rPr>
        <w:t xml:space="preserve">יש להתחשב בנאשם, לרבות בגילו – כיום כבן 30, חלק מהותי מחייו הבוגרים היה בבתי הסוהר, הוא סובל מבעיית סמים. הוריו נושאים בנטל הכלכלי הכבד של הקנסות הפליליים עבור הוצאות טיפול משפטי והוצאות של הנאשם, נסיבות חייו של הנאשם קשות. בתיק היו מחדלי חקירה מצד רשויות החקירה. מבקשים להימנע מהטלת קנס לאור מצבו הכלכלי הירוד. </w:t>
      </w:r>
    </w:p>
    <w:p w:rsidR="00AA3DCA" w:rsidRDefault="00AA3DCA">
      <w:pPr>
        <w:spacing w:line="360" w:lineRule="auto"/>
        <w:jc w:val="both"/>
        <w:rPr>
          <w:rFonts w:ascii="Arial" w:hAnsi="Arial"/>
          <w:b/>
          <w:bCs/>
          <w:u w:val="single"/>
          <w:rtl/>
        </w:rPr>
      </w:pPr>
    </w:p>
    <w:p w:rsidR="00AA3DCA" w:rsidRDefault="00BD3059">
      <w:pPr>
        <w:spacing w:line="360" w:lineRule="auto"/>
        <w:jc w:val="both"/>
        <w:rPr>
          <w:rFonts w:ascii="Arial" w:hAnsi="Arial"/>
          <w:rtl/>
        </w:rPr>
      </w:pPr>
      <w:r>
        <w:rPr>
          <w:rFonts w:ascii="Arial" w:hAnsi="Arial" w:hint="cs"/>
          <w:b/>
          <w:bCs/>
          <w:u w:val="single"/>
          <w:rtl/>
        </w:rPr>
        <w:t>דיון</w:t>
      </w:r>
      <w:r>
        <w:rPr>
          <w:rFonts w:ascii="Arial" w:hAnsi="Arial" w:hint="cs"/>
          <w:rtl/>
        </w:rPr>
        <w:t xml:space="preserve"> – </w:t>
      </w:r>
    </w:p>
    <w:p w:rsidR="00AA3DCA" w:rsidRDefault="00BD3059">
      <w:pPr>
        <w:spacing w:line="360" w:lineRule="auto"/>
        <w:jc w:val="both"/>
        <w:rPr>
          <w:rFonts w:ascii="Arial" w:hAnsi="Arial"/>
          <w:rtl/>
        </w:rPr>
      </w:pPr>
      <w:r>
        <w:rPr>
          <w:rFonts w:ascii="Arial" w:hAnsi="Arial" w:hint="cs"/>
          <w:rtl/>
        </w:rPr>
        <w:t xml:space="preserve">במקרה שבפני מדובר בהרשעה בכמה עבירות המהוות אירוע אחד, על כן, יקבע מתחם עונש הולם לאירוע כולו בהתאם להוראות </w:t>
      </w:r>
      <w:hyperlink r:id="rId23" w:history="1">
        <w:r w:rsidR="002030AC" w:rsidRPr="002030AC">
          <w:rPr>
            <w:rStyle w:val="Hyperlink"/>
            <w:rFonts w:ascii="Arial" w:hAnsi="Arial" w:hint="eastAsia"/>
            <w:rtl/>
          </w:rPr>
          <w:t>סעיף</w:t>
        </w:r>
        <w:r w:rsidR="002030AC" w:rsidRPr="002030AC">
          <w:rPr>
            <w:rStyle w:val="Hyperlink"/>
            <w:rFonts w:ascii="Arial" w:hAnsi="Arial"/>
            <w:rtl/>
          </w:rPr>
          <w:t xml:space="preserve"> 40 יג'</w:t>
        </w:r>
      </w:hyperlink>
      <w:r>
        <w:rPr>
          <w:rFonts w:ascii="Arial" w:hAnsi="Arial" w:hint="cs"/>
          <w:rtl/>
        </w:rPr>
        <w:t xml:space="preserve">. </w:t>
      </w:r>
    </w:p>
    <w:p w:rsidR="00AA3DCA" w:rsidRDefault="00BD3059">
      <w:pPr>
        <w:spacing w:line="360" w:lineRule="auto"/>
        <w:jc w:val="both"/>
        <w:rPr>
          <w:rFonts w:ascii="Arial" w:hAnsi="Arial"/>
          <w:rtl/>
        </w:rPr>
      </w:pPr>
      <w:r>
        <w:rPr>
          <w:rFonts w:ascii="Arial" w:hAnsi="Arial" w:hint="cs"/>
          <w:rtl/>
        </w:rPr>
        <w:t xml:space="preserve">בהתאם להוראות </w:t>
      </w:r>
      <w:hyperlink r:id="rId24" w:history="1">
        <w:r w:rsidR="002030AC" w:rsidRPr="002030AC">
          <w:rPr>
            <w:rStyle w:val="Hyperlink"/>
            <w:rFonts w:ascii="Arial" w:hAnsi="Arial" w:hint="eastAsia"/>
            <w:rtl/>
          </w:rPr>
          <w:t>סעיף</w:t>
        </w:r>
        <w:r w:rsidR="002030AC" w:rsidRPr="002030AC">
          <w:rPr>
            <w:rStyle w:val="Hyperlink"/>
            <w:rFonts w:ascii="Arial" w:hAnsi="Arial"/>
            <w:rtl/>
          </w:rPr>
          <w:t xml:space="preserve"> 40ג(א)</w:t>
        </w:r>
      </w:hyperlink>
      <w:r>
        <w:rPr>
          <w:rFonts w:ascii="Arial" w:hAnsi="Arial" w:hint="cs"/>
          <w:rtl/>
        </w:rPr>
        <w:t xml:space="preserve">, יש לקבוע את מתחם העונש ההולם, בהתחשב בשאלה מהו הערך החברתי שנפגע מביצוע העבירה ומידת הפגיעה בו וכן במדיניות הענישה הנהוגה ובנסיבות הקשורות לביצוע העבירה. </w:t>
      </w:r>
    </w:p>
    <w:p w:rsidR="00AA3DCA" w:rsidRDefault="00AA3DCA">
      <w:pPr>
        <w:spacing w:line="360" w:lineRule="auto"/>
        <w:jc w:val="both"/>
        <w:rPr>
          <w:rFonts w:ascii="Arial" w:hAnsi="Arial"/>
          <w:rtl/>
        </w:rPr>
      </w:pPr>
    </w:p>
    <w:p w:rsidR="00AA3DCA" w:rsidRDefault="00BD3059">
      <w:pPr>
        <w:spacing w:line="360" w:lineRule="auto"/>
        <w:jc w:val="both"/>
        <w:rPr>
          <w:rFonts w:ascii="Arial" w:hAnsi="Arial"/>
          <w:rtl/>
        </w:rPr>
      </w:pPr>
      <w:r>
        <w:rPr>
          <w:rFonts w:ascii="Arial" w:hAnsi="Arial" w:hint="cs"/>
          <w:rtl/>
        </w:rPr>
        <w:t xml:space="preserve">לעניין הערך החברתי, המדובר בערך עליון של זכותו של אדם לחיים ולשלמות גופו. בעניין עבירת הנשק, קיים ערך חברתי נוסף והוא שמירה על סדר השלטון והסכנה שבפגיעה בחייו ו/או בגופו ושלמות גופו של אדם. </w:t>
      </w:r>
    </w:p>
    <w:p w:rsidR="00AA3DCA" w:rsidRDefault="00AA3DCA">
      <w:pPr>
        <w:spacing w:line="360" w:lineRule="auto"/>
        <w:jc w:val="both"/>
        <w:rPr>
          <w:rFonts w:ascii="Arial" w:hAnsi="Arial"/>
          <w:rtl/>
        </w:rPr>
      </w:pPr>
    </w:p>
    <w:p w:rsidR="00AA3DCA" w:rsidRDefault="00BD3059">
      <w:pPr>
        <w:spacing w:line="360" w:lineRule="auto"/>
        <w:jc w:val="both"/>
        <w:rPr>
          <w:rFonts w:ascii="Arial" w:hAnsi="Arial"/>
          <w:rtl/>
        </w:rPr>
      </w:pPr>
      <w:r>
        <w:rPr>
          <w:rFonts w:ascii="Arial" w:hAnsi="Arial" w:hint="cs"/>
          <w:rtl/>
        </w:rPr>
        <w:t>עבירת האלימות בה הורשע הנאשם הינה בעלת יסוד נפשי מוגבר, המצריך כוונה מיוחדת. הסכנה היא ברורה ועל כן, המחוקק מתייחס בחומרה יתירה לעבירות אלה. נפסק כי על בית המשפט להעלות את תרומתו למלחמה בתופעת השימוש בנשק כדי לפגוע באדם וכדי "לפתור סכסוכים". חברתנו הפכה לאלימה יותר ותרומת בית המשפט למלחמה באלימות זו היא בהטלת עונשים ראויים והולמים [</w:t>
      </w:r>
      <w:hyperlink r:id="rId25" w:history="1">
        <w:r w:rsidR="00F46AFD" w:rsidRPr="00F46AFD">
          <w:rPr>
            <w:rStyle w:val="Hyperlink"/>
            <w:rFonts w:ascii="Arial" w:hAnsi="Arial"/>
            <w:b/>
            <w:bCs/>
            <w:rtl/>
          </w:rPr>
          <w:t>ע"פ 5753/04</w:t>
        </w:r>
      </w:hyperlink>
      <w:r>
        <w:rPr>
          <w:rFonts w:ascii="Arial" w:hAnsi="Arial" w:hint="cs"/>
          <w:b/>
          <w:bCs/>
          <w:rtl/>
        </w:rPr>
        <w:t xml:space="preserve"> נ"י נ' ירון רייכן, </w:t>
      </w:r>
      <w:hyperlink r:id="rId26" w:history="1">
        <w:r w:rsidR="00F46AFD" w:rsidRPr="00F46AFD">
          <w:rPr>
            <w:rStyle w:val="Hyperlink"/>
            <w:rFonts w:ascii="Arial" w:hAnsi="Arial"/>
            <w:b/>
            <w:bCs/>
            <w:rtl/>
          </w:rPr>
          <w:t>ע"פ 2909/04</w:t>
        </w:r>
      </w:hyperlink>
      <w:r>
        <w:rPr>
          <w:rFonts w:ascii="Arial" w:hAnsi="Arial" w:hint="cs"/>
          <w:b/>
          <w:bCs/>
          <w:rtl/>
        </w:rPr>
        <w:t xml:space="preserve"> פנחס סדון נ' מ"י]</w:t>
      </w:r>
      <w:r>
        <w:rPr>
          <w:rFonts w:ascii="Arial" w:hAnsi="Arial" w:hint="cs"/>
          <w:rtl/>
        </w:rPr>
        <w:t xml:space="preserve">. </w:t>
      </w:r>
    </w:p>
    <w:p w:rsidR="00AA3DCA" w:rsidRDefault="00BD3059">
      <w:pPr>
        <w:spacing w:line="360" w:lineRule="auto"/>
        <w:jc w:val="both"/>
        <w:rPr>
          <w:rFonts w:ascii="Arial" w:hAnsi="Arial"/>
          <w:rtl/>
        </w:rPr>
      </w:pPr>
      <w:r>
        <w:rPr>
          <w:rFonts w:ascii="Arial" w:hAnsi="Arial" w:hint="cs"/>
          <w:rtl/>
        </w:rPr>
        <w:t>בעבירה של נשיאת נשק והחזקתו שלא כדין כרוכה סכנה גדולה לציבור. במקרה כאן, עלול היה להיגרם נזק כבד עד כדי אובדן חיי אדם. מן הראוי, שיוטל עונש שיהא בו כדי להרתיע את הרבים מנשיאת נשק ועשיית שימוש בו. המצב היום בו נשק חם הינו זמין. פוטנציאל הנזק רב עוצמה ומקים חשש להסלמה באלימות העבריינות ועל כן הוא מחייב מתן ביטוי עונשי הולם והחמרה ברמת הענישה [</w:t>
      </w:r>
      <w:r w:rsidRPr="00FC5202">
        <w:rPr>
          <w:rFonts w:ascii="Arial" w:hAnsi="Arial"/>
          <w:b/>
          <w:bCs/>
          <w:color w:val="000000"/>
          <w:rtl/>
        </w:rPr>
        <w:t xml:space="preserve">ע"פ </w:t>
      </w:r>
      <w:hyperlink r:id="rId27" w:history="1">
        <w:r w:rsidR="002030AC" w:rsidRPr="002030AC">
          <w:rPr>
            <w:rFonts w:ascii="Arial" w:hAnsi="Arial"/>
            <w:b/>
            <w:bCs/>
            <w:color w:val="0000FF"/>
            <w:u w:val="single"/>
            <w:rtl/>
          </w:rPr>
          <w:t>1332/04</w:t>
        </w:r>
      </w:hyperlink>
      <w:r>
        <w:rPr>
          <w:rFonts w:ascii="Arial" w:hAnsi="Arial" w:hint="cs"/>
          <w:b/>
          <w:bCs/>
          <w:rtl/>
        </w:rPr>
        <w:t xml:space="preserve"> מ"י נ' רפאל פס</w:t>
      </w:r>
      <w:r>
        <w:rPr>
          <w:rFonts w:ascii="Arial" w:hAnsi="Arial" w:hint="cs"/>
          <w:rtl/>
        </w:rPr>
        <w:t xml:space="preserve">]. </w:t>
      </w:r>
    </w:p>
    <w:p w:rsidR="00AA3DCA" w:rsidRDefault="00BD3059">
      <w:pPr>
        <w:spacing w:line="360" w:lineRule="auto"/>
        <w:jc w:val="both"/>
        <w:rPr>
          <w:rFonts w:ascii="Arial" w:hAnsi="Arial"/>
          <w:rtl/>
        </w:rPr>
      </w:pPr>
      <w:r>
        <w:rPr>
          <w:rFonts w:ascii="Arial" w:hAnsi="Arial" w:hint="cs"/>
          <w:rtl/>
        </w:rPr>
        <w:t xml:space="preserve">ברור מאמור לעיל כי מדובר בערכים חברתיים חשובים שהפגיעה בהם הינה רבה. </w:t>
      </w:r>
    </w:p>
    <w:p w:rsidR="00AA3DCA" w:rsidRDefault="00BD3059">
      <w:pPr>
        <w:spacing w:line="360" w:lineRule="auto"/>
        <w:jc w:val="both"/>
        <w:rPr>
          <w:rFonts w:ascii="Arial" w:hAnsi="Arial"/>
          <w:rtl/>
        </w:rPr>
      </w:pPr>
      <w:r>
        <w:rPr>
          <w:rFonts w:ascii="Arial" w:hAnsi="Arial" w:hint="cs"/>
          <w:rtl/>
        </w:rPr>
        <w:t>באשר לנסיבות ביצוע העבירה [</w:t>
      </w:r>
      <w:hyperlink r:id="rId28" w:history="1">
        <w:r w:rsidR="002030AC" w:rsidRPr="002030AC">
          <w:rPr>
            <w:rStyle w:val="Hyperlink"/>
            <w:rFonts w:ascii="Arial" w:hAnsi="Arial" w:hint="eastAsia"/>
            <w:rtl/>
          </w:rPr>
          <w:t>סעיף</w:t>
        </w:r>
        <w:r w:rsidR="002030AC" w:rsidRPr="002030AC">
          <w:rPr>
            <w:rStyle w:val="Hyperlink"/>
            <w:rFonts w:ascii="Arial" w:hAnsi="Arial"/>
            <w:rtl/>
          </w:rPr>
          <w:t xml:space="preserve"> 40ט</w:t>
        </w:r>
      </w:hyperlink>
      <w:r>
        <w:rPr>
          <w:rFonts w:ascii="Arial" w:hAnsi="Arial" w:hint="cs"/>
          <w:rtl/>
        </w:rPr>
        <w:t xml:space="preserve">] – העובדה שהנאשם הגיע למפגש כשהוא מצויד באקדח, יש בה כדי להעיד על תכנון מוקדם והתכוננות לאפשרות שיהא צורך בשימוש בנשק. </w:t>
      </w:r>
    </w:p>
    <w:p w:rsidR="00AA3DCA" w:rsidRDefault="00BD3059">
      <w:pPr>
        <w:spacing w:line="360" w:lineRule="auto"/>
        <w:jc w:val="both"/>
        <w:rPr>
          <w:rFonts w:ascii="Arial" w:hAnsi="Arial"/>
          <w:rtl/>
        </w:rPr>
      </w:pPr>
      <w:r>
        <w:rPr>
          <w:rFonts w:ascii="Arial" w:hAnsi="Arial" w:hint="cs"/>
          <w:rtl/>
        </w:rPr>
        <w:t xml:space="preserve">חלקו היחסי של הנאשם היה מכריע ועיקרי והוא אחראי באופן מלא לביצוע העבירה. הנזק שהיה עלול להיגרם ברור, אך בנס נמנע אסון. לא היתה שום סיבה שתצדיק את מעשהו של הנאשם. גם אם המתלונן שפך לעברו כוס שתיה, מדובר בתגובה קיצונית ולא פרופורציונאלית. אין להתייחס לכך כאל התגרות, במיוחד שלאחר מכן התחיל המתלונן לברוח. </w:t>
      </w:r>
    </w:p>
    <w:p w:rsidR="00AA3DCA" w:rsidRDefault="00AA3DCA">
      <w:pPr>
        <w:spacing w:line="360" w:lineRule="auto"/>
        <w:jc w:val="both"/>
        <w:rPr>
          <w:rFonts w:ascii="Arial" w:hAnsi="Arial"/>
          <w:rtl/>
        </w:rPr>
      </w:pPr>
    </w:p>
    <w:p w:rsidR="00AA3DCA" w:rsidRDefault="00BD3059">
      <w:pPr>
        <w:spacing w:line="360" w:lineRule="auto"/>
        <w:jc w:val="both"/>
        <w:rPr>
          <w:rFonts w:ascii="Arial" w:hAnsi="Arial"/>
          <w:rtl/>
        </w:rPr>
      </w:pPr>
      <w:r>
        <w:rPr>
          <w:rFonts w:ascii="Arial" w:hAnsi="Arial" w:hint="cs"/>
          <w:rtl/>
        </w:rPr>
        <w:t xml:space="preserve">הנאשם איננו מוגבל מבחינת יכולתו השכלית והמנטלית. הוא לא טען דבר בעניין זה. הנאשם הוא זה שיזם את הפגישה. בכך יש ללמוד שהוא יכול היה להימנע מעשיית המעשה. לא הובאו ראיות לעניין מצוקה נפשית של הנאשם או פגיעה בו על ידי המתלונן. </w:t>
      </w:r>
    </w:p>
    <w:p w:rsidR="00AA3DCA" w:rsidRDefault="00AA3DCA">
      <w:pPr>
        <w:spacing w:line="360" w:lineRule="auto"/>
        <w:jc w:val="both"/>
        <w:rPr>
          <w:rFonts w:ascii="Arial" w:hAnsi="Arial"/>
          <w:rtl/>
        </w:rPr>
      </w:pPr>
    </w:p>
    <w:p w:rsidR="00AA3DCA" w:rsidRDefault="00BD3059">
      <w:pPr>
        <w:spacing w:line="360" w:lineRule="auto"/>
        <w:jc w:val="both"/>
        <w:rPr>
          <w:rFonts w:ascii="Arial" w:hAnsi="Arial"/>
          <w:rtl/>
        </w:rPr>
      </w:pPr>
      <w:r>
        <w:rPr>
          <w:rFonts w:ascii="Arial" w:hAnsi="Arial" w:hint="cs"/>
          <w:b/>
          <w:bCs/>
          <w:u w:val="single"/>
          <w:rtl/>
        </w:rPr>
        <w:t>מדיניות הענישה הנהוגה</w:t>
      </w:r>
      <w:r>
        <w:rPr>
          <w:rFonts w:ascii="Arial" w:hAnsi="Arial" w:hint="cs"/>
          <w:rtl/>
        </w:rPr>
        <w:t xml:space="preserve"> – </w:t>
      </w:r>
    </w:p>
    <w:p w:rsidR="00AA3DCA" w:rsidRDefault="00BD3059">
      <w:pPr>
        <w:spacing w:line="360" w:lineRule="auto"/>
        <w:jc w:val="both"/>
        <w:rPr>
          <w:rFonts w:ascii="Arial" w:hAnsi="Arial"/>
          <w:rtl/>
        </w:rPr>
      </w:pPr>
      <w:r>
        <w:rPr>
          <w:rFonts w:ascii="Arial" w:hAnsi="Arial" w:hint="cs"/>
          <w:b/>
          <w:bCs/>
          <w:rtl/>
        </w:rPr>
        <w:t>ב</w:t>
      </w:r>
      <w:hyperlink r:id="rId29" w:history="1">
        <w:r w:rsidR="00F46AFD" w:rsidRPr="00F46AFD">
          <w:rPr>
            <w:rStyle w:val="Hyperlink"/>
            <w:rFonts w:ascii="Arial" w:hAnsi="Arial"/>
            <w:b/>
            <w:bCs/>
            <w:rtl/>
          </w:rPr>
          <w:t>ע"פ 2909/04</w:t>
        </w:r>
      </w:hyperlink>
      <w:r>
        <w:rPr>
          <w:rFonts w:ascii="Arial" w:hAnsi="Arial" w:hint="cs"/>
          <w:rtl/>
        </w:rPr>
        <w:t xml:space="preserve"> הורשע אדם על פי הודאתו, בכך שבשל סכסוך שכנים ירה ירייה באוויר בסמוך לראשו של המתלונן ולאחר מכן ברגלו. המתלונן אושפז לתקופה ארוכה. לחובתו הרשעה אחת ותסקיר שירות המבחן המליץ על עונש שירוצה בעבודות שירות, נדון ל – 7 שנות מאסר + עונשים נלווים. </w:t>
      </w:r>
    </w:p>
    <w:p w:rsidR="00AA3DCA" w:rsidRDefault="00AA3DCA">
      <w:pPr>
        <w:spacing w:line="360" w:lineRule="auto"/>
        <w:jc w:val="both"/>
        <w:rPr>
          <w:rFonts w:ascii="Arial" w:hAnsi="Arial"/>
          <w:rtl/>
        </w:rPr>
      </w:pPr>
    </w:p>
    <w:p w:rsidR="00AA3DCA" w:rsidRDefault="00BD3059">
      <w:pPr>
        <w:spacing w:line="360" w:lineRule="auto"/>
        <w:jc w:val="both"/>
        <w:rPr>
          <w:rFonts w:ascii="Arial" w:hAnsi="Arial"/>
          <w:rtl/>
        </w:rPr>
      </w:pPr>
      <w:r>
        <w:rPr>
          <w:rFonts w:ascii="Arial" w:hAnsi="Arial" w:hint="cs"/>
          <w:b/>
          <w:bCs/>
          <w:rtl/>
        </w:rPr>
        <w:t>ב</w:t>
      </w:r>
      <w:hyperlink r:id="rId30" w:history="1">
        <w:r w:rsidR="00F46AFD" w:rsidRPr="00F46AFD">
          <w:rPr>
            <w:rStyle w:val="Hyperlink"/>
            <w:rFonts w:ascii="Arial" w:hAnsi="Arial"/>
            <w:b/>
            <w:bCs/>
            <w:rtl/>
          </w:rPr>
          <w:t>ע"פ 2189/98</w:t>
        </w:r>
      </w:hyperlink>
      <w:r>
        <w:rPr>
          <w:rFonts w:ascii="Arial" w:hAnsi="Arial" w:hint="cs"/>
          <w:rtl/>
        </w:rPr>
        <w:t xml:space="preserve"> – סכסוך בין עבריינים, הרשעה בעבירת נשק וחבלה בכוונה מחמירה בשני מקרים, שם הפציעה היתה משמעותית – חור בכיס השתן, עבר מכביד – 10 שנות מאסר. </w:t>
      </w:r>
    </w:p>
    <w:p w:rsidR="00AA3DCA" w:rsidRDefault="00AA3DCA">
      <w:pPr>
        <w:spacing w:line="360" w:lineRule="auto"/>
        <w:jc w:val="both"/>
        <w:rPr>
          <w:rFonts w:ascii="Arial" w:hAnsi="Arial"/>
          <w:rtl/>
        </w:rPr>
      </w:pPr>
    </w:p>
    <w:p w:rsidR="00AA3DCA" w:rsidRDefault="00BD3059">
      <w:pPr>
        <w:spacing w:line="360" w:lineRule="auto"/>
        <w:jc w:val="both"/>
        <w:rPr>
          <w:rFonts w:ascii="Arial" w:hAnsi="Arial"/>
          <w:rtl/>
        </w:rPr>
      </w:pPr>
      <w:r>
        <w:rPr>
          <w:rFonts w:ascii="Arial" w:hAnsi="Arial" w:hint="cs"/>
          <w:rtl/>
        </w:rPr>
        <w:t xml:space="preserve">שני מקרים אלה חמורים לעומת המקרה שבפנינו, גם בתוצאות ולכן אין מקום להטיל ענישה בסדרי גודל שהוטלה בשני מקרים אלה. </w:t>
      </w:r>
    </w:p>
    <w:p w:rsidR="00AA3DCA" w:rsidRDefault="00AA3DCA">
      <w:pPr>
        <w:spacing w:line="360" w:lineRule="auto"/>
        <w:jc w:val="both"/>
        <w:rPr>
          <w:rFonts w:ascii="Arial" w:hAnsi="Arial"/>
          <w:rtl/>
        </w:rPr>
      </w:pPr>
    </w:p>
    <w:p w:rsidR="00AA3DCA" w:rsidRDefault="00BD3059">
      <w:pPr>
        <w:spacing w:line="360" w:lineRule="auto"/>
        <w:jc w:val="both"/>
        <w:rPr>
          <w:rFonts w:ascii="Arial" w:hAnsi="Arial"/>
          <w:rtl/>
        </w:rPr>
      </w:pPr>
      <w:r>
        <w:rPr>
          <w:rFonts w:ascii="Arial" w:hAnsi="Arial" w:hint="cs"/>
          <w:b/>
          <w:bCs/>
          <w:rtl/>
        </w:rPr>
        <w:t>ב</w:t>
      </w:r>
      <w:hyperlink r:id="rId31" w:history="1">
        <w:r w:rsidR="00F46AFD" w:rsidRPr="00F46AFD">
          <w:rPr>
            <w:rStyle w:val="Hyperlink"/>
            <w:rFonts w:ascii="Arial" w:hAnsi="Arial"/>
            <w:b/>
            <w:bCs/>
            <w:rtl/>
          </w:rPr>
          <w:t>ע"פ 2957/10</w:t>
        </w:r>
      </w:hyperlink>
      <w:r>
        <w:rPr>
          <w:rFonts w:ascii="Arial" w:hAnsi="Arial" w:hint="cs"/>
          <w:rtl/>
        </w:rPr>
        <w:t xml:space="preserve"> – בעקבות סכסוך קודם ירה הנאשם לעבר רכב המתלוננים במטרה לפגוע בהם ולגרום להם חבלה חמורה. נגרם נזק רק לרכוש – לרכב, הורשע לאחר ניהול הוכחות, נדון ל – 5.5 שנות מאסר וכן עונשים נלווים. </w:t>
      </w:r>
    </w:p>
    <w:p w:rsidR="00AA3DCA" w:rsidRDefault="00BD3059">
      <w:pPr>
        <w:spacing w:line="360" w:lineRule="auto"/>
        <w:jc w:val="both"/>
        <w:rPr>
          <w:rFonts w:ascii="Arial" w:hAnsi="Arial"/>
          <w:rtl/>
        </w:rPr>
      </w:pPr>
      <w:r>
        <w:rPr>
          <w:rFonts w:ascii="Arial" w:hAnsi="Arial" w:hint="cs"/>
          <w:rtl/>
        </w:rPr>
        <w:t xml:space="preserve">נסיבות תיק זה קרובות יותר לתיק שבפנינו. </w:t>
      </w:r>
    </w:p>
    <w:p w:rsidR="00AA3DCA" w:rsidRDefault="00AA3DCA">
      <w:pPr>
        <w:spacing w:line="360" w:lineRule="auto"/>
        <w:jc w:val="both"/>
        <w:rPr>
          <w:rFonts w:ascii="Arial" w:hAnsi="Arial"/>
          <w:rtl/>
        </w:rPr>
      </w:pPr>
    </w:p>
    <w:p w:rsidR="00AA3DCA" w:rsidRDefault="00BD3059">
      <w:pPr>
        <w:spacing w:line="360" w:lineRule="auto"/>
        <w:jc w:val="both"/>
        <w:rPr>
          <w:rFonts w:ascii="Arial" w:hAnsi="Arial"/>
          <w:rtl/>
        </w:rPr>
      </w:pPr>
      <w:r>
        <w:rPr>
          <w:rFonts w:ascii="Arial" w:hAnsi="Arial" w:hint="cs"/>
          <w:b/>
          <w:bCs/>
          <w:rtl/>
        </w:rPr>
        <w:t>ב</w:t>
      </w:r>
      <w:r w:rsidRPr="00FC5202">
        <w:rPr>
          <w:rFonts w:ascii="Arial" w:hAnsi="Arial"/>
          <w:b/>
          <w:bCs/>
          <w:color w:val="000000"/>
          <w:rtl/>
        </w:rPr>
        <w:t>ע"פ 5141/11</w:t>
      </w:r>
      <w:r>
        <w:rPr>
          <w:rFonts w:ascii="Arial" w:hAnsi="Arial" w:hint="cs"/>
          <w:rtl/>
        </w:rPr>
        <w:t xml:space="preserve"> מ"י נ' פלוני, בעקבות סכסוך קודם ירה המשיב לעבר המתלונן ופגע בידו, הורשע עפ"י הודאתו בעבירות של חבלה בכוונה מחמירה והחזקה ונשיאה של נשק. בית המשפט החמיר בעונשו והעמיד אותו על 48 חודשי מאסר. </w:t>
      </w:r>
    </w:p>
    <w:p w:rsidR="00AA3DCA" w:rsidRDefault="00AA3DCA">
      <w:pPr>
        <w:spacing w:line="360" w:lineRule="auto"/>
        <w:jc w:val="both"/>
        <w:rPr>
          <w:rFonts w:ascii="Arial" w:hAnsi="Arial"/>
          <w:rtl/>
        </w:rPr>
      </w:pPr>
    </w:p>
    <w:p w:rsidR="00AA3DCA" w:rsidRDefault="00BD3059">
      <w:pPr>
        <w:spacing w:line="360" w:lineRule="auto"/>
        <w:jc w:val="both"/>
        <w:rPr>
          <w:rFonts w:ascii="Arial" w:hAnsi="Arial"/>
          <w:rtl/>
        </w:rPr>
      </w:pPr>
      <w:r>
        <w:rPr>
          <w:rFonts w:ascii="Arial" w:hAnsi="Arial" w:hint="cs"/>
          <w:rtl/>
        </w:rPr>
        <w:t xml:space="preserve">בפסה"ד שהגיש הסניגור – </w:t>
      </w:r>
      <w:hyperlink r:id="rId32" w:history="1">
        <w:r w:rsidR="00F46AFD" w:rsidRPr="00F46AFD">
          <w:rPr>
            <w:rStyle w:val="Hyperlink"/>
            <w:rFonts w:ascii="Arial" w:hAnsi="Arial"/>
            <w:b/>
            <w:bCs/>
            <w:rtl/>
          </w:rPr>
          <w:t>ע"פ 3120/04</w:t>
        </w:r>
      </w:hyperlink>
      <w:r>
        <w:rPr>
          <w:rFonts w:ascii="Arial" w:hAnsi="Arial" w:hint="cs"/>
          <w:rtl/>
        </w:rPr>
        <w:t xml:space="preserve"> בו דחה בית המשפט ערעור מדינה על עונש של 6 ח' קבע בית המשפט מפורשות כי דעתו היא שעונש זה נופל מרמת הענישה המקובלת והרצויה בעבירות אלימות בכלל ומסוג זה בפרט. אולם, עובדה זו היתה נהירה לבית משפט קמא שלא הסתיר כי קדמה להכרעתו התלבטות לא מעטה, אך בית משפט מצא שעומדים לזכות הנאשם מס' נתונים אשר מצדיקים את </w:t>
      </w:r>
      <w:r>
        <w:rPr>
          <w:rFonts w:ascii="Arial" w:hAnsi="Arial" w:hint="cs"/>
          <w:b/>
          <w:bCs/>
          <w:rtl/>
        </w:rPr>
        <w:t>אי כליאתו מחדש</w:t>
      </w:r>
      <w:r>
        <w:rPr>
          <w:rFonts w:ascii="Arial" w:hAnsi="Arial" w:hint="cs"/>
          <w:rtl/>
        </w:rPr>
        <w:t xml:space="preserve">. הנאשם שם שוחרר ממעצר לאחר כ – 7 חודשים, עברו הפלילי איננו מכביד והחזרתו של הנאשם, שהינו אדם צעיר, לכלא, נזקה הצפוי גדול מהתועלת הצפויה שבה, ועל כן על אף שהעונש הינו מתון, לא היתה התערבות. </w:t>
      </w:r>
    </w:p>
    <w:p w:rsidR="00AA3DCA" w:rsidRDefault="00AA3DCA">
      <w:pPr>
        <w:spacing w:line="360" w:lineRule="auto"/>
        <w:jc w:val="both"/>
        <w:rPr>
          <w:rFonts w:ascii="Arial" w:hAnsi="Arial"/>
          <w:rtl/>
        </w:rPr>
      </w:pPr>
    </w:p>
    <w:p w:rsidR="00AA3DCA" w:rsidRDefault="00BD3059">
      <w:pPr>
        <w:spacing w:line="360" w:lineRule="auto"/>
        <w:jc w:val="both"/>
        <w:rPr>
          <w:rFonts w:ascii="Arial" w:hAnsi="Arial"/>
          <w:rtl/>
        </w:rPr>
      </w:pPr>
      <w:r>
        <w:rPr>
          <w:rFonts w:ascii="Arial" w:hAnsi="Arial" w:hint="cs"/>
          <w:rtl/>
        </w:rPr>
        <w:t xml:space="preserve">המקרה שבפנינו שונה. הנאשם נכנס ויוצא בשערי בית הכלא, הוא עצור בתיק זה עד תום ההליכים, בעל עבר פלילי מכביד. </w:t>
      </w:r>
    </w:p>
    <w:p w:rsidR="00AA3DCA" w:rsidRDefault="00AA3DCA">
      <w:pPr>
        <w:spacing w:line="360" w:lineRule="auto"/>
        <w:jc w:val="both"/>
        <w:rPr>
          <w:rFonts w:ascii="Arial" w:hAnsi="Arial"/>
          <w:rtl/>
        </w:rPr>
      </w:pPr>
    </w:p>
    <w:p w:rsidR="00AA3DCA" w:rsidRDefault="00BD3059">
      <w:pPr>
        <w:spacing w:line="360" w:lineRule="auto"/>
        <w:jc w:val="both"/>
        <w:rPr>
          <w:rFonts w:ascii="Arial" w:hAnsi="Arial"/>
          <w:rtl/>
        </w:rPr>
      </w:pPr>
      <w:r>
        <w:rPr>
          <w:rFonts w:ascii="Arial" w:hAnsi="Arial" w:hint="cs"/>
          <w:rtl/>
        </w:rPr>
        <w:t xml:space="preserve">לאור האמור נראה לי כי מתחם עונש הכולל  לעבירות בהן הורשע הנאשם הינו בין 2-6 שנות מאסר. </w:t>
      </w:r>
    </w:p>
    <w:p w:rsidR="00AA3DCA" w:rsidRDefault="00AA3DCA">
      <w:pPr>
        <w:spacing w:line="360" w:lineRule="auto"/>
        <w:jc w:val="both"/>
        <w:rPr>
          <w:rFonts w:ascii="Arial" w:hAnsi="Arial"/>
          <w:rtl/>
        </w:rPr>
      </w:pPr>
    </w:p>
    <w:p w:rsidR="00AA3DCA" w:rsidRDefault="00BD3059">
      <w:pPr>
        <w:spacing w:line="360" w:lineRule="auto"/>
        <w:jc w:val="both"/>
        <w:rPr>
          <w:rFonts w:ascii="Arial" w:hAnsi="Arial"/>
          <w:rtl/>
        </w:rPr>
      </w:pPr>
      <w:r>
        <w:rPr>
          <w:rFonts w:ascii="Arial" w:hAnsi="Arial" w:hint="cs"/>
          <w:rtl/>
        </w:rPr>
        <w:t xml:space="preserve">הנאשם לא נטל אחריות על מעשיו. הפגיעה בנאשם ובמשפחתו אינה יוצאת דופן וחריגה לעומת נאשמים אחרים אשר נדונים לעונשי מאסר. הנאשם לא עשה מאמצים לתיקון תוצאות העבירה, ולא הציע פיצוי למתלונן, לא שיתף פעולה עם רשויות האכיפה ואף ניתן היה להתרשם שהעדים שהעידו היו מסויגים ומפוחדים וכי היו ניסיונות השפעה עליהם. אינני זוקף לחובתו של הנאשם את כפירתו וניהול המשפט. </w:t>
      </w:r>
    </w:p>
    <w:p w:rsidR="00AA3DCA" w:rsidRDefault="00BD3059">
      <w:pPr>
        <w:spacing w:line="360" w:lineRule="auto"/>
        <w:jc w:val="both"/>
        <w:rPr>
          <w:rFonts w:ascii="Arial" w:hAnsi="Arial"/>
          <w:rtl/>
        </w:rPr>
      </w:pPr>
      <w:r>
        <w:rPr>
          <w:rFonts w:ascii="Arial" w:hAnsi="Arial" w:hint="cs"/>
          <w:rtl/>
        </w:rPr>
        <w:t xml:space="preserve">החייב אמנם ריצה שנות מאסר רבות בשל עבירות שונות, אך הוא לא עשה תפנית בחייו העברייניים. </w:t>
      </w:r>
    </w:p>
    <w:p w:rsidR="00AA3DCA" w:rsidRDefault="00AA3DCA">
      <w:pPr>
        <w:spacing w:line="360" w:lineRule="auto"/>
        <w:jc w:val="both"/>
        <w:rPr>
          <w:rFonts w:ascii="Arial" w:hAnsi="Arial"/>
          <w:rtl/>
        </w:rPr>
      </w:pPr>
    </w:p>
    <w:p w:rsidR="00AA3DCA" w:rsidRDefault="00BD3059">
      <w:pPr>
        <w:spacing w:line="360" w:lineRule="auto"/>
        <w:jc w:val="both"/>
        <w:rPr>
          <w:rFonts w:ascii="Arial" w:hAnsi="Arial"/>
          <w:rtl/>
        </w:rPr>
      </w:pPr>
      <w:r>
        <w:rPr>
          <w:rFonts w:ascii="Arial" w:hAnsi="Arial" w:hint="cs"/>
          <w:rtl/>
        </w:rPr>
        <w:t xml:space="preserve">לעניין עבר פלילי - הנאשם מעורב בפלילים מאז היותו קטין. עוד בהיותו קטין עבר עבירה של ניסיון לחבלה חמורה בנסיבות מחמירות, לאחר מכן הורשע בעבירות של תקיפת שוטר, איומים, תגרה והעלבת עובד ציבור, נדון למ.ע.ת. וקנס. </w:t>
      </w:r>
    </w:p>
    <w:p w:rsidR="00AA3DCA" w:rsidRDefault="00BD3059">
      <w:pPr>
        <w:spacing w:line="360" w:lineRule="auto"/>
        <w:jc w:val="both"/>
        <w:rPr>
          <w:rFonts w:ascii="Arial" w:hAnsi="Arial"/>
          <w:rtl/>
        </w:rPr>
      </w:pPr>
      <w:r>
        <w:rPr>
          <w:rFonts w:ascii="Arial" w:hAnsi="Arial" w:hint="cs"/>
          <w:rtl/>
        </w:rPr>
        <w:t>ב</w:t>
      </w:r>
      <w:hyperlink r:id="rId33" w:history="1">
        <w:r w:rsidR="00F46AFD" w:rsidRPr="00F46AFD">
          <w:rPr>
            <w:rStyle w:val="Hyperlink"/>
            <w:rFonts w:ascii="Arial" w:hAnsi="Arial"/>
            <w:rtl/>
          </w:rPr>
          <w:t>ת.פ. 499/98</w:t>
        </w:r>
      </w:hyperlink>
      <w:r>
        <w:rPr>
          <w:rFonts w:ascii="Arial" w:hAnsi="Arial" w:hint="cs"/>
          <w:rtl/>
        </w:rPr>
        <w:t xml:space="preserve"> הורשע בתקיפת שוטר , הפרעה לשוטר, איומים, תקיפת סתם, התפרצות וגניבה. נדון למ.ע.ת. </w:t>
      </w:r>
    </w:p>
    <w:p w:rsidR="00AA3DCA" w:rsidRDefault="00BD3059">
      <w:pPr>
        <w:spacing w:line="360" w:lineRule="auto"/>
        <w:jc w:val="both"/>
        <w:rPr>
          <w:rFonts w:ascii="Arial" w:hAnsi="Arial"/>
          <w:rtl/>
        </w:rPr>
      </w:pPr>
      <w:r>
        <w:rPr>
          <w:rFonts w:ascii="Arial" w:hAnsi="Arial" w:hint="cs"/>
          <w:rtl/>
        </w:rPr>
        <w:t>ב</w:t>
      </w:r>
      <w:r w:rsidRPr="00FC5202">
        <w:rPr>
          <w:rFonts w:ascii="Arial" w:hAnsi="Arial"/>
          <w:color w:val="000000"/>
          <w:rtl/>
        </w:rPr>
        <w:t>ת.פ. 4571/98</w:t>
      </w:r>
      <w:r>
        <w:rPr>
          <w:rFonts w:ascii="Arial" w:hAnsi="Arial" w:hint="cs"/>
          <w:rtl/>
        </w:rPr>
        <w:t xml:space="preserve"> הורשע בתקיפה הגורמת חבלה של ממש בנסיבות מחמירות והדחה בחקירה. נדון לקנס, התחייבות והארכת מ.ע.ת. </w:t>
      </w:r>
    </w:p>
    <w:p w:rsidR="00AA3DCA" w:rsidRDefault="00BD3059">
      <w:pPr>
        <w:spacing w:line="360" w:lineRule="auto"/>
        <w:jc w:val="both"/>
        <w:rPr>
          <w:rFonts w:ascii="Arial" w:hAnsi="Arial"/>
          <w:rtl/>
        </w:rPr>
      </w:pPr>
      <w:r>
        <w:rPr>
          <w:rFonts w:ascii="Arial" w:hAnsi="Arial" w:hint="cs"/>
          <w:rtl/>
        </w:rPr>
        <w:t>ב</w:t>
      </w:r>
      <w:r w:rsidRPr="00FC5202">
        <w:rPr>
          <w:rFonts w:ascii="Arial" w:hAnsi="Arial"/>
          <w:color w:val="000000"/>
          <w:rtl/>
        </w:rPr>
        <w:t>ת.פ. 2210/01</w:t>
      </w:r>
      <w:r>
        <w:rPr>
          <w:rFonts w:ascii="Arial" w:hAnsi="Arial" w:hint="cs"/>
          <w:rtl/>
        </w:rPr>
        <w:t xml:space="preserve"> הורשע בהעלבת עובד ציבור, החזקת סכין, עבירות סמים, הפרת הוראה חוקית, נדון ל – 14 ח' מאסר. </w:t>
      </w:r>
    </w:p>
    <w:p w:rsidR="00AA3DCA" w:rsidRDefault="00BD3059">
      <w:pPr>
        <w:spacing w:line="360" w:lineRule="auto"/>
        <w:jc w:val="both"/>
        <w:rPr>
          <w:rFonts w:ascii="Arial" w:hAnsi="Arial"/>
          <w:rtl/>
        </w:rPr>
      </w:pPr>
      <w:r>
        <w:rPr>
          <w:rFonts w:ascii="Arial" w:hAnsi="Arial" w:hint="cs"/>
          <w:rtl/>
        </w:rPr>
        <w:t>ב</w:t>
      </w:r>
      <w:hyperlink r:id="rId34" w:history="1">
        <w:r w:rsidR="00F46AFD" w:rsidRPr="00F46AFD">
          <w:rPr>
            <w:rStyle w:val="Hyperlink"/>
            <w:rFonts w:ascii="Arial" w:hAnsi="Arial"/>
            <w:rtl/>
          </w:rPr>
          <w:t>ת.פ. 280/04</w:t>
        </w:r>
      </w:hyperlink>
      <w:r>
        <w:rPr>
          <w:rFonts w:ascii="Arial" w:hAnsi="Arial" w:hint="cs"/>
          <w:rtl/>
        </w:rPr>
        <w:t xml:space="preserve"> הורשע בעבירות סמים והחזקת סכין, נדון ל – 20 ח' מאסר בפועל. </w:t>
      </w:r>
    </w:p>
    <w:p w:rsidR="00AA3DCA" w:rsidRDefault="00BD3059">
      <w:pPr>
        <w:spacing w:line="360" w:lineRule="auto"/>
        <w:jc w:val="both"/>
        <w:rPr>
          <w:rFonts w:ascii="Arial" w:hAnsi="Arial"/>
          <w:rtl/>
        </w:rPr>
      </w:pPr>
      <w:r>
        <w:rPr>
          <w:rFonts w:ascii="Arial" w:hAnsi="Arial" w:hint="cs"/>
          <w:rtl/>
        </w:rPr>
        <w:t>ב</w:t>
      </w:r>
      <w:r w:rsidRPr="00FC5202">
        <w:rPr>
          <w:rFonts w:ascii="Arial" w:hAnsi="Arial"/>
          <w:color w:val="000000"/>
          <w:rtl/>
        </w:rPr>
        <w:t>ת.פ. [מחוזי נצרת] 14/08</w:t>
      </w:r>
      <w:r>
        <w:rPr>
          <w:rFonts w:ascii="Arial" w:hAnsi="Arial" w:hint="cs"/>
          <w:rtl/>
        </w:rPr>
        <w:t xml:space="preserve"> נדון ל – 42 חודשי מאסר בפועל, לאחר שהורשע בשוד בנסיבות מחמירות, החזקת סמים, החזקת סכין והפרעה לשוטר. </w:t>
      </w:r>
    </w:p>
    <w:p w:rsidR="00AA3DCA" w:rsidRDefault="00BD3059">
      <w:pPr>
        <w:spacing w:line="360" w:lineRule="auto"/>
        <w:jc w:val="both"/>
        <w:rPr>
          <w:rFonts w:ascii="Arial" w:hAnsi="Arial"/>
          <w:rtl/>
        </w:rPr>
      </w:pPr>
      <w:r>
        <w:rPr>
          <w:rFonts w:ascii="Arial" w:hAnsi="Arial" w:hint="cs"/>
          <w:rtl/>
        </w:rPr>
        <w:t>הרשעתו האחרונה היתה ב</w:t>
      </w:r>
      <w:r w:rsidRPr="00FC5202">
        <w:rPr>
          <w:rFonts w:ascii="Arial" w:hAnsi="Arial"/>
          <w:color w:val="000000"/>
          <w:rtl/>
        </w:rPr>
        <w:t>ת.פ. 53522/09/11</w:t>
      </w:r>
      <w:r>
        <w:rPr>
          <w:rFonts w:ascii="Arial" w:hAnsi="Arial" w:hint="cs"/>
          <w:rtl/>
        </w:rPr>
        <w:t xml:space="preserve"> – החזקת סכין. </w:t>
      </w:r>
    </w:p>
    <w:p w:rsidR="00AA3DCA" w:rsidRDefault="00AA3DCA">
      <w:pPr>
        <w:spacing w:line="360" w:lineRule="auto"/>
        <w:jc w:val="both"/>
        <w:rPr>
          <w:rFonts w:ascii="Arial" w:hAnsi="Arial"/>
          <w:rtl/>
        </w:rPr>
      </w:pPr>
    </w:p>
    <w:p w:rsidR="00AA3DCA" w:rsidRDefault="00BD3059">
      <w:pPr>
        <w:spacing w:line="360" w:lineRule="auto"/>
        <w:jc w:val="both"/>
        <w:rPr>
          <w:rFonts w:ascii="Arial" w:hAnsi="Arial"/>
          <w:rtl/>
        </w:rPr>
      </w:pPr>
      <w:r>
        <w:rPr>
          <w:rFonts w:ascii="Arial" w:hAnsi="Arial" w:hint="cs"/>
          <w:rtl/>
        </w:rPr>
        <w:t>לאחר ששקלתי את מכלול נסיבות ביצוע העבירה ואת הנסיבות שאינן קשורות לביצוע העבירה ובהתחשב בפסיקה ובצורך להרתיע את הנאשם ואת הרבים [</w:t>
      </w:r>
      <w:hyperlink r:id="rId35" w:history="1">
        <w:r w:rsidR="002030AC" w:rsidRPr="002030AC">
          <w:rPr>
            <w:rStyle w:val="Hyperlink"/>
            <w:rFonts w:ascii="Arial" w:hAnsi="Arial" w:hint="eastAsia"/>
            <w:rtl/>
          </w:rPr>
          <w:t>סעיף</w:t>
        </w:r>
        <w:r w:rsidR="002030AC" w:rsidRPr="002030AC">
          <w:rPr>
            <w:rStyle w:val="Hyperlink"/>
            <w:rFonts w:ascii="Arial" w:hAnsi="Arial"/>
            <w:rtl/>
          </w:rPr>
          <w:t xml:space="preserve"> 40ו</w:t>
        </w:r>
      </w:hyperlink>
      <w:r>
        <w:rPr>
          <w:rFonts w:ascii="Arial" w:hAnsi="Arial" w:hint="cs"/>
          <w:rtl/>
        </w:rPr>
        <w:t xml:space="preserve">, </w:t>
      </w:r>
      <w:hyperlink r:id="rId36" w:history="1">
        <w:r w:rsidR="002030AC" w:rsidRPr="002030AC">
          <w:rPr>
            <w:rFonts w:ascii="Arial" w:hAnsi="Arial"/>
            <w:color w:val="0000FF"/>
            <w:u w:val="single"/>
            <w:rtl/>
          </w:rPr>
          <w:t>40ז'</w:t>
        </w:r>
      </w:hyperlink>
      <w:r>
        <w:rPr>
          <w:rFonts w:ascii="Arial" w:hAnsi="Arial" w:hint="cs"/>
          <w:rtl/>
        </w:rPr>
        <w:t>], אני גוזר על הנאשם את העונשים הבאים:</w:t>
      </w:r>
    </w:p>
    <w:p w:rsidR="00AA3DCA" w:rsidRDefault="00BD3059">
      <w:pPr>
        <w:spacing w:line="360" w:lineRule="auto"/>
        <w:jc w:val="both"/>
        <w:rPr>
          <w:rFonts w:ascii="Arial" w:hAnsi="Arial"/>
          <w:rtl/>
        </w:rPr>
      </w:pPr>
      <w:r>
        <w:rPr>
          <w:rFonts w:ascii="Arial" w:hAnsi="Arial" w:hint="cs"/>
          <w:rtl/>
        </w:rPr>
        <w:t>1.</w:t>
      </w:r>
      <w:r>
        <w:rPr>
          <w:rFonts w:ascii="Arial" w:hAnsi="Arial" w:hint="cs"/>
          <w:rtl/>
        </w:rPr>
        <w:tab/>
        <w:t xml:space="preserve">מאסר בפועל של 4 שנים, כשתקופת המאסר תימנה החל מיום מעצרו. </w:t>
      </w:r>
    </w:p>
    <w:p w:rsidR="00AA3DCA" w:rsidRDefault="00BD3059">
      <w:pPr>
        <w:spacing w:line="360" w:lineRule="auto"/>
        <w:ind w:left="720" w:hanging="720"/>
        <w:jc w:val="both"/>
        <w:rPr>
          <w:rFonts w:ascii="Arial" w:hAnsi="Arial"/>
          <w:rtl/>
        </w:rPr>
      </w:pPr>
      <w:r>
        <w:rPr>
          <w:rFonts w:ascii="Arial" w:hAnsi="Arial" w:hint="cs"/>
          <w:rtl/>
        </w:rPr>
        <w:t>2.</w:t>
      </w:r>
      <w:r>
        <w:rPr>
          <w:rFonts w:ascii="Arial" w:hAnsi="Arial" w:hint="cs"/>
          <w:rtl/>
        </w:rPr>
        <w:tab/>
        <w:t xml:space="preserve">מאסר על תנאי של שנתיים למשך 3 שנים מיום שחרורו ממאסר אם יעבור עבירה מהעבירות בהן הורשע בתיק זה. </w:t>
      </w:r>
    </w:p>
    <w:p w:rsidR="00AA3DCA" w:rsidRDefault="00BD3059">
      <w:pPr>
        <w:spacing w:line="360" w:lineRule="auto"/>
        <w:ind w:left="720" w:hanging="720"/>
        <w:jc w:val="both"/>
        <w:rPr>
          <w:rFonts w:ascii="Arial" w:hAnsi="Arial"/>
          <w:rtl/>
        </w:rPr>
      </w:pPr>
      <w:r>
        <w:rPr>
          <w:rFonts w:ascii="Arial" w:hAnsi="Arial" w:hint="cs"/>
          <w:rtl/>
        </w:rPr>
        <w:t>3.</w:t>
      </w:r>
      <w:r>
        <w:rPr>
          <w:rFonts w:ascii="Arial" w:hAnsi="Arial" w:hint="cs"/>
          <w:rtl/>
        </w:rPr>
        <w:tab/>
        <w:t xml:space="preserve">לאור מצבו הסוציואקונומי כפי שטען בא כוחו, אינני מטיל על הנאשם קנס. </w:t>
      </w:r>
    </w:p>
    <w:p w:rsidR="00AA3DCA" w:rsidRDefault="00AA3DCA">
      <w:pPr>
        <w:spacing w:line="360" w:lineRule="auto"/>
        <w:jc w:val="both"/>
        <w:rPr>
          <w:rFonts w:ascii="Arial" w:hAnsi="Arial"/>
          <w:rtl/>
        </w:rPr>
      </w:pPr>
    </w:p>
    <w:p w:rsidR="00AA3DCA" w:rsidRDefault="00BD3059">
      <w:pPr>
        <w:spacing w:line="360" w:lineRule="auto"/>
        <w:jc w:val="both"/>
        <w:rPr>
          <w:rFonts w:ascii="Arial" w:hAnsi="Arial"/>
          <w:b/>
          <w:bCs/>
          <w:u w:val="single"/>
          <w:rtl/>
        </w:rPr>
      </w:pPr>
      <w:r>
        <w:rPr>
          <w:rFonts w:ascii="Arial" w:hAnsi="Arial" w:hint="cs"/>
          <w:b/>
          <w:bCs/>
          <w:u w:val="single"/>
          <w:rtl/>
        </w:rPr>
        <w:t xml:space="preserve">זכות ערעור בתוך 45 יום. </w:t>
      </w:r>
    </w:p>
    <w:p w:rsidR="00AA3DCA" w:rsidRDefault="00BD3059">
      <w:pPr>
        <w:spacing w:line="360" w:lineRule="auto"/>
        <w:jc w:val="both"/>
        <w:rPr>
          <w:sz w:val="6"/>
          <w:szCs w:val="6"/>
        </w:rPr>
      </w:pPr>
      <w:r>
        <w:rPr>
          <w:sz w:val="6"/>
          <w:szCs w:val="6"/>
          <w:rtl/>
        </w:rPr>
        <w:t>&lt;#3#&gt;</w:t>
      </w:r>
    </w:p>
    <w:p w:rsidR="00AA3DCA" w:rsidRDefault="00AA3DCA">
      <w:pPr>
        <w:jc w:val="right"/>
        <w:rPr>
          <w:rtl/>
        </w:rPr>
      </w:pPr>
    </w:p>
    <w:p w:rsidR="00AA3DCA" w:rsidRDefault="00BD3059">
      <w:pPr>
        <w:jc w:val="right"/>
        <w:rPr>
          <w:rtl/>
        </w:rPr>
      </w:pPr>
      <w:r>
        <w:rPr>
          <w:b/>
          <w:bCs/>
          <w:rtl/>
        </w:rPr>
        <w:t xml:space="preserve">ניתנה והודעה היום כ' שבט תשע"ג, 31/01/2013 במעמד הנוכחים. </w:t>
      </w:r>
    </w:p>
    <w:p w:rsidR="00BD3059" w:rsidRPr="00BD3059" w:rsidRDefault="00BD3059" w:rsidP="00BD3059">
      <w:pPr>
        <w:keepNext/>
        <w:rPr>
          <w:color w:val="000000"/>
          <w:sz w:val="22"/>
          <w:szCs w:val="22"/>
          <w:rtl/>
        </w:rPr>
      </w:pPr>
    </w:p>
    <w:p w:rsidR="00BD3059" w:rsidRPr="00BD3059" w:rsidRDefault="00BD3059" w:rsidP="00BD3059">
      <w:pPr>
        <w:keepNext/>
        <w:rPr>
          <w:color w:val="000000"/>
          <w:sz w:val="22"/>
          <w:szCs w:val="22"/>
          <w:rtl/>
        </w:rPr>
      </w:pPr>
      <w:r w:rsidRPr="00BD3059">
        <w:rPr>
          <w:color w:val="000000"/>
          <w:sz w:val="22"/>
          <w:szCs w:val="22"/>
          <w:rtl/>
        </w:rPr>
        <w:t>יוסף בן חמו 54678313</w:t>
      </w:r>
    </w:p>
    <w:p w:rsidR="00AA3DCA" w:rsidRPr="00BD3059" w:rsidRDefault="00BD3059">
      <w:pPr>
        <w:jc w:val="center"/>
        <w:rPr>
          <w:color w:val="FFFFFF"/>
          <w:sz w:val="2"/>
          <w:szCs w:val="2"/>
          <w:rtl/>
        </w:rPr>
      </w:pPr>
      <w:r w:rsidRPr="00BD3059">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A3DCA">
        <w:trPr>
          <w:trHeight w:val="364"/>
          <w:jc w:val="right"/>
        </w:trPr>
        <w:tc>
          <w:tcPr>
            <w:tcW w:w="3708" w:type="dxa"/>
          </w:tcPr>
          <w:p w:rsidR="00AA3DCA" w:rsidRPr="00BD3059" w:rsidRDefault="00BD3059">
            <w:pPr>
              <w:jc w:val="center"/>
              <w:rPr>
                <w:rFonts w:ascii="Times New Roman" w:eastAsia="Times New Roman" w:hAnsi="Times New Roman" w:cs="Times New Roman"/>
                <w:color w:val="FFFFFF"/>
                <w:sz w:val="2"/>
                <w:szCs w:val="2"/>
              </w:rPr>
            </w:pPr>
            <w:r w:rsidRPr="00BD3059">
              <w:rPr>
                <w:rFonts w:ascii="Times New Roman" w:eastAsia="Times New Roman" w:hAnsi="Times New Roman" w:cs="Times New Roman"/>
                <w:color w:val="FFFFFF"/>
                <w:sz w:val="2"/>
                <w:szCs w:val="2"/>
                <w:rtl/>
              </w:rPr>
              <w:t>54678313</w:t>
            </w:r>
          </w:p>
          <w:p w:rsidR="00AA3DCA" w:rsidRDefault="00AA3DCA">
            <w:pPr>
              <w:jc w:val="center"/>
              <w:rPr>
                <w:rFonts w:ascii="Times New Roman" w:eastAsia="Times New Roman" w:hAnsi="Times New Roman" w:cs="Times New Roman"/>
                <w:rtl/>
              </w:rPr>
            </w:pPr>
          </w:p>
        </w:tc>
      </w:tr>
      <w:tr w:rsidR="00AA3DCA">
        <w:trPr>
          <w:trHeight w:val="415"/>
          <w:jc w:val="right"/>
        </w:trPr>
        <w:tc>
          <w:tcPr>
            <w:tcW w:w="3708" w:type="dxa"/>
          </w:tcPr>
          <w:p w:rsidR="00AA3DCA" w:rsidRDefault="00BD3059">
            <w:pPr>
              <w:jc w:val="center"/>
              <w:rPr>
                <w:rFonts w:ascii="Times New Roman" w:eastAsia="Times New Roman" w:hAnsi="Times New Roman"/>
                <w:b/>
                <w:bCs/>
                <w:rtl/>
              </w:rPr>
            </w:pPr>
            <w:r>
              <w:rPr>
                <w:rFonts w:ascii="Times New Roman" w:eastAsia="Times New Roman" w:hAnsi="Times New Roman" w:hint="cs"/>
                <w:rtl/>
              </w:rPr>
              <w:t>יוסף</w:t>
            </w:r>
            <w:r>
              <w:rPr>
                <w:rFonts w:ascii="Times New Roman" w:eastAsia="Times New Roman" w:hAnsi="Times New Roman" w:hint="cs"/>
                <w:b/>
                <w:bCs/>
                <w:rtl/>
              </w:rPr>
              <w:t xml:space="preserve"> </w:t>
            </w:r>
            <w:r>
              <w:rPr>
                <w:rFonts w:ascii="Times New Roman" w:eastAsia="Times New Roman" w:hAnsi="Times New Roman" w:hint="cs"/>
                <w:rtl/>
              </w:rPr>
              <w:t>בן-חמו</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rsidR="00BD3059" w:rsidRDefault="00BD3059" w:rsidP="00BD3059">
      <w:bookmarkStart w:id="8" w:name="_GoBack"/>
      <w:bookmarkEnd w:id="8"/>
      <w:r w:rsidRPr="00BD3059">
        <w:rPr>
          <w:color w:val="000000"/>
          <w:rtl/>
        </w:rPr>
        <w:t>נוסח מסמך זה כפוף לשינויי ניסוח ועריכה</w:t>
      </w:r>
    </w:p>
    <w:p w:rsidR="00BD3059" w:rsidRDefault="00BD3059" w:rsidP="00BD3059">
      <w:pPr>
        <w:rPr>
          <w:rtl/>
        </w:rPr>
      </w:pPr>
    </w:p>
    <w:p w:rsidR="00BD3059" w:rsidRDefault="00BD3059" w:rsidP="00BD3059">
      <w:pPr>
        <w:jc w:val="center"/>
        <w:rPr>
          <w:color w:val="0000FF"/>
          <w:u w:val="single"/>
        </w:rPr>
      </w:pPr>
      <w:r w:rsidRPr="00FC5202">
        <w:rPr>
          <w:color w:val="000000"/>
          <w:rtl/>
        </w:rPr>
        <w:t>בעניין עריכה ושינויים במסמכי פסיקה, חקיקה ועוד באתר נבו – הקש כאן</w:t>
      </w:r>
    </w:p>
    <w:p w:rsidR="00AA3DCA" w:rsidRPr="00BD3059" w:rsidRDefault="00AA3DCA" w:rsidP="00BD3059">
      <w:pPr>
        <w:jc w:val="center"/>
        <w:rPr>
          <w:color w:val="0000FF"/>
          <w:u w:val="single"/>
        </w:rPr>
      </w:pPr>
    </w:p>
    <w:sectPr w:rsidR="00AA3DCA" w:rsidRPr="00BD3059" w:rsidSect="00BD3059">
      <w:headerReference w:type="even" r:id="rId37"/>
      <w:headerReference w:type="default" r:id="rId38"/>
      <w:footerReference w:type="even" r:id="rId39"/>
      <w:footerReference w:type="default" r:id="rId4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6A6A" w:rsidRPr="00BF2397" w:rsidRDefault="00F66A6A">
      <w:pPr>
        <w:rPr>
          <w:rFonts w:cs="Arial"/>
          <w:szCs w:val="20"/>
        </w:rPr>
      </w:pPr>
      <w:r>
        <w:separator/>
      </w:r>
    </w:p>
  </w:endnote>
  <w:endnote w:type="continuationSeparator" w:id="0">
    <w:p w:rsidR="00F66A6A" w:rsidRPr="00BF2397" w:rsidRDefault="00F66A6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7CB6" w:rsidRDefault="00CF7CB6" w:rsidP="00BD305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95</w:t>
    </w:r>
    <w:r>
      <w:rPr>
        <w:rFonts w:ascii="FrankRuehl" w:hAnsi="FrankRuehl" w:cs="FrankRuehl"/>
        <w:rtl/>
      </w:rPr>
      <w:fldChar w:fldCharType="end"/>
    </w:r>
  </w:p>
  <w:p w:rsidR="00CF7CB6" w:rsidRPr="00BD3059" w:rsidRDefault="00CF7CB6" w:rsidP="00BD3059">
    <w:pPr>
      <w:pStyle w:val="a4"/>
      <w:pBdr>
        <w:top w:val="single" w:sz="4" w:space="1" w:color="auto"/>
        <w:between w:val="single" w:sz="4" w:space="0" w:color="auto"/>
      </w:pBdr>
      <w:spacing w:after="60"/>
      <w:jc w:val="center"/>
      <w:rPr>
        <w:rFonts w:ascii="FrankRuehl" w:hAnsi="FrankRuehl" w:cs="FrankRuehl"/>
        <w:color w:val="000000"/>
      </w:rPr>
    </w:pPr>
    <w:r w:rsidRPr="00BD305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7CB6" w:rsidRDefault="00CF7CB6" w:rsidP="00BD305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538A7">
      <w:rPr>
        <w:rFonts w:ascii="FrankRuehl" w:hAnsi="FrankRuehl" w:cs="FrankRuehl"/>
        <w:noProof/>
        <w:rtl/>
      </w:rPr>
      <w:t>1</w:t>
    </w:r>
    <w:r>
      <w:rPr>
        <w:rFonts w:ascii="FrankRuehl" w:hAnsi="FrankRuehl" w:cs="FrankRuehl"/>
        <w:rtl/>
      </w:rPr>
      <w:fldChar w:fldCharType="end"/>
    </w:r>
  </w:p>
  <w:p w:rsidR="00CF7CB6" w:rsidRPr="00BD3059" w:rsidRDefault="00CF7CB6" w:rsidP="00BD3059">
    <w:pPr>
      <w:pStyle w:val="a4"/>
      <w:pBdr>
        <w:top w:val="single" w:sz="4" w:space="1" w:color="auto"/>
        <w:between w:val="single" w:sz="4" w:space="0" w:color="auto"/>
      </w:pBdr>
      <w:spacing w:after="60"/>
      <w:jc w:val="center"/>
      <w:rPr>
        <w:rFonts w:ascii="FrankRuehl" w:hAnsi="FrankRuehl" w:cs="FrankRuehl"/>
        <w:color w:val="000000"/>
      </w:rPr>
    </w:pPr>
    <w:r w:rsidRPr="00BD305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6A6A" w:rsidRPr="00BF2397" w:rsidRDefault="00F66A6A">
      <w:pPr>
        <w:rPr>
          <w:rFonts w:cs="Arial"/>
          <w:szCs w:val="20"/>
        </w:rPr>
      </w:pPr>
      <w:r>
        <w:separator/>
      </w:r>
    </w:p>
  </w:footnote>
  <w:footnote w:type="continuationSeparator" w:id="0">
    <w:p w:rsidR="00F66A6A" w:rsidRPr="00BF2397" w:rsidRDefault="00F66A6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7CB6" w:rsidRPr="00BD3059" w:rsidRDefault="00CF7CB6" w:rsidP="00BD305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33577-04-12</w:t>
    </w:r>
    <w:r>
      <w:rPr>
        <w:color w:val="000000"/>
        <w:sz w:val="22"/>
        <w:szCs w:val="22"/>
        <w:rtl/>
      </w:rPr>
      <w:tab/>
      <w:t xml:space="preserve"> מדינת ישראל נ' שלום שי בן שטרית,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7CB6" w:rsidRPr="00BD3059" w:rsidRDefault="00CF7CB6" w:rsidP="00BD305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33577-04-12</w:t>
    </w:r>
    <w:r>
      <w:rPr>
        <w:color w:val="000000"/>
        <w:sz w:val="22"/>
        <w:szCs w:val="22"/>
        <w:rtl/>
      </w:rPr>
      <w:tab/>
      <w:t xml:space="preserve"> מדינת ישראל נ' שלום שי בן שטרית,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A3DCA"/>
    <w:rsid w:val="000A3E38"/>
    <w:rsid w:val="001812AE"/>
    <w:rsid w:val="002030AC"/>
    <w:rsid w:val="0039179D"/>
    <w:rsid w:val="008C6759"/>
    <w:rsid w:val="00A538A7"/>
    <w:rsid w:val="00AA3DCA"/>
    <w:rsid w:val="00AC3ABB"/>
    <w:rsid w:val="00AE1A4A"/>
    <w:rsid w:val="00BD3059"/>
    <w:rsid w:val="00CF7CB6"/>
    <w:rsid w:val="00DC3463"/>
    <w:rsid w:val="00F46AFD"/>
    <w:rsid w:val="00F66A6A"/>
    <w:rsid w:val="00FC52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7BAD4D1-2449-4666-B427-BFFE2386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3DCA"/>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A3DCA"/>
    <w:pPr>
      <w:tabs>
        <w:tab w:val="center" w:pos="4153"/>
        <w:tab w:val="right" w:pos="8306"/>
      </w:tabs>
    </w:pPr>
  </w:style>
  <w:style w:type="paragraph" w:styleId="a4">
    <w:name w:val="footer"/>
    <w:basedOn w:val="a"/>
    <w:rsid w:val="00AA3DCA"/>
    <w:pPr>
      <w:tabs>
        <w:tab w:val="center" w:pos="4153"/>
        <w:tab w:val="right" w:pos="8306"/>
      </w:tabs>
    </w:pPr>
  </w:style>
  <w:style w:type="character" w:styleId="a5">
    <w:name w:val="page number"/>
    <w:basedOn w:val="a0"/>
    <w:rsid w:val="00AA3DCA"/>
  </w:style>
  <w:style w:type="character" w:customStyle="1" w:styleId="TimesNewRomanTimesNewRoman">
    <w:name w:val="סגנון (לטיני) Times New Roman (עברית ושפות אחרות) Times New Roman..."/>
    <w:rsid w:val="00AA3DCA"/>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AA3DCA"/>
    <w:rPr>
      <w:rFonts w:ascii="Times New Roman" w:eastAsia="Times New Roman" w:hAnsi="Times New Roman"/>
      <w:b/>
      <w:bCs/>
      <w:u w:val="single"/>
    </w:rPr>
  </w:style>
  <w:style w:type="character" w:styleId="a6">
    <w:name w:val="line number"/>
    <w:basedOn w:val="a0"/>
    <w:rsid w:val="00AA3DCA"/>
  </w:style>
  <w:style w:type="character" w:styleId="Hyperlink">
    <w:name w:val="Hyperlink"/>
    <w:rsid w:val="00BD30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864075" TargetMode="External"/><Relationship Id="rId39" Type="http://schemas.openxmlformats.org/officeDocument/2006/relationships/footer" Target="footer1.xml"/><Relationship Id="rId21" Type="http://schemas.openxmlformats.org/officeDocument/2006/relationships/hyperlink" Target="http://www.nevo.co.il/law/70301/340.a" TargetMode="External"/><Relationship Id="rId34" Type="http://schemas.openxmlformats.org/officeDocument/2006/relationships/hyperlink" Target="http://www.nevo.co.il/case/5689502" TargetMode="External"/><Relationship Id="rId42" Type="http://schemas.openxmlformats.org/officeDocument/2006/relationships/theme" Target="theme/theme1.xml"/><Relationship Id="rId7" Type="http://schemas.openxmlformats.org/officeDocument/2006/relationships/hyperlink" Target="http://www.nevo.co.il/law/70301/40c.a" TargetMode="External"/><Relationship Id="rId2" Type="http://schemas.openxmlformats.org/officeDocument/2006/relationships/settings" Target="settings.xml"/><Relationship Id="rId16" Type="http://schemas.openxmlformats.org/officeDocument/2006/relationships/hyperlink" Target="http://www.nevo.co.il/law/70301/40jc" TargetMode="External"/><Relationship Id="rId20" Type="http://schemas.openxmlformats.org/officeDocument/2006/relationships/hyperlink" Target="http://www.nevo.co.il/law/70301/329.a.2" TargetMode="External"/><Relationship Id="rId29" Type="http://schemas.openxmlformats.org/officeDocument/2006/relationships/hyperlink" Target="http://www.nevo.co.il/case/5864075"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40c.a" TargetMode="External"/><Relationship Id="rId32" Type="http://schemas.openxmlformats.org/officeDocument/2006/relationships/hyperlink" Target="http://www.nevo.co.il/case/5877504"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340.a" TargetMode="External"/><Relationship Id="rId23" Type="http://schemas.openxmlformats.org/officeDocument/2006/relationships/hyperlink" Target="http://www.nevo.co.il/law/70301/40jc" TargetMode="External"/><Relationship Id="rId28" Type="http://schemas.openxmlformats.org/officeDocument/2006/relationships/hyperlink" Target="http://www.nevo.co.il/law/70301/40i" TargetMode="External"/><Relationship Id="rId36" Type="http://schemas.openxmlformats.org/officeDocument/2006/relationships/hyperlink" Target="http://www.nevo.co.il/law/70301/40g" TargetMode="External"/><Relationship Id="rId10" Type="http://schemas.openxmlformats.org/officeDocument/2006/relationships/hyperlink" Target="http://www.nevo.co.il/law/70301/40i"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case/5866847" TargetMode="External"/><Relationship Id="rId4" Type="http://schemas.openxmlformats.org/officeDocument/2006/relationships/footnotes" Target="footnotes.xml"/><Relationship Id="rId9" Type="http://schemas.openxmlformats.org/officeDocument/2006/relationships/hyperlink" Target="http://www.nevo.co.il/law/70301/40g" TargetMode="External"/><Relationship Id="rId14" Type="http://schemas.openxmlformats.org/officeDocument/2006/relationships/hyperlink" Target="http://www.nevo.co.il/law/70301/329.a.2" TargetMode="External"/><Relationship Id="rId22" Type="http://schemas.openxmlformats.org/officeDocument/2006/relationships/hyperlink" Target="http://www.nevo.co.il/law/70301/329" TargetMode="External"/><Relationship Id="rId27" Type="http://schemas.openxmlformats.org/officeDocument/2006/relationships/hyperlink" Target="http://www.nevo.co.il/case/5762686" TargetMode="External"/><Relationship Id="rId30" Type="http://schemas.openxmlformats.org/officeDocument/2006/relationships/hyperlink" Target="http://www.nevo.co.il/case/5817862" TargetMode="External"/><Relationship Id="rId35" Type="http://schemas.openxmlformats.org/officeDocument/2006/relationships/hyperlink" Target="http://www.nevo.co.il/law/70301/40f" TargetMode="External"/><Relationship Id="rId8" Type="http://schemas.openxmlformats.org/officeDocument/2006/relationships/hyperlink" Target="http://www.nevo.co.il/law/70301/40f" TargetMode="External"/><Relationship Id="rId3" Type="http://schemas.openxmlformats.org/officeDocument/2006/relationships/webSettings" Target="web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6030667" TargetMode="External"/><Relationship Id="rId33" Type="http://schemas.openxmlformats.org/officeDocument/2006/relationships/hyperlink" Target="http://www.nevo.co.il/case/5703794"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1825</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10934</CharactersWithSpaces>
  <SharedDoc>false</SharedDoc>
  <HLinks>
    <vt:vector size="186" baseType="variant">
      <vt:variant>
        <vt:i4>6619233</vt:i4>
      </vt:variant>
      <vt:variant>
        <vt:i4>90</vt:i4>
      </vt:variant>
      <vt:variant>
        <vt:i4>0</vt:i4>
      </vt:variant>
      <vt:variant>
        <vt:i4>5</vt:i4>
      </vt:variant>
      <vt:variant>
        <vt:lpwstr>http://www.nevo.co.il/law/70301/40g</vt:lpwstr>
      </vt:variant>
      <vt:variant>
        <vt:lpwstr/>
      </vt:variant>
      <vt:variant>
        <vt:i4>6619233</vt:i4>
      </vt:variant>
      <vt:variant>
        <vt:i4>87</vt:i4>
      </vt:variant>
      <vt:variant>
        <vt:i4>0</vt:i4>
      </vt:variant>
      <vt:variant>
        <vt:i4>5</vt:i4>
      </vt:variant>
      <vt:variant>
        <vt:lpwstr>http://www.nevo.co.il/law/70301/40f</vt:lpwstr>
      </vt:variant>
      <vt:variant>
        <vt:lpwstr/>
      </vt:variant>
      <vt:variant>
        <vt:i4>3801211</vt:i4>
      </vt:variant>
      <vt:variant>
        <vt:i4>84</vt:i4>
      </vt:variant>
      <vt:variant>
        <vt:i4>0</vt:i4>
      </vt:variant>
      <vt:variant>
        <vt:i4>5</vt:i4>
      </vt:variant>
      <vt:variant>
        <vt:lpwstr>http://www.nevo.co.il/case/5689502</vt:lpwstr>
      </vt:variant>
      <vt:variant>
        <vt:lpwstr/>
      </vt:variant>
      <vt:variant>
        <vt:i4>3539065</vt:i4>
      </vt:variant>
      <vt:variant>
        <vt:i4>81</vt:i4>
      </vt:variant>
      <vt:variant>
        <vt:i4>0</vt:i4>
      </vt:variant>
      <vt:variant>
        <vt:i4>5</vt:i4>
      </vt:variant>
      <vt:variant>
        <vt:lpwstr>http://www.nevo.co.il/case/5703794</vt:lpwstr>
      </vt:variant>
      <vt:variant>
        <vt:lpwstr/>
      </vt:variant>
      <vt:variant>
        <vt:i4>3342459</vt:i4>
      </vt:variant>
      <vt:variant>
        <vt:i4>78</vt:i4>
      </vt:variant>
      <vt:variant>
        <vt:i4>0</vt:i4>
      </vt:variant>
      <vt:variant>
        <vt:i4>5</vt:i4>
      </vt:variant>
      <vt:variant>
        <vt:lpwstr>http://www.nevo.co.il/case/5877504</vt:lpwstr>
      </vt:variant>
      <vt:variant>
        <vt:lpwstr/>
      </vt:variant>
      <vt:variant>
        <vt:i4>3932286</vt:i4>
      </vt:variant>
      <vt:variant>
        <vt:i4>75</vt:i4>
      </vt:variant>
      <vt:variant>
        <vt:i4>0</vt:i4>
      </vt:variant>
      <vt:variant>
        <vt:i4>5</vt:i4>
      </vt:variant>
      <vt:variant>
        <vt:lpwstr>http://www.nevo.co.il/case/5866847</vt:lpwstr>
      </vt:variant>
      <vt:variant>
        <vt:lpwstr/>
      </vt:variant>
      <vt:variant>
        <vt:i4>4063357</vt:i4>
      </vt:variant>
      <vt:variant>
        <vt:i4>72</vt:i4>
      </vt:variant>
      <vt:variant>
        <vt:i4>0</vt:i4>
      </vt:variant>
      <vt:variant>
        <vt:i4>5</vt:i4>
      </vt:variant>
      <vt:variant>
        <vt:lpwstr>http://www.nevo.co.il/case/5817862</vt:lpwstr>
      </vt:variant>
      <vt:variant>
        <vt:lpwstr/>
      </vt:variant>
      <vt:variant>
        <vt:i4>3539071</vt:i4>
      </vt:variant>
      <vt:variant>
        <vt:i4>69</vt:i4>
      </vt:variant>
      <vt:variant>
        <vt:i4>0</vt:i4>
      </vt:variant>
      <vt:variant>
        <vt:i4>5</vt:i4>
      </vt:variant>
      <vt:variant>
        <vt:lpwstr>http://www.nevo.co.il/case/5864075</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3342457</vt:i4>
      </vt:variant>
      <vt:variant>
        <vt:i4>63</vt:i4>
      </vt:variant>
      <vt:variant>
        <vt:i4>0</vt:i4>
      </vt:variant>
      <vt:variant>
        <vt:i4>5</vt:i4>
      </vt:variant>
      <vt:variant>
        <vt:lpwstr>http://www.nevo.co.il/case/5762686</vt:lpwstr>
      </vt:variant>
      <vt:variant>
        <vt:lpwstr/>
      </vt:variant>
      <vt:variant>
        <vt:i4>3539071</vt:i4>
      </vt:variant>
      <vt:variant>
        <vt:i4>60</vt:i4>
      </vt:variant>
      <vt:variant>
        <vt:i4>0</vt:i4>
      </vt:variant>
      <vt:variant>
        <vt:i4>5</vt:i4>
      </vt:variant>
      <vt:variant>
        <vt:lpwstr>http://www.nevo.co.il/case/5864075</vt:lpwstr>
      </vt:variant>
      <vt:variant>
        <vt:lpwstr/>
      </vt:variant>
      <vt:variant>
        <vt:i4>3407986</vt:i4>
      </vt:variant>
      <vt:variant>
        <vt:i4>57</vt:i4>
      </vt:variant>
      <vt:variant>
        <vt:i4>0</vt:i4>
      </vt:variant>
      <vt:variant>
        <vt:i4>5</vt:i4>
      </vt:variant>
      <vt:variant>
        <vt:lpwstr>http://www.nevo.co.il/case/6030667</vt:lpwstr>
      </vt:variant>
      <vt:variant>
        <vt:lpwstr/>
      </vt:variant>
      <vt:variant>
        <vt:i4>4915202</vt:i4>
      </vt:variant>
      <vt:variant>
        <vt:i4>54</vt:i4>
      </vt:variant>
      <vt:variant>
        <vt:i4>0</vt:i4>
      </vt:variant>
      <vt:variant>
        <vt:i4>5</vt:i4>
      </vt:variant>
      <vt:variant>
        <vt:lpwstr>http://www.nevo.co.il/law/70301/40c.a</vt:lpwstr>
      </vt:variant>
      <vt:variant>
        <vt:lpwstr/>
      </vt:variant>
      <vt:variant>
        <vt:i4>393227</vt:i4>
      </vt:variant>
      <vt:variant>
        <vt:i4>51</vt:i4>
      </vt:variant>
      <vt:variant>
        <vt:i4>0</vt:i4>
      </vt:variant>
      <vt:variant>
        <vt:i4>5</vt:i4>
      </vt:variant>
      <vt:variant>
        <vt:lpwstr>http://www.nevo.co.il/law/70301/40jc</vt:lpwstr>
      </vt:variant>
      <vt:variant>
        <vt:lpwstr/>
      </vt:variant>
      <vt:variant>
        <vt:i4>6750310</vt:i4>
      </vt:variant>
      <vt:variant>
        <vt:i4>48</vt:i4>
      </vt:variant>
      <vt:variant>
        <vt:i4>0</vt:i4>
      </vt:variant>
      <vt:variant>
        <vt:i4>5</vt:i4>
      </vt:variant>
      <vt:variant>
        <vt:lpwstr>http://www.nevo.co.il/law/70301/329</vt:lpwstr>
      </vt:variant>
      <vt:variant>
        <vt:lpwstr/>
      </vt:variant>
      <vt:variant>
        <vt:i4>5177430</vt:i4>
      </vt:variant>
      <vt:variant>
        <vt:i4>45</vt:i4>
      </vt:variant>
      <vt:variant>
        <vt:i4>0</vt:i4>
      </vt:variant>
      <vt:variant>
        <vt:i4>5</vt:i4>
      </vt:variant>
      <vt:variant>
        <vt:lpwstr>http://www.nevo.co.il/law/70301/340.a</vt:lpwstr>
      </vt:variant>
      <vt:variant>
        <vt:lpwstr/>
      </vt:variant>
      <vt:variant>
        <vt:i4>6750270</vt:i4>
      </vt:variant>
      <vt:variant>
        <vt:i4>42</vt:i4>
      </vt:variant>
      <vt:variant>
        <vt:i4>0</vt:i4>
      </vt:variant>
      <vt:variant>
        <vt:i4>5</vt:i4>
      </vt:variant>
      <vt:variant>
        <vt:lpwstr>http://www.nevo.co.il/law/70301/329.a.2</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5177430</vt:i4>
      </vt:variant>
      <vt:variant>
        <vt:i4>27</vt:i4>
      </vt:variant>
      <vt:variant>
        <vt:i4>0</vt:i4>
      </vt:variant>
      <vt:variant>
        <vt:i4>5</vt:i4>
      </vt:variant>
      <vt:variant>
        <vt:lpwstr>http://www.nevo.co.il/law/70301/340.a</vt:lpwstr>
      </vt:variant>
      <vt:variant>
        <vt:lpwstr/>
      </vt:variant>
      <vt:variant>
        <vt:i4>6750270</vt:i4>
      </vt:variant>
      <vt:variant>
        <vt:i4>24</vt:i4>
      </vt:variant>
      <vt:variant>
        <vt:i4>0</vt:i4>
      </vt:variant>
      <vt:variant>
        <vt:i4>5</vt:i4>
      </vt:variant>
      <vt:variant>
        <vt:lpwstr>http://www.nevo.co.il/law/70301/329.a.2</vt:lpwstr>
      </vt:variant>
      <vt:variant>
        <vt:lpwstr/>
      </vt:variant>
      <vt:variant>
        <vt:i4>6750310</vt:i4>
      </vt:variant>
      <vt:variant>
        <vt:i4>21</vt:i4>
      </vt:variant>
      <vt:variant>
        <vt:i4>0</vt:i4>
      </vt:variant>
      <vt:variant>
        <vt:i4>5</vt:i4>
      </vt:variant>
      <vt:variant>
        <vt:lpwstr>http://www.nevo.co.il/law/70301/329</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http://www.nevo.co.il/law/70301/40g</vt:lpwstr>
      </vt:variant>
      <vt:variant>
        <vt:lpwstr/>
      </vt:variant>
      <vt:variant>
        <vt:i4>6619233</vt:i4>
      </vt:variant>
      <vt:variant>
        <vt:i4>6</vt:i4>
      </vt:variant>
      <vt:variant>
        <vt:i4>0</vt:i4>
      </vt:variant>
      <vt:variant>
        <vt:i4>5</vt:i4>
      </vt:variant>
      <vt:variant>
        <vt:lpwstr>http://www.nevo.co.il/law/70301/40f</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2024-01-07T12:09:00Z</dcterms:created>
  <dcterms:modified xsi:type="dcterms:W3CDTF">2024-01-07T12:09:00Z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33577</vt:lpwstr>
  </property>
  <property fmtid="{D5CDD505-2E9C-101B-9397-08002B2CF9AE}" pid="6" name="NEWPARTB">
    <vt:lpwstr>04</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שלום שי בן שטרית,</vt:lpwstr>
  </property>
  <property fmtid="{D5CDD505-2E9C-101B-9397-08002B2CF9AE}" pid="10" name="LAWYER">
    <vt:lpwstr>הליווי] וכן;[הובא הליווי] וכן יוסף רז;עמוס דניאלי</vt:lpwstr>
  </property>
  <property fmtid="{D5CDD505-2E9C-101B-9397-08002B2CF9AE}" pid="11" name="JUDGE">
    <vt:lpwstr>יוסף בן חמו</vt:lpwstr>
  </property>
  <property fmtid="{D5CDD505-2E9C-101B-9397-08002B2CF9AE}" pid="12" name="CITY">
    <vt:lpwstr>נצ'</vt:lpwstr>
  </property>
  <property fmtid="{D5CDD505-2E9C-101B-9397-08002B2CF9AE}" pid="13" name="DATE">
    <vt:lpwstr>20130131</vt:lpwstr>
  </property>
  <property fmtid="{D5CDD505-2E9C-101B-9397-08002B2CF9AE}" pid="14" name="TYPE_N_DATE">
    <vt:lpwstr>39020130131</vt:lpwstr>
  </property>
  <property fmtid="{D5CDD505-2E9C-101B-9397-08002B2CF9AE}" pid="15" name="WORDNUMPAGES">
    <vt:lpwstr>5</vt:lpwstr>
  </property>
  <property fmtid="{D5CDD505-2E9C-101B-9397-08002B2CF9AE}" pid="16" name="TYPE_ABS_DATE">
    <vt:lpwstr>390020130131</vt:lpwstr>
  </property>
  <property fmtid="{D5CDD505-2E9C-101B-9397-08002B2CF9AE}" pid="17" name="ISABSTRACT">
    <vt:lpwstr>Y</vt:lpwstr>
  </property>
  <property fmtid="{D5CDD505-2E9C-101B-9397-08002B2CF9AE}" pid="18" name="CASESLISTTMP1">
    <vt:lpwstr>6030667;5864075:2;5817862;5866847;5877504;5703794;5689502</vt:lpwstr>
  </property>
  <property fmtid="{D5CDD505-2E9C-101B-9397-08002B2CF9AE}" pid="19" name="CASENOTES1">
    <vt:lpwstr>ProcID=133;209&amp;PartA=1332&amp;PartC=04</vt:lpwstr>
  </property>
  <property fmtid="{D5CDD505-2E9C-101B-9397-08002B2CF9AE}" pid="20" name="CASENOTES2">
    <vt:lpwstr>ProcID=133;209&amp;PartA=5141&amp;PartC=11</vt:lpwstr>
  </property>
  <property fmtid="{D5CDD505-2E9C-101B-9397-08002B2CF9AE}" pid="21" name="CASENOTES3">
    <vt:lpwstr>ProcID=209&amp;PartA=4571&amp;PartC=98</vt:lpwstr>
  </property>
  <property fmtid="{D5CDD505-2E9C-101B-9397-08002B2CF9AE}" pid="22" name="CASENOTES4">
    <vt:lpwstr>ProcID=209&amp;PartA=2210&amp;PartC=01</vt:lpwstr>
  </property>
  <property fmtid="{D5CDD505-2E9C-101B-9397-08002B2CF9AE}" pid="23" name="CASENOTES5">
    <vt:lpwstr>ProcID=209&amp;PartA=14&amp;PartC=08</vt:lpwstr>
  </property>
  <property fmtid="{D5CDD505-2E9C-101B-9397-08002B2CF9AE}" pid="24" name="CASENOTES6">
    <vt:lpwstr>ProcID=209&amp;PartA=53522&amp;PartC=09/11</vt:lpwstr>
  </property>
  <property fmtid="{D5CDD505-2E9C-101B-9397-08002B2CF9AE}" pid="25" name="LAWLISTTMP1">
    <vt:lpwstr>70301/144.a;144.b;329.a.2;340.a;329;40jc;040c.a;040i;040f;040g</vt:lpwstr>
  </property>
</Properties>
</file>