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30C91" w:rsidRPr="005C2E25" w14:paraId="4CAE92AE" w14:textId="77777777">
        <w:trPr>
          <w:trHeight w:hRule="exact" w:val="418"/>
          <w:jc w:val="center"/>
        </w:trPr>
        <w:tc>
          <w:tcPr>
            <w:tcW w:w="8721" w:type="dxa"/>
            <w:gridSpan w:val="2"/>
          </w:tcPr>
          <w:p w14:paraId="733B801B" w14:textId="77777777" w:rsidR="00D30C91" w:rsidRPr="005C2E25" w:rsidRDefault="005C2E25">
            <w:pPr>
              <w:pStyle w:val="a3"/>
              <w:jc w:val="center"/>
              <w:rPr>
                <w:rFonts w:ascii="Arial" w:hAnsi="Arial" w:cs="Arial"/>
                <w:color w:val="000080"/>
                <w:rtl/>
              </w:rPr>
            </w:pPr>
            <w:bookmarkStart w:id="0" w:name="LastJudge"/>
            <w:r w:rsidRPr="005C2E25">
              <w:rPr>
                <w:rFonts w:ascii="Arial" w:hAnsi="Arial" w:cs="Arial"/>
                <w:b/>
                <w:bCs/>
                <w:color w:val="000080"/>
                <w:rtl/>
              </w:rPr>
              <w:t>בית המשפט המחוזי מרכז</w:t>
            </w:r>
          </w:p>
        </w:tc>
      </w:tr>
      <w:tr w:rsidR="00D30C91" w:rsidRPr="005C2E25" w14:paraId="0CF4B1FE" w14:textId="77777777">
        <w:trPr>
          <w:trHeight w:val="337"/>
          <w:jc w:val="center"/>
        </w:trPr>
        <w:tc>
          <w:tcPr>
            <w:tcW w:w="5047" w:type="dxa"/>
          </w:tcPr>
          <w:p w14:paraId="603DF540" w14:textId="77777777" w:rsidR="00D30C91" w:rsidRPr="005C2E25" w:rsidRDefault="005C2E25">
            <w:pPr>
              <w:rPr>
                <w:rFonts w:ascii="Arial" w:hAnsi="Arial" w:cs="Arial"/>
                <w:sz w:val="28"/>
                <w:szCs w:val="28"/>
                <w:rtl/>
              </w:rPr>
            </w:pPr>
            <w:r w:rsidRPr="005C2E25">
              <w:rPr>
                <w:rFonts w:ascii="Arial" w:hAnsi="Arial" w:cs="Arial"/>
                <w:sz w:val="28"/>
                <w:szCs w:val="28"/>
                <w:rtl/>
              </w:rPr>
              <w:t>ת"פ 33444-05-12 מדינת ישראל נ' שרעבי</w:t>
            </w:r>
          </w:p>
          <w:p w14:paraId="43F68280" w14:textId="77777777" w:rsidR="00D30C91" w:rsidRPr="005C2E25" w:rsidRDefault="00D30C91">
            <w:pPr>
              <w:rPr>
                <w:rFonts w:ascii="Arial" w:hAnsi="Arial" w:cs="Arial"/>
              </w:rPr>
            </w:pPr>
          </w:p>
        </w:tc>
        <w:tc>
          <w:tcPr>
            <w:tcW w:w="3674" w:type="dxa"/>
          </w:tcPr>
          <w:p w14:paraId="62F931B4" w14:textId="77777777" w:rsidR="00D30C91" w:rsidRPr="005C2E25" w:rsidRDefault="005C2E25">
            <w:pPr>
              <w:pStyle w:val="a3"/>
              <w:jc w:val="right"/>
              <w:rPr>
                <w:rFonts w:ascii="Arial" w:hAnsi="Arial" w:cs="Arial"/>
                <w:sz w:val="28"/>
                <w:szCs w:val="28"/>
                <w:rtl/>
              </w:rPr>
            </w:pPr>
            <w:r w:rsidRPr="005C2E25">
              <w:rPr>
                <w:rFonts w:ascii="Arial" w:hAnsi="Arial" w:cs="Arial" w:hint="cs"/>
                <w:sz w:val="28"/>
                <w:szCs w:val="28"/>
                <w:rtl/>
              </w:rPr>
              <w:t>28</w:t>
            </w:r>
            <w:r w:rsidRPr="005C2E25">
              <w:rPr>
                <w:rFonts w:ascii="Arial" w:hAnsi="Arial" w:cs="Arial"/>
                <w:sz w:val="28"/>
                <w:szCs w:val="28"/>
                <w:rtl/>
              </w:rPr>
              <w:t xml:space="preserve"> </w:t>
            </w:r>
            <w:r w:rsidRPr="005C2E25">
              <w:rPr>
                <w:rFonts w:ascii="Arial" w:hAnsi="Arial" w:cs="Arial" w:hint="cs"/>
                <w:sz w:val="28"/>
                <w:szCs w:val="28"/>
                <w:rtl/>
              </w:rPr>
              <w:t>פברואר</w:t>
            </w:r>
            <w:r w:rsidRPr="005C2E25">
              <w:rPr>
                <w:rFonts w:ascii="Arial" w:hAnsi="Arial" w:cs="Arial"/>
                <w:sz w:val="28"/>
                <w:szCs w:val="28"/>
                <w:rtl/>
              </w:rPr>
              <w:t xml:space="preserve"> 2013</w:t>
            </w:r>
          </w:p>
        </w:tc>
      </w:tr>
    </w:tbl>
    <w:p w14:paraId="225D0A75" w14:textId="77777777" w:rsidR="00D30C91" w:rsidRPr="005C2E25" w:rsidRDefault="005C2E25">
      <w:pPr>
        <w:pStyle w:val="a3"/>
      </w:pPr>
      <w:r w:rsidRPr="005C2E25">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0C91" w:rsidRPr="005C2E25" w14:paraId="6B459073" w14:textId="77777777">
        <w:trPr>
          <w:trHeight w:val="295"/>
          <w:jc w:val="center"/>
        </w:trPr>
        <w:tc>
          <w:tcPr>
            <w:tcW w:w="923" w:type="dxa"/>
            <w:tcBorders>
              <w:top w:val="nil"/>
              <w:left w:val="nil"/>
              <w:bottom w:val="nil"/>
              <w:right w:val="nil"/>
            </w:tcBorders>
          </w:tcPr>
          <w:p w14:paraId="6666F248" w14:textId="77777777" w:rsidR="00D30C91" w:rsidRPr="005C2E25" w:rsidRDefault="005C2E25">
            <w:pPr>
              <w:jc w:val="both"/>
              <w:rPr>
                <w:rFonts w:ascii="Arial" w:hAnsi="Arial" w:cs="Arial"/>
                <w:sz w:val="28"/>
                <w:szCs w:val="28"/>
              </w:rPr>
            </w:pPr>
            <w:r w:rsidRPr="005C2E25">
              <w:rPr>
                <w:rFonts w:ascii="Arial" w:hAnsi="Arial" w:cs="Arial"/>
                <w:sz w:val="28"/>
                <w:szCs w:val="28"/>
                <w:rtl/>
              </w:rPr>
              <w:t xml:space="preserve">בפני </w:t>
            </w:r>
          </w:p>
        </w:tc>
        <w:tc>
          <w:tcPr>
            <w:tcW w:w="7897" w:type="dxa"/>
            <w:gridSpan w:val="2"/>
            <w:tcBorders>
              <w:top w:val="nil"/>
              <w:left w:val="nil"/>
              <w:bottom w:val="nil"/>
              <w:right w:val="nil"/>
            </w:tcBorders>
          </w:tcPr>
          <w:p w14:paraId="1669B4D0" w14:textId="77777777" w:rsidR="00D30C91" w:rsidRPr="005C2E25" w:rsidRDefault="005C2E25" w:rsidP="00712687">
            <w:pPr>
              <w:rPr>
                <w:rFonts w:ascii="Arial" w:hAnsi="Arial" w:cs="Arial"/>
                <w:rtl/>
              </w:rPr>
            </w:pPr>
            <w:r w:rsidRPr="005C2E25">
              <w:rPr>
                <w:rFonts w:ascii="Arial" w:hAnsi="Arial" w:cs="Arial"/>
                <w:b/>
                <w:bCs/>
                <w:rtl/>
              </w:rPr>
              <w:t>כב' ה</w:t>
            </w:r>
            <w:r w:rsidRPr="005C2E25">
              <w:rPr>
                <w:rFonts w:ascii="Arial" w:hAnsi="Arial" w:cs="Arial" w:hint="cs"/>
                <w:rtl/>
              </w:rPr>
              <w:t>שופטת</w:t>
            </w:r>
            <w:r w:rsidRPr="005C2E25">
              <w:rPr>
                <w:rFonts w:ascii="Arial" w:hAnsi="Arial" w:cs="Arial"/>
                <w:b/>
                <w:bCs/>
                <w:rtl/>
              </w:rPr>
              <w:t xml:space="preserve">  </w:t>
            </w:r>
            <w:r w:rsidRPr="005C2E25">
              <w:rPr>
                <w:rFonts w:ascii="Arial" w:hAnsi="Arial" w:cs="Arial" w:hint="cs"/>
                <w:rtl/>
              </w:rPr>
              <w:t>ורדה מרוז</w:t>
            </w:r>
          </w:p>
          <w:p w14:paraId="704A3E51" w14:textId="77777777" w:rsidR="00D30C91" w:rsidRPr="005C2E25" w:rsidRDefault="00D30C91">
            <w:pPr>
              <w:jc w:val="both"/>
              <w:rPr>
                <w:rFonts w:ascii="Arial" w:hAnsi="Arial" w:cs="Arial"/>
                <w:sz w:val="28"/>
                <w:szCs w:val="28"/>
              </w:rPr>
            </w:pPr>
          </w:p>
        </w:tc>
      </w:tr>
      <w:tr w:rsidR="00D30C91" w:rsidRPr="005C2E25" w14:paraId="7D6BCA6B" w14:textId="77777777">
        <w:trPr>
          <w:trHeight w:val="355"/>
          <w:jc w:val="center"/>
        </w:trPr>
        <w:tc>
          <w:tcPr>
            <w:tcW w:w="923" w:type="dxa"/>
            <w:tcBorders>
              <w:top w:val="nil"/>
              <w:left w:val="nil"/>
              <w:bottom w:val="nil"/>
              <w:right w:val="nil"/>
            </w:tcBorders>
          </w:tcPr>
          <w:p w14:paraId="66C382B0" w14:textId="77777777" w:rsidR="00D30C91" w:rsidRPr="005C2E25" w:rsidRDefault="00D30C91">
            <w:pPr>
              <w:jc w:val="both"/>
              <w:rPr>
                <w:rFonts w:ascii="Arial" w:hAnsi="Arial" w:cs="Arial"/>
                <w:sz w:val="28"/>
                <w:szCs w:val="28"/>
                <w:rtl/>
              </w:rPr>
            </w:pPr>
            <w:bookmarkStart w:id="1" w:name="FirstAppellant"/>
            <w:bookmarkStart w:id="2" w:name="FirstLawyer"/>
          </w:p>
          <w:p w14:paraId="75797DF7" w14:textId="77777777" w:rsidR="00D30C91" w:rsidRPr="005C2E25" w:rsidRDefault="005C2E25">
            <w:pPr>
              <w:jc w:val="both"/>
              <w:rPr>
                <w:rFonts w:ascii="Arial" w:hAnsi="Arial" w:cs="Arial"/>
                <w:sz w:val="28"/>
                <w:szCs w:val="28"/>
              </w:rPr>
            </w:pPr>
            <w:r w:rsidRPr="005C2E25">
              <w:rPr>
                <w:rFonts w:ascii="Arial" w:hAnsi="Arial" w:cs="Arial"/>
                <w:sz w:val="28"/>
                <w:szCs w:val="28"/>
                <w:rtl/>
              </w:rPr>
              <w:t>בעניין:</w:t>
            </w:r>
          </w:p>
        </w:tc>
        <w:tc>
          <w:tcPr>
            <w:tcW w:w="4126" w:type="dxa"/>
            <w:tcBorders>
              <w:top w:val="nil"/>
              <w:left w:val="nil"/>
              <w:bottom w:val="nil"/>
              <w:right w:val="nil"/>
            </w:tcBorders>
          </w:tcPr>
          <w:p w14:paraId="50E25960" w14:textId="77777777" w:rsidR="00D30C91" w:rsidRPr="005C2E25" w:rsidRDefault="00D30C91">
            <w:pPr>
              <w:jc w:val="both"/>
              <w:rPr>
                <w:rFonts w:ascii="Arial" w:hAnsi="Arial" w:cs="Arial"/>
                <w:sz w:val="28"/>
                <w:szCs w:val="28"/>
                <w:rtl/>
              </w:rPr>
            </w:pPr>
          </w:p>
          <w:p w14:paraId="168BA067" w14:textId="77777777" w:rsidR="00D30C91" w:rsidRPr="005C2E25" w:rsidRDefault="005C2E25">
            <w:pPr>
              <w:rPr>
                <w:rFonts w:ascii="Arial" w:hAnsi="Arial" w:cs="Arial"/>
                <w:b/>
                <w:bCs/>
                <w:rtl/>
              </w:rPr>
            </w:pPr>
            <w:r w:rsidRPr="005C2E25">
              <w:rPr>
                <w:rFonts w:ascii="Arial" w:hAnsi="Arial" w:cs="Arial" w:hint="cs"/>
                <w:b/>
                <w:bCs/>
                <w:rtl/>
              </w:rPr>
              <w:t>מדינת ישראל</w:t>
            </w:r>
          </w:p>
          <w:p w14:paraId="059551CF" w14:textId="77777777" w:rsidR="00D30C91" w:rsidRPr="005C2E25" w:rsidRDefault="005C2E25">
            <w:pPr>
              <w:rPr>
                <w:rFonts w:ascii="Arial" w:hAnsi="Arial" w:cs="Arial"/>
              </w:rPr>
            </w:pPr>
            <w:r w:rsidRPr="005C2E25">
              <w:rPr>
                <w:rFonts w:ascii="Arial" w:hAnsi="Arial" w:cs="Arial" w:hint="cs"/>
                <w:rtl/>
              </w:rPr>
              <w:t xml:space="preserve">ע"י ב"כ עוה"ד אבירי </w:t>
            </w:r>
            <w:r w:rsidRPr="005C2E25">
              <w:rPr>
                <w:rFonts w:ascii="Arial" w:hAnsi="Arial" w:cs="Arial"/>
                <w:rtl/>
              </w:rPr>
              <w:t>–</w:t>
            </w:r>
            <w:r w:rsidRPr="005C2E25">
              <w:rPr>
                <w:rFonts w:ascii="Arial" w:hAnsi="Arial" w:cs="Arial" w:hint="cs"/>
                <w:rtl/>
              </w:rPr>
              <w:t xml:space="preserve"> פמ"מ </w:t>
            </w:r>
          </w:p>
          <w:p w14:paraId="4C702321" w14:textId="77777777" w:rsidR="00D30C91" w:rsidRPr="005C2E25" w:rsidRDefault="00D30C91">
            <w:pPr>
              <w:jc w:val="both"/>
              <w:rPr>
                <w:rFonts w:ascii="Arial" w:hAnsi="Arial" w:cs="Arial"/>
                <w:sz w:val="28"/>
                <w:szCs w:val="28"/>
              </w:rPr>
            </w:pPr>
          </w:p>
        </w:tc>
        <w:tc>
          <w:tcPr>
            <w:tcW w:w="3771" w:type="dxa"/>
            <w:tcBorders>
              <w:top w:val="nil"/>
              <w:left w:val="nil"/>
              <w:bottom w:val="nil"/>
              <w:right w:val="nil"/>
            </w:tcBorders>
          </w:tcPr>
          <w:p w14:paraId="050073EC" w14:textId="77777777" w:rsidR="00D30C91" w:rsidRPr="005C2E25" w:rsidRDefault="00D30C91">
            <w:pPr>
              <w:jc w:val="both"/>
              <w:rPr>
                <w:rFonts w:ascii="Arial" w:hAnsi="Arial" w:cs="Arial"/>
                <w:sz w:val="28"/>
                <w:szCs w:val="28"/>
              </w:rPr>
            </w:pPr>
          </w:p>
        </w:tc>
      </w:tr>
      <w:bookmarkEnd w:id="1"/>
      <w:bookmarkEnd w:id="2"/>
      <w:tr w:rsidR="00D30C91" w:rsidRPr="005C2E25" w14:paraId="340F94AC" w14:textId="77777777">
        <w:trPr>
          <w:trHeight w:val="355"/>
          <w:jc w:val="center"/>
        </w:trPr>
        <w:tc>
          <w:tcPr>
            <w:tcW w:w="923" w:type="dxa"/>
            <w:tcBorders>
              <w:top w:val="nil"/>
              <w:left w:val="nil"/>
              <w:bottom w:val="nil"/>
              <w:right w:val="nil"/>
            </w:tcBorders>
          </w:tcPr>
          <w:p w14:paraId="2B417916"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09CF118B" w14:textId="77777777" w:rsidR="00D30C91" w:rsidRPr="005C2E25" w:rsidRDefault="00D30C91">
            <w:pPr>
              <w:jc w:val="both"/>
              <w:rPr>
                <w:rFonts w:ascii="Arial" w:hAnsi="Arial" w:cs="Arial"/>
                <w:rtl/>
              </w:rPr>
            </w:pPr>
          </w:p>
        </w:tc>
        <w:tc>
          <w:tcPr>
            <w:tcW w:w="3771" w:type="dxa"/>
            <w:tcBorders>
              <w:top w:val="nil"/>
              <w:left w:val="nil"/>
              <w:bottom w:val="nil"/>
              <w:right w:val="nil"/>
            </w:tcBorders>
          </w:tcPr>
          <w:p w14:paraId="67E0BF16" w14:textId="77777777" w:rsidR="00D30C91" w:rsidRPr="005C2E25" w:rsidRDefault="005C2E25">
            <w:pPr>
              <w:jc w:val="right"/>
              <w:rPr>
                <w:rFonts w:ascii="Arial" w:hAnsi="Arial" w:cs="Arial"/>
                <w:sz w:val="28"/>
                <w:szCs w:val="28"/>
                <w:rtl/>
              </w:rPr>
            </w:pPr>
            <w:r w:rsidRPr="005C2E25">
              <w:rPr>
                <w:rFonts w:ascii="Arial" w:hAnsi="Arial" w:cs="Arial"/>
                <w:sz w:val="28"/>
                <w:szCs w:val="28"/>
                <w:rtl/>
              </w:rPr>
              <w:t>ה</w:t>
            </w:r>
            <w:r w:rsidRPr="005C2E25">
              <w:rPr>
                <w:rFonts w:ascii="Arial" w:hAnsi="Arial" w:cs="Arial" w:hint="cs"/>
                <w:rtl/>
              </w:rPr>
              <w:t>מאשימה</w:t>
            </w:r>
          </w:p>
        </w:tc>
      </w:tr>
      <w:tr w:rsidR="00D30C91" w:rsidRPr="005C2E25" w14:paraId="3D231928" w14:textId="77777777">
        <w:trPr>
          <w:trHeight w:val="355"/>
          <w:jc w:val="center"/>
        </w:trPr>
        <w:tc>
          <w:tcPr>
            <w:tcW w:w="923" w:type="dxa"/>
            <w:tcBorders>
              <w:top w:val="nil"/>
              <w:left w:val="nil"/>
              <w:bottom w:val="nil"/>
              <w:right w:val="nil"/>
            </w:tcBorders>
          </w:tcPr>
          <w:p w14:paraId="54C7509E" w14:textId="77777777" w:rsidR="00D30C91" w:rsidRPr="005C2E25" w:rsidRDefault="00D30C91">
            <w:pPr>
              <w:jc w:val="both"/>
              <w:rPr>
                <w:rFonts w:ascii="Arial" w:hAnsi="Arial" w:cs="Arial"/>
                <w:sz w:val="28"/>
                <w:szCs w:val="28"/>
                <w:rtl/>
              </w:rPr>
            </w:pPr>
          </w:p>
        </w:tc>
        <w:tc>
          <w:tcPr>
            <w:tcW w:w="7897" w:type="dxa"/>
            <w:gridSpan w:val="2"/>
            <w:tcBorders>
              <w:top w:val="nil"/>
              <w:left w:val="nil"/>
              <w:bottom w:val="nil"/>
              <w:right w:val="nil"/>
            </w:tcBorders>
          </w:tcPr>
          <w:p w14:paraId="7D6C97D5" w14:textId="77777777" w:rsidR="00D30C91" w:rsidRPr="005C2E25" w:rsidRDefault="00D30C91">
            <w:pPr>
              <w:jc w:val="center"/>
              <w:rPr>
                <w:rFonts w:ascii="Arial" w:hAnsi="Arial" w:cs="Arial"/>
                <w:b/>
                <w:bCs/>
                <w:sz w:val="28"/>
                <w:szCs w:val="28"/>
                <w:rtl/>
              </w:rPr>
            </w:pPr>
          </w:p>
          <w:p w14:paraId="4A09CFCC" w14:textId="77777777" w:rsidR="00D30C91" w:rsidRPr="005C2E25" w:rsidRDefault="005C2E25">
            <w:pPr>
              <w:jc w:val="center"/>
              <w:rPr>
                <w:rFonts w:ascii="Arial" w:hAnsi="Arial" w:cs="Arial"/>
                <w:b/>
                <w:bCs/>
                <w:sz w:val="28"/>
                <w:szCs w:val="28"/>
                <w:rtl/>
              </w:rPr>
            </w:pPr>
            <w:r w:rsidRPr="005C2E25">
              <w:rPr>
                <w:rFonts w:ascii="Arial" w:hAnsi="Arial" w:cs="Arial"/>
                <w:b/>
                <w:bCs/>
                <w:sz w:val="28"/>
                <w:szCs w:val="28"/>
                <w:rtl/>
              </w:rPr>
              <w:t>נגד</w:t>
            </w:r>
          </w:p>
          <w:p w14:paraId="7575A40A" w14:textId="77777777" w:rsidR="00D30C91" w:rsidRPr="005C2E25" w:rsidRDefault="00D30C91">
            <w:pPr>
              <w:jc w:val="both"/>
              <w:rPr>
                <w:rFonts w:ascii="Arial" w:hAnsi="Arial" w:cs="Arial"/>
                <w:sz w:val="28"/>
                <w:szCs w:val="28"/>
              </w:rPr>
            </w:pPr>
          </w:p>
        </w:tc>
      </w:tr>
      <w:tr w:rsidR="00D30C91" w:rsidRPr="005C2E25" w14:paraId="2C78B738" w14:textId="77777777">
        <w:trPr>
          <w:trHeight w:val="355"/>
          <w:jc w:val="center"/>
        </w:trPr>
        <w:tc>
          <w:tcPr>
            <w:tcW w:w="923" w:type="dxa"/>
            <w:tcBorders>
              <w:top w:val="nil"/>
              <w:left w:val="nil"/>
              <w:bottom w:val="nil"/>
              <w:right w:val="nil"/>
            </w:tcBorders>
          </w:tcPr>
          <w:p w14:paraId="0688E163"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4C3B3BE0" w14:textId="77777777" w:rsidR="00D30C91" w:rsidRPr="005C2E25" w:rsidRDefault="005C2E25">
            <w:pPr>
              <w:rPr>
                <w:rFonts w:ascii="Arial" w:hAnsi="Arial" w:cs="Arial"/>
                <w:b/>
                <w:bCs/>
                <w:rtl/>
              </w:rPr>
            </w:pPr>
            <w:r w:rsidRPr="005C2E25">
              <w:rPr>
                <w:rFonts w:ascii="Arial" w:hAnsi="Arial" w:cs="Arial" w:hint="cs"/>
                <w:b/>
                <w:bCs/>
                <w:rtl/>
              </w:rPr>
              <w:t>יעקב שרעבי</w:t>
            </w:r>
          </w:p>
          <w:p w14:paraId="1774E0F6" w14:textId="77777777" w:rsidR="00D30C91" w:rsidRPr="005C2E25" w:rsidRDefault="005C2E25">
            <w:pPr>
              <w:rPr>
                <w:rFonts w:ascii="Arial" w:hAnsi="Arial" w:cs="Arial"/>
                <w:rtl/>
              </w:rPr>
            </w:pPr>
            <w:r w:rsidRPr="005C2E25">
              <w:rPr>
                <w:rFonts w:ascii="Arial" w:hAnsi="Arial" w:cs="Arial" w:hint="cs"/>
                <w:rtl/>
              </w:rPr>
              <w:t>ע"י ב"כ עוה"ד פורר</w:t>
            </w:r>
          </w:p>
        </w:tc>
        <w:tc>
          <w:tcPr>
            <w:tcW w:w="3771" w:type="dxa"/>
            <w:tcBorders>
              <w:top w:val="nil"/>
              <w:left w:val="nil"/>
              <w:bottom w:val="nil"/>
              <w:right w:val="nil"/>
            </w:tcBorders>
          </w:tcPr>
          <w:p w14:paraId="79E6F603" w14:textId="77777777" w:rsidR="00D30C91" w:rsidRPr="005C2E25" w:rsidRDefault="00D30C91">
            <w:pPr>
              <w:jc w:val="right"/>
              <w:rPr>
                <w:rFonts w:ascii="Arial" w:hAnsi="Arial" w:cs="Arial"/>
                <w:sz w:val="28"/>
                <w:szCs w:val="28"/>
              </w:rPr>
            </w:pPr>
          </w:p>
        </w:tc>
      </w:tr>
      <w:tr w:rsidR="00D30C91" w:rsidRPr="005C2E25" w14:paraId="62B3E5B8" w14:textId="77777777">
        <w:trPr>
          <w:trHeight w:val="355"/>
          <w:jc w:val="center"/>
        </w:trPr>
        <w:tc>
          <w:tcPr>
            <w:tcW w:w="923" w:type="dxa"/>
            <w:tcBorders>
              <w:top w:val="nil"/>
              <w:left w:val="nil"/>
              <w:bottom w:val="nil"/>
              <w:right w:val="nil"/>
            </w:tcBorders>
          </w:tcPr>
          <w:p w14:paraId="2E19A900" w14:textId="77777777" w:rsidR="00D30C91" w:rsidRPr="005C2E25" w:rsidRDefault="00D30C91">
            <w:pPr>
              <w:jc w:val="both"/>
              <w:rPr>
                <w:rFonts w:ascii="Arial" w:hAnsi="Arial" w:cs="Arial"/>
                <w:sz w:val="28"/>
                <w:szCs w:val="28"/>
                <w:rtl/>
              </w:rPr>
            </w:pPr>
          </w:p>
        </w:tc>
        <w:tc>
          <w:tcPr>
            <w:tcW w:w="4126" w:type="dxa"/>
            <w:tcBorders>
              <w:top w:val="nil"/>
              <w:left w:val="nil"/>
              <w:bottom w:val="nil"/>
              <w:right w:val="nil"/>
            </w:tcBorders>
          </w:tcPr>
          <w:p w14:paraId="29752DAF" w14:textId="77777777" w:rsidR="00D30C91" w:rsidRPr="005C2E25" w:rsidRDefault="00D30C91">
            <w:pPr>
              <w:rPr>
                <w:rFonts w:ascii="Arial" w:hAnsi="Arial" w:cs="Arial"/>
                <w:rtl/>
              </w:rPr>
            </w:pPr>
          </w:p>
        </w:tc>
        <w:tc>
          <w:tcPr>
            <w:tcW w:w="3771" w:type="dxa"/>
            <w:tcBorders>
              <w:top w:val="nil"/>
              <w:left w:val="nil"/>
              <w:bottom w:val="nil"/>
              <w:right w:val="nil"/>
            </w:tcBorders>
          </w:tcPr>
          <w:p w14:paraId="0F664D65" w14:textId="77777777" w:rsidR="00D30C91" w:rsidRPr="005C2E25" w:rsidRDefault="005C2E25">
            <w:pPr>
              <w:jc w:val="right"/>
              <w:rPr>
                <w:rFonts w:ascii="Arial" w:hAnsi="Arial" w:cs="Arial"/>
                <w:sz w:val="28"/>
                <w:szCs w:val="28"/>
              </w:rPr>
            </w:pPr>
            <w:r w:rsidRPr="005C2E25">
              <w:rPr>
                <w:rFonts w:ascii="Arial" w:hAnsi="Arial" w:cs="Arial"/>
                <w:sz w:val="28"/>
                <w:szCs w:val="28"/>
                <w:rtl/>
              </w:rPr>
              <w:t>ה</w:t>
            </w:r>
            <w:r w:rsidRPr="005C2E25">
              <w:rPr>
                <w:rFonts w:ascii="Arial" w:hAnsi="Arial" w:cs="Arial" w:hint="cs"/>
                <w:rtl/>
              </w:rPr>
              <w:t>נאשם</w:t>
            </w:r>
          </w:p>
        </w:tc>
      </w:tr>
    </w:tbl>
    <w:p w14:paraId="2A80AF5E" w14:textId="77777777" w:rsidR="00915743" w:rsidRDefault="00915743">
      <w:pPr>
        <w:rPr>
          <w:rFonts w:ascii="Arial" w:hAnsi="Arial" w:cs="Arial"/>
          <w:sz w:val="28"/>
          <w:szCs w:val="28"/>
          <w:rtl/>
        </w:rPr>
      </w:pPr>
      <w:bookmarkStart w:id="3" w:name="LawTable"/>
      <w:bookmarkEnd w:id="3"/>
    </w:p>
    <w:p w14:paraId="25D475BA" w14:textId="77777777" w:rsidR="00915743" w:rsidRPr="00915743" w:rsidRDefault="00915743" w:rsidP="00915743">
      <w:pPr>
        <w:spacing w:after="120" w:line="240" w:lineRule="exact"/>
        <w:ind w:left="283" w:hanging="283"/>
        <w:jc w:val="both"/>
        <w:rPr>
          <w:rFonts w:ascii="FrankRuehl" w:hAnsi="FrankRuehl" w:cs="FrankRuehl"/>
          <w:rtl/>
        </w:rPr>
      </w:pPr>
    </w:p>
    <w:p w14:paraId="62B52C79" w14:textId="77777777" w:rsidR="00915743" w:rsidRPr="00915743" w:rsidRDefault="00915743" w:rsidP="00915743">
      <w:pPr>
        <w:spacing w:after="120" w:line="240" w:lineRule="exact"/>
        <w:ind w:left="283" w:hanging="283"/>
        <w:jc w:val="both"/>
        <w:rPr>
          <w:rFonts w:ascii="FrankRuehl" w:hAnsi="FrankRuehl" w:cs="FrankRuehl"/>
          <w:rtl/>
        </w:rPr>
      </w:pPr>
      <w:r w:rsidRPr="00915743">
        <w:rPr>
          <w:rFonts w:ascii="FrankRuehl" w:hAnsi="FrankRuehl" w:cs="FrankRuehl"/>
          <w:rtl/>
        </w:rPr>
        <w:t xml:space="preserve">חקיקה שאוזכרה: </w:t>
      </w:r>
    </w:p>
    <w:p w14:paraId="5B77F7DF" w14:textId="77777777" w:rsidR="00915743" w:rsidRPr="00915743" w:rsidRDefault="00915743" w:rsidP="00915743">
      <w:pPr>
        <w:spacing w:after="120" w:line="240" w:lineRule="exact"/>
        <w:ind w:left="283" w:hanging="283"/>
        <w:jc w:val="both"/>
        <w:rPr>
          <w:rFonts w:ascii="FrankRuehl" w:hAnsi="FrankRuehl" w:cs="FrankRuehl"/>
          <w:rtl/>
        </w:rPr>
      </w:pPr>
      <w:hyperlink r:id="rId7" w:history="1">
        <w:r w:rsidRPr="00915743">
          <w:rPr>
            <w:rFonts w:ascii="FrankRuehl" w:hAnsi="FrankRuehl" w:cs="FrankRuehl"/>
            <w:color w:val="0000FF"/>
            <w:u w:val="single"/>
            <w:rtl/>
          </w:rPr>
          <w:t>חוק העונשין, תשל"ז-1977</w:t>
        </w:r>
      </w:hyperlink>
      <w:r w:rsidRPr="00915743">
        <w:rPr>
          <w:rFonts w:ascii="FrankRuehl" w:hAnsi="FrankRuehl" w:cs="FrankRuehl"/>
          <w:rtl/>
        </w:rPr>
        <w:t xml:space="preserve">: סע'  </w:t>
      </w:r>
      <w:hyperlink r:id="rId8" w:history="1">
        <w:r w:rsidRPr="00915743">
          <w:rPr>
            <w:rFonts w:ascii="FrankRuehl" w:hAnsi="FrankRuehl" w:cs="FrankRuehl"/>
            <w:color w:val="0000FF"/>
            <w:u w:val="single"/>
            <w:rtl/>
          </w:rPr>
          <w:t>40ד(א)</w:t>
        </w:r>
      </w:hyperlink>
      <w:r w:rsidRPr="00915743">
        <w:rPr>
          <w:rFonts w:ascii="FrankRuehl" w:hAnsi="FrankRuehl" w:cs="FrankRuehl"/>
          <w:rtl/>
        </w:rPr>
        <w:t xml:space="preserve">, </w:t>
      </w:r>
      <w:hyperlink r:id="rId9" w:history="1">
        <w:r w:rsidRPr="00915743">
          <w:rPr>
            <w:rFonts w:ascii="FrankRuehl" w:hAnsi="FrankRuehl" w:cs="FrankRuehl"/>
            <w:color w:val="0000FF"/>
            <w:u w:val="single"/>
            <w:rtl/>
          </w:rPr>
          <w:t>144(א)</w:t>
        </w:r>
      </w:hyperlink>
      <w:r w:rsidRPr="00915743">
        <w:rPr>
          <w:rFonts w:ascii="FrankRuehl" w:hAnsi="FrankRuehl" w:cs="FrankRuehl"/>
          <w:rtl/>
        </w:rPr>
        <w:t xml:space="preserve">, </w:t>
      </w:r>
      <w:hyperlink r:id="rId10" w:history="1">
        <w:r w:rsidRPr="00915743">
          <w:rPr>
            <w:rFonts w:ascii="FrankRuehl" w:hAnsi="FrankRuehl" w:cs="FrankRuehl"/>
            <w:color w:val="0000FF"/>
            <w:u w:val="single"/>
            <w:rtl/>
          </w:rPr>
          <w:t>40יא</w:t>
        </w:r>
      </w:hyperlink>
    </w:p>
    <w:p w14:paraId="246CFEA7" w14:textId="77777777" w:rsidR="00915743" w:rsidRPr="00915743" w:rsidRDefault="00915743" w:rsidP="00915743">
      <w:pPr>
        <w:spacing w:after="120" w:line="240" w:lineRule="exact"/>
        <w:ind w:left="283" w:hanging="283"/>
        <w:jc w:val="both"/>
        <w:rPr>
          <w:rFonts w:ascii="FrankRuehl" w:hAnsi="FrankRuehl" w:cs="FrankRuehl"/>
          <w:rtl/>
        </w:rPr>
      </w:pPr>
    </w:p>
    <w:p w14:paraId="047221F1" w14:textId="77777777" w:rsidR="00915743" w:rsidRPr="00915743" w:rsidRDefault="00915743">
      <w:pPr>
        <w:rPr>
          <w:rFonts w:ascii="Arial" w:hAnsi="Arial" w:cs="Arial"/>
          <w:sz w:val="28"/>
          <w:szCs w:val="28"/>
          <w:rtl/>
        </w:rPr>
      </w:pPr>
      <w:bookmarkStart w:id="4" w:name="LawTable_End"/>
      <w:bookmarkEnd w:id="4"/>
    </w:p>
    <w:p w14:paraId="298CC2CA" w14:textId="77777777" w:rsidR="00412DBF" w:rsidRPr="00412DBF" w:rsidRDefault="00412DBF">
      <w:pPr>
        <w:rPr>
          <w:rFonts w:ascii="Arial" w:hAnsi="Arial" w:cs="Arial"/>
          <w:sz w:val="28"/>
          <w:szCs w:val="28"/>
          <w:rtl/>
        </w:rPr>
      </w:pPr>
    </w:p>
    <w:p w14:paraId="1819879E" w14:textId="77777777" w:rsidR="00412DBF" w:rsidRPr="00412DBF" w:rsidRDefault="00412DBF">
      <w:pPr>
        <w:rPr>
          <w:rFonts w:ascii="Arial" w:hAnsi="Arial" w:cs="Arial"/>
          <w:sz w:val="28"/>
          <w:szCs w:val="28"/>
          <w:rtl/>
        </w:rPr>
      </w:pPr>
    </w:p>
    <w:p w14:paraId="26746FC6" w14:textId="77777777" w:rsidR="00D30C91" w:rsidRPr="00412DBF" w:rsidRDefault="00D30C91">
      <w:pPr>
        <w:rPr>
          <w:rFonts w:ascii="Arial" w:hAnsi="Arial" w:cs="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0C91" w14:paraId="1FDAA185" w14:textId="77777777">
        <w:trPr>
          <w:trHeight w:val="355"/>
          <w:jc w:val="center"/>
        </w:trPr>
        <w:tc>
          <w:tcPr>
            <w:tcW w:w="8820" w:type="dxa"/>
            <w:tcBorders>
              <w:top w:val="nil"/>
              <w:left w:val="nil"/>
              <w:bottom w:val="nil"/>
              <w:right w:val="nil"/>
            </w:tcBorders>
          </w:tcPr>
          <w:p w14:paraId="5BF0BB52" w14:textId="77777777" w:rsidR="005C2E25" w:rsidRPr="005C2E25" w:rsidRDefault="005C2E25" w:rsidP="005C2E25">
            <w:pPr>
              <w:jc w:val="center"/>
              <w:rPr>
                <w:rFonts w:ascii="Arial" w:hAnsi="Arial" w:cs="Arial"/>
                <w:b/>
                <w:bCs/>
                <w:sz w:val="32"/>
                <w:szCs w:val="32"/>
                <w:u w:val="single"/>
                <w:rtl/>
              </w:rPr>
            </w:pPr>
            <w:bookmarkStart w:id="5" w:name="PsakDin" w:colFirst="0" w:colLast="0"/>
            <w:bookmarkEnd w:id="0"/>
            <w:r w:rsidRPr="005C2E25">
              <w:rPr>
                <w:rFonts w:ascii="Arial" w:hAnsi="Arial" w:cs="Arial"/>
                <w:b/>
                <w:bCs/>
                <w:sz w:val="32"/>
                <w:szCs w:val="32"/>
                <w:u w:val="single"/>
                <w:rtl/>
              </w:rPr>
              <w:t>גזר דין</w:t>
            </w:r>
          </w:p>
          <w:p w14:paraId="3D4F2210" w14:textId="77777777" w:rsidR="00D30C91" w:rsidRPr="005C2E25" w:rsidRDefault="00D30C91" w:rsidP="005C2E25">
            <w:pPr>
              <w:jc w:val="center"/>
              <w:rPr>
                <w:rFonts w:ascii="Arial" w:hAnsi="Arial" w:cs="Arial"/>
                <w:bCs/>
                <w:sz w:val="32"/>
                <w:szCs w:val="32"/>
                <w:u w:val="single"/>
                <w:rtl/>
              </w:rPr>
            </w:pPr>
          </w:p>
        </w:tc>
      </w:tr>
      <w:bookmarkEnd w:id="5"/>
    </w:tbl>
    <w:p w14:paraId="21733FC3" w14:textId="77777777" w:rsidR="00D30C91" w:rsidRDefault="00D30C91">
      <w:pPr>
        <w:rPr>
          <w:rFonts w:ascii="Arial" w:hAnsi="Arial" w:cs="Arial"/>
          <w:sz w:val="28"/>
          <w:szCs w:val="28"/>
          <w:rtl/>
        </w:rPr>
      </w:pPr>
    </w:p>
    <w:p w14:paraId="5D61EA83"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bookmarkStart w:id="6" w:name="ABSTRACT_START"/>
      <w:bookmarkEnd w:id="6"/>
      <w:r>
        <w:rPr>
          <w:rFonts w:ascii="Arial" w:hAnsi="Arial" w:cs="Arial"/>
          <w:rtl/>
        </w:rPr>
        <w:t xml:space="preserve">הנאשם הורשע עפ"י הודייתו, במסגרת הסדר טיעון בגדרו הוגש כתב אישום מתוקן, בעבירה שעניינה החזקת נשק ותחמושת שלא כדין, לפי </w:t>
      </w:r>
      <w:hyperlink r:id="rId11" w:history="1">
        <w:r w:rsidR="00915743" w:rsidRPr="00915743">
          <w:rPr>
            <w:rFonts w:ascii="Arial" w:hAnsi="Arial" w:cs="Arial"/>
            <w:color w:val="0000FF"/>
            <w:u w:val="single"/>
            <w:rtl/>
          </w:rPr>
          <w:t>סעיף 144(א)</w:t>
        </w:r>
      </w:hyperlink>
      <w:r>
        <w:rPr>
          <w:rStyle w:val="aa-h"/>
          <w:rFonts w:ascii="Arial" w:hAnsi="Arial" w:cs="Arial"/>
          <w:rtl/>
        </w:rPr>
        <w:t xml:space="preserve"> ל</w:t>
      </w:r>
      <w:hyperlink r:id="rId12" w:history="1">
        <w:r w:rsidR="00412DBF" w:rsidRPr="00412DBF">
          <w:rPr>
            <w:rStyle w:val="Hyperlink"/>
            <w:rFonts w:ascii="Arial" w:hAnsi="Arial" w:cs="Arial"/>
            <w:rtl/>
          </w:rPr>
          <w:t>חוק העונשין</w:t>
        </w:r>
      </w:hyperlink>
      <w:r>
        <w:rPr>
          <w:rStyle w:val="aa-h"/>
          <w:rFonts w:ascii="Arial" w:hAnsi="Arial" w:cs="Arial"/>
          <w:rtl/>
        </w:rPr>
        <w:t>, תשל"ז – 1977</w:t>
      </w:r>
      <w:bookmarkStart w:id="7" w:name="ABSTRACT_END"/>
      <w:bookmarkEnd w:id="7"/>
      <w:r>
        <w:rPr>
          <w:rStyle w:val="aa-h"/>
          <w:rFonts w:ascii="Arial" w:hAnsi="Arial" w:cs="Arial"/>
          <w:rtl/>
        </w:rPr>
        <w:t xml:space="preserve"> (להלן: "</w:t>
      </w:r>
      <w:r>
        <w:rPr>
          <w:rStyle w:val="aa-h"/>
          <w:rFonts w:ascii="Arial" w:hAnsi="Arial" w:cs="Arial"/>
          <w:b/>
          <w:bCs/>
          <w:sz w:val="22"/>
          <w:szCs w:val="22"/>
          <w:rtl/>
        </w:rPr>
        <w:t>חוק העונשין</w:t>
      </w:r>
      <w:r>
        <w:rPr>
          <w:rStyle w:val="aa-h"/>
          <w:rFonts w:ascii="Arial" w:hAnsi="Arial" w:cs="Arial"/>
          <w:rtl/>
        </w:rPr>
        <w:t>").</w:t>
      </w:r>
    </w:p>
    <w:p w14:paraId="106E9928"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עפ"י עובדות כתב האישום המתוקן, עובר ליום 11.5.12 נגנב אקדח 9 מ"מ מסוג ברטה שמספרו </w:t>
      </w:r>
      <w:r>
        <w:rPr>
          <w:rFonts w:ascii="Arial" w:hAnsi="Arial" w:cs="Arial"/>
        </w:rPr>
        <w:t>D60383Y</w:t>
      </w:r>
      <w:r>
        <w:rPr>
          <w:rFonts w:ascii="Arial" w:hAnsi="Arial" w:cs="Arial"/>
          <w:rtl/>
        </w:rPr>
        <w:t xml:space="preserve"> (להלן: "</w:t>
      </w:r>
      <w:r>
        <w:rPr>
          <w:rFonts w:ascii="Arial" w:hAnsi="Arial" w:cs="Arial"/>
          <w:b/>
          <w:bCs/>
          <w:sz w:val="22"/>
          <w:szCs w:val="22"/>
          <w:rtl/>
        </w:rPr>
        <w:t>האקדח</w:t>
      </w:r>
      <w:r>
        <w:rPr>
          <w:rFonts w:ascii="Arial" w:hAnsi="Arial" w:cs="Arial"/>
          <w:rtl/>
        </w:rPr>
        <w:t>"), אשר היה בבעלותו של מר יוסף פלדמן.</w:t>
      </w:r>
    </w:p>
    <w:p w14:paraId="7DF646C7" w14:textId="77777777" w:rsidR="00D30C91" w:rsidRDefault="005C2E25">
      <w:pPr>
        <w:numPr>
          <w:ilvl w:val="0"/>
          <w:numId w:val="1"/>
        </w:numPr>
        <w:tabs>
          <w:tab w:val="clear" w:pos="720"/>
          <w:tab w:val="num" w:pos="651"/>
        </w:tabs>
        <w:spacing w:after="120" w:line="360" w:lineRule="auto"/>
        <w:ind w:left="651" w:hanging="609"/>
        <w:jc w:val="both"/>
        <w:rPr>
          <w:rFonts w:ascii="Arial" w:hAnsi="Arial" w:cs="Arial"/>
        </w:rPr>
      </w:pPr>
      <w:r>
        <w:rPr>
          <w:rFonts w:ascii="Arial" w:hAnsi="Arial" w:cs="Arial"/>
          <w:rtl/>
        </w:rPr>
        <w:t>ביום 11.5.12 בעיר רחובות, החזיק הנאשם ברכבו את הפריטים הבאים:</w:t>
      </w:r>
    </w:p>
    <w:p w14:paraId="6C0649C9" w14:textId="77777777" w:rsidR="00D30C91" w:rsidRDefault="005C2E25">
      <w:pPr>
        <w:numPr>
          <w:ilvl w:val="1"/>
          <w:numId w:val="1"/>
        </w:numPr>
        <w:spacing w:after="120" w:line="360" w:lineRule="auto"/>
        <w:jc w:val="both"/>
        <w:rPr>
          <w:rFonts w:ascii="Arial" w:hAnsi="Arial" w:cs="Arial"/>
        </w:rPr>
      </w:pPr>
      <w:r>
        <w:rPr>
          <w:rFonts w:ascii="Arial" w:hAnsi="Arial" w:cs="Arial"/>
          <w:rtl/>
        </w:rPr>
        <w:lastRenderedPageBreak/>
        <w:t>מתחת למושב הקדמי הימני נשא הנאשם את האקדח ובו מחסנית שבתוכה כדורים.</w:t>
      </w:r>
    </w:p>
    <w:p w14:paraId="484989D9" w14:textId="77777777" w:rsidR="00D30C91" w:rsidRDefault="005C2E25">
      <w:pPr>
        <w:numPr>
          <w:ilvl w:val="1"/>
          <w:numId w:val="1"/>
        </w:numPr>
        <w:spacing w:after="120" w:line="360" w:lineRule="auto"/>
        <w:jc w:val="both"/>
        <w:rPr>
          <w:rFonts w:ascii="Arial" w:hAnsi="Arial" w:cs="Arial"/>
        </w:rPr>
      </w:pPr>
      <w:r>
        <w:rPr>
          <w:rFonts w:ascii="Arial" w:hAnsi="Arial" w:cs="Arial"/>
          <w:rtl/>
        </w:rPr>
        <w:t>בתיק שחור שהיה מונח ליד כיסא הנהג נשא הנאשם מחסנית ובה כדורים.</w:t>
      </w:r>
    </w:p>
    <w:p w14:paraId="483A1DFA" w14:textId="77777777" w:rsidR="00D30C91" w:rsidRDefault="005C2E25">
      <w:pPr>
        <w:numPr>
          <w:ilvl w:val="1"/>
          <w:numId w:val="1"/>
        </w:numPr>
        <w:spacing w:after="240" w:line="360" w:lineRule="auto"/>
        <w:ind w:left="1434" w:hanging="357"/>
        <w:jc w:val="both"/>
        <w:rPr>
          <w:rFonts w:ascii="Arial" w:hAnsi="Arial" w:cs="Arial"/>
        </w:rPr>
      </w:pPr>
      <w:r>
        <w:rPr>
          <w:rFonts w:ascii="Arial" w:hAnsi="Arial" w:cs="Arial"/>
          <w:rtl/>
        </w:rPr>
        <w:t>בתא האחסון המצוי בדלת הנהג נשא הנאשם מחסנית ובה כדורים.</w:t>
      </w:r>
    </w:p>
    <w:p w14:paraId="789CD8FB"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hint="cs"/>
          <w:rtl/>
        </w:rPr>
        <w:t>במסגרת</w:t>
      </w:r>
      <w:r>
        <w:rPr>
          <w:rFonts w:ascii="Arial" w:hAnsi="Arial" w:cs="Arial"/>
          <w:rtl/>
        </w:rPr>
        <w:t xml:space="preserve"> הסדר הטיעון, עתרה התביעה להשית על הנאשם עונש מאסר בפועל בן 7 חודשים, מאסר על תנאי וקנס משמעותי. הסנגור </w:t>
      </w:r>
      <w:r>
        <w:rPr>
          <w:rFonts w:ascii="Arial" w:hAnsi="Arial" w:cs="Arial" w:hint="cs"/>
          <w:rtl/>
        </w:rPr>
        <w:t>היה רשאי ל</w:t>
      </w:r>
      <w:r>
        <w:rPr>
          <w:rFonts w:ascii="Arial" w:hAnsi="Arial" w:cs="Arial"/>
          <w:rtl/>
        </w:rPr>
        <w:t>טע</w:t>
      </w:r>
      <w:r>
        <w:rPr>
          <w:rFonts w:ascii="Arial" w:hAnsi="Arial" w:cs="Arial" w:hint="cs"/>
          <w:rtl/>
        </w:rPr>
        <w:t>ו</w:t>
      </w:r>
      <w:r>
        <w:rPr>
          <w:rFonts w:ascii="Arial" w:hAnsi="Arial" w:cs="Arial"/>
          <w:rtl/>
        </w:rPr>
        <w:t>ן לעונש באורח חופשי</w:t>
      </w:r>
      <w:r>
        <w:rPr>
          <w:rFonts w:ascii="Arial" w:hAnsi="Arial" w:cs="Arial" w:hint="cs"/>
          <w:rtl/>
        </w:rPr>
        <w:t xml:space="preserve"> ועתר להסתפק בעבודות של"צ</w:t>
      </w:r>
      <w:r>
        <w:rPr>
          <w:rFonts w:ascii="Arial" w:hAnsi="Arial" w:cs="Arial"/>
          <w:rtl/>
        </w:rPr>
        <w:t>. בעת הצגת ההסדר צ</w:t>
      </w:r>
      <w:r>
        <w:rPr>
          <w:rFonts w:ascii="Arial" w:hAnsi="Arial" w:cs="Arial" w:hint="cs"/>
          <w:rtl/>
        </w:rPr>
        <w:t>יינו ב"כ הצדדים,</w:t>
      </w:r>
      <w:r>
        <w:rPr>
          <w:rFonts w:ascii="Arial" w:hAnsi="Arial" w:cs="Arial"/>
          <w:rtl/>
        </w:rPr>
        <w:t xml:space="preserve"> כי אין מחלוקת שהנאשם החזיק בנשק לצורך הגנה עצמית.</w:t>
      </w:r>
    </w:p>
    <w:p w14:paraId="343D1B3B" w14:textId="77777777" w:rsidR="00D30C91" w:rsidRDefault="005C2E25">
      <w:pPr>
        <w:tabs>
          <w:tab w:val="num" w:pos="651"/>
        </w:tabs>
        <w:spacing w:after="240" w:line="360" w:lineRule="auto"/>
        <w:ind w:left="651" w:hanging="609"/>
        <w:jc w:val="both"/>
        <w:rPr>
          <w:rStyle w:val="a6"/>
          <w:rFonts w:ascii="Arial" w:hAnsi="Arial" w:cs="Arial"/>
          <w:b/>
          <w:bCs/>
          <w:u w:val="single"/>
          <w:rtl/>
        </w:rPr>
      </w:pPr>
      <w:r>
        <w:rPr>
          <w:rStyle w:val="a6"/>
          <w:rFonts w:ascii="Arial" w:hAnsi="Arial" w:cs="Arial" w:hint="cs"/>
          <w:rtl/>
        </w:rPr>
        <w:tab/>
      </w:r>
      <w:r>
        <w:rPr>
          <w:rStyle w:val="a6"/>
          <w:rFonts w:ascii="Arial" w:hAnsi="Arial" w:cs="Arial"/>
          <w:b/>
          <w:bCs/>
          <w:u w:val="single"/>
          <w:rtl/>
        </w:rPr>
        <w:t>על הנאשם</w:t>
      </w:r>
    </w:p>
    <w:p w14:paraId="274A7EA0"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מתסקיר שרות המבחן </w:t>
      </w:r>
      <w:r>
        <w:rPr>
          <w:rFonts w:ascii="Arial" w:hAnsi="Arial" w:cs="Arial" w:hint="cs"/>
          <w:rtl/>
        </w:rPr>
        <w:t>עולות העובדות הבאות;</w:t>
      </w:r>
      <w:r>
        <w:rPr>
          <w:rFonts w:ascii="Arial" w:hAnsi="Arial" w:cs="Arial"/>
          <w:rtl/>
        </w:rPr>
        <w:t xml:space="preserve"> הנאשם בן 55, נשוי ואב לארבעה. בתו הצעירה נפטרה בשנת 2008, בהיותה בת 8 ממחלת הסרטן. הנאשם עובד כמנהל השוק הסיטונאי ברחובות, אשתו עקרת בית וסטודנטית לתואר ראשון בפסיכולוגיה. הנאשם סובל מבעיות רפואיות שונות, בין היתר, לחץ דם גבוה, כולסטרול ובעיות במערכת הדם.</w:t>
      </w:r>
    </w:p>
    <w:p w14:paraId="6FE891F2"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לדבריו, גדל במשפחה נורמטיבית ומלוכדת. הנאשם סיים 10 שנות לימוד ושירת שירות צבאי מלא. לאחר הצבא, החל לעבוד כמשווק </w:t>
      </w:r>
      <w:r>
        <w:rPr>
          <w:rFonts w:ascii="Arial" w:hAnsi="Arial" w:cs="Arial" w:hint="cs"/>
          <w:rtl/>
        </w:rPr>
        <w:t xml:space="preserve">בשוק הסיטונאי </w:t>
      </w:r>
      <w:r>
        <w:rPr>
          <w:rFonts w:ascii="Arial" w:hAnsi="Arial" w:cs="Arial"/>
          <w:rtl/>
        </w:rPr>
        <w:t xml:space="preserve">ברחובות </w:t>
      </w:r>
      <w:r>
        <w:rPr>
          <w:rFonts w:ascii="Arial" w:hAnsi="Arial" w:cs="Arial" w:hint="cs"/>
          <w:rtl/>
        </w:rPr>
        <w:t xml:space="preserve">(להלן: </w:t>
      </w:r>
      <w:r>
        <w:rPr>
          <w:rFonts w:ascii="Arial" w:hAnsi="Arial" w:cs="Arial" w:hint="cs"/>
          <w:b/>
          <w:bCs/>
          <w:sz w:val="22"/>
          <w:szCs w:val="22"/>
          <w:rtl/>
        </w:rPr>
        <w:t>"השוק"</w:t>
      </w:r>
      <w:r>
        <w:rPr>
          <w:rFonts w:ascii="Arial" w:hAnsi="Arial" w:cs="Arial" w:hint="cs"/>
          <w:rtl/>
        </w:rPr>
        <w:t xml:space="preserve">) </w:t>
      </w:r>
      <w:r>
        <w:rPr>
          <w:rFonts w:ascii="Arial" w:hAnsi="Arial" w:cs="Arial"/>
          <w:rtl/>
        </w:rPr>
        <w:t>ובהמשך בתפקידי</w:t>
      </w:r>
      <w:r>
        <w:rPr>
          <w:rFonts w:ascii="Arial" w:hAnsi="Arial" w:cs="Arial" w:hint="cs"/>
          <w:rtl/>
        </w:rPr>
        <w:t>ם</w:t>
      </w:r>
      <w:r>
        <w:rPr>
          <w:rFonts w:ascii="Arial" w:hAnsi="Arial" w:cs="Arial"/>
          <w:rtl/>
        </w:rPr>
        <w:t xml:space="preserve"> ניהול</w:t>
      </w:r>
      <w:r>
        <w:rPr>
          <w:rFonts w:ascii="Arial" w:hAnsi="Arial" w:cs="Arial" w:hint="cs"/>
          <w:rtl/>
        </w:rPr>
        <w:t>יים ב</w:t>
      </w:r>
      <w:r>
        <w:rPr>
          <w:rFonts w:ascii="Arial" w:hAnsi="Arial" w:cs="Arial"/>
          <w:rtl/>
        </w:rPr>
        <w:t xml:space="preserve">שוק. מזה מספר שנים מנהל </w:t>
      </w:r>
      <w:r>
        <w:rPr>
          <w:rFonts w:ascii="Arial" w:hAnsi="Arial" w:cs="Arial" w:hint="cs"/>
          <w:rtl/>
        </w:rPr>
        <w:t xml:space="preserve">הנאשם </w:t>
      </w:r>
      <w:r>
        <w:rPr>
          <w:rFonts w:ascii="Arial" w:hAnsi="Arial" w:cs="Arial"/>
          <w:rtl/>
        </w:rPr>
        <w:t xml:space="preserve">חברה פרטית </w:t>
      </w:r>
      <w:r>
        <w:rPr>
          <w:rFonts w:ascii="Arial" w:hAnsi="Arial" w:cs="Arial" w:hint="cs"/>
          <w:rtl/>
        </w:rPr>
        <w:t>ש</w:t>
      </w:r>
      <w:r>
        <w:rPr>
          <w:rFonts w:ascii="Arial" w:hAnsi="Arial" w:cs="Arial"/>
          <w:rtl/>
        </w:rPr>
        <w:t>אחראית על ניהול השוק. תפק</w:t>
      </w:r>
      <w:r>
        <w:rPr>
          <w:rFonts w:ascii="Arial" w:hAnsi="Arial" w:cs="Arial" w:hint="cs"/>
          <w:rtl/>
        </w:rPr>
        <w:t>ו</w:t>
      </w:r>
      <w:r>
        <w:rPr>
          <w:rFonts w:ascii="Arial" w:hAnsi="Arial" w:cs="Arial"/>
          <w:rtl/>
        </w:rPr>
        <w:t>ד</w:t>
      </w:r>
      <w:r>
        <w:rPr>
          <w:rFonts w:ascii="Arial" w:hAnsi="Arial" w:cs="Arial" w:hint="cs"/>
          <w:rtl/>
        </w:rPr>
        <w:t>ו</w:t>
      </w:r>
      <w:r>
        <w:rPr>
          <w:rFonts w:ascii="Arial" w:hAnsi="Arial" w:cs="Arial"/>
          <w:rtl/>
        </w:rPr>
        <w:t xml:space="preserve"> תקין ויציב ב</w:t>
      </w:r>
      <w:r>
        <w:rPr>
          <w:rFonts w:ascii="Arial" w:hAnsi="Arial" w:cs="Arial" w:hint="cs"/>
          <w:rtl/>
        </w:rPr>
        <w:t xml:space="preserve">כל </w:t>
      </w:r>
      <w:r>
        <w:rPr>
          <w:rFonts w:ascii="Arial" w:hAnsi="Arial" w:cs="Arial"/>
          <w:rtl/>
        </w:rPr>
        <w:t xml:space="preserve">מישורי החיים. </w:t>
      </w:r>
    </w:p>
    <w:p w14:paraId="4833D83D"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hint="cs"/>
          <w:rtl/>
        </w:rPr>
        <w:t xml:space="preserve">ביסוד </w:t>
      </w:r>
      <w:r>
        <w:rPr>
          <w:rFonts w:ascii="Arial" w:hAnsi="Arial" w:cs="Arial"/>
          <w:rtl/>
        </w:rPr>
        <w:t>העבירה</w:t>
      </w:r>
      <w:r>
        <w:rPr>
          <w:rFonts w:ascii="Arial" w:hAnsi="Arial" w:cs="Arial" w:hint="cs"/>
          <w:rtl/>
        </w:rPr>
        <w:t xml:space="preserve"> בה הורשע</w:t>
      </w:r>
      <w:r>
        <w:rPr>
          <w:rFonts w:ascii="Arial" w:hAnsi="Arial" w:cs="Arial"/>
          <w:rtl/>
        </w:rPr>
        <w:t xml:space="preserve">, </w:t>
      </w:r>
      <w:r>
        <w:rPr>
          <w:rFonts w:ascii="Arial" w:hAnsi="Arial" w:cs="Arial" w:hint="cs"/>
          <w:rtl/>
        </w:rPr>
        <w:t xml:space="preserve">עומדת סכנה שנשקפת לנאשם על רקע </w:t>
      </w:r>
      <w:r>
        <w:rPr>
          <w:rFonts w:ascii="Arial" w:hAnsi="Arial" w:cs="Arial"/>
          <w:rtl/>
        </w:rPr>
        <w:t xml:space="preserve">חיכוכים מתמשכים עם גורמים עברייניים, </w:t>
      </w:r>
      <w:r>
        <w:rPr>
          <w:rFonts w:ascii="Arial" w:hAnsi="Arial" w:cs="Arial" w:hint="cs"/>
          <w:rtl/>
        </w:rPr>
        <w:t>ש</w:t>
      </w:r>
      <w:r>
        <w:rPr>
          <w:rFonts w:ascii="Arial" w:hAnsi="Arial" w:cs="Arial"/>
          <w:rtl/>
        </w:rPr>
        <w:t xml:space="preserve">מבקשים לגבות דמי חסות ולהשתלט על השוק. </w:t>
      </w:r>
      <w:r>
        <w:rPr>
          <w:rFonts w:ascii="Arial" w:hAnsi="Arial" w:cs="Arial" w:hint="cs"/>
          <w:rtl/>
        </w:rPr>
        <w:t xml:space="preserve">גורמים אלו </w:t>
      </w:r>
      <w:r>
        <w:rPr>
          <w:rFonts w:ascii="Arial" w:hAnsi="Arial" w:cs="Arial"/>
          <w:rtl/>
        </w:rPr>
        <w:t xml:space="preserve">נקטו </w:t>
      </w:r>
      <w:r>
        <w:rPr>
          <w:rFonts w:ascii="Arial" w:hAnsi="Arial" w:cs="Arial" w:hint="cs"/>
          <w:rtl/>
        </w:rPr>
        <w:t xml:space="preserve">בעבר </w:t>
      </w:r>
      <w:r>
        <w:rPr>
          <w:rFonts w:ascii="Arial" w:hAnsi="Arial" w:cs="Arial"/>
          <w:rtl/>
        </w:rPr>
        <w:t>איומים נגד הנאשם ו</w:t>
      </w:r>
      <w:r>
        <w:rPr>
          <w:rFonts w:ascii="Arial" w:hAnsi="Arial" w:cs="Arial" w:hint="cs"/>
          <w:rtl/>
        </w:rPr>
        <w:t xml:space="preserve">נגד </w:t>
      </w:r>
      <w:r>
        <w:rPr>
          <w:rFonts w:ascii="Arial" w:hAnsi="Arial" w:cs="Arial"/>
          <w:rtl/>
        </w:rPr>
        <w:t>עובדי השוק</w:t>
      </w:r>
      <w:r>
        <w:rPr>
          <w:rFonts w:ascii="Arial" w:hAnsi="Arial" w:cs="Arial" w:hint="cs"/>
          <w:rtl/>
        </w:rPr>
        <w:t xml:space="preserve">. לדברי הנאשם, </w:t>
      </w:r>
      <w:r>
        <w:rPr>
          <w:rFonts w:ascii="Arial" w:hAnsi="Arial" w:cs="Arial"/>
          <w:rtl/>
        </w:rPr>
        <w:t xml:space="preserve">אחד </w:t>
      </w:r>
      <w:r>
        <w:rPr>
          <w:rFonts w:ascii="Arial" w:hAnsi="Arial" w:cs="Arial" w:hint="cs"/>
          <w:rtl/>
        </w:rPr>
        <w:t>מ</w:t>
      </w:r>
      <w:r>
        <w:rPr>
          <w:rFonts w:ascii="Arial" w:hAnsi="Arial" w:cs="Arial"/>
          <w:rtl/>
        </w:rPr>
        <w:t>עובדי</w:t>
      </w:r>
      <w:r>
        <w:rPr>
          <w:rFonts w:ascii="Arial" w:hAnsi="Arial" w:cs="Arial" w:hint="cs"/>
          <w:rtl/>
        </w:rPr>
        <w:t xml:space="preserve"> השוק נרצח על רקע העובדות הללו</w:t>
      </w:r>
      <w:r>
        <w:rPr>
          <w:rFonts w:ascii="Arial" w:hAnsi="Arial" w:cs="Arial"/>
          <w:rtl/>
        </w:rPr>
        <w:t>. בתחילת שנ</w:t>
      </w:r>
      <w:r>
        <w:rPr>
          <w:rFonts w:ascii="Arial" w:hAnsi="Arial" w:cs="Arial" w:hint="cs"/>
          <w:rtl/>
        </w:rPr>
        <w:t>ת 2012</w:t>
      </w:r>
      <w:r>
        <w:rPr>
          <w:rFonts w:ascii="Arial" w:hAnsi="Arial" w:cs="Arial"/>
          <w:rtl/>
        </w:rPr>
        <w:t xml:space="preserve">, נורה בנו של הנאשם ונפגע, הגם שאין לו קשר ישיר לפרשיה. </w:t>
      </w:r>
    </w:p>
    <w:p w14:paraId="07FB8896"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הנאשם הטעים כי תחושות </w:t>
      </w:r>
      <w:r>
        <w:rPr>
          <w:rFonts w:ascii="Arial" w:hAnsi="Arial" w:cs="Arial" w:hint="cs"/>
          <w:rtl/>
        </w:rPr>
        <w:t xml:space="preserve">הסכנה </w:t>
      </w:r>
      <w:r>
        <w:rPr>
          <w:rFonts w:ascii="Arial" w:hAnsi="Arial" w:cs="Arial"/>
          <w:rtl/>
        </w:rPr>
        <w:t>והפחד התגברו לאחר הפגיעה בבנו</w:t>
      </w:r>
      <w:r>
        <w:rPr>
          <w:rFonts w:ascii="Arial" w:hAnsi="Arial" w:cs="Arial" w:hint="cs"/>
          <w:rtl/>
        </w:rPr>
        <w:t>,</w:t>
      </w:r>
      <w:r>
        <w:rPr>
          <w:rFonts w:ascii="Arial" w:hAnsi="Arial" w:cs="Arial"/>
          <w:rtl/>
        </w:rPr>
        <w:t xml:space="preserve"> או אז, גמלה בלבו ההחלטה להשיג כלי נשק, למען הגנתו. הוא אישר, כי לא שקל באורח ראוי את האלטרנטיבות הלגיטימיות בהשגת כלי הנשק, מחמת המתח הגבוה בו היה שרוי, לצד </w:t>
      </w:r>
      <w:r>
        <w:rPr>
          <w:rFonts w:ascii="Arial" w:hAnsi="Arial" w:cs="Arial"/>
          <w:rtl/>
        </w:rPr>
        <w:lastRenderedPageBreak/>
        <w:t xml:space="preserve">אובדן בתו. כל אלו דרדרו אותו לצריכת סמים, הגם שבדיקת שתן שמסר ביום 18.12.12 נמצאה נקיה. </w:t>
      </w:r>
    </w:p>
    <w:p w14:paraId="57B38F99"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שירות המבחן</w:t>
      </w:r>
      <w:r>
        <w:rPr>
          <w:rFonts w:ascii="Arial" w:hAnsi="Arial" w:cs="Arial" w:hint="cs"/>
          <w:rtl/>
        </w:rPr>
        <w:t xml:space="preserve"> התרשם</w:t>
      </w:r>
      <w:r>
        <w:rPr>
          <w:rFonts w:ascii="Arial" w:hAnsi="Arial" w:cs="Arial"/>
          <w:rtl/>
        </w:rPr>
        <w:t xml:space="preserve"> </w:t>
      </w:r>
      <w:r>
        <w:rPr>
          <w:rFonts w:ascii="Arial" w:hAnsi="Arial" w:cs="Arial" w:hint="cs"/>
          <w:rtl/>
        </w:rPr>
        <w:t xml:space="preserve">כי </w:t>
      </w:r>
      <w:r>
        <w:rPr>
          <w:rFonts w:ascii="Arial" w:hAnsi="Arial" w:cs="Arial"/>
          <w:rtl/>
        </w:rPr>
        <w:t>הנאשם מבין את חומרת מעשיו ומשמעות ההליך הפלילי</w:t>
      </w:r>
      <w:r>
        <w:rPr>
          <w:rFonts w:ascii="Arial" w:hAnsi="Arial" w:cs="Arial" w:hint="cs"/>
          <w:rtl/>
        </w:rPr>
        <w:t xml:space="preserve"> ויש </w:t>
      </w:r>
      <w:r>
        <w:rPr>
          <w:rFonts w:ascii="Arial" w:hAnsi="Arial" w:cs="Arial"/>
          <w:rtl/>
        </w:rPr>
        <w:t>ל</w:t>
      </w:r>
      <w:r>
        <w:rPr>
          <w:rFonts w:ascii="Arial" w:hAnsi="Arial" w:cs="Arial" w:hint="cs"/>
          <w:rtl/>
        </w:rPr>
        <w:t>ו את ה</w:t>
      </w:r>
      <w:r>
        <w:rPr>
          <w:rFonts w:ascii="Arial" w:hAnsi="Arial" w:cs="Arial"/>
          <w:rtl/>
        </w:rPr>
        <w:t>כוח ו</w:t>
      </w:r>
      <w:r>
        <w:rPr>
          <w:rFonts w:ascii="Arial" w:hAnsi="Arial" w:cs="Arial" w:hint="cs"/>
          <w:rtl/>
        </w:rPr>
        <w:t>ה</w:t>
      </w:r>
      <w:r>
        <w:rPr>
          <w:rFonts w:ascii="Arial" w:hAnsi="Arial" w:cs="Arial"/>
          <w:rtl/>
        </w:rPr>
        <w:t xml:space="preserve">כישורים לתפקד </w:t>
      </w:r>
      <w:r>
        <w:rPr>
          <w:rFonts w:ascii="Arial" w:hAnsi="Arial" w:cs="Arial" w:hint="cs"/>
          <w:rtl/>
        </w:rPr>
        <w:t xml:space="preserve">באורח </w:t>
      </w:r>
      <w:r>
        <w:rPr>
          <w:rFonts w:ascii="Arial" w:hAnsi="Arial" w:cs="Arial"/>
          <w:rtl/>
        </w:rPr>
        <w:t>יציב</w:t>
      </w:r>
      <w:r>
        <w:rPr>
          <w:rFonts w:ascii="Arial" w:hAnsi="Arial" w:cs="Arial" w:hint="cs"/>
          <w:rtl/>
        </w:rPr>
        <w:t>.</w:t>
      </w:r>
      <w:r>
        <w:rPr>
          <w:rFonts w:ascii="Arial" w:hAnsi="Arial" w:cs="Arial"/>
          <w:rtl/>
        </w:rPr>
        <w:t xml:space="preserve"> </w:t>
      </w:r>
      <w:r>
        <w:rPr>
          <w:rFonts w:ascii="Arial" w:hAnsi="Arial" w:cs="Arial" w:hint="cs"/>
          <w:rtl/>
        </w:rPr>
        <w:t>אין הוא</w:t>
      </w:r>
      <w:r>
        <w:rPr>
          <w:rFonts w:ascii="Arial" w:hAnsi="Arial" w:cs="Arial"/>
          <w:rtl/>
        </w:rPr>
        <w:t xml:space="preserve"> בעל דפוסי התנהגות אלימים או אימפולסיביים ו</w:t>
      </w:r>
      <w:r>
        <w:rPr>
          <w:rFonts w:ascii="Arial" w:hAnsi="Arial" w:cs="Arial" w:hint="cs"/>
          <w:rtl/>
        </w:rPr>
        <w:t>ה</w:t>
      </w:r>
      <w:r>
        <w:rPr>
          <w:rFonts w:ascii="Arial" w:hAnsi="Arial" w:cs="Arial"/>
          <w:rtl/>
        </w:rPr>
        <w:t>תמודד</w:t>
      </w:r>
      <w:r>
        <w:rPr>
          <w:rFonts w:ascii="Arial" w:hAnsi="Arial" w:cs="Arial" w:hint="cs"/>
          <w:rtl/>
        </w:rPr>
        <w:t>ותו</w:t>
      </w:r>
      <w:r>
        <w:rPr>
          <w:rFonts w:ascii="Arial" w:hAnsi="Arial" w:cs="Arial"/>
          <w:rtl/>
        </w:rPr>
        <w:t xml:space="preserve"> עם קשיי</w:t>
      </w:r>
      <w:r>
        <w:rPr>
          <w:rFonts w:ascii="Arial" w:hAnsi="Arial" w:cs="Arial" w:hint="cs"/>
          <w:rtl/>
        </w:rPr>
        <w:t>ו</w:t>
      </w:r>
      <w:r>
        <w:rPr>
          <w:rFonts w:ascii="Arial" w:hAnsi="Arial" w:cs="Arial"/>
          <w:rtl/>
        </w:rPr>
        <w:t xml:space="preserve"> וחרדות</w:t>
      </w:r>
      <w:r>
        <w:rPr>
          <w:rFonts w:ascii="Arial" w:hAnsi="Arial" w:cs="Arial" w:hint="cs"/>
          <w:rtl/>
        </w:rPr>
        <w:t>יו</w:t>
      </w:r>
      <w:r>
        <w:rPr>
          <w:rFonts w:ascii="Arial" w:hAnsi="Arial" w:cs="Arial"/>
          <w:rtl/>
        </w:rPr>
        <w:t xml:space="preserve"> ב</w:t>
      </w:r>
      <w:r>
        <w:rPr>
          <w:rFonts w:ascii="Arial" w:hAnsi="Arial" w:cs="Arial" w:hint="cs"/>
          <w:rtl/>
        </w:rPr>
        <w:t>מישור</w:t>
      </w:r>
      <w:r>
        <w:rPr>
          <w:rFonts w:ascii="Arial" w:hAnsi="Arial" w:cs="Arial"/>
          <w:rtl/>
        </w:rPr>
        <w:t xml:space="preserve"> המקצועי והאישי</w:t>
      </w:r>
      <w:r>
        <w:rPr>
          <w:rFonts w:ascii="Arial" w:hAnsi="Arial" w:cs="Arial" w:hint="cs"/>
          <w:rtl/>
        </w:rPr>
        <w:t xml:space="preserve"> תקינה, בהתחשב באסון שפקד אותו, עם </w:t>
      </w:r>
      <w:r>
        <w:rPr>
          <w:rFonts w:ascii="Arial" w:hAnsi="Arial" w:cs="Arial"/>
          <w:rtl/>
        </w:rPr>
        <w:t xml:space="preserve">אובדן בתו. שירות המבחן המליץ על טיפול פרטני שיסייע לנאשם להבין את המאפיינים האישיותיים </w:t>
      </w:r>
      <w:r>
        <w:rPr>
          <w:rFonts w:ascii="Arial" w:hAnsi="Arial" w:cs="Arial" w:hint="cs"/>
          <w:rtl/>
        </w:rPr>
        <w:t>שה</w:t>
      </w:r>
      <w:r>
        <w:rPr>
          <w:rFonts w:ascii="Arial" w:hAnsi="Arial" w:cs="Arial"/>
          <w:rtl/>
        </w:rPr>
        <w:t>וביל</w:t>
      </w:r>
      <w:r>
        <w:rPr>
          <w:rFonts w:ascii="Arial" w:hAnsi="Arial" w:cs="Arial" w:hint="cs"/>
          <w:rtl/>
        </w:rPr>
        <w:t>ו</w:t>
      </w:r>
      <w:r>
        <w:rPr>
          <w:rFonts w:ascii="Arial" w:hAnsi="Arial" w:cs="Arial"/>
          <w:rtl/>
        </w:rPr>
        <w:t xml:space="preserve"> אותו לביצוע </w:t>
      </w:r>
      <w:r>
        <w:rPr>
          <w:rFonts w:ascii="Arial" w:hAnsi="Arial" w:cs="Arial" w:hint="cs"/>
          <w:rtl/>
        </w:rPr>
        <w:t xml:space="preserve">העבירה, </w:t>
      </w:r>
      <w:r>
        <w:rPr>
          <w:rFonts w:ascii="Arial" w:hAnsi="Arial" w:cs="Arial"/>
          <w:rtl/>
        </w:rPr>
        <w:t xml:space="preserve">חרף הסכנה הנשקפת לו. </w:t>
      </w:r>
    </w:p>
    <w:p w14:paraId="1E98C7C3" w14:textId="77777777" w:rsidR="00D30C91" w:rsidRDefault="005C2E25">
      <w:pPr>
        <w:numPr>
          <w:ilvl w:val="0"/>
          <w:numId w:val="1"/>
        </w:numPr>
        <w:tabs>
          <w:tab w:val="clear" w:pos="720"/>
          <w:tab w:val="num" w:pos="651"/>
        </w:tabs>
        <w:spacing w:after="240" w:line="360" w:lineRule="auto"/>
        <w:ind w:left="651" w:hanging="609"/>
        <w:jc w:val="both"/>
        <w:rPr>
          <w:rFonts w:ascii="Arial" w:hAnsi="Arial" w:cs="Arial"/>
        </w:rPr>
      </w:pPr>
      <w:r>
        <w:rPr>
          <w:rFonts w:ascii="Arial" w:hAnsi="Arial" w:cs="Arial"/>
          <w:rtl/>
        </w:rPr>
        <w:t xml:space="preserve">סופו של יום, המליץ שירות המבחן על השמת הנאשם בפיקוח משך שנה לצד עבודות של"צ בהיקף של 300 שעות </w:t>
      </w:r>
      <w:r>
        <w:rPr>
          <w:rFonts w:ascii="Arial" w:hAnsi="Arial" w:cs="Arial" w:hint="cs"/>
          <w:rtl/>
        </w:rPr>
        <w:t>על פי תכנית ש</w:t>
      </w:r>
      <w:r>
        <w:rPr>
          <w:rFonts w:ascii="Arial" w:hAnsi="Arial" w:cs="Arial"/>
          <w:rtl/>
        </w:rPr>
        <w:t>הוכנה עבור</w:t>
      </w:r>
      <w:r>
        <w:rPr>
          <w:rFonts w:ascii="Arial" w:hAnsi="Arial" w:cs="Arial" w:hint="cs"/>
          <w:rtl/>
        </w:rPr>
        <w:t>ו.</w:t>
      </w:r>
      <w:r>
        <w:rPr>
          <w:rFonts w:ascii="Arial" w:hAnsi="Arial" w:cs="Arial"/>
          <w:rtl/>
        </w:rPr>
        <w:t xml:space="preserve"> דא עקא, קצין המבחן </w:t>
      </w:r>
      <w:r>
        <w:rPr>
          <w:rFonts w:ascii="Arial" w:hAnsi="Arial" w:cs="Arial" w:hint="cs"/>
          <w:rtl/>
        </w:rPr>
        <w:t xml:space="preserve">שינה </w:t>
      </w:r>
      <w:r>
        <w:rPr>
          <w:rFonts w:ascii="Arial" w:hAnsi="Arial" w:cs="Arial"/>
          <w:rtl/>
        </w:rPr>
        <w:t>את טעמו</w:t>
      </w:r>
      <w:r>
        <w:rPr>
          <w:rFonts w:ascii="Arial" w:hAnsi="Arial" w:cs="Arial" w:hint="cs"/>
          <w:rtl/>
        </w:rPr>
        <w:t>,</w:t>
      </w:r>
      <w:r>
        <w:rPr>
          <w:rFonts w:ascii="Arial" w:hAnsi="Arial" w:cs="Arial"/>
          <w:rtl/>
        </w:rPr>
        <w:t xml:space="preserve"> </w:t>
      </w:r>
      <w:r>
        <w:rPr>
          <w:rFonts w:ascii="Arial" w:hAnsi="Arial" w:cs="Arial" w:hint="cs"/>
          <w:rtl/>
        </w:rPr>
        <w:t xml:space="preserve">כאשר בסיום התסקיר ציין, </w:t>
      </w:r>
      <w:r>
        <w:rPr>
          <w:rFonts w:ascii="Arial" w:hAnsi="Arial" w:cs="Arial"/>
          <w:rtl/>
        </w:rPr>
        <w:t xml:space="preserve">כי העונש ההולם </w:t>
      </w:r>
      <w:r>
        <w:rPr>
          <w:rFonts w:ascii="Arial" w:hAnsi="Arial" w:cs="Arial" w:hint="cs"/>
          <w:rtl/>
        </w:rPr>
        <w:t xml:space="preserve">שראוי להטיל על הנאשם </w:t>
      </w:r>
      <w:r>
        <w:rPr>
          <w:rFonts w:ascii="Arial" w:hAnsi="Arial" w:cs="Arial"/>
          <w:rtl/>
        </w:rPr>
        <w:t>הו</w:t>
      </w:r>
      <w:r>
        <w:rPr>
          <w:rFonts w:ascii="Arial" w:hAnsi="Arial" w:cs="Arial" w:hint="cs"/>
          <w:rtl/>
        </w:rPr>
        <w:t>א</w:t>
      </w:r>
      <w:r>
        <w:rPr>
          <w:rFonts w:ascii="Arial" w:hAnsi="Arial" w:cs="Arial"/>
          <w:rtl/>
        </w:rPr>
        <w:t xml:space="preserve"> מאסר שירוצה בעבודות שירות, </w:t>
      </w:r>
      <w:r>
        <w:rPr>
          <w:rFonts w:ascii="Arial" w:hAnsi="Arial" w:cs="Arial" w:hint="cs"/>
          <w:rtl/>
        </w:rPr>
        <w:t>באמצעותו</w:t>
      </w:r>
      <w:r>
        <w:rPr>
          <w:rFonts w:ascii="Arial" w:hAnsi="Arial" w:cs="Arial"/>
          <w:rtl/>
        </w:rPr>
        <w:t xml:space="preserve"> </w:t>
      </w:r>
      <w:r>
        <w:rPr>
          <w:rFonts w:ascii="Arial" w:hAnsi="Arial" w:cs="Arial" w:hint="cs"/>
          <w:rtl/>
        </w:rPr>
        <w:t>ה</w:t>
      </w:r>
      <w:r>
        <w:rPr>
          <w:rFonts w:ascii="Arial" w:hAnsi="Arial" w:cs="Arial"/>
          <w:rtl/>
        </w:rPr>
        <w:t xml:space="preserve">נאשם </w:t>
      </w:r>
      <w:r>
        <w:rPr>
          <w:rFonts w:ascii="Arial" w:hAnsi="Arial" w:cs="Arial" w:hint="cs"/>
          <w:rtl/>
        </w:rPr>
        <w:t>יישא ב</w:t>
      </w:r>
      <w:r>
        <w:rPr>
          <w:rFonts w:ascii="Arial" w:hAnsi="Arial" w:cs="Arial"/>
          <w:rtl/>
        </w:rPr>
        <w:t xml:space="preserve">אחריות </w:t>
      </w:r>
      <w:r>
        <w:rPr>
          <w:rFonts w:ascii="Arial" w:hAnsi="Arial" w:cs="Arial" w:hint="cs"/>
          <w:rtl/>
        </w:rPr>
        <w:t>ל</w:t>
      </w:r>
      <w:r>
        <w:rPr>
          <w:rFonts w:ascii="Arial" w:hAnsi="Arial" w:cs="Arial"/>
          <w:rtl/>
        </w:rPr>
        <w:t>מצב אליו נקלע והשלכות</w:t>
      </w:r>
      <w:r>
        <w:rPr>
          <w:rFonts w:ascii="Arial" w:hAnsi="Arial" w:cs="Arial" w:hint="cs"/>
          <w:rtl/>
        </w:rPr>
        <w:t>יו</w:t>
      </w:r>
      <w:r>
        <w:rPr>
          <w:rFonts w:ascii="Arial" w:hAnsi="Arial" w:cs="Arial"/>
          <w:rtl/>
        </w:rPr>
        <w:t>.</w:t>
      </w:r>
    </w:p>
    <w:p w14:paraId="66343BE2" w14:textId="77777777" w:rsidR="00D30C91" w:rsidRDefault="005C2E25">
      <w:pPr>
        <w:spacing w:after="240" w:line="360" w:lineRule="auto"/>
        <w:ind w:left="720"/>
        <w:jc w:val="both"/>
        <w:rPr>
          <w:rFonts w:ascii="Arial" w:hAnsi="Arial" w:cs="Arial"/>
          <w:b/>
          <w:bCs/>
          <w:u w:val="single"/>
          <w:rtl/>
        </w:rPr>
      </w:pPr>
      <w:r>
        <w:rPr>
          <w:rFonts w:ascii="Arial" w:hAnsi="Arial" w:cs="Arial"/>
          <w:b/>
          <w:bCs/>
          <w:u w:val="single"/>
          <w:rtl/>
        </w:rPr>
        <w:t>טיעוני הצדדים לעונש</w:t>
      </w:r>
    </w:p>
    <w:p w14:paraId="7CEA4835" w14:textId="77777777" w:rsidR="00D30C91" w:rsidRDefault="005C2E25">
      <w:pPr>
        <w:pStyle w:val="David"/>
        <w:numPr>
          <w:ilvl w:val="0"/>
          <w:numId w:val="1"/>
        </w:numPr>
        <w:tabs>
          <w:tab w:val="clear" w:pos="720"/>
          <w:tab w:val="num" w:pos="651"/>
        </w:tabs>
        <w:spacing w:after="240"/>
        <w:ind w:left="651" w:hanging="636"/>
        <w:rPr>
          <w:rFonts w:ascii="Arial" w:hAnsi="Arial" w:cs="Arial"/>
        </w:rPr>
      </w:pPr>
      <w:r>
        <w:rPr>
          <w:rFonts w:ascii="Arial" w:hAnsi="Arial" w:cs="Arial"/>
          <w:rtl/>
        </w:rPr>
        <w:t xml:space="preserve">ב"כ הצדדים עמדו שניהם על נסיבותיו החריגות של המקרה דנא, בגדרן אדם נורמטיבי שנעדר עבר פלילי הסתבך בעבירה חמורה. מוסכם, כי האקדח הוחזק על ידי הנאשם לצורך הגנה עצמית, לאחר תקרית היירי בבנו, אולם שנוי במחלוקת המשקל שיש ליתן לנסיבות חריגות אלו על העונש.  </w:t>
      </w:r>
    </w:p>
    <w:p w14:paraId="42E103CD" w14:textId="77777777" w:rsidR="00D30C91" w:rsidRDefault="005C2E25">
      <w:pPr>
        <w:pStyle w:val="David"/>
        <w:numPr>
          <w:ilvl w:val="0"/>
          <w:numId w:val="1"/>
        </w:numPr>
        <w:tabs>
          <w:tab w:val="clear" w:pos="720"/>
          <w:tab w:val="num" w:pos="651"/>
        </w:tabs>
        <w:spacing w:after="240"/>
        <w:ind w:left="651" w:hanging="636"/>
        <w:rPr>
          <w:rFonts w:ascii="Arial" w:hAnsi="Arial" w:cs="Arial"/>
        </w:rPr>
      </w:pPr>
      <w:r>
        <w:rPr>
          <w:rFonts w:ascii="Arial" w:hAnsi="Arial" w:cs="Arial"/>
          <w:rtl/>
        </w:rPr>
        <w:t xml:space="preserve">לשיטת ב"כ המאשימה, עוה"ד רעות אבירי, עמדת המאשימה ל- 7 חודשי מאסר הינה עמדה מקלה המגלמת בתוכה את הנסיבות יוצאות הדופן ואין לחרוג ממנה לקולא. ב"כ המאשימה הטעימה את חומרת עבירות הנשק והסיכון הטמון בהן לחיי אדם, אף מקום בו הנשק מוחזק לשם הגנה עצמית. כן הטעימה את ההלכה, לפיה בעבירות נשק נסוגות נסיבותיו האישיות של הנאשם מפני עקרונות הגמול והענישה. </w:t>
      </w:r>
    </w:p>
    <w:p w14:paraId="4D5BB4B3" w14:textId="77777777" w:rsidR="00D30C91" w:rsidRDefault="005C2E25">
      <w:pPr>
        <w:pStyle w:val="David"/>
        <w:numPr>
          <w:ilvl w:val="0"/>
          <w:numId w:val="1"/>
        </w:numPr>
        <w:tabs>
          <w:tab w:val="clear" w:pos="720"/>
          <w:tab w:val="num" w:pos="651"/>
        </w:tabs>
        <w:spacing w:after="240"/>
        <w:ind w:left="651" w:hanging="636"/>
        <w:rPr>
          <w:rFonts w:ascii="Arial" w:hAnsi="Arial" w:cs="Arial"/>
          <w:rtl/>
        </w:rPr>
      </w:pPr>
      <w:r>
        <w:rPr>
          <w:rFonts w:ascii="Arial" w:hAnsi="Arial" w:cs="Arial"/>
          <w:rtl/>
        </w:rPr>
        <w:t>התובעת הפנתה לפסיקה בנסיבות דומות, התומכת בגישתה והטעימה כי בנסיבות אחרות, היה מקום להשית על הנאשם עונש מאסר ממושך, כך בהתאם לענישה הנוהגת בעבירות נשק. ב"כ המאשימה ראתה בחומרה את העובדה שהנאשם הגיש בקשה לרישיון בנשק שנדחתה, או אז, על אף שהיה מודע לאיסור שבהחזקתו ללא רישיון, בחר לעשות דין לעצמו והשיג את האקדח והתחמושת. כמו כן, לשיטתה העובדה כי האקדח נמצא טעון במחסנית מעידה על כך כי לא הוחזק ל"מטרות שלום", כדבריה. סופו של יום, גרסה התובעת, כי אין לקבל את המלצת שירות המבחן לעבודות שירות, בהיותה ממוקדת בצרכי הנאשם ומפליגה בקולתה. ענישה מקלה מ-7 חודשי מאסר כמבוקש, תחטא לאינטרס הציבורי ותעודד עשיית דין עצמי, כך גבי דידה.</w:t>
      </w:r>
    </w:p>
    <w:p w14:paraId="52302013"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ב"כ הנאשם, עוה"ד פורר, סבר מנגד כי יש להשית על הנאשם צו מבחן כפי שהמליץ שירות המבחן לצד של"צ (בניגוד לתסקיר, הממליץ על עבודות שירות). הסנגור שב על נסיבותיו החריגות של הנאשם, על תחושת המצוקה שחש לנוכח הפגיעה בבנו וכן בעקבות ירי שבוצע בעבר לעבר עובדים אחרים בשוק, אירועים בגינם נפתחה חקירה ע"י משטרת ישראל. הסנגור ציין, כי הנאשם נקרא למשטרה מספר פעמים לצורך הזהרתו בדבר סכנה ממשית שנשקפת לחייו. בנסיבות אלו, ומבלי להקל ראש בעבירה, פעל הנאשם מתוך חוסר אונים, היעדר יכולת להגן על עצמו ועל משפחתו, במיוחד לאחר שנדחתה בקשתו לקבל רישיון נשק כדין.</w:t>
      </w:r>
    </w:p>
    <w:p w14:paraId="1B4B6C12"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 xml:space="preserve">הסנגור עמד על נסיבות חייו הקשות של הנאשם, אובדנה של בתו לפני מספר שנים ובעיותיו הרפואיות, הודייתו בעבירה בהזדמנות הראשונה וחרטתו הכנה על מעשיו. הסנגור הטעים, כי לו היה מוגש כתב האישום מלכתחילה בגין עבירה של החזקת נשק (בשונה מנשיאת נשק, כפי שהוגש במקור), הרי שהיה נדון בפני בית משפט השלום, והעונש שנגזר על הנאשם היה בהתאם. </w:t>
      </w:r>
    </w:p>
    <w:p w14:paraId="377DA8FC"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לבסוף, הביע הסנגור את הסתייגותו מהמלצת שירות המבחן, אשר שינה את טעמו כאשר המליץ על עבודות שירות תחת של"צ. הסנגור הטעים כי לא היה מקום לעשות כן, קל וחומר מבלי לנמק את השינוי בהמלצה, זאת על רקע הנסיבות המיוחדות ויוצאות הדופן של האירוע, המצדיקות חריגה ממדיניות הענישה. הסנגור הדגיש, כי עבודות שירות תפגענה בעבודתו של הנאשם.</w:t>
      </w:r>
    </w:p>
    <w:p w14:paraId="6AC89918" w14:textId="77777777" w:rsidR="00D30C91" w:rsidRDefault="005C2E25">
      <w:pPr>
        <w:numPr>
          <w:ilvl w:val="0"/>
          <w:numId w:val="1"/>
        </w:numPr>
        <w:tabs>
          <w:tab w:val="clear" w:pos="720"/>
          <w:tab w:val="num" w:pos="651"/>
        </w:tabs>
        <w:spacing w:after="240" w:line="360" w:lineRule="auto"/>
        <w:ind w:left="651" w:hanging="636"/>
        <w:jc w:val="both"/>
        <w:rPr>
          <w:rStyle w:val="a6"/>
          <w:rFonts w:ascii="Arial" w:hAnsi="Arial" w:cs="Arial"/>
        </w:rPr>
      </w:pPr>
      <w:r>
        <w:rPr>
          <w:rStyle w:val="a6"/>
          <w:rFonts w:ascii="Arial" w:hAnsi="Arial" w:cs="Arial"/>
          <w:rtl/>
        </w:rPr>
        <w:t>הנאשם פנה לבית המשפט בדברים אחרונים, הצטער על מעשיו ומסר כי הוא מתבייש בהם. הוא הדגיש כי המעשה בוצע מתוך פחד, לאחר שאיבד את בתו ובהמשך קיבל את הידיעה כי בנו נפגע בירי. כיום, מסר כי הוא ממוקד בחזרה לחיים נורמטיביים. לדבריו, קצין המבחן מסר לו את המלצתו לשל"צ  וככל הנראה, לאחר התייעצות, חזר בו ומסר שימליץ על עבודות שירות. הנאשם עמד אף הוא על הקושי שבשילוב עבודתו עם עבודות שירות.</w:t>
      </w:r>
    </w:p>
    <w:p w14:paraId="2CA62DD9" w14:textId="77777777" w:rsidR="00D30C91" w:rsidRDefault="005C2E25">
      <w:pPr>
        <w:spacing w:after="240" w:line="360" w:lineRule="auto"/>
        <w:ind w:firstLine="720"/>
        <w:jc w:val="both"/>
        <w:rPr>
          <w:rFonts w:ascii="Arial" w:hAnsi="Arial" w:cs="Arial"/>
        </w:rPr>
      </w:pPr>
      <w:r>
        <w:rPr>
          <w:rFonts w:ascii="Arial" w:hAnsi="Arial" w:cs="Arial"/>
          <w:b/>
          <w:bCs/>
          <w:u w:val="single"/>
          <w:rtl/>
        </w:rPr>
        <w:t>דיון והכרעה</w:t>
      </w:r>
    </w:p>
    <w:p w14:paraId="7E39A8AF" w14:textId="77777777" w:rsidR="00D30C91" w:rsidRDefault="005C2E25">
      <w:pPr>
        <w:numPr>
          <w:ilvl w:val="0"/>
          <w:numId w:val="1"/>
        </w:numPr>
        <w:spacing w:after="240" w:line="360" w:lineRule="auto"/>
        <w:ind w:hanging="694"/>
        <w:jc w:val="both"/>
        <w:rPr>
          <w:rFonts w:ascii="Arial" w:hAnsi="Arial" w:cs="Arial"/>
        </w:rPr>
      </w:pPr>
      <w:r>
        <w:rPr>
          <w:rFonts w:ascii="Arial" w:hAnsi="Arial" w:cs="Arial"/>
          <w:rtl/>
        </w:rPr>
        <w:t xml:space="preserve">עבירות הנשק ידועות בחומרתן, על רקע הסיכון הטמון בהן לחיי אדם, קל וחומר על רקע ההסלמה שחלה בעבירות נשק בשנים האחרונות וזמינותם של כלי הנשק, הפוגעים בתחושת ביטחונם של אזרחים תמימים. </w:t>
      </w:r>
    </w:p>
    <w:p w14:paraId="05092D06" w14:textId="77777777" w:rsidR="00D30C91" w:rsidRDefault="005C2E25">
      <w:pPr>
        <w:numPr>
          <w:ilvl w:val="0"/>
          <w:numId w:val="1"/>
        </w:numPr>
        <w:spacing w:after="240" w:line="360" w:lineRule="auto"/>
        <w:ind w:hanging="694"/>
        <w:jc w:val="both"/>
        <w:rPr>
          <w:rFonts w:ascii="Arial" w:hAnsi="Arial" w:cs="Arial"/>
          <w:rtl/>
        </w:rPr>
      </w:pPr>
      <w:r>
        <w:rPr>
          <w:rFonts w:ascii="Arial" w:hAnsi="Arial" w:cs="Arial"/>
          <w:rtl/>
        </w:rPr>
        <w:t>כפועל יוצא של מציאות קשה זו נטלו על עצמם בתי המשפט חלק במיגור התופעה באמצעות הטלת עונשים כבדים ומרתיעים. כך, נקבע ב</w:t>
      </w:r>
      <w:hyperlink r:id="rId13" w:history="1">
        <w:r w:rsidR="00412DBF" w:rsidRPr="00412DBF">
          <w:rPr>
            <w:rStyle w:val="Hyperlink"/>
            <w:rFonts w:ascii="Arial" w:hAnsi="Arial" w:cs="Arial"/>
            <w:rtl/>
          </w:rPr>
          <w:t>ע"פ 4526/04</w:t>
        </w:r>
      </w:hyperlink>
      <w:r>
        <w:rPr>
          <w:rFonts w:ascii="Arial" w:hAnsi="Arial" w:cs="Arial"/>
          <w:rtl/>
        </w:rPr>
        <w:t xml:space="preserve"> </w:t>
      </w:r>
      <w:r>
        <w:rPr>
          <w:rFonts w:ascii="Arial" w:hAnsi="Arial" w:cs="Arial"/>
          <w:b/>
          <w:bCs/>
          <w:sz w:val="22"/>
          <w:szCs w:val="22"/>
          <w:rtl/>
        </w:rPr>
        <w:t>זעתרי נ' מדינת ישראל</w:t>
      </w:r>
      <w:r>
        <w:rPr>
          <w:rFonts w:ascii="Arial" w:hAnsi="Arial" w:cs="Arial"/>
          <w:rtl/>
        </w:rPr>
        <w:t xml:space="preserve"> [פורסם בנבו] (2004):</w:t>
      </w:r>
    </w:p>
    <w:p w14:paraId="4C1104F0" w14:textId="77777777" w:rsidR="00D30C91" w:rsidRDefault="005C2E25">
      <w:pPr>
        <w:spacing w:after="240"/>
        <w:ind w:left="1466" w:right="720"/>
        <w:jc w:val="both"/>
        <w:rPr>
          <w:rFonts w:ascii="Arial" w:hAnsi="Arial" w:cs="Arial"/>
          <w:sz w:val="22"/>
          <w:szCs w:val="22"/>
          <w:rtl/>
        </w:rPr>
      </w:pPr>
      <w:r>
        <w:rPr>
          <w:rFonts w:ascii="Arial" w:hAnsi="Arial" w:cs="Arial"/>
          <w:b/>
          <w:bCs/>
          <w:sz w:val="22"/>
          <w:szCs w:val="22"/>
          <w:rtl/>
        </w:rPr>
        <w:t>"בימים אלה, כאשר נשק חם משמש בידי ארגוני טרור לפעולות חבלה והרג, או בידי עבריינים למטרות פליליות המסכנות חיי אדם, מצווים בתי המשפט להגיב בענישה חמורה על עבירות של סחר בנשק והחזקתו"</w:t>
      </w:r>
      <w:r>
        <w:rPr>
          <w:rFonts w:ascii="Arial" w:hAnsi="Arial" w:cs="Arial"/>
          <w:sz w:val="22"/>
          <w:szCs w:val="22"/>
          <w:rtl/>
        </w:rPr>
        <w:t>.</w:t>
      </w:r>
    </w:p>
    <w:p w14:paraId="43F74926" w14:textId="77777777" w:rsidR="00D30C91" w:rsidRDefault="005C2E25">
      <w:pPr>
        <w:numPr>
          <w:ilvl w:val="0"/>
          <w:numId w:val="1"/>
        </w:numPr>
        <w:spacing w:after="240" w:line="360" w:lineRule="auto"/>
        <w:ind w:hanging="694"/>
        <w:jc w:val="both"/>
        <w:rPr>
          <w:rFonts w:ascii="Arial" w:hAnsi="Arial" w:cs="Arial"/>
          <w:sz w:val="22"/>
          <w:szCs w:val="22"/>
        </w:rPr>
      </w:pPr>
      <w:r>
        <w:rPr>
          <w:rFonts w:ascii="Arial" w:hAnsi="Arial" w:cs="Arial"/>
          <w:rtl/>
        </w:rPr>
        <w:t xml:space="preserve">כן נקבע כי ככלל, בעבירות כגון דא יוטלו עונשי מאסר בפועל, כך גם מקום בו מדובר בנאשם נורמטיבי, ללא הרשעות קודמות </w:t>
      </w:r>
      <w:r>
        <w:rPr>
          <w:rFonts w:ascii="Arial" w:hAnsi="Arial" w:cs="Arial"/>
          <w:sz w:val="22"/>
          <w:szCs w:val="22"/>
          <w:rtl/>
        </w:rPr>
        <w:t>(שם).</w:t>
      </w:r>
    </w:p>
    <w:p w14:paraId="00BE081B"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ואולם, אף לכללים הנהוגים קיימים חריגים; בעניינו, המאשימה ציינה בהגינותה כי המקרה דנן אינו מקרה "רגיל" של החזקת נשק. תיקון 113 ל</w:t>
      </w:r>
      <w:hyperlink r:id="rId14" w:history="1">
        <w:r w:rsidR="00412DBF" w:rsidRPr="00412DBF">
          <w:rPr>
            <w:rStyle w:val="Hyperlink"/>
            <w:rFonts w:ascii="Arial" w:hAnsi="Arial" w:cs="Arial"/>
            <w:rtl/>
          </w:rPr>
          <w:t>חוק העונשין</w:t>
        </w:r>
      </w:hyperlink>
      <w:r>
        <w:rPr>
          <w:rFonts w:ascii="Arial" w:hAnsi="Arial" w:cs="Arial"/>
          <w:rtl/>
        </w:rPr>
        <w:t xml:space="preserve"> (הבניית שיקול הדעת השיפוטי בענישה) (להלן: "</w:t>
      </w:r>
      <w:r>
        <w:rPr>
          <w:rFonts w:ascii="Arial" w:hAnsi="Arial" w:cs="Arial"/>
          <w:b/>
          <w:bCs/>
          <w:sz w:val="22"/>
          <w:szCs w:val="22"/>
          <w:rtl/>
        </w:rPr>
        <w:t>תיקון 113</w:t>
      </w:r>
      <w:r>
        <w:rPr>
          <w:rFonts w:ascii="Arial" w:hAnsi="Arial" w:cs="Arial"/>
          <w:rtl/>
        </w:rPr>
        <w:t xml:space="preserve">") קובע כי בקביעת מתחם הענישה ההולם לעבירה, על בית המשפט ליתן דעתו לנסיבות ביצוע העבירה ובין היתר, לסיבות בעטיין נעברה, לנזק שנגרם מביצועה ולנסיבות נוספות ככל שיימצאו רלוונטיות. בענייננו, הנשק הוחזק לצורך הגנה עצמית, על רקע מצוקה קשה </w:t>
      </w:r>
      <w:r>
        <w:rPr>
          <w:rFonts w:ascii="Arial" w:hAnsi="Arial" w:cs="Arial" w:hint="cs"/>
          <w:rtl/>
        </w:rPr>
        <w:t xml:space="preserve">בה היה </w:t>
      </w:r>
      <w:r>
        <w:rPr>
          <w:rFonts w:ascii="Arial" w:hAnsi="Arial" w:cs="Arial"/>
          <w:rtl/>
        </w:rPr>
        <w:t xml:space="preserve">הנאשם היה </w:t>
      </w:r>
      <w:r>
        <w:rPr>
          <w:rFonts w:ascii="Arial" w:hAnsi="Arial" w:cs="Arial" w:hint="cs"/>
          <w:rtl/>
        </w:rPr>
        <w:t>מצוי</w:t>
      </w:r>
      <w:r>
        <w:rPr>
          <w:rFonts w:ascii="Arial" w:hAnsi="Arial" w:cs="Arial"/>
          <w:rtl/>
        </w:rPr>
        <w:t xml:space="preserve">, עקב חיכוכים עם גורמים עברייניים במסגרת עבודתו ולאחר שאלו ירו ופגעו בבנו (אשר אין לו חלק בסכסוך). יש לזכור כי הנאשם חווה </w:t>
      </w:r>
      <w:r>
        <w:rPr>
          <w:rFonts w:ascii="Arial" w:hAnsi="Arial" w:cs="Arial" w:hint="cs"/>
          <w:rtl/>
        </w:rPr>
        <w:t>אסון כבד, עם</w:t>
      </w:r>
      <w:r>
        <w:rPr>
          <w:rFonts w:ascii="Arial" w:hAnsi="Arial" w:cs="Arial"/>
          <w:rtl/>
        </w:rPr>
        <w:t xml:space="preserve"> אובדן בתו, עובדה אשר מטבע הדברים, העצימה (גם לדבריו) את תחושת החרדה שדבקה בו, עם היוודע לו הפגיעה בבנו הבכור. </w:t>
      </w:r>
    </w:p>
    <w:p w14:paraId="1549AA5C"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זאת ועוד, </w:t>
      </w:r>
      <w:r>
        <w:rPr>
          <w:rFonts w:ascii="Arial" w:hAnsi="Arial" w:cs="Arial" w:hint="cs"/>
          <w:rtl/>
        </w:rPr>
        <w:t xml:space="preserve">בחוות דעת הממונה על עבודות שרות מיום 17.2.13 קבע הממונה כי הנאשם אינו מתאים לעבודות שרות וזאת על בסיס חוות דעת מודיעין ממשטרת ישראל אשר קבעה כי קיימת </w:t>
      </w:r>
      <w:r>
        <w:rPr>
          <w:rFonts w:ascii="Arial" w:hAnsi="Arial" w:cs="Arial" w:hint="cs"/>
          <w:b/>
          <w:bCs/>
          <w:sz w:val="22"/>
          <w:szCs w:val="22"/>
          <w:rtl/>
        </w:rPr>
        <w:t xml:space="preserve">"מסוכנות כלפיו" </w:t>
      </w:r>
      <w:r>
        <w:rPr>
          <w:rFonts w:ascii="Arial" w:hAnsi="Arial" w:cs="Arial" w:hint="cs"/>
          <w:rtl/>
        </w:rPr>
        <w:t xml:space="preserve">ללמדך כי הסכנה טרם חלפה. </w:t>
      </w:r>
    </w:p>
    <w:p w14:paraId="461947E4"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יש להבחין בין החזקת נשק שנועדה לגרום רעה לאחר, לצורך נקמה למשל, לבין מצב בו הנשק מוחזק במטרה </w:t>
      </w:r>
      <w:r>
        <w:rPr>
          <w:rFonts w:ascii="Arial" w:hAnsi="Arial" w:cs="Arial"/>
          <w:sz w:val="26"/>
          <w:szCs w:val="26"/>
          <w:rtl/>
        </w:rPr>
        <w:t>לקדם את פני הרעה, כפי שנעשה בענייננו.</w:t>
      </w:r>
      <w:r>
        <w:rPr>
          <w:rFonts w:ascii="Arial" w:hAnsi="Arial" w:cs="Arial"/>
          <w:rtl/>
        </w:rPr>
        <w:t xml:space="preserve"> </w:t>
      </w:r>
      <w:r>
        <w:rPr>
          <w:rFonts w:ascii="Arial" w:hAnsi="Arial" w:cs="Arial"/>
          <w:sz w:val="26"/>
          <w:szCs w:val="26"/>
          <w:rtl/>
        </w:rPr>
        <w:t xml:space="preserve">הגם שאין בנסיבות המתוארות כדי להכשיר את מעשה העבירה, הרי שהן מקהות מחומרתו. </w:t>
      </w:r>
      <w:r>
        <w:rPr>
          <w:rFonts w:ascii="Arial" w:hAnsi="Arial" w:cs="Arial"/>
          <w:sz w:val="22"/>
          <w:szCs w:val="22"/>
          <w:rtl/>
        </w:rPr>
        <w:t xml:space="preserve">(לעניין היותה של עבירת החזקת נשק לשם הגנה עצמית במדרג הנמוך יחסית של החומרה ר' </w:t>
      </w:r>
      <w:hyperlink r:id="rId15" w:history="1">
        <w:r w:rsidR="00412DBF" w:rsidRPr="00412DBF">
          <w:rPr>
            <w:rStyle w:val="Hyperlink"/>
            <w:rFonts w:ascii="Arial" w:hAnsi="Arial" w:cs="Arial"/>
            <w:b/>
            <w:bCs/>
            <w:sz w:val="22"/>
            <w:szCs w:val="22"/>
            <w:rtl/>
          </w:rPr>
          <w:t>ב"ש 625/82 אבו מוך נ' מדינת ישראל, פ"ד לז</w:t>
        </w:r>
      </w:hyperlink>
      <w:r>
        <w:rPr>
          <w:rFonts w:ascii="Arial" w:hAnsi="Arial" w:cs="Arial"/>
          <w:sz w:val="22"/>
          <w:szCs w:val="22"/>
          <w:rtl/>
        </w:rPr>
        <w:t>(3), 668)</w:t>
      </w:r>
      <w:r>
        <w:rPr>
          <w:rFonts w:ascii="Arial" w:hAnsi="Arial" w:cs="Arial"/>
          <w:sz w:val="26"/>
          <w:szCs w:val="26"/>
          <w:rtl/>
        </w:rPr>
        <w:t>.</w:t>
      </w:r>
      <w:r>
        <w:rPr>
          <w:rFonts w:ascii="Arial" w:hAnsi="Arial" w:cs="Arial"/>
          <w:rtl/>
        </w:rPr>
        <w:t xml:space="preserve"> </w:t>
      </w:r>
    </w:p>
    <w:p w14:paraId="52E7CB35"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מלאכת הענישה לעולם הינה אינדיבידואלית. תפיסה זו מצאה עיגון גם בתיקון 113 </w:t>
      </w:r>
      <w:hyperlink r:id="rId16" w:history="1">
        <w:r w:rsidR="00915743" w:rsidRPr="00915743">
          <w:rPr>
            <w:rFonts w:ascii="Arial" w:hAnsi="Arial" w:cs="Arial"/>
            <w:color w:val="0000FF"/>
            <w:u w:val="single"/>
            <w:rtl/>
          </w:rPr>
          <w:t>בסעיף 40יא</w:t>
        </w:r>
      </w:hyperlink>
      <w:r>
        <w:rPr>
          <w:rFonts w:ascii="Arial" w:hAnsi="Arial" w:cs="Arial"/>
          <w:rtl/>
        </w:rPr>
        <w:t xml:space="preserve"> הקובע כי בגזירת העונש ההולם לנאשם, יתחשב בית המשפט בנסיבותיו האישיות ("נסיבות שאינן קשורות בביצוע העבירה") וכן </w:t>
      </w:r>
      <w:hyperlink r:id="rId17" w:history="1">
        <w:r w:rsidR="00915743" w:rsidRPr="00915743">
          <w:rPr>
            <w:rFonts w:ascii="Arial" w:hAnsi="Arial" w:cs="Arial"/>
            <w:color w:val="0000FF"/>
            <w:u w:val="single"/>
            <w:rtl/>
          </w:rPr>
          <w:t>בסעיף 40ד(א)</w:t>
        </w:r>
      </w:hyperlink>
      <w:r>
        <w:rPr>
          <w:rFonts w:ascii="Arial" w:hAnsi="Arial" w:cs="Arial"/>
          <w:rtl/>
        </w:rPr>
        <w:t xml:space="preserve"> הקובע כי במקרים חריגים, ניתן לסטות ממתחם הענישה ההולם לעבירה ולקבוע את העונש על פי שיקולי השיקום. </w:t>
      </w:r>
    </w:p>
    <w:p w14:paraId="216B9C74"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בשקלול מכלול השיקולים במקרה דנן, דומני כי </w:t>
      </w:r>
      <w:r>
        <w:rPr>
          <w:rFonts w:ascii="Arial" w:hAnsi="Arial" w:cs="Arial" w:hint="cs"/>
          <w:rtl/>
        </w:rPr>
        <w:t xml:space="preserve">ראוי ליתן זכות בכורה </w:t>
      </w:r>
      <w:bookmarkStart w:id="8" w:name="_GoBack"/>
      <w:bookmarkEnd w:id="8"/>
      <w:r>
        <w:rPr>
          <w:rFonts w:ascii="Arial" w:hAnsi="Arial" w:cs="Arial" w:hint="cs"/>
          <w:rtl/>
        </w:rPr>
        <w:t>לנסיבותיו האישיות של הנאשם ול</w:t>
      </w:r>
      <w:r>
        <w:rPr>
          <w:rFonts w:ascii="Arial" w:hAnsi="Arial" w:cs="Arial"/>
          <w:rtl/>
        </w:rPr>
        <w:t xml:space="preserve">אינטרס השיקום על פני </w:t>
      </w:r>
      <w:r>
        <w:rPr>
          <w:rFonts w:ascii="Arial" w:hAnsi="Arial" w:cs="Arial" w:hint="cs"/>
          <w:rtl/>
        </w:rPr>
        <w:t>האינטרס הציבורי, שעניינו גמול והרתעה</w:t>
      </w:r>
      <w:r>
        <w:rPr>
          <w:rFonts w:ascii="Arial" w:hAnsi="Arial" w:cs="Arial"/>
          <w:rtl/>
        </w:rPr>
        <w:t xml:space="preserve"> ולהימנע משליחת</w:t>
      </w:r>
      <w:r>
        <w:rPr>
          <w:rFonts w:ascii="Arial" w:hAnsi="Arial" w:cs="Arial" w:hint="cs"/>
          <w:rtl/>
        </w:rPr>
        <w:t>ו של</w:t>
      </w:r>
      <w:r>
        <w:rPr>
          <w:rFonts w:ascii="Arial" w:hAnsi="Arial" w:cs="Arial"/>
          <w:rtl/>
        </w:rPr>
        <w:t xml:space="preserve"> הנאשם למאסר; לאורך 55 שנותיו, קיים הנאשם אורח חיים נורמטיבי, הוא הודה בעבירה בהזדמנות הראשונה והביע חרטה ובושה. נסיבות חייו קשות ואומללות. שירות המבחן התרשם באורח חיובי מהנאשם והמליץ להטיל עליו צו מבחן אשר באמצעותו, יעבור טיפול שיסייע לו בעיבוד קשייו, ברכישת כלים להתמודדות עמם ובהפקת לקחים. </w:t>
      </w:r>
      <w:r>
        <w:rPr>
          <w:rFonts w:ascii="Arial" w:hAnsi="Arial" w:cs="Arial" w:hint="cs"/>
          <w:rtl/>
        </w:rPr>
        <w:t xml:space="preserve">עוד מצא </w:t>
      </w:r>
      <w:r>
        <w:rPr>
          <w:rFonts w:ascii="Arial" w:hAnsi="Arial" w:cs="Arial"/>
          <w:rtl/>
        </w:rPr>
        <w:t>שירות המבחן</w:t>
      </w:r>
      <w:r>
        <w:rPr>
          <w:rFonts w:ascii="Arial" w:hAnsi="Arial" w:cs="Arial" w:hint="cs"/>
          <w:rtl/>
        </w:rPr>
        <w:t>,</w:t>
      </w:r>
      <w:r>
        <w:rPr>
          <w:rFonts w:ascii="Arial" w:hAnsi="Arial" w:cs="Arial"/>
          <w:rtl/>
        </w:rPr>
        <w:t xml:space="preserve"> כי להליך הפלילי השפעה הרתעתית על הנאשם</w:t>
      </w:r>
      <w:r>
        <w:rPr>
          <w:rFonts w:ascii="Arial" w:hAnsi="Arial" w:cs="Arial" w:hint="cs"/>
          <w:rtl/>
        </w:rPr>
        <w:t>.</w:t>
      </w:r>
    </w:p>
    <w:p w14:paraId="385DCCB5" w14:textId="77777777" w:rsidR="00D30C91" w:rsidRDefault="005C2E25">
      <w:pPr>
        <w:numPr>
          <w:ilvl w:val="0"/>
          <w:numId w:val="1"/>
        </w:numPr>
        <w:spacing w:after="240" w:line="360" w:lineRule="auto"/>
        <w:ind w:hanging="692"/>
        <w:jc w:val="both"/>
        <w:rPr>
          <w:rFonts w:ascii="Arial" w:hAnsi="Arial" w:cs="Arial"/>
          <w:rtl/>
        </w:rPr>
      </w:pPr>
      <w:r>
        <w:rPr>
          <w:rFonts w:ascii="Arial" w:hAnsi="Arial" w:cs="Arial"/>
          <w:rtl/>
        </w:rPr>
        <w:t xml:space="preserve">בנסיבות שתוארו, </w:t>
      </w:r>
      <w:r>
        <w:rPr>
          <w:rFonts w:ascii="Arial" w:hAnsi="Arial" w:cs="Arial" w:hint="cs"/>
          <w:rtl/>
        </w:rPr>
        <w:t xml:space="preserve">על פני הדברים, </w:t>
      </w:r>
      <w:r>
        <w:rPr>
          <w:rFonts w:ascii="Arial" w:hAnsi="Arial" w:cs="Arial"/>
          <w:rtl/>
        </w:rPr>
        <w:t xml:space="preserve">מאסר </w:t>
      </w:r>
      <w:r>
        <w:rPr>
          <w:rFonts w:ascii="Arial" w:hAnsi="Arial" w:cs="Arial" w:hint="cs"/>
          <w:rtl/>
        </w:rPr>
        <w:t xml:space="preserve">שירוצה בעבודות שרות היה מקיים באורח ראוי את האיזון בין כלל האינטרסים, אולם משנמצא </w:t>
      </w:r>
      <w:r>
        <w:rPr>
          <w:rFonts w:ascii="Arial" w:hAnsi="Arial" w:cs="Arial"/>
          <w:rtl/>
        </w:rPr>
        <w:t xml:space="preserve">הנאשם </w:t>
      </w:r>
      <w:r>
        <w:rPr>
          <w:rFonts w:ascii="Arial" w:hAnsi="Arial" w:cs="Arial" w:hint="cs"/>
          <w:rtl/>
        </w:rPr>
        <w:t xml:space="preserve">בלתי מתאים לעבודות שרות בשל </w:t>
      </w:r>
      <w:r>
        <w:rPr>
          <w:rFonts w:ascii="Arial" w:hAnsi="Arial" w:cs="Arial" w:hint="cs"/>
          <w:b/>
          <w:bCs/>
          <w:u w:val="single"/>
          <w:rtl/>
        </w:rPr>
        <w:t>סכנה הנשקפת לו מאחרים</w:t>
      </w:r>
      <w:r>
        <w:rPr>
          <w:rFonts w:ascii="Arial" w:hAnsi="Arial" w:cs="Arial" w:hint="cs"/>
          <w:rtl/>
        </w:rPr>
        <w:t xml:space="preserve"> </w:t>
      </w:r>
      <w:r>
        <w:rPr>
          <w:rFonts w:ascii="Arial" w:hAnsi="Arial" w:cs="Arial"/>
          <w:rtl/>
        </w:rPr>
        <w:t>–</w:t>
      </w:r>
      <w:r>
        <w:rPr>
          <w:rFonts w:ascii="Arial" w:hAnsi="Arial" w:cs="Arial" w:hint="cs"/>
          <w:rtl/>
        </w:rPr>
        <w:t xml:space="preserve"> סבורני כי אין להמיר את עבודות השרות במאסר בפועל, אשר יחמיר עם הנאשם יתר על המידה, על לא עוול בכפו. העונש הראוי אפוא הוא הטלת עבודות של"צ. אף אם יש בו משום הקלה של ממש.</w:t>
      </w:r>
    </w:p>
    <w:p w14:paraId="018308EF" w14:textId="77777777" w:rsidR="00D30C91" w:rsidRDefault="00D30C91">
      <w:pPr>
        <w:bidi w:val="0"/>
        <w:rPr>
          <w:rFonts w:ascii="Arial" w:hAnsi="Arial" w:cs="Arial"/>
        </w:rPr>
      </w:pPr>
    </w:p>
    <w:p w14:paraId="1AFA6FC0" w14:textId="77777777" w:rsidR="00D30C91" w:rsidRDefault="005C2E25">
      <w:pPr>
        <w:numPr>
          <w:ilvl w:val="0"/>
          <w:numId w:val="1"/>
        </w:numPr>
        <w:spacing w:after="240" w:line="360" w:lineRule="auto"/>
        <w:ind w:hanging="692"/>
        <w:jc w:val="both"/>
        <w:rPr>
          <w:rFonts w:ascii="Arial" w:hAnsi="Arial" w:cs="Arial"/>
        </w:rPr>
      </w:pPr>
      <w:r>
        <w:rPr>
          <w:rFonts w:ascii="Arial" w:hAnsi="Arial" w:cs="Arial"/>
          <w:rtl/>
        </w:rPr>
        <w:t xml:space="preserve">אשר על כן, ולאחר שנתתי דעתי לנסיבות לחומרה </w:t>
      </w:r>
      <w:r>
        <w:rPr>
          <w:rFonts w:ascii="Arial" w:hAnsi="Arial" w:cs="Arial" w:hint="cs"/>
          <w:rtl/>
        </w:rPr>
        <w:t>ו</w:t>
      </w:r>
      <w:r>
        <w:rPr>
          <w:rFonts w:ascii="Arial" w:hAnsi="Arial" w:cs="Arial"/>
          <w:rtl/>
        </w:rPr>
        <w:t xml:space="preserve">לקולה, </w:t>
      </w:r>
      <w:r>
        <w:rPr>
          <w:rFonts w:ascii="Arial" w:hAnsi="Arial" w:cs="Arial" w:hint="cs"/>
          <w:rtl/>
        </w:rPr>
        <w:t>אני גוזרת</w:t>
      </w:r>
      <w:r>
        <w:rPr>
          <w:rFonts w:ascii="Arial" w:hAnsi="Arial" w:cs="Arial"/>
          <w:rtl/>
        </w:rPr>
        <w:t xml:space="preserve"> על הנאשם את העונשים הבאים:</w:t>
      </w:r>
    </w:p>
    <w:p w14:paraId="149DD1B3" w14:textId="77777777" w:rsidR="00D30C91" w:rsidRDefault="005C2E25">
      <w:pPr>
        <w:numPr>
          <w:ilvl w:val="1"/>
          <w:numId w:val="1"/>
        </w:numPr>
        <w:spacing w:after="240" w:line="360" w:lineRule="auto"/>
        <w:jc w:val="both"/>
        <w:rPr>
          <w:rFonts w:ascii="Arial" w:hAnsi="Arial" w:cs="Arial"/>
        </w:rPr>
      </w:pPr>
      <w:r>
        <w:rPr>
          <w:rFonts w:ascii="Arial" w:hAnsi="Arial" w:cs="Arial" w:hint="cs"/>
          <w:rtl/>
        </w:rPr>
        <w:t>עבודות במסגרת של"צ בהיקף של 500 שעות, עפ"י תכנית שתוכן ע"י שירות המבחן ותומצא בכתב לבית המשפט. עם גיבושה יחל הנאשם בביצוע העבודות ללא צורך בהחלטה שיפוטית נוספת.</w:t>
      </w:r>
    </w:p>
    <w:p w14:paraId="058280CF" w14:textId="77777777" w:rsidR="00D30C91" w:rsidRDefault="005C2E25">
      <w:pPr>
        <w:numPr>
          <w:ilvl w:val="1"/>
          <w:numId w:val="1"/>
        </w:numPr>
        <w:spacing w:after="240" w:line="360" w:lineRule="auto"/>
        <w:jc w:val="both"/>
        <w:rPr>
          <w:rFonts w:ascii="Arial" w:hAnsi="Arial" w:cs="Arial"/>
        </w:rPr>
      </w:pPr>
      <w:r>
        <w:rPr>
          <w:rFonts w:ascii="Arial" w:hAnsi="Arial" w:cs="Arial" w:hint="cs"/>
          <w:rtl/>
        </w:rPr>
        <w:t>הנאשם יהיה תחת פיקוח שירות המבחן למשך שנה.</w:t>
      </w:r>
    </w:p>
    <w:p w14:paraId="7A942694" w14:textId="77777777" w:rsidR="00D30C91" w:rsidRDefault="005C2E25">
      <w:pPr>
        <w:numPr>
          <w:ilvl w:val="1"/>
          <w:numId w:val="1"/>
        </w:numPr>
        <w:spacing w:after="240" w:line="360" w:lineRule="auto"/>
        <w:jc w:val="both"/>
        <w:rPr>
          <w:rFonts w:ascii="Arial" w:hAnsi="Arial" w:cs="Arial"/>
        </w:rPr>
      </w:pPr>
      <w:r>
        <w:rPr>
          <w:rFonts w:ascii="Arial" w:hAnsi="Arial" w:cs="Arial"/>
          <w:rtl/>
        </w:rPr>
        <w:t xml:space="preserve">12 חודשי מאסר על תנאי למשך 3 שנים </w:t>
      </w:r>
      <w:r>
        <w:rPr>
          <w:rFonts w:ascii="Arial" w:hAnsi="Arial" w:cs="Arial" w:hint="cs"/>
          <w:rtl/>
        </w:rPr>
        <w:t xml:space="preserve">והתנאי הוא שהנאשם </w:t>
      </w:r>
      <w:r>
        <w:rPr>
          <w:rFonts w:ascii="Arial" w:hAnsi="Arial" w:cs="Arial"/>
          <w:rtl/>
        </w:rPr>
        <w:t xml:space="preserve">לא יעבור עבירה </w:t>
      </w:r>
      <w:r>
        <w:rPr>
          <w:rFonts w:ascii="Arial" w:hAnsi="Arial" w:cs="Arial" w:hint="cs"/>
          <w:rtl/>
        </w:rPr>
        <w:t>בנשק.</w:t>
      </w:r>
    </w:p>
    <w:p w14:paraId="2098E5C1" w14:textId="77777777" w:rsidR="00D30C91" w:rsidRDefault="00712687">
      <w:pPr>
        <w:numPr>
          <w:ilvl w:val="1"/>
          <w:numId w:val="1"/>
        </w:numPr>
        <w:spacing w:after="240" w:line="360" w:lineRule="auto"/>
        <w:jc w:val="both"/>
        <w:rPr>
          <w:rStyle w:val="david-h1"/>
          <w:rFonts w:ascii="Arial" w:hAnsi="Arial" w:cs="Arial"/>
          <w:b/>
          <w:bCs/>
        </w:rPr>
      </w:pPr>
      <w:r w:rsidRPr="00712687">
        <w:rPr>
          <w:rStyle w:val="david-h1"/>
          <w:rFonts w:ascii="Arial" w:hAnsi="Arial" w:cs="Arial"/>
          <w:color w:val="FFFFFF"/>
          <w:sz w:val="2"/>
          <w:szCs w:val="2"/>
          <w:rtl/>
        </w:rPr>
        <w:t>5129371</w:t>
      </w:r>
      <w:r w:rsidR="005C2E25">
        <w:rPr>
          <w:rStyle w:val="david-h1"/>
          <w:rFonts w:ascii="Arial" w:hAnsi="Arial" w:cs="Arial"/>
          <w:rtl/>
        </w:rPr>
        <w:t>קנס בסך 1</w:t>
      </w:r>
      <w:r w:rsidR="005C2E25">
        <w:rPr>
          <w:rStyle w:val="david-h1"/>
          <w:rFonts w:ascii="Arial" w:hAnsi="Arial" w:cs="Arial" w:hint="cs"/>
          <w:rtl/>
        </w:rPr>
        <w:t>5</w:t>
      </w:r>
      <w:r w:rsidR="005C2E25">
        <w:rPr>
          <w:rStyle w:val="david-h1"/>
          <w:rFonts w:ascii="Arial" w:hAnsi="Arial" w:cs="Arial"/>
          <w:rtl/>
        </w:rPr>
        <w:t>,000 ₪</w:t>
      </w:r>
      <w:r w:rsidR="005C2E25">
        <w:rPr>
          <w:rStyle w:val="david-h1"/>
          <w:rFonts w:ascii="Arial" w:hAnsi="Arial" w:cs="Arial" w:hint="cs"/>
          <w:rtl/>
        </w:rPr>
        <w:t xml:space="preserve"> או 90 ימי מאסר תמורתו</w:t>
      </w:r>
      <w:r w:rsidR="005C2E25">
        <w:rPr>
          <w:rStyle w:val="david-h1"/>
          <w:rFonts w:ascii="Arial" w:hAnsi="Arial" w:cs="Arial"/>
          <w:rtl/>
        </w:rPr>
        <w:t>.</w:t>
      </w:r>
    </w:p>
    <w:p w14:paraId="24B2E13A" w14:textId="77777777" w:rsidR="00D30C91" w:rsidRDefault="00712687">
      <w:pPr>
        <w:spacing w:after="240" w:line="360" w:lineRule="auto"/>
        <w:jc w:val="both"/>
        <w:rPr>
          <w:rStyle w:val="david-h1"/>
          <w:rFonts w:ascii="Arial" w:hAnsi="Arial" w:cs="Arial"/>
          <w:b/>
          <w:bCs/>
          <w:rtl/>
        </w:rPr>
      </w:pPr>
      <w:r w:rsidRPr="00712687">
        <w:rPr>
          <w:rStyle w:val="david-h1"/>
          <w:rFonts w:ascii="Arial" w:hAnsi="Arial" w:cs="Arial"/>
          <w:b/>
          <w:bCs/>
          <w:color w:val="FFFFFF"/>
          <w:sz w:val="2"/>
          <w:szCs w:val="2"/>
          <w:rtl/>
        </w:rPr>
        <w:t>54678313</w:t>
      </w:r>
      <w:r w:rsidR="005C2E25" w:rsidRPr="005C2E25">
        <w:rPr>
          <w:rStyle w:val="david-h1"/>
          <w:rFonts w:ascii="Arial" w:hAnsi="Arial" w:cs="Arial"/>
          <w:b/>
          <w:bCs/>
          <w:color w:val="FFFFFF"/>
          <w:sz w:val="2"/>
          <w:szCs w:val="2"/>
          <w:rtl/>
        </w:rPr>
        <w:t>5129371</w:t>
      </w:r>
      <w:r w:rsidR="005C2E25">
        <w:rPr>
          <w:rStyle w:val="david-h1"/>
          <w:rFonts w:ascii="Arial" w:hAnsi="Arial" w:cs="Arial"/>
          <w:b/>
          <w:bCs/>
          <w:rtl/>
        </w:rPr>
        <w:t>זכות ערעור לבית המשפט העליון תוך 45 יום.</w:t>
      </w:r>
    </w:p>
    <w:p w14:paraId="7D7725D0" w14:textId="77777777" w:rsidR="00D30C91" w:rsidRDefault="005C2E25">
      <w:pPr>
        <w:rPr>
          <w:rFonts w:ascii="Arial" w:hAnsi="Arial" w:cs="Arial"/>
          <w:sz w:val="28"/>
          <w:szCs w:val="28"/>
          <w:rtl/>
        </w:rPr>
      </w:pPr>
      <w:r w:rsidRPr="005C2E25">
        <w:rPr>
          <w:rFonts w:ascii="Arial" w:hAnsi="Arial" w:cs="Arial"/>
          <w:color w:val="FFFFFF"/>
          <w:sz w:val="2"/>
          <w:szCs w:val="2"/>
          <w:rtl/>
        </w:rPr>
        <w:t>54678313</w:t>
      </w:r>
      <w:r>
        <w:rPr>
          <w:rFonts w:ascii="Arial" w:hAnsi="Arial" w:cs="Arial"/>
          <w:rtl/>
        </w:rPr>
        <w:t xml:space="preserve">ניתן היום,  י"ח אדר, 28 פברואר 2013, במעמד הנאשם וב"כ הצדדים. </w:t>
      </w:r>
    </w:p>
    <w:p w14:paraId="5EF2A228" w14:textId="77777777" w:rsidR="00712687" w:rsidRDefault="00712687" w:rsidP="005C2E25">
      <w:pPr>
        <w:rPr>
          <w:rFonts w:hint="cs"/>
          <w:color w:val="000000"/>
          <w:rtl/>
        </w:rPr>
      </w:pPr>
    </w:p>
    <w:p w14:paraId="1D43D3A4" w14:textId="77777777" w:rsidR="00712687" w:rsidRDefault="00712687" w:rsidP="005C2E25">
      <w:pPr>
        <w:rPr>
          <w:rFonts w:hint="cs"/>
          <w:color w:val="000000"/>
          <w:rtl/>
        </w:rPr>
      </w:pPr>
    </w:p>
    <w:p w14:paraId="4E1AFEC3" w14:textId="77777777" w:rsidR="00712687" w:rsidRPr="00712687" w:rsidRDefault="00712687" w:rsidP="00712687">
      <w:pPr>
        <w:keepNext/>
        <w:spacing w:line="360" w:lineRule="auto"/>
        <w:rPr>
          <w:rFonts w:ascii="David" w:hAnsi="David"/>
          <w:color w:val="000000"/>
          <w:sz w:val="22"/>
          <w:szCs w:val="22"/>
        </w:rPr>
      </w:pPr>
    </w:p>
    <w:p w14:paraId="7CAC63EA" w14:textId="77777777" w:rsidR="00712687" w:rsidRPr="00712687" w:rsidRDefault="00712687" w:rsidP="00712687">
      <w:pPr>
        <w:keepNext/>
        <w:spacing w:line="360" w:lineRule="auto"/>
        <w:rPr>
          <w:rFonts w:ascii="David" w:hAnsi="David"/>
          <w:color w:val="000000"/>
          <w:sz w:val="22"/>
          <w:szCs w:val="22"/>
          <w:rtl/>
        </w:rPr>
      </w:pPr>
      <w:r w:rsidRPr="00712687">
        <w:rPr>
          <w:rFonts w:ascii="David" w:hAnsi="David"/>
          <w:color w:val="000000"/>
          <w:sz w:val="22"/>
          <w:szCs w:val="22"/>
          <w:rtl/>
        </w:rPr>
        <w:t>ורדה מרוז 54678313-/</w:t>
      </w:r>
    </w:p>
    <w:p w14:paraId="7C82097B" w14:textId="77777777" w:rsidR="005C2E25" w:rsidRDefault="005C2E25" w:rsidP="005C2E25">
      <w:r w:rsidRPr="005C2E25">
        <w:rPr>
          <w:color w:val="000000"/>
          <w:rtl/>
        </w:rPr>
        <w:t>נוסח מסמך זה כפוף לשינויי ניסוח ועריכה</w:t>
      </w:r>
    </w:p>
    <w:p w14:paraId="23B2AF18" w14:textId="77777777" w:rsidR="005C2E25" w:rsidRDefault="005C2E25" w:rsidP="005C2E25">
      <w:pPr>
        <w:rPr>
          <w:rtl/>
        </w:rPr>
      </w:pPr>
    </w:p>
    <w:p w14:paraId="18F3E57E" w14:textId="77777777" w:rsidR="005C2E25" w:rsidRDefault="005C2E25" w:rsidP="005C2E25">
      <w:pPr>
        <w:jc w:val="center"/>
        <w:rPr>
          <w:color w:val="0000FF"/>
          <w:u w:val="single"/>
        </w:rPr>
      </w:pPr>
      <w:r w:rsidRPr="00382CF2">
        <w:rPr>
          <w:color w:val="000000"/>
          <w:rtl/>
        </w:rPr>
        <w:t>בעניין עריכה ושינויים במסמכי פסיקה, חקיקה ועוד באתר נבו – הקש כאן</w:t>
      </w:r>
    </w:p>
    <w:sectPr w:rsidR="005C2E25" w:rsidSect="0071268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8140" w14:textId="77777777" w:rsidR="00446CF3" w:rsidRPr="00965A00" w:rsidRDefault="00446CF3">
      <w:pPr>
        <w:rPr>
          <w:rFonts w:cs="Arial"/>
          <w:szCs w:val="20"/>
        </w:rPr>
      </w:pPr>
      <w:r>
        <w:separator/>
      </w:r>
    </w:p>
  </w:endnote>
  <w:endnote w:type="continuationSeparator" w:id="0">
    <w:p w14:paraId="65268DD1" w14:textId="77777777" w:rsidR="00446CF3" w:rsidRPr="00965A00" w:rsidRDefault="00446CF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DF3A" w14:textId="77777777" w:rsidR="006B4D50" w:rsidRDefault="006B4D50" w:rsidP="00712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318764" w14:textId="77777777" w:rsidR="006B4D50" w:rsidRPr="00712687" w:rsidRDefault="006B4D50" w:rsidP="00712687">
    <w:pPr>
      <w:pStyle w:val="a4"/>
      <w:pBdr>
        <w:top w:val="single" w:sz="4" w:space="1" w:color="auto"/>
        <w:between w:val="single" w:sz="4" w:space="0" w:color="auto"/>
      </w:pBdr>
      <w:spacing w:after="60"/>
      <w:jc w:val="center"/>
      <w:rPr>
        <w:rFonts w:ascii="FrankRuehl" w:hAnsi="FrankRuehl" w:cs="FrankRuehl"/>
        <w:color w:val="000000"/>
      </w:rPr>
    </w:pPr>
    <w:r w:rsidRPr="007126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0153" w14:textId="77777777" w:rsidR="006B4D50" w:rsidRDefault="006B4D50" w:rsidP="007126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FE1">
      <w:rPr>
        <w:rFonts w:ascii="FrankRuehl" w:hAnsi="FrankRuehl" w:cs="FrankRuehl"/>
        <w:noProof/>
        <w:rtl/>
      </w:rPr>
      <w:t>1</w:t>
    </w:r>
    <w:r>
      <w:rPr>
        <w:rFonts w:ascii="FrankRuehl" w:hAnsi="FrankRuehl" w:cs="FrankRuehl"/>
        <w:rtl/>
      </w:rPr>
      <w:fldChar w:fldCharType="end"/>
    </w:r>
  </w:p>
  <w:p w14:paraId="191EC783" w14:textId="77777777" w:rsidR="006B4D50" w:rsidRPr="00712687" w:rsidRDefault="006B4D50" w:rsidP="00712687">
    <w:pPr>
      <w:pStyle w:val="a4"/>
      <w:pBdr>
        <w:top w:val="single" w:sz="4" w:space="1" w:color="auto"/>
        <w:between w:val="single" w:sz="4" w:space="0" w:color="auto"/>
      </w:pBdr>
      <w:spacing w:after="60"/>
      <w:jc w:val="center"/>
      <w:rPr>
        <w:rFonts w:ascii="FrankRuehl" w:hAnsi="FrankRuehl" w:cs="FrankRuehl"/>
        <w:color w:val="000000"/>
      </w:rPr>
    </w:pPr>
    <w:r w:rsidRPr="00712687">
      <w:rPr>
        <w:rFonts w:ascii="FrankRuehl" w:hAnsi="FrankRuehl" w:cs="FrankRuehl"/>
        <w:color w:val="000000"/>
      </w:rPr>
      <w:pict w14:anchorId="573D5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73F3" w14:textId="77777777" w:rsidR="00446CF3" w:rsidRPr="00965A00" w:rsidRDefault="00446CF3">
      <w:pPr>
        <w:rPr>
          <w:rFonts w:cs="Arial"/>
          <w:szCs w:val="20"/>
        </w:rPr>
      </w:pPr>
      <w:r>
        <w:separator/>
      </w:r>
    </w:p>
  </w:footnote>
  <w:footnote w:type="continuationSeparator" w:id="0">
    <w:p w14:paraId="7A414F83" w14:textId="77777777" w:rsidR="00446CF3" w:rsidRPr="00965A00" w:rsidRDefault="00446CF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0362" w14:textId="77777777" w:rsidR="006B4D50" w:rsidRPr="00712687" w:rsidRDefault="006B4D50" w:rsidP="007126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33444-05-12</w:t>
    </w:r>
    <w:r>
      <w:rPr>
        <w:rFonts w:ascii="David" w:hAnsi="David"/>
        <w:color w:val="000000"/>
        <w:sz w:val="22"/>
        <w:szCs w:val="22"/>
        <w:rtl/>
      </w:rPr>
      <w:tab/>
      <w:t xml:space="preserve"> מדינת ישראל נ' יעקב שרעבי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77F2" w14:textId="77777777" w:rsidR="006B4D50" w:rsidRPr="00712687" w:rsidRDefault="006B4D50" w:rsidP="007126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33444-05-12</w:t>
    </w:r>
    <w:r>
      <w:rPr>
        <w:rFonts w:ascii="David" w:hAnsi="David"/>
        <w:color w:val="000000"/>
        <w:sz w:val="22"/>
        <w:szCs w:val="22"/>
        <w:rtl/>
      </w:rPr>
      <w:tab/>
      <w:t xml:space="preserve"> מדינת ישראל נ' יעקב שרעבי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F0D5F"/>
    <w:multiLevelType w:val="hybridMultilevel"/>
    <w:tmpl w:val="3C18C810"/>
    <w:lvl w:ilvl="0" w:tplc="8702E354">
      <w:start w:val="1"/>
      <w:numFmt w:val="decimal"/>
      <w:lvlText w:val="%1."/>
      <w:lvlJc w:val="left"/>
      <w:pPr>
        <w:tabs>
          <w:tab w:val="num" w:pos="720"/>
        </w:tabs>
        <w:ind w:left="720" w:hanging="360"/>
      </w:pPr>
      <w:rPr>
        <w:rFonts w:ascii="Arial" w:hAnsi="Arial" w:cs="Arial" w:hint="default"/>
        <w:b w:val="0"/>
        <w:bCs w:val="0"/>
        <w:sz w:val="24"/>
        <w:szCs w:val="24"/>
      </w:rPr>
    </w:lvl>
    <w:lvl w:ilvl="1" w:tplc="5BCCF3B8">
      <w:start w:val="1"/>
      <w:numFmt w:val="hebrew1"/>
      <w:lvlText w:val="%2."/>
      <w:lvlJc w:val="center"/>
      <w:pPr>
        <w:tabs>
          <w:tab w:val="num" w:pos="1440"/>
        </w:tabs>
        <w:ind w:left="1440" w:hanging="360"/>
      </w:pPr>
      <w:rPr>
        <w:rFonts w:cs="Arial"/>
        <w:b w:val="0"/>
        <w:bCs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9346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0C91"/>
    <w:rsid w:val="000C3127"/>
    <w:rsid w:val="00382CF2"/>
    <w:rsid w:val="00412DBF"/>
    <w:rsid w:val="00446CF3"/>
    <w:rsid w:val="005C2E25"/>
    <w:rsid w:val="006B4D50"/>
    <w:rsid w:val="00712687"/>
    <w:rsid w:val="007A0F8C"/>
    <w:rsid w:val="00812AB8"/>
    <w:rsid w:val="008B2B90"/>
    <w:rsid w:val="00915743"/>
    <w:rsid w:val="00957FE1"/>
    <w:rsid w:val="00983A71"/>
    <w:rsid w:val="00D30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015AEA"/>
  <w15:chartTrackingRefBased/>
  <w15:docId w15:val="{F3833D04-13C8-4AFE-BAE9-8741D3F1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0C9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30C91"/>
    <w:pPr>
      <w:tabs>
        <w:tab w:val="center" w:pos="4153"/>
        <w:tab w:val="right" w:pos="8306"/>
      </w:tabs>
    </w:pPr>
  </w:style>
  <w:style w:type="paragraph" w:styleId="a4">
    <w:name w:val="footer"/>
    <w:basedOn w:val="a"/>
    <w:rsid w:val="00D30C91"/>
    <w:pPr>
      <w:tabs>
        <w:tab w:val="center" w:pos="4153"/>
        <w:tab w:val="right" w:pos="8306"/>
      </w:tabs>
    </w:pPr>
  </w:style>
  <w:style w:type="character" w:styleId="a5">
    <w:name w:val="page number"/>
    <w:basedOn w:val="a0"/>
    <w:rsid w:val="00D30C91"/>
  </w:style>
  <w:style w:type="character" w:customStyle="1" w:styleId="aa-h">
    <w:name w:val="aa-h"/>
    <w:rsid w:val="00D30C91"/>
    <w:rPr>
      <w:rFonts w:cs="Times New Roman"/>
    </w:rPr>
  </w:style>
  <w:style w:type="character" w:customStyle="1" w:styleId="david-h1">
    <w:name w:val="david-h1"/>
    <w:rsid w:val="00D30C91"/>
    <w:rPr>
      <w:rFonts w:ascii="Times New Roman" w:hAnsi="Times New Roman"/>
      <w:sz w:val="24"/>
    </w:rPr>
  </w:style>
  <w:style w:type="character" w:styleId="a6">
    <w:name w:val="line number"/>
    <w:rsid w:val="00D30C91"/>
    <w:rPr>
      <w:sz w:val="20"/>
    </w:rPr>
  </w:style>
  <w:style w:type="paragraph" w:customStyle="1" w:styleId="David">
    <w:name w:val="סגנון (עברית ושפות אחרות) David מיושר לשני הצדדים מרווח בין שורות..."/>
    <w:basedOn w:val="a"/>
    <w:rsid w:val="00D30C91"/>
    <w:pPr>
      <w:spacing w:line="360" w:lineRule="auto"/>
      <w:jc w:val="both"/>
    </w:pPr>
  </w:style>
  <w:style w:type="character" w:styleId="Hyperlink">
    <w:name w:val="Hyperlink"/>
    <w:rsid w:val="005C2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a" TargetMode="External"/><Relationship Id="rId13" Type="http://schemas.openxmlformats.org/officeDocument/2006/relationships/hyperlink" Target="http://www.nevo.co.il/case/596228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d.a"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5" Type="http://schemas.openxmlformats.org/officeDocument/2006/relationships/footnotes" Target="footnotes.xml"/><Relationship Id="rId15" Type="http://schemas.openxmlformats.org/officeDocument/2006/relationships/hyperlink" Target="http://www.nevo.co.il/case/17929065" TargetMode="External"/><Relationship Id="rId23" Type="http://schemas.openxmlformats.org/officeDocument/2006/relationships/theme" Target="theme/theme1.xml"/><Relationship Id="rId10" Type="http://schemas.openxmlformats.org/officeDocument/2006/relationships/hyperlink" Target="http://www.nevo.co.il/law/70301/40j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1688</Words>
  <Characters>8443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10111</CharactersWithSpaces>
  <SharedDoc>false</SharedDoc>
  <HLinks>
    <vt:vector size="66" baseType="variant">
      <vt:variant>
        <vt:i4>4915205</vt:i4>
      </vt:variant>
      <vt:variant>
        <vt:i4>30</vt:i4>
      </vt:variant>
      <vt:variant>
        <vt:i4>0</vt:i4>
      </vt:variant>
      <vt:variant>
        <vt:i4>5</vt:i4>
      </vt:variant>
      <vt:variant>
        <vt:lpwstr>http://www.nevo.co.il/law/70301/40d.a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7995492</vt:i4>
      </vt:variant>
      <vt:variant>
        <vt:i4>21</vt:i4>
      </vt:variant>
      <vt:variant>
        <vt:i4>0</vt:i4>
      </vt:variant>
      <vt:variant>
        <vt:i4>5</vt:i4>
      </vt:variant>
      <vt:variant>
        <vt:lpwstr>http://www.nevo.co.il/law/70301</vt:lpwstr>
      </vt:variant>
      <vt:variant>
        <vt:lpwstr/>
      </vt:variant>
      <vt:variant>
        <vt:i4>3276919</vt:i4>
      </vt:variant>
      <vt:variant>
        <vt:i4>18</vt:i4>
      </vt:variant>
      <vt:variant>
        <vt:i4>0</vt:i4>
      </vt:variant>
      <vt:variant>
        <vt:i4>5</vt:i4>
      </vt:variant>
      <vt:variant>
        <vt:lpwstr>http://www.nevo.co.il/case/5962283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33444</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יעקב שרעבי</vt:lpwstr>
  </property>
  <property fmtid="{D5CDD505-2E9C-101B-9397-08002B2CF9AE}" pid="10" name="LAWYER">
    <vt:lpwstr>אבירי;פורר</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20130228</vt:lpwstr>
  </property>
  <property fmtid="{D5CDD505-2E9C-101B-9397-08002B2CF9AE}" pid="14" name="TYPE_N_DATE">
    <vt:lpwstr>39020130228</vt:lpwstr>
  </property>
  <property fmtid="{D5CDD505-2E9C-101B-9397-08002B2CF9AE}" pid="15" name="WORDNUMPAGES">
    <vt:lpwstr>7</vt:lpwstr>
  </property>
  <property fmtid="{D5CDD505-2E9C-101B-9397-08002B2CF9AE}" pid="16" name="TYPE_ABS_DATE">
    <vt:lpwstr>390020130228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5962283;17929065</vt:lpwstr>
  </property>
  <property fmtid="{D5CDD505-2E9C-101B-9397-08002B2CF9AE}" pid="36" name="LAWLISTTMP1">
    <vt:lpwstr>70301/144.a;40ja;040d.a</vt:lpwstr>
  </property>
</Properties>
</file>