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BA54BA" w:rsidRPr="00826F39" w14:paraId="3944C7BF" w14:textId="77777777">
        <w:trPr>
          <w:trHeight w:hRule="exact" w:val="418"/>
          <w:jc w:val="center"/>
        </w:trPr>
        <w:tc>
          <w:tcPr>
            <w:tcW w:w="8721" w:type="dxa"/>
            <w:gridSpan w:val="2"/>
          </w:tcPr>
          <w:p w14:paraId="31D4516E" w14:textId="77777777" w:rsidR="00BA54BA" w:rsidRPr="00826F39" w:rsidRDefault="00826F39">
            <w:pPr>
              <w:pStyle w:val="a3"/>
              <w:jc w:val="center"/>
              <w:rPr>
                <w:rFonts w:ascii="Tahoma" w:hAnsi="Tahoma" w:cs="Tahoma"/>
                <w:color w:val="000080"/>
                <w:rtl/>
              </w:rPr>
            </w:pPr>
            <w:bookmarkStart w:id="0" w:name="LastJudge"/>
            <w:r w:rsidRPr="00826F39">
              <w:rPr>
                <w:rFonts w:ascii="Tahoma" w:hAnsi="Tahoma" w:cs="Tahoma"/>
                <w:b/>
                <w:bCs/>
                <w:color w:val="000080"/>
                <w:rtl/>
              </w:rPr>
              <w:t>בית המשפט המחוזי בבאר שבע</w:t>
            </w:r>
          </w:p>
        </w:tc>
      </w:tr>
      <w:tr w:rsidR="00BA54BA" w:rsidRPr="006208D0" w14:paraId="396F596A" w14:textId="77777777">
        <w:trPr>
          <w:trHeight w:val="337"/>
          <w:jc w:val="center"/>
        </w:trPr>
        <w:tc>
          <w:tcPr>
            <w:tcW w:w="5054" w:type="dxa"/>
          </w:tcPr>
          <w:p w14:paraId="1EAFBB9D" w14:textId="77777777" w:rsidR="00BA54BA" w:rsidRPr="006208D0" w:rsidRDefault="00826F39">
            <w:pPr>
              <w:rPr>
                <w:rFonts w:cs="FrankRuehl"/>
                <w:b/>
                <w:bCs/>
                <w:sz w:val="28"/>
                <w:szCs w:val="28"/>
                <w:rtl/>
              </w:rPr>
            </w:pPr>
            <w:r w:rsidRPr="006208D0">
              <w:rPr>
                <w:rFonts w:cs="FrankRuehl"/>
                <w:b/>
                <w:bCs/>
                <w:sz w:val="28"/>
                <w:szCs w:val="28"/>
                <w:rtl/>
              </w:rPr>
              <w:t>ת"פ</w:t>
            </w:r>
            <w:r w:rsidRPr="006208D0">
              <w:rPr>
                <w:rFonts w:cs="FrankRuehl" w:hint="cs"/>
                <w:b/>
                <w:bCs/>
                <w:sz w:val="28"/>
                <w:szCs w:val="28"/>
                <w:rtl/>
              </w:rPr>
              <w:t xml:space="preserve"> </w:t>
            </w:r>
            <w:r w:rsidRPr="006208D0">
              <w:rPr>
                <w:rFonts w:cs="FrankRuehl"/>
                <w:b/>
                <w:bCs/>
                <w:sz w:val="28"/>
                <w:szCs w:val="28"/>
                <w:rtl/>
              </w:rPr>
              <w:t>28139-10-13</w:t>
            </w:r>
            <w:r w:rsidRPr="006208D0">
              <w:rPr>
                <w:rFonts w:cs="FrankRuehl" w:hint="cs"/>
                <w:b/>
                <w:bCs/>
                <w:sz w:val="28"/>
                <w:szCs w:val="28"/>
                <w:rtl/>
              </w:rPr>
              <w:t xml:space="preserve"> </w:t>
            </w:r>
            <w:r w:rsidRPr="006208D0">
              <w:rPr>
                <w:rFonts w:cs="FrankRuehl"/>
                <w:b/>
                <w:bCs/>
                <w:sz w:val="28"/>
                <w:szCs w:val="28"/>
                <w:rtl/>
              </w:rPr>
              <w:t>מדינת ישראל נ' אבו אעמר</w:t>
            </w:r>
          </w:p>
          <w:p w14:paraId="56BD259D" w14:textId="77777777" w:rsidR="00BA54BA" w:rsidRPr="006208D0" w:rsidRDefault="00BA54BA">
            <w:pPr>
              <w:pStyle w:val="a3"/>
              <w:rPr>
                <w:rFonts w:cs="FrankRuehl"/>
                <w:b/>
                <w:bCs/>
                <w:sz w:val="28"/>
                <w:szCs w:val="28"/>
                <w:rtl/>
              </w:rPr>
            </w:pPr>
          </w:p>
        </w:tc>
        <w:tc>
          <w:tcPr>
            <w:tcW w:w="3667" w:type="dxa"/>
          </w:tcPr>
          <w:p w14:paraId="3158DEFD" w14:textId="77777777" w:rsidR="00BA54BA" w:rsidRPr="006208D0" w:rsidRDefault="00BA54BA">
            <w:pPr>
              <w:pStyle w:val="a3"/>
              <w:jc w:val="right"/>
              <w:rPr>
                <w:rFonts w:cs="FrankRuehl"/>
                <w:b/>
                <w:bCs/>
                <w:sz w:val="28"/>
                <w:szCs w:val="28"/>
                <w:rtl/>
              </w:rPr>
            </w:pPr>
          </w:p>
        </w:tc>
      </w:tr>
    </w:tbl>
    <w:p w14:paraId="7FC6189C" w14:textId="77777777" w:rsidR="00BA54BA" w:rsidRPr="006208D0" w:rsidRDefault="00826F39">
      <w:pPr>
        <w:pStyle w:val="a3"/>
        <w:rPr>
          <w:b/>
          <w:bCs/>
          <w:rtl/>
        </w:rPr>
      </w:pPr>
      <w:r w:rsidRPr="006208D0">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A54BA" w:rsidRPr="006208D0" w14:paraId="42DE2BE9" w14:textId="77777777">
        <w:trPr>
          <w:trHeight w:val="295"/>
          <w:jc w:val="center"/>
        </w:trPr>
        <w:tc>
          <w:tcPr>
            <w:tcW w:w="945" w:type="dxa"/>
            <w:tcBorders>
              <w:top w:val="nil"/>
              <w:left w:val="nil"/>
              <w:bottom w:val="nil"/>
              <w:right w:val="nil"/>
            </w:tcBorders>
          </w:tcPr>
          <w:p w14:paraId="6DAB2875" w14:textId="77777777" w:rsidR="00BA54BA" w:rsidRPr="006208D0" w:rsidRDefault="00826F39">
            <w:pPr>
              <w:jc w:val="both"/>
              <w:rPr>
                <w:rFonts w:ascii="Arial" w:hAnsi="Arial"/>
                <w:b/>
                <w:bCs/>
                <w:sz w:val="28"/>
                <w:szCs w:val="28"/>
              </w:rPr>
            </w:pPr>
            <w:r w:rsidRPr="006208D0">
              <w:rPr>
                <w:rFonts w:ascii="Arial" w:hAnsi="Arial" w:hint="cs"/>
                <w:b/>
                <w:bCs/>
                <w:sz w:val="28"/>
                <w:szCs w:val="28"/>
                <w:rtl/>
              </w:rPr>
              <w:t>ב</w:t>
            </w:r>
            <w:r w:rsidRPr="006208D0">
              <w:rPr>
                <w:rFonts w:ascii="Arial" w:hAnsi="Arial"/>
                <w:b/>
                <w:bCs/>
                <w:sz w:val="28"/>
                <w:szCs w:val="28"/>
                <w:rtl/>
              </w:rPr>
              <w:t xml:space="preserve">פני </w:t>
            </w:r>
          </w:p>
        </w:tc>
        <w:tc>
          <w:tcPr>
            <w:tcW w:w="7875" w:type="dxa"/>
            <w:gridSpan w:val="2"/>
            <w:tcBorders>
              <w:top w:val="nil"/>
              <w:left w:val="nil"/>
              <w:bottom w:val="nil"/>
              <w:right w:val="nil"/>
            </w:tcBorders>
          </w:tcPr>
          <w:p w14:paraId="5A3C0039" w14:textId="77777777" w:rsidR="00BA54BA" w:rsidRPr="006208D0" w:rsidRDefault="00826F39" w:rsidP="006208D0">
            <w:pPr>
              <w:rPr>
                <w:b/>
                <w:bCs/>
                <w:sz w:val="28"/>
                <w:szCs w:val="28"/>
                <w:rtl/>
              </w:rPr>
            </w:pPr>
            <w:r w:rsidRPr="006208D0">
              <w:rPr>
                <w:rFonts w:ascii="Arial" w:hAnsi="Arial" w:hint="cs"/>
                <w:b/>
                <w:bCs/>
                <w:sz w:val="28"/>
                <w:szCs w:val="28"/>
                <w:rtl/>
              </w:rPr>
              <w:t>כב' ה</w:t>
            </w:r>
            <w:r w:rsidRPr="006208D0">
              <w:rPr>
                <w:rFonts w:ascii="Arial" w:hAnsi="Arial"/>
                <w:b/>
                <w:bCs/>
                <w:sz w:val="28"/>
                <w:szCs w:val="28"/>
                <w:rtl/>
              </w:rPr>
              <w:t>שופט</w:t>
            </w:r>
            <w:r w:rsidRPr="006208D0">
              <w:rPr>
                <w:rFonts w:ascii="Arial" w:hAnsi="Arial" w:hint="cs"/>
                <w:b/>
                <w:bCs/>
                <w:sz w:val="28"/>
                <w:szCs w:val="28"/>
                <w:rtl/>
              </w:rPr>
              <w:t xml:space="preserve">  </w:t>
            </w:r>
            <w:r w:rsidRPr="006208D0">
              <w:rPr>
                <w:rFonts w:ascii="Arial" w:hAnsi="Arial"/>
                <w:b/>
                <w:bCs/>
                <w:sz w:val="28"/>
                <w:szCs w:val="28"/>
                <w:rtl/>
              </w:rPr>
              <w:t>אלון אינפלד</w:t>
            </w:r>
          </w:p>
          <w:p w14:paraId="4AE15DF4" w14:textId="77777777" w:rsidR="00BA54BA" w:rsidRPr="006208D0" w:rsidRDefault="00BA54BA">
            <w:pPr>
              <w:jc w:val="both"/>
              <w:rPr>
                <w:rFonts w:ascii="Arial" w:hAnsi="Arial"/>
                <w:b/>
                <w:bCs/>
                <w:sz w:val="28"/>
                <w:szCs w:val="28"/>
              </w:rPr>
            </w:pPr>
          </w:p>
        </w:tc>
      </w:tr>
      <w:tr w:rsidR="00BA54BA" w:rsidRPr="006208D0" w14:paraId="1B218C54" w14:textId="77777777">
        <w:trPr>
          <w:trHeight w:val="355"/>
          <w:jc w:val="center"/>
        </w:trPr>
        <w:tc>
          <w:tcPr>
            <w:tcW w:w="945" w:type="dxa"/>
            <w:tcBorders>
              <w:top w:val="nil"/>
              <w:left w:val="nil"/>
              <w:bottom w:val="nil"/>
              <w:right w:val="nil"/>
            </w:tcBorders>
          </w:tcPr>
          <w:p w14:paraId="6047746A" w14:textId="77777777" w:rsidR="00BA54BA" w:rsidRPr="006208D0" w:rsidRDefault="00826F39">
            <w:pPr>
              <w:jc w:val="both"/>
              <w:rPr>
                <w:rFonts w:ascii="Arial" w:hAnsi="Arial"/>
                <w:b/>
                <w:bCs/>
                <w:sz w:val="28"/>
                <w:szCs w:val="28"/>
              </w:rPr>
            </w:pPr>
            <w:bookmarkStart w:id="1" w:name="FirstAppellant"/>
            <w:bookmarkStart w:id="2" w:name="FirstLawyer"/>
            <w:r w:rsidRPr="006208D0">
              <w:rPr>
                <w:rFonts w:ascii="Arial" w:hAnsi="Arial" w:hint="cs"/>
                <w:b/>
                <w:bCs/>
                <w:sz w:val="28"/>
                <w:szCs w:val="28"/>
                <w:rtl/>
              </w:rPr>
              <w:t>בעניין:</w:t>
            </w:r>
          </w:p>
        </w:tc>
        <w:tc>
          <w:tcPr>
            <w:tcW w:w="4114" w:type="dxa"/>
            <w:tcBorders>
              <w:top w:val="nil"/>
              <w:left w:val="nil"/>
              <w:bottom w:val="nil"/>
              <w:right w:val="nil"/>
            </w:tcBorders>
          </w:tcPr>
          <w:p w14:paraId="304A007E" w14:textId="77777777" w:rsidR="00BA54BA" w:rsidRPr="006208D0" w:rsidRDefault="00826F39">
            <w:pPr>
              <w:rPr>
                <w:rFonts w:ascii="Arial" w:hAnsi="Arial"/>
                <w:b/>
                <w:bCs/>
                <w:sz w:val="28"/>
                <w:szCs w:val="28"/>
                <w:rtl/>
              </w:rPr>
            </w:pPr>
            <w:r w:rsidRPr="006208D0">
              <w:rPr>
                <w:rFonts w:ascii="Arial" w:hAnsi="Arial"/>
                <w:b/>
                <w:bCs/>
                <w:sz w:val="28"/>
                <w:szCs w:val="28"/>
                <w:rtl/>
              </w:rPr>
              <w:t>מדינת ישרא</w:t>
            </w:r>
            <w:r w:rsidRPr="006208D0">
              <w:rPr>
                <w:rFonts w:ascii="Arial" w:hAnsi="Arial" w:hint="cs"/>
                <w:b/>
                <w:bCs/>
                <w:sz w:val="28"/>
                <w:szCs w:val="28"/>
                <w:rtl/>
              </w:rPr>
              <w:t>ל</w:t>
            </w:r>
          </w:p>
          <w:p w14:paraId="2201B086" w14:textId="77777777" w:rsidR="00BA54BA" w:rsidRPr="006208D0" w:rsidRDefault="00826F39">
            <w:pPr>
              <w:rPr>
                <w:b/>
                <w:bCs/>
                <w:sz w:val="28"/>
                <w:szCs w:val="28"/>
              </w:rPr>
            </w:pPr>
            <w:r w:rsidRPr="006208D0">
              <w:rPr>
                <w:rFonts w:ascii="Arial" w:hAnsi="Arial" w:hint="cs"/>
                <w:b/>
                <w:bCs/>
                <w:sz w:val="28"/>
                <w:szCs w:val="28"/>
                <w:rtl/>
              </w:rPr>
              <w:t>ע"י ב"כ עו"ד ירון סעדון</w:t>
            </w:r>
            <w:r w:rsidRPr="006208D0">
              <w:rPr>
                <w:rFonts w:hint="cs"/>
                <w:b/>
                <w:bCs/>
                <w:sz w:val="28"/>
                <w:szCs w:val="28"/>
                <w:rtl/>
              </w:rPr>
              <w:t>, פמ"ד</w:t>
            </w:r>
          </w:p>
        </w:tc>
        <w:tc>
          <w:tcPr>
            <w:tcW w:w="3761" w:type="dxa"/>
            <w:tcBorders>
              <w:top w:val="nil"/>
              <w:left w:val="nil"/>
              <w:bottom w:val="nil"/>
              <w:right w:val="nil"/>
            </w:tcBorders>
          </w:tcPr>
          <w:p w14:paraId="35DDDAD9" w14:textId="77777777" w:rsidR="00BA54BA" w:rsidRPr="006208D0" w:rsidRDefault="00BA54BA">
            <w:pPr>
              <w:jc w:val="both"/>
              <w:rPr>
                <w:rFonts w:ascii="Arial" w:hAnsi="Arial"/>
                <w:b/>
                <w:bCs/>
                <w:sz w:val="28"/>
                <w:szCs w:val="28"/>
              </w:rPr>
            </w:pPr>
          </w:p>
        </w:tc>
      </w:tr>
      <w:bookmarkEnd w:id="1"/>
      <w:bookmarkEnd w:id="2"/>
      <w:tr w:rsidR="00BA54BA" w:rsidRPr="006208D0" w14:paraId="5302B396" w14:textId="77777777">
        <w:trPr>
          <w:trHeight w:val="355"/>
          <w:jc w:val="center"/>
        </w:trPr>
        <w:tc>
          <w:tcPr>
            <w:tcW w:w="945" w:type="dxa"/>
            <w:tcBorders>
              <w:top w:val="nil"/>
              <w:left w:val="nil"/>
              <w:bottom w:val="nil"/>
              <w:right w:val="nil"/>
            </w:tcBorders>
          </w:tcPr>
          <w:p w14:paraId="71112FA8" w14:textId="77777777" w:rsidR="00BA54BA" w:rsidRPr="006208D0" w:rsidRDefault="00BA54BA">
            <w:pPr>
              <w:jc w:val="both"/>
              <w:rPr>
                <w:rFonts w:ascii="Arial" w:hAnsi="Arial"/>
                <w:b/>
                <w:bCs/>
                <w:sz w:val="28"/>
                <w:szCs w:val="28"/>
                <w:rtl/>
              </w:rPr>
            </w:pPr>
          </w:p>
        </w:tc>
        <w:tc>
          <w:tcPr>
            <w:tcW w:w="4114" w:type="dxa"/>
            <w:tcBorders>
              <w:top w:val="nil"/>
              <w:left w:val="nil"/>
              <w:bottom w:val="nil"/>
              <w:right w:val="nil"/>
            </w:tcBorders>
          </w:tcPr>
          <w:p w14:paraId="3B5E2243" w14:textId="77777777" w:rsidR="00BA54BA" w:rsidRPr="006208D0" w:rsidRDefault="00BA54BA">
            <w:pPr>
              <w:jc w:val="both"/>
              <w:rPr>
                <w:b/>
                <w:bCs/>
                <w:sz w:val="28"/>
                <w:szCs w:val="28"/>
                <w:rtl/>
              </w:rPr>
            </w:pPr>
          </w:p>
        </w:tc>
        <w:tc>
          <w:tcPr>
            <w:tcW w:w="3761" w:type="dxa"/>
            <w:tcBorders>
              <w:top w:val="nil"/>
              <w:left w:val="nil"/>
              <w:bottom w:val="nil"/>
              <w:right w:val="nil"/>
            </w:tcBorders>
          </w:tcPr>
          <w:p w14:paraId="25554347" w14:textId="77777777" w:rsidR="00BA54BA" w:rsidRPr="006208D0" w:rsidRDefault="00826F39">
            <w:pPr>
              <w:jc w:val="right"/>
              <w:rPr>
                <w:rFonts w:ascii="Arial" w:hAnsi="Arial"/>
                <w:b/>
                <w:bCs/>
                <w:sz w:val="28"/>
                <w:szCs w:val="28"/>
                <w:rtl/>
              </w:rPr>
            </w:pPr>
            <w:r w:rsidRPr="006208D0">
              <w:rPr>
                <w:rFonts w:ascii="Arial" w:hAnsi="Arial" w:hint="cs"/>
                <w:b/>
                <w:bCs/>
                <w:sz w:val="28"/>
                <w:szCs w:val="28"/>
                <w:rtl/>
              </w:rPr>
              <w:t>ה</w:t>
            </w:r>
            <w:r w:rsidRPr="006208D0">
              <w:rPr>
                <w:rFonts w:ascii="Arial" w:hAnsi="Arial"/>
                <w:b/>
                <w:bCs/>
                <w:sz w:val="28"/>
                <w:szCs w:val="28"/>
                <w:rtl/>
              </w:rPr>
              <w:t>מאשימה</w:t>
            </w:r>
          </w:p>
        </w:tc>
      </w:tr>
      <w:tr w:rsidR="00BA54BA" w:rsidRPr="006208D0" w14:paraId="3B17651D" w14:textId="77777777">
        <w:trPr>
          <w:trHeight w:val="355"/>
          <w:jc w:val="center"/>
        </w:trPr>
        <w:tc>
          <w:tcPr>
            <w:tcW w:w="945" w:type="dxa"/>
            <w:tcBorders>
              <w:top w:val="nil"/>
              <w:left w:val="nil"/>
              <w:bottom w:val="nil"/>
              <w:right w:val="nil"/>
            </w:tcBorders>
          </w:tcPr>
          <w:p w14:paraId="29B0758F" w14:textId="77777777" w:rsidR="00BA54BA" w:rsidRPr="006208D0" w:rsidRDefault="00BA54BA">
            <w:pPr>
              <w:jc w:val="both"/>
              <w:rPr>
                <w:rFonts w:ascii="Arial" w:hAnsi="Arial"/>
                <w:b/>
                <w:bCs/>
                <w:sz w:val="28"/>
                <w:szCs w:val="28"/>
                <w:rtl/>
              </w:rPr>
            </w:pPr>
          </w:p>
        </w:tc>
        <w:tc>
          <w:tcPr>
            <w:tcW w:w="7875" w:type="dxa"/>
            <w:gridSpan w:val="2"/>
            <w:tcBorders>
              <w:top w:val="nil"/>
              <w:left w:val="nil"/>
              <w:bottom w:val="nil"/>
              <w:right w:val="nil"/>
            </w:tcBorders>
          </w:tcPr>
          <w:p w14:paraId="719AB049" w14:textId="77777777" w:rsidR="00BA54BA" w:rsidRPr="006208D0" w:rsidRDefault="00BA54BA">
            <w:pPr>
              <w:jc w:val="center"/>
              <w:rPr>
                <w:rFonts w:ascii="Arial" w:hAnsi="Arial"/>
                <w:b/>
                <w:bCs/>
                <w:sz w:val="28"/>
                <w:szCs w:val="28"/>
                <w:rtl/>
              </w:rPr>
            </w:pPr>
          </w:p>
          <w:p w14:paraId="5669C958" w14:textId="77777777" w:rsidR="00BA54BA" w:rsidRPr="006208D0" w:rsidRDefault="00826F39">
            <w:pPr>
              <w:jc w:val="center"/>
              <w:rPr>
                <w:rFonts w:ascii="Arial" w:hAnsi="Arial"/>
                <w:b/>
                <w:bCs/>
                <w:sz w:val="28"/>
                <w:szCs w:val="28"/>
                <w:rtl/>
              </w:rPr>
            </w:pPr>
            <w:r w:rsidRPr="006208D0">
              <w:rPr>
                <w:rFonts w:ascii="Arial" w:hAnsi="Arial"/>
                <w:b/>
                <w:bCs/>
                <w:sz w:val="28"/>
                <w:szCs w:val="28"/>
                <w:rtl/>
              </w:rPr>
              <w:t>נגד</w:t>
            </w:r>
          </w:p>
          <w:p w14:paraId="335E134E" w14:textId="77777777" w:rsidR="00BA54BA" w:rsidRPr="006208D0" w:rsidRDefault="00BA54BA">
            <w:pPr>
              <w:jc w:val="both"/>
              <w:rPr>
                <w:rFonts w:ascii="Arial" w:hAnsi="Arial"/>
                <w:b/>
                <w:bCs/>
                <w:sz w:val="28"/>
                <w:szCs w:val="28"/>
              </w:rPr>
            </w:pPr>
          </w:p>
        </w:tc>
      </w:tr>
      <w:tr w:rsidR="00BA54BA" w:rsidRPr="006208D0" w14:paraId="1A72BF3B" w14:textId="77777777">
        <w:trPr>
          <w:trHeight w:val="355"/>
          <w:jc w:val="center"/>
        </w:trPr>
        <w:tc>
          <w:tcPr>
            <w:tcW w:w="945" w:type="dxa"/>
            <w:tcBorders>
              <w:top w:val="nil"/>
              <w:left w:val="nil"/>
              <w:bottom w:val="nil"/>
              <w:right w:val="nil"/>
            </w:tcBorders>
          </w:tcPr>
          <w:p w14:paraId="0B8ED1D8" w14:textId="77777777" w:rsidR="00BA54BA" w:rsidRPr="006208D0" w:rsidRDefault="00BA54BA">
            <w:pPr>
              <w:rPr>
                <w:rFonts w:ascii="Arial" w:hAnsi="Arial"/>
                <w:b/>
                <w:bCs/>
                <w:sz w:val="28"/>
                <w:szCs w:val="28"/>
                <w:rtl/>
              </w:rPr>
            </w:pPr>
          </w:p>
        </w:tc>
        <w:tc>
          <w:tcPr>
            <w:tcW w:w="4114" w:type="dxa"/>
            <w:tcBorders>
              <w:top w:val="nil"/>
              <w:left w:val="nil"/>
              <w:bottom w:val="nil"/>
              <w:right w:val="nil"/>
            </w:tcBorders>
          </w:tcPr>
          <w:p w14:paraId="011509D0" w14:textId="77777777" w:rsidR="00BA54BA" w:rsidRPr="006208D0" w:rsidRDefault="00826F39">
            <w:pPr>
              <w:rPr>
                <w:rFonts w:ascii="Arial" w:hAnsi="Arial"/>
                <w:b/>
                <w:bCs/>
                <w:sz w:val="28"/>
                <w:szCs w:val="28"/>
                <w:rtl/>
              </w:rPr>
            </w:pPr>
            <w:r w:rsidRPr="006208D0">
              <w:rPr>
                <w:rFonts w:ascii="Arial" w:hAnsi="Arial"/>
                <w:b/>
                <w:bCs/>
                <w:sz w:val="28"/>
                <w:szCs w:val="28"/>
                <w:rtl/>
              </w:rPr>
              <w:t>באסל אבו אעמ</w:t>
            </w:r>
            <w:r w:rsidRPr="006208D0">
              <w:rPr>
                <w:rFonts w:ascii="Arial" w:hAnsi="Arial" w:hint="cs"/>
                <w:b/>
                <w:bCs/>
                <w:sz w:val="28"/>
                <w:szCs w:val="28"/>
                <w:rtl/>
              </w:rPr>
              <w:t>ר</w:t>
            </w:r>
          </w:p>
          <w:p w14:paraId="1F2628D6" w14:textId="77777777" w:rsidR="00BA54BA" w:rsidRPr="006208D0" w:rsidRDefault="00826F39">
            <w:pPr>
              <w:rPr>
                <w:b/>
                <w:bCs/>
                <w:sz w:val="28"/>
                <w:szCs w:val="28"/>
                <w:rtl/>
              </w:rPr>
            </w:pPr>
            <w:r w:rsidRPr="006208D0">
              <w:rPr>
                <w:rFonts w:ascii="Arial" w:hAnsi="Arial" w:hint="cs"/>
                <w:b/>
                <w:bCs/>
                <w:sz w:val="28"/>
                <w:szCs w:val="28"/>
                <w:rtl/>
              </w:rPr>
              <w:t>ע"י ב"כ עו"ד כאמל אלזיאדנה</w:t>
            </w:r>
          </w:p>
        </w:tc>
        <w:tc>
          <w:tcPr>
            <w:tcW w:w="3761" w:type="dxa"/>
            <w:tcBorders>
              <w:top w:val="nil"/>
              <w:left w:val="nil"/>
              <w:bottom w:val="nil"/>
              <w:right w:val="nil"/>
            </w:tcBorders>
          </w:tcPr>
          <w:p w14:paraId="15F95D08" w14:textId="77777777" w:rsidR="00BA54BA" w:rsidRPr="006208D0" w:rsidRDefault="00BA54BA">
            <w:pPr>
              <w:jc w:val="right"/>
              <w:rPr>
                <w:rFonts w:ascii="Arial" w:hAnsi="Arial"/>
                <w:b/>
                <w:bCs/>
                <w:sz w:val="28"/>
                <w:szCs w:val="28"/>
              </w:rPr>
            </w:pPr>
          </w:p>
        </w:tc>
      </w:tr>
      <w:tr w:rsidR="00BA54BA" w:rsidRPr="006208D0" w14:paraId="23A94A30" w14:textId="77777777">
        <w:trPr>
          <w:trHeight w:val="355"/>
          <w:jc w:val="center"/>
        </w:trPr>
        <w:tc>
          <w:tcPr>
            <w:tcW w:w="945" w:type="dxa"/>
            <w:tcBorders>
              <w:top w:val="nil"/>
              <w:left w:val="nil"/>
              <w:bottom w:val="nil"/>
              <w:right w:val="nil"/>
            </w:tcBorders>
          </w:tcPr>
          <w:p w14:paraId="3F1F08EC" w14:textId="77777777" w:rsidR="00BA54BA" w:rsidRPr="006208D0" w:rsidRDefault="00BA54BA">
            <w:pPr>
              <w:jc w:val="both"/>
              <w:rPr>
                <w:rFonts w:ascii="Arial" w:hAnsi="Arial"/>
                <w:b/>
                <w:bCs/>
                <w:sz w:val="28"/>
                <w:szCs w:val="28"/>
                <w:rtl/>
              </w:rPr>
            </w:pPr>
          </w:p>
        </w:tc>
        <w:tc>
          <w:tcPr>
            <w:tcW w:w="4114" w:type="dxa"/>
            <w:tcBorders>
              <w:top w:val="nil"/>
              <w:left w:val="nil"/>
              <w:bottom w:val="nil"/>
              <w:right w:val="nil"/>
            </w:tcBorders>
          </w:tcPr>
          <w:p w14:paraId="24A616B2" w14:textId="77777777" w:rsidR="00BA54BA" w:rsidRPr="006208D0" w:rsidRDefault="00BA54BA">
            <w:pPr>
              <w:jc w:val="both"/>
              <w:rPr>
                <w:b/>
                <w:bCs/>
                <w:sz w:val="28"/>
                <w:szCs w:val="28"/>
                <w:rtl/>
              </w:rPr>
            </w:pPr>
          </w:p>
        </w:tc>
        <w:tc>
          <w:tcPr>
            <w:tcW w:w="3761" w:type="dxa"/>
            <w:tcBorders>
              <w:top w:val="nil"/>
              <w:left w:val="nil"/>
              <w:bottom w:val="nil"/>
              <w:right w:val="nil"/>
            </w:tcBorders>
          </w:tcPr>
          <w:p w14:paraId="12C17B71" w14:textId="77777777" w:rsidR="00BA54BA" w:rsidRPr="006208D0" w:rsidRDefault="00826F39">
            <w:pPr>
              <w:jc w:val="right"/>
              <w:rPr>
                <w:rFonts w:ascii="Arial" w:hAnsi="Arial"/>
                <w:b/>
                <w:bCs/>
                <w:sz w:val="28"/>
                <w:szCs w:val="28"/>
                <w:rtl/>
              </w:rPr>
            </w:pPr>
            <w:r w:rsidRPr="006208D0">
              <w:rPr>
                <w:rFonts w:ascii="Arial" w:hAnsi="Arial" w:hint="cs"/>
                <w:b/>
                <w:bCs/>
                <w:sz w:val="28"/>
                <w:szCs w:val="28"/>
                <w:rtl/>
              </w:rPr>
              <w:t>ה</w:t>
            </w:r>
            <w:r w:rsidRPr="006208D0">
              <w:rPr>
                <w:rFonts w:ascii="Arial" w:hAnsi="Arial"/>
                <w:b/>
                <w:bCs/>
                <w:sz w:val="28"/>
                <w:szCs w:val="28"/>
                <w:rtl/>
              </w:rPr>
              <w:t>נאשם</w:t>
            </w:r>
          </w:p>
        </w:tc>
      </w:tr>
    </w:tbl>
    <w:p w14:paraId="308FC664" w14:textId="77777777" w:rsidR="0022660A" w:rsidRDefault="0022660A">
      <w:pPr>
        <w:rPr>
          <w:sz w:val="28"/>
          <w:szCs w:val="28"/>
          <w:rtl/>
        </w:rPr>
      </w:pPr>
      <w:bookmarkStart w:id="3" w:name="LawTable"/>
      <w:bookmarkEnd w:id="3"/>
    </w:p>
    <w:p w14:paraId="16BAB196" w14:textId="77777777" w:rsidR="0022660A" w:rsidRPr="0022660A" w:rsidRDefault="0022660A" w:rsidP="0022660A">
      <w:pPr>
        <w:spacing w:after="120" w:line="240" w:lineRule="exact"/>
        <w:ind w:left="283" w:hanging="283"/>
        <w:jc w:val="both"/>
        <w:rPr>
          <w:rFonts w:ascii="FrankRuehl" w:hAnsi="FrankRuehl" w:cs="FrankRuehl"/>
          <w:rtl/>
        </w:rPr>
      </w:pPr>
      <w:r w:rsidRPr="0022660A">
        <w:rPr>
          <w:rFonts w:ascii="FrankRuehl" w:hAnsi="FrankRuehl" w:cs="FrankRuehl"/>
          <w:rtl/>
        </w:rPr>
        <w:t xml:space="preserve">חקיקה שאוזכרה: </w:t>
      </w:r>
    </w:p>
    <w:p w14:paraId="133B975E" w14:textId="77777777" w:rsidR="0022660A" w:rsidRDefault="0022660A" w:rsidP="0022660A">
      <w:pPr>
        <w:spacing w:after="120" w:line="240" w:lineRule="exact"/>
        <w:ind w:left="283" w:hanging="283"/>
        <w:jc w:val="both"/>
        <w:rPr>
          <w:rFonts w:ascii="FrankRuehl" w:hAnsi="FrankRuehl" w:cs="FrankRuehl" w:hint="cs"/>
          <w:color w:val="0000FF"/>
          <w:u w:val="single"/>
          <w:rtl/>
        </w:rPr>
      </w:pPr>
      <w:hyperlink r:id="rId7" w:history="1">
        <w:r w:rsidRPr="0022660A">
          <w:rPr>
            <w:rStyle w:val="Hyperlink"/>
            <w:rFonts w:ascii="FrankRuehl" w:hAnsi="FrankRuehl" w:cs="FrankRuehl"/>
            <w:rtl/>
          </w:rPr>
          <w:t>חוק העונשין, תשל"ז-1977</w:t>
        </w:r>
      </w:hyperlink>
      <w:r w:rsidRPr="0022660A">
        <w:rPr>
          <w:rFonts w:ascii="FrankRuehl" w:hAnsi="FrankRuehl" w:cs="FrankRuehl"/>
          <w:color w:val="0000FF"/>
          <w:u w:val="single"/>
          <w:rtl/>
        </w:rPr>
        <w:t xml:space="preserve">: סע'  </w:t>
      </w:r>
      <w:hyperlink r:id="rId8" w:history="1">
        <w:r w:rsidRPr="0022660A">
          <w:rPr>
            <w:rStyle w:val="Hyperlink"/>
            <w:rFonts w:ascii="FrankRuehl" w:hAnsi="FrankRuehl" w:cs="FrankRuehl"/>
          </w:rPr>
          <w:t>25</w:t>
        </w:r>
      </w:hyperlink>
      <w:r w:rsidRPr="0022660A">
        <w:rPr>
          <w:rFonts w:ascii="FrankRuehl" w:hAnsi="FrankRuehl" w:cs="FrankRuehl"/>
          <w:color w:val="0000FF"/>
          <w:u w:val="single"/>
          <w:rtl/>
        </w:rPr>
        <w:t xml:space="preserve">, </w:t>
      </w:r>
      <w:hyperlink r:id="rId9" w:history="1">
        <w:r w:rsidRPr="0022660A">
          <w:rPr>
            <w:rStyle w:val="Hyperlink"/>
            <w:rFonts w:ascii="FrankRuehl" w:hAnsi="FrankRuehl" w:cs="FrankRuehl"/>
          </w:rPr>
          <w:t>40</w:t>
        </w:r>
        <w:r w:rsidRPr="0022660A">
          <w:rPr>
            <w:rStyle w:val="Hyperlink"/>
            <w:rFonts w:ascii="FrankRuehl" w:hAnsi="FrankRuehl" w:cs="FrankRuehl"/>
            <w:rtl/>
          </w:rPr>
          <w:t>ג(א</w:t>
        </w:r>
        <w:r w:rsidRPr="0022660A">
          <w:rPr>
            <w:rStyle w:val="Hyperlink"/>
            <w:rFonts w:ascii="FrankRuehl" w:hAnsi="FrankRuehl" w:cs="FrankRuehl"/>
          </w:rPr>
          <w:t>)</w:t>
        </w:r>
      </w:hyperlink>
      <w:r w:rsidRPr="0022660A">
        <w:rPr>
          <w:rFonts w:ascii="FrankRuehl" w:hAnsi="FrankRuehl" w:cs="FrankRuehl"/>
          <w:color w:val="0000FF"/>
          <w:u w:val="single"/>
          <w:rtl/>
        </w:rPr>
        <w:t xml:space="preserve">, </w:t>
      </w:r>
      <w:hyperlink r:id="rId10" w:history="1">
        <w:r w:rsidRPr="0022660A">
          <w:rPr>
            <w:rStyle w:val="Hyperlink"/>
            <w:rFonts w:ascii="FrankRuehl" w:hAnsi="FrankRuehl" w:cs="FrankRuehl"/>
          </w:rPr>
          <w:t>40</w:t>
        </w:r>
        <w:r w:rsidRPr="0022660A">
          <w:rPr>
            <w:rStyle w:val="Hyperlink"/>
            <w:rFonts w:ascii="FrankRuehl" w:hAnsi="FrankRuehl" w:cs="FrankRuehl"/>
            <w:rtl/>
          </w:rPr>
          <w:t>ה</w:t>
        </w:r>
      </w:hyperlink>
      <w:r w:rsidRPr="0022660A">
        <w:rPr>
          <w:rFonts w:ascii="FrankRuehl" w:hAnsi="FrankRuehl" w:cs="FrankRuehl"/>
          <w:color w:val="0000FF"/>
          <w:u w:val="single"/>
          <w:rtl/>
        </w:rPr>
        <w:t xml:space="preserve">, </w:t>
      </w:r>
      <w:hyperlink r:id="rId11" w:history="1">
        <w:r w:rsidRPr="0022660A">
          <w:rPr>
            <w:rStyle w:val="Hyperlink"/>
            <w:rFonts w:ascii="FrankRuehl" w:hAnsi="FrankRuehl" w:cs="FrankRuehl"/>
          </w:rPr>
          <w:t>40</w:t>
        </w:r>
        <w:r w:rsidRPr="0022660A">
          <w:rPr>
            <w:rStyle w:val="Hyperlink"/>
            <w:rFonts w:ascii="FrankRuehl" w:hAnsi="FrankRuehl" w:cs="FrankRuehl"/>
            <w:rtl/>
          </w:rPr>
          <w:t>ו</w:t>
        </w:r>
      </w:hyperlink>
      <w:r w:rsidRPr="0022660A">
        <w:rPr>
          <w:rFonts w:ascii="FrankRuehl" w:hAnsi="FrankRuehl" w:cs="FrankRuehl"/>
          <w:color w:val="0000FF"/>
          <w:u w:val="single"/>
          <w:rtl/>
        </w:rPr>
        <w:t xml:space="preserve">, </w:t>
      </w:r>
      <w:hyperlink r:id="rId12" w:history="1">
        <w:r w:rsidRPr="0022660A">
          <w:rPr>
            <w:rStyle w:val="Hyperlink"/>
            <w:rFonts w:ascii="FrankRuehl" w:hAnsi="FrankRuehl" w:cs="FrankRuehl"/>
          </w:rPr>
          <w:t>40</w:t>
        </w:r>
        <w:r w:rsidRPr="0022660A">
          <w:rPr>
            <w:rStyle w:val="Hyperlink"/>
            <w:rFonts w:ascii="FrankRuehl" w:hAnsi="FrankRuehl" w:cs="FrankRuehl"/>
            <w:rtl/>
          </w:rPr>
          <w:t>ז</w:t>
        </w:r>
      </w:hyperlink>
      <w:r w:rsidRPr="0022660A">
        <w:rPr>
          <w:rFonts w:ascii="FrankRuehl" w:hAnsi="FrankRuehl" w:cs="FrankRuehl"/>
          <w:color w:val="0000FF"/>
          <w:u w:val="single"/>
          <w:rtl/>
        </w:rPr>
        <w:t xml:space="preserve">, </w:t>
      </w:r>
      <w:hyperlink r:id="rId13" w:history="1">
        <w:r w:rsidRPr="0022660A">
          <w:rPr>
            <w:rStyle w:val="Hyperlink"/>
            <w:rFonts w:ascii="FrankRuehl" w:hAnsi="FrankRuehl" w:cs="FrankRuehl"/>
          </w:rPr>
          <w:t>40</w:t>
        </w:r>
        <w:r w:rsidRPr="0022660A">
          <w:rPr>
            <w:rStyle w:val="Hyperlink"/>
            <w:rFonts w:ascii="FrankRuehl" w:hAnsi="FrankRuehl" w:cs="FrankRuehl"/>
            <w:rtl/>
          </w:rPr>
          <w:t>י</w:t>
        </w:r>
      </w:hyperlink>
      <w:r w:rsidRPr="0022660A">
        <w:rPr>
          <w:rFonts w:ascii="FrankRuehl" w:hAnsi="FrankRuehl" w:cs="FrankRuehl"/>
          <w:color w:val="0000FF"/>
          <w:u w:val="single"/>
          <w:rtl/>
        </w:rPr>
        <w:t xml:space="preserve">, </w:t>
      </w:r>
      <w:hyperlink r:id="rId14" w:history="1">
        <w:r w:rsidRPr="0022660A">
          <w:rPr>
            <w:rStyle w:val="Hyperlink"/>
            <w:rFonts w:ascii="FrankRuehl" w:hAnsi="FrankRuehl" w:cs="FrankRuehl"/>
          </w:rPr>
          <w:t>144(</w:t>
        </w:r>
        <w:r w:rsidRPr="0022660A">
          <w:rPr>
            <w:rStyle w:val="Hyperlink"/>
            <w:rFonts w:ascii="FrankRuehl" w:hAnsi="FrankRuehl" w:cs="FrankRuehl"/>
            <w:rtl/>
          </w:rPr>
          <w:t>א</w:t>
        </w:r>
        <w:r w:rsidRPr="0022660A">
          <w:rPr>
            <w:rStyle w:val="Hyperlink"/>
            <w:rFonts w:ascii="FrankRuehl" w:hAnsi="FrankRuehl" w:cs="FrankRuehl"/>
          </w:rPr>
          <w:t>)</w:t>
        </w:r>
      </w:hyperlink>
      <w:r w:rsidRPr="0022660A">
        <w:rPr>
          <w:rFonts w:ascii="FrankRuehl" w:hAnsi="FrankRuehl" w:cs="FrankRuehl"/>
          <w:color w:val="0000FF"/>
          <w:u w:val="single"/>
          <w:rtl/>
        </w:rPr>
        <w:t xml:space="preserve">, </w:t>
      </w:r>
      <w:hyperlink r:id="rId15" w:history="1">
        <w:r w:rsidRPr="0022660A">
          <w:rPr>
            <w:rStyle w:val="Hyperlink"/>
            <w:rFonts w:ascii="FrankRuehl" w:hAnsi="FrankRuehl" w:cs="FrankRuehl"/>
          </w:rPr>
          <w:t>333</w:t>
        </w:r>
      </w:hyperlink>
      <w:r w:rsidRPr="0022660A">
        <w:rPr>
          <w:rFonts w:ascii="FrankRuehl" w:hAnsi="FrankRuehl" w:cs="FrankRuehl"/>
          <w:color w:val="0000FF"/>
          <w:u w:val="single"/>
          <w:rtl/>
        </w:rPr>
        <w:t xml:space="preserve">, </w:t>
      </w:r>
      <w:hyperlink r:id="rId16" w:history="1">
        <w:r w:rsidRPr="0022660A">
          <w:rPr>
            <w:rStyle w:val="Hyperlink"/>
            <w:rFonts w:ascii="FrankRuehl" w:hAnsi="FrankRuehl" w:cs="FrankRuehl"/>
          </w:rPr>
          <w:t>335</w:t>
        </w:r>
      </w:hyperlink>
      <w:r w:rsidRPr="0022660A">
        <w:rPr>
          <w:rFonts w:ascii="FrankRuehl" w:hAnsi="FrankRuehl" w:cs="FrankRuehl"/>
          <w:color w:val="0000FF"/>
          <w:u w:val="single"/>
          <w:rtl/>
        </w:rPr>
        <w:t xml:space="preserve">, </w:t>
      </w:r>
      <w:hyperlink r:id="rId17" w:history="1">
        <w:r w:rsidRPr="0022660A">
          <w:rPr>
            <w:rStyle w:val="Hyperlink"/>
            <w:rFonts w:ascii="FrankRuehl" w:hAnsi="FrankRuehl" w:cs="FrankRuehl"/>
          </w:rPr>
          <w:t>40</w:t>
        </w:r>
        <w:r w:rsidRPr="0022660A">
          <w:rPr>
            <w:rStyle w:val="Hyperlink"/>
            <w:rFonts w:ascii="FrankRuehl" w:hAnsi="FrankRuehl" w:cs="FrankRuehl"/>
            <w:rtl/>
          </w:rPr>
          <w:t>יא(5</w:t>
        </w:r>
        <w:r w:rsidRPr="0022660A">
          <w:rPr>
            <w:rStyle w:val="Hyperlink"/>
            <w:rFonts w:ascii="FrankRuehl" w:hAnsi="FrankRuehl" w:cs="FrankRuehl"/>
          </w:rPr>
          <w:t>)</w:t>
        </w:r>
      </w:hyperlink>
    </w:p>
    <w:p w14:paraId="702ABCC0" w14:textId="77777777" w:rsidR="005C1366" w:rsidRDefault="005C1366" w:rsidP="0022660A">
      <w:pPr>
        <w:spacing w:after="120" w:line="240" w:lineRule="exact"/>
        <w:ind w:left="283" w:hanging="283"/>
        <w:jc w:val="both"/>
        <w:rPr>
          <w:rFonts w:ascii="FrankRuehl" w:hAnsi="FrankRuehl" w:cs="FrankRuehl" w:hint="cs"/>
          <w:color w:val="0000FF"/>
          <w:u w:val="single"/>
          <w:rtl/>
        </w:rPr>
      </w:pPr>
    </w:p>
    <w:p w14:paraId="3297F628" w14:textId="77777777" w:rsid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ABSTRACT_START"/>
      <w:bookmarkEnd w:id="4"/>
      <w:r>
        <w:rPr>
          <w:rFonts w:ascii="Times New Roman" w:hAnsi="Times New Roman" w:cs="FrankRuehl"/>
          <w:sz w:val="24"/>
          <w:szCs w:val="26"/>
          <w:rtl/>
        </w:rPr>
        <w:t>מיני-רציו:</w:t>
      </w:r>
    </w:p>
    <w:p w14:paraId="0ACB1F4C" w14:textId="77777777" w:rsidR="006208D0" w:rsidRP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6208D0">
        <w:rPr>
          <w:rFonts w:ascii="Times New Roman" w:hAnsi="Times New Roman" w:cs="FrankRuehl" w:hint="cs"/>
          <w:sz w:val="24"/>
          <w:szCs w:val="26"/>
          <w:rtl/>
        </w:rPr>
        <w:t>הנאשם, שהורשע בגין ירי לעבר רכבו של המתלונן, נידון ל-4 שנות מאסר, שני</w:t>
      </w:r>
      <w:r w:rsidRPr="006208D0">
        <w:rPr>
          <w:rFonts w:ascii="Times New Roman" w:hAnsi="Times New Roman" w:cs="FrankRuehl"/>
          <w:sz w:val="24"/>
          <w:szCs w:val="26"/>
          <w:rtl/>
        </w:rPr>
        <w:t xml:space="preserve"> מאסר</w:t>
      </w:r>
      <w:r w:rsidRPr="006208D0">
        <w:rPr>
          <w:rFonts w:ascii="Times New Roman" w:hAnsi="Times New Roman" w:cs="FrankRuehl" w:hint="cs"/>
          <w:sz w:val="24"/>
          <w:szCs w:val="26"/>
          <w:rtl/>
        </w:rPr>
        <w:t>ים</w:t>
      </w:r>
      <w:r w:rsidRPr="006208D0">
        <w:rPr>
          <w:rFonts w:ascii="Times New Roman" w:hAnsi="Times New Roman" w:cs="FrankRuehl"/>
          <w:sz w:val="24"/>
          <w:szCs w:val="26"/>
          <w:rtl/>
        </w:rPr>
        <w:t xml:space="preserve"> על תנאי </w:t>
      </w:r>
      <w:r w:rsidRPr="006208D0">
        <w:rPr>
          <w:rFonts w:ascii="Times New Roman" w:hAnsi="Times New Roman" w:cs="FrankRuehl" w:hint="cs"/>
          <w:sz w:val="24"/>
          <w:szCs w:val="26"/>
          <w:rtl/>
        </w:rPr>
        <w:t>ו</w:t>
      </w:r>
      <w:r w:rsidRPr="006208D0">
        <w:rPr>
          <w:rFonts w:ascii="Times New Roman" w:hAnsi="Times New Roman" w:cs="FrankRuehl"/>
          <w:sz w:val="24"/>
          <w:szCs w:val="26"/>
          <w:rtl/>
        </w:rPr>
        <w:t>פיצוי למתלונן ולבנו.</w:t>
      </w:r>
    </w:p>
    <w:p w14:paraId="2D7C5404" w14:textId="77777777" w:rsid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אלימות</w:t>
      </w:r>
    </w:p>
    <w:p w14:paraId="15AFFA24" w14:textId="77777777" w:rsidR="006208D0" w:rsidRDefault="006208D0" w:rsidP="006208D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1B1C0502" w14:textId="77777777" w:rsidR="005C1366" w:rsidRPr="006208D0" w:rsidRDefault="005C1366" w:rsidP="006208D0">
      <w:pPr>
        <w:pBdr>
          <w:top w:val="single" w:sz="4" w:space="1" w:color="auto"/>
          <w:bottom w:val="single" w:sz="4" w:space="1" w:color="auto"/>
        </w:pBdr>
        <w:spacing w:after="120" w:line="320" w:lineRule="exact"/>
        <w:jc w:val="both"/>
        <w:rPr>
          <w:rFonts w:cs="FrankRuehl"/>
          <w:szCs w:val="26"/>
          <w:rtl/>
        </w:rPr>
      </w:pPr>
      <w:r w:rsidRPr="006208D0">
        <w:rPr>
          <w:rFonts w:cs="FrankRuehl"/>
          <w:szCs w:val="26"/>
          <w:rtl/>
        </w:rPr>
        <w:t>הנאשם הורשע</w:t>
      </w:r>
      <w:r w:rsidRPr="006208D0">
        <w:rPr>
          <w:rFonts w:cs="FrankRuehl" w:hint="cs"/>
          <w:szCs w:val="26"/>
          <w:rtl/>
        </w:rPr>
        <w:t>,</w:t>
      </w:r>
      <w:r w:rsidRPr="006208D0">
        <w:rPr>
          <w:rFonts w:cs="FrankRuehl"/>
          <w:szCs w:val="26"/>
          <w:rtl/>
        </w:rPr>
        <w:t xml:space="preserve"> במסגרת הסדר טיעון, בביצוע עבירות בנשק וניסיון לחבלה חמורה בנסיבות מחמירות</w:t>
      </w:r>
      <w:r w:rsidRPr="006208D0">
        <w:rPr>
          <w:rFonts w:cs="FrankRuehl" w:hint="cs"/>
          <w:szCs w:val="26"/>
          <w:rtl/>
        </w:rPr>
        <w:t>, בגין כך שירה באקדח לעבר רכבו של המתלונן, בעודו המתלונן ובנו יושבים ברכב.</w:t>
      </w:r>
    </w:p>
    <w:p w14:paraId="1CF8CD9C" w14:textId="77777777" w:rsidR="006208D0" w:rsidRDefault="006208D0" w:rsidP="006208D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FF48FC6" w14:textId="77777777" w:rsidR="005C1366" w:rsidRPr="006208D0" w:rsidRDefault="005C1366" w:rsidP="006208D0">
      <w:pPr>
        <w:pBdr>
          <w:top w:val="single" w:sz="4" w:space="1" w:color="auto"/>
          <w:bottom w:val="single" w:sz="4" w:space="1" w:color="auto"/>
        </w:pBdr>
        <w:spacing w:after="120" w:line="320" w:lineRule="exact"/>
        <w:jc w:val="both"/>
        <w:rPr>
          <w:rFonts w:cs="FrankRuehl"/>
          <w:szCs w:val="26"/>
          <w:rtl/>
        </w:rPr>
      </w:pPr>
      <w:r w:rsidRPr="006208D0">
        <w:rPr>
          <w:rFonts w:cs="FrankRuehl"/>
          <w:szCs w:val="26"/>
          <w:rtl/>
        </w:rPr>
        <w:t>בית המשפט המחוזי</w:t>
      </w:r>
      <w:r w:rsidRPr="006208D0">
        <w:rPr>
          <w:rFonts w:cs="FrankRuehl" w:hint="cs"/>
          <w:szCs w:val="26"/>
          <w:rtl/>
        </w:rPr>
        <w:t xml:space="preserve"> גזר את הדין כדלהלן:</w:t>
      </w:r>
    </w:p>
    <w:p w14:paraId="343C57F3" w14:textId="77777777" w:rsidR="005C1366" w:rsidRPr="006208D0" w:rsidRDefault="005C1366" w:rsidP="006208D0">
      <w:pPr>
        <w:pBdr>
          <w:top w:val="single" w:sz="4" w:space="1" w:color="auto"/>
          <w:bottom w:val="single" w:sz="4" w:space="1" w:color="auto"/>
        </w:pBdr>
        <w:spacing w:after="120" w:line="320" w:lineRule="exact"/>
        <w:jc w:val="both"/>
        <w:rPr>
          <w:rFonts w:cs="FrankRuehl"/>
          <w:szCs w:val="26"/>
        </w:rPr>
      </w:pPr>
      <w:r w:rsidRPr="006208D0">
        <w:rPr>
          <w:rFonts w:cs="FrankRuehl"/>
          <w:szCs w:val="26"/>
          <w:rtl/>
        </w:rPr>
        <w:t>ירי באקדח לא חוקי, לעבר בני אדם, בניסיון לחבול בהם, תוך סיכון חייהם, הוא מעשה חמור מאוד.</w:t>
      </w:r>
      <w:r w:rsidRPr="006208D0">
        <w:rPr>
          <w:rFonts w:cs="FrankRuehl" w:hint="cs"/>
          <w:szCs w:val="26"/>
          <w:rtl/>
        </w:rPr>
        <w:t xml:space="preserve"> </w:t>
      </w:r>
      <w:r w:rsidRPr="006208D0">
        <w:rPr>
          <w:rFonts w:cs="FrankRuehl"/>
          <w:szCs w:val="26"/>
          <w:rtl/>
        </w:rPr>
        <w:t>יש להעמיד את מתחם העונש ההולם את מעשי הנאשם על 3 עד 6 שנות מאסר בפועל</w:t>
      </w:r>
      <w:r w:rsidRPr="006208D0">
        <w:rPr>
          <w:rFonts w:cs="FrankRuehl" w:hint="cs"/>
          <w:szCs w:val="26"/>
          <w:rtl/>
        </w:rPr>
        <w:t xml:space="preserve">. </w:t>
      </w:r>
      <w:r w:rsidRPr="006208D0">
        <w:rPr>
          <w:rFonts w:cs="FrankRuehl"/>
          <w:szCs w:val="26"/>
          <w:rtl/>
        </w:rPr>
        <w:t xml:space="preserve">בשים לב לנסיבות האישיות, יש להטיל על הנאשם עונש בצד התחתון של המתחם, אך </w:t>
      </w:r>
      <w:r w:rsidRPr="006208D0">
        <w:rPr>
          <w:rFonts w:cs="FrankRuehl" w:hint="cs"/>
          <w:szCs w:val="26"/>
          <w:rtl/>
        </w:rPr>
        <w:t xml:space="preserve">לא בצד </w:t>
      </w:r>
      <w:r w:rsidRPr="006208D0">
        <w:rPr>
          <w:rFonts w:cs="FrankRuehl"/>
          <w:szCs w:val="26"/>
          <w:rtl/>
        </w:rPr>
        <w:t>התחתון עצמו, נוכח השיקולים לחומרה. אין מקום להשית קנס כאשר מדובר בעבירה שאין מטרתה כלכלית ועל הנאשם מושת עונש מאסר ממושך.</w:t>
      </w:r>
      <w:r w:rsidRPr="006208D0">
        <w:rPr>
          <w:rFonts w:cs="FrankRuehl" w:hint="cs"/>
          <w:szCs w:val="26"/>
          <w:rtl/>
        </w:rPr>
        <w:t xml:space="preserve"> במכלול השיקולים והנסיבות, נגזרו על הנאשם 4 שנות מאסר בניכוי מעצרו, שני</w:t>
      </w:r>
      <w:r w:rsidRPr="006208D0">
        <w:rPr>
          <w:rFonts w:cs="FrankRuehl"/>
          <w:szCs w:val="26"/>
          <w:rtl/>
        </w:rPr>
        <w:t xml:space="preserve"> מאסר</w:t>
      </w:r>
      <w:r w:rsidRPr="006208D0">
        <w:rPr>
          <w:rFonts w:cs="FrankRuehl" w:hint="cs"/>
          <w:szCs w:val="26"/>
          <w:rtl/>
        </w:rPr>
        <w:t>ים</w:t>
      </w:r>
      <w:r w:rsidRPr="006208D0">
        <w:rPr>
          <w:rFonts w:cs="FrankRuehl"/>
          <w:szCs w:val="26"/>
          <w:rtl/>
        </w:rPr>
        <w:t xml:space="preserve"> על תנאי </w:t>
      </w:r>
      <w:r w:rsidRPr="006208D0">
        <w:rPr>
          <w:rFonts w:cs="FrankRuehl" w:hint="cs"/>
          <w:szCs w:val="26"/>
          <w:rtl/>
        </w:rPr>
        <w:t>ו</w:t>
      </w:r>
      <w:r w:rsidRPr="006208D0">
        <w:rPr>
          <w:rFonts w:cs="FrankRuehl"/>
          <w:szCs w:val="26"/>
          <w:rtl/>
        </w:rPr>
        <w:t xml:space="preserve">פיצוי למתלונן ולבנו </w:t>
      </w:r>
      <w:r w:rsidRPr="006208D0">
        <w:rPr>
          <w:rFonts w:cs="FrankRuehl" w:hint="cs"/>
          <w:szCs w:val="26"/>
          <w:rtl/>
        </w:rPr>
        <w:t>ש</w:t>
      </w:r>
      <w:r w:rsidRPr="006208D0">
        <w:rPr>
          <w:rFonts w:cs="FrankRuehl"/>
          <w:szCs w:val="26"/>
          <w:rtl/>
        </w:rPr>
        <w:t xml:space="preserve">ישב עמו ברכב, בסך של 6000 ₪, לכל אחד. </w:t>
      </w:r>
    </w:p>
    <w:p w14:paraId="0A06E7E3" w14:textId="77777777" w:rsidR="005C1366" w:rsidRDefault="005C1366" w:rsidP="0022660A">
      <w:pPr>
        <w:spacing w:after="120" w:line="240" w:lineRule="exact"/>
        <w:ind w:left="283" w:hanging="283"/>
        <w:jc w:val="both"/>
        <w:rPr>
          <w:rFonts w:ascii="FrankRuehl" w:hAnsi="FrankRuehl" w:cs="FrankRuehl" w:hint="cs"/>
          <w:color w:val="0000FF"/>
          <w:u w:val="single"/>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54BA" w14:paraId="3639AEE9" w14:textId="77777777">
        <w:trPr>
          <w:trHeight w:val="355"/>
          <w:jc w:val="center"/>
        </w:trPr>
        <w:tc>
          <w:tcPr>
            <w:tcW w:w="8820" w:type="dxa"/>
            <w:tcBorders>
              <w:top w:val="nil"/>
              <w:left w:val="nil"/>
              <w:bottom w:val="nil"/>
              <w:right w:val="nil"/>
            </w:tcBorders>
          </w:tcPr>
          <w:p w14:paraId="45FAA470" w14:textId="77777777" w:rsidR="00826F39" w:rsidRPr="00826F39" w:rsidRDefault="00826F39" w:rsidP="00826F39">
            <w:pPr>
              <w:jc w:val="center"/>
              <w:rPr>
                <w:rFonts w:ascii="Arial" w:hAnsi="Arial"/>
                <w:b/>
                <w:bCs/>
                <w:sz w:val="28"/>
                <w:szCs w:val="28"/>
                <w:u w:val="single"/>
                <w:rtl/>
              </w:rPr>
            </w:pPr>
            <w:bookmarkStart w:id="6" w:name="PsakDin" w:colFirst="0" w:colLast="0"/>
            <w:bookmarkEnd w:id="0"/>
            <w:r w:rsidRPr="00826F39">
              <w:rPr>
                <w:rFonts w:ascii="Arial" w:hAnsi="Arial"/>
                <w:b/>
                <w:bCs/>
                <w:sz w:val="28"/>
                <w:szCs w:val="28"/>
                <w:u w:val="single"/>
                <w:rtl/>
              </w:rPr>
              <w:t>גזר דין</w:t>
            </w:r>
          </w:p>
          <w:p w14:paraId="3B8346A3" w14:textId="77777777" w:rsidR="00BA54BA" w:rsidRPr="00826F39" w:rsidRDefault="00BA54BA" w:rsidP="00826F39">
            <w:pPr>
              <w:jc w:val="center"/>
              <w:rPr>
                <w:rFonts w:ascii="Arial" w:hAnsi="Arial"/>
                <w:b/>
                <w:bCs/>
                <w:sz w:val="28"/>
                <w:szCs w:val="28"/>
                <w:u w:val="single"/>
                <w:rtl/>
              </w:rPr>
            </w:pPr>
          </w:p>
        </w:tc>
      </w:tr>
    </w:tbl>
    <w:bookmarkEnd w:id="6"/>
    <w:p w14:paraId="5DF7F65C" w14:textId="77777777" w:rsidR="00BA54BA" w:rsidRDefault="00826F39">
      <w:pPr>
        <w:spacing w:line="360" w:lineRule="auto"/>
        <w:jc w:val="both"/>
        <w:rPr>
          <w:b/>
          <w:bCs/>
          <w:u w:val="single"/>
          <w:rtl/>
        </w:rPr>
      </w:pPr>
      <w:r>
        <w:rPr>
          <w:b/>
          <w:bCs/>
          <w:u w:val="single"/>
          <w:rtl/>
        </w:rPr>
        <w:t>רקע עובדתי:</w:t>
      </w:r>
    </w:p>
    <w:p w14:paraId="0CB31FD6" w14:textId="77777777" w:rsidR="00BA54BA" w:rsidRDefault="00826F39">
      <w:pPr>
        <w:numPr>
          <w:ilvl w:val="0"/>
          <w:numId w:val="1"/>
        </w:numPr>
        <w:spacing w:line="360" w:lineRule="auto"/>
        <w:jc w:val="both"/>
      </w:pPr>
      <w:r>
        <w:rPr>
          <w:rtl/>
        </w:rPr>
        <w:lastRenderedPageBreak/>
        <w:t xml:space="preserve">הנאשם הורשע על פי הודאתו במסגרת הסדר טיעון, שלא כלל רכיב עונשי, בכתב אישום מתוקן, בביצוע עבירות בנשק לפי </w:t>
      </w:r>
      <w:hyperlink r:id="rId18" w:history="1">
        <w:r w:rsidR="0022660A" w:rsidRPr="0022660A">
          <w:rPr>
            <w:rStyle w:val="Hyperlink"/>
            <w:rtl/>
          </w:rPr>
          <w:t>סעיף 144(א)</w:t>
        </w:r>
      </w:hyperlink>
      <w:r>
        <w:rPr>
          <w:rtl/>
        </w:rPr>
        <w:t xml:space="preserve"> רישא ל</w:t>
      </w:r>
      <w:hyperlink r:id="rId19" w:history="1">
        <w:r w:rsidRPr="00826F39">
          <w:rPr>
            <w:color w:val="0000FF"/>
            <w:u w:val="single"/>
            <w:rtl/>
          </w:rPr>
          <w:t>חוק ה</w:t>
        </w:r>
        <w:r w:rsidRPr="00826F39">
          <w:rPr>
            <w:color w:val="0000FF"/>
            <w:u w:val="single"/>
            <w:rtl/>
          </w:rPr>
          <w:t>ע</w:t>
        </w:r>
        <w:r w:rsidRPr="00826F39">
          <w:rPr>
            <w:color w:val="0000FF"/>
            <w:u w:val="single"/>
            <w:rtl/>
          </w:rPr>
          <w:t>ונשין</w:t>
        </w:r>
      </w:hyperlink>
      <w:r>
        <w:rPr>
          <w:rtl/>
        </w:rPr>
        <w:t>,תשל"ז-1977 (להלן:</w:t>
      </w:r>
      <w:r>
        <w:rPr>
          <w:rFonts w:hint="cs"/>
          <w:rtl/>
        </w:rPr>
        <w:t xml:space="preserve"> </w:t>
      </w:r>
      <w:r>
        <w:rPr>
          <w:rtl/>
        </w:rPr>
        <w:t xml:space="preserve">"החוק") וניסיון לחבלה חמורה בנסיבות מחמירות לפי סעיפים </w:t>
      </w:r>
      <w:hyperlink r:id="rId20" w:history="1">
        <w:r w:rsidR="0022660A" w:rsidRPr="0022660A">
          <w:rPr>
            <w:rStyle w:val="Hyperlink"/>
            <w:rtl/>
          </w:rPr>
          <w:t>333</w:t>
        </w:r>
      </w:hyperlink>
      <w:r>
        <w:rPr>
          <w:rtl/>
        </w:rPr>
        <w:t>+</w:t>
      </w:r>
      <w:hyperlink r:id="rId21" w:history="1">
        <w:r w:rsidR="0022660A" w:rsidRPr="0022660A">
          <w:rPr>
            <w:rStyle w:val="Hyperlink"/>
            <w:rtl/>
          </w:rPr>
          <w:t>335</w:t>
        </w:r>
      </w:hyperlink>
      <w:r>
        <w:rPr>
          <w:rtl/>
        </w:rPr>
        <w:t>(א)(1) ו-</w:t>
      </w:r>
      <w:hyperlink r:id="rId22" w:history="1">
        <w:r w:rsidR="0022660A" w:rsidRPr="0022660A">
          <w:rPr>
            <w:rStyle w:val="Hyperlink"/>
            <w:rtl/>
          </w:rPr>
          <w:t>25</w:t>
        </w:r>
      </w:hyperlink>
      <w:r>
        <w:rPr>
          <w:rtl/>
        </w:rPr>
        <w:t xml:space="preserve"> לפי החוק.</w:t>
      </w:r>
    </w:p>
    <w:p w14:paraId="4ED9043F" w14:textId="77777777" w:rsidR="00BA54BA" w:rsidRDefault="00826F39">
      <w:pPr>
        <w:numPr>
          <w:ilvl w:val="0"/>
          <w:numId w:val="1"/>
        </w:numPr>
        <w:spacing w:line="360" w:lineRule="auto"/>
        <w:jc w:val="both"/>
      </w:pPr>
      <w:r>
        <w:rPr>
          <w:rtl/>
        </w:rPr>
        <w:t>מ</w:t>
      </w:r>
      <w:r>
        <w:rPr>
          <w:b/>
          <w:bCs/>
          <w:rtl/>
        </w:rPr>
        <w:t xml:space="preserve">כתב האישום המתוקן </w:t>
      </w:r>
      <w:r>
        <w:rPr>
          <w:rtl/>
        </w:rPr>
        <w:t>עולה, כי המתלונן והנאשם הם שכנים בעיר רהט. בסמוך לבית המתלונן ישנו ספסל בטון. עובר לאירוע היו מחלוקות בין המתלונן ובני משפחתו לבין הנאשם וחבריו לגבי השימוש באותו ספסל. בעקבות המחלוקות, ובכדי למנוע מהנאשם וחבריו לשבת על הספסל, משח המתלונן את הספסל בשמן. מאוחר יותר באותו יום,  ישב המתלונן ברכבו, והמתין לפתיחת השער החשמלי של החנייה בביתו. במושב שלידו ישב בנו, כבן 18. באותה העת, ניגש הנאשם אל רכבו של המתלונן, כשהוא אוחז בידו אקדח מסוג שאינו ידוע למאשימה, נקש על חלון הנהג ואמר למתלונן :"אם תעשה את זה עוד פעם אני אראה לך". המתלונן אמר לנאשם לחזור הביתה. הנאשם בתגובה התרחק מעט מהרכב וירה מספר יריות לעבר דלת הנהג, כאשר הוא מנסה לחבול ביושבי הרכב, ונמלט מהמקום. כתוצאה ממעשיו של הנאשם שלושה מהקליעים פגעו בדלת הנהג ברכב, וחלקם חדרו. המתלונן והקטין לא נפגעו.</w:t>
      </w:r>
    </w:p>
    <w:p w14:paraId="7684C4DE" w14:textId="77777777" w:rsidR="00BA54BA" w:rsidRDefault="00826F39">
      <w:pPr>
        <w:numPr>
          <w:ilvl w:val="0"/>
          <w:numId w:val="1"/>
        </w:numPr>
        <w:spacing w:line="360" w:lineRule="auto"/>
        <w:jc w:val="both"/>
      </w:pPr>
      <w:r>
        <w:rPr>
          <w:rtl/>
        </w:rPr>
        <w:t xml:space="preserve">המדינה לא הגישה ראיות לעונש. </w:t>
      </w:r>
    </w:p>
    <w:p w14:paraId="5E816CA3" w14:textId="77777777" w:rsidR="00BA54BA" w:rsidRDefault="00826F39">
      <w:pPr>
        <w:numPr>
          <w:ilvl w:val="0"/>
          <w:numId w:val="1"/>
        </w:numPr>
        <w:spacing w:line="360" w:lineRule="auto"/>
        <w:jc w:val="both"/>
      </w:pPr>
      <w:r>
        <w:rPr>
          <w:rtl/>
        </w:rPr>
        <w:t xml:space="preserve">מטעם ההגנה </w:t>
      </w:r>
      <w:r>
        <w:rPr>
          <w:b/>
          <w:bCs/>
          <w:rtl/>
        </w:rPr>
        <w:t>העיד אחיו של המתלונן</w:t>
      </w:r>
      <w:r>
        <w:rPr>
          <w:rtl/>
        </w:rPr>
        <w:t xml:space="preserve">. הוא סיפר כי מיד לאחר האירוע התאספו כעשרה מכובדים אשר פעלו להגיע לסולחה בין הצדדים. הסולחה כללה פיצוי בגין הנזק הפיזי שנגרם לרכב, אך לא מעבר לכך. כן כללה הסולחה תנאים כספיים שיופעלו נגד מי שיפר את הסולחה. העד הסביר כי הנאשם והמתלונן גרים זה מול זה, משני עברי הכביש, וכי מדובר בשכנות הנמשכת זה כמה דורות. לדבריו, היום היחסים בין הצדדים תקינים, והם מזמינים ומשתתפים זה בשמחות של זה. </w:t>
      </w:r>
    </w:p>
    <w:p w14:paraId="263189F3" w14:textId="77777777" w:rsidR="00BA54BA" w:rsidRDefault="00826F39">
      <w:pPr>
        <w:numPr>
          <w:ilvl w:val="0"/>
          <w:numId w:val="1"/>
        </w:numPr>
        <w:spacing w:line="360" w:lineRule="auto"/>
        <w:jc w:val="both"/>
      </w:pPr>
      <w:r>
        <w:rPr>
          <w:rtl/>
        </w:rPr>
        <w:t xml:space="preserve">הוגש </w:t>
      </w:r>
      <w:r>
        <w:rPr>
          <w:b/>
          <w:bCs/>
          <w:rtl/>
        </w:rPr>
        <w:t>תסקיר מטעם שירות המבחן</w:t>
      </w:r>
      <w:r>
        <w:rPr>
          <w:rtl/>
        </w:rPr>
        <w:t>. מהתסקיר עולה כי הנאשם רווק בן 19 וחצי, בן למשפחה נורמטיבית. הנאשם סיים 12 שנות לימוד, למרות היעדרויות רבות בשנות הלימודים האחרונות, על רקע יציאתו לעבודה לפרנסת משפחתו. שירות המבחן התרשם מאדם צעיר ללא דפוסי התנהגות עבריינים, אשר הצליח לשמור על יציבות תעסוקתית, בעל מוטיבציה ללמידה והשתלבות בשוק העבודה. עם זאת צוין, כי במצבי דחק, ונוכח פגיעה בכבודו, עלול הנאשם לפעול בחוסר אחריות ובאימפולסיביות. הודגש כי נושא הכבוד, שלו ושל משפחתו, הוא מרכזי עבור הנאשם, אשר מצד אחד מוליך הנאשם לשאיפות נורמטיביות, אך מצד שני עלול להוות גורם סיכון לביצוע עבירות נוספות. שירות המבחן התרשם גם, כי הנאשם לא שיתף במלוא המידע אודות העבירה, ונהג ב"צמצום" בכל הנוגע לנשק. עם זאת, מעריך השירות המבחן, כי הטיפול שקיבל במסגרת השירות עזר לו לבחון את התנהגותו בדיעבד, להביע אמפתיה למתלונן ולהפיק לקחים לעתיד לבוא.</w:t>
      </w:r>
    </w:p>
    <w:p w14:paraId="5585F5DC" w14:textId="77777777" w:rsidR="00BA54BA" w:rsidRDefault="00BA54BA">
      <w:pPr>
        <w:ind w:left="720"/>
        <w:rPr>
          <w:rtl/>
        </w:rPr>
      </w:pPr>
    </w:p>
    <w:p w14:paraId="0F35D6CF" w14:textId="77777777" w:rsidR="00BA54BA" w:rsidRDefault="00826F39">
      <w:pPr>
        <w:numPr>
          <w:ilvl w:val="0"/>
          <w:numId w:val="1"/>
        </w:numPr>
        <w:spacing w:line="360" w:lineRule="auto"/>
        <w:jc w:val="both"/>
      </w:pPr>
      <w:r>
        <w:rPr>
          <w:rtl/>
        </w:rPr>
        <w:lastRenderedPageBreak/>
        <w:t>שירות המבחן התייחס גם לעמדת המתלונן, אשר השלים עם משפחת הנאשם בסולחה. סולחה, אשר במסגרתה קיבל פיצוי כספי. המתלונן אינו מבקש פיצוי נוסף. עם זאת, שירות המבחן סבור כי ראוי לפסוק לו פיצוי נוסף.  שירות המבחן ממליץ להטיל עונש של ממש, שיחדד את חומרת המעשה בעיני הנאשם, אך יאפשר המשך הליך טיפולי. לפיכך, ממליץ שירות המבחן על מאסר בדרך של עבודות שירות, צו מבחן לצורך המשך טיפול, ופיצוי למתלונן, כאמור.</w:t>
      </w:r>
      <w:r>
        <w:t xml:space="preserve"> </w:t>
      </w:r>
    </w:p>
    <w:p w14:paraId="1F7E8D88" w14:textId="77777777" w:rsidR="00BA54BA" w:rsidRDefault="00BA54BA">
      <w:pPr>
        <w:spacing w:line="360" w:lineRule="auto"/>
        <w:ind w:left="426"/>
        <w:jc w:val="both"/>
        <w:rPr>
          <w:b/>
          <w:bCs/>
          <w:u w:val="single"/>
          <w:rtl/>
        </w:rPr>
      </w:pPr>
    </w:p>
    <w:p w14:paraId="55085513" w14:textId="77777777" w:rsidR="00BA54BA" w:rsidRDefault="00826F39">
      <w:pPr>
        <w:spacing w:line="360" w:lineRule="auto"/>
        <w:ind w:firstLine="426"/>
        <w:jc w:val="both"/>
        <w:rPr>
          <w:u w:val="single"/>
          <w:rtl/>
        </w:rPr>
      </w:pPr>
      <w:r>
        <w:rPr>
          <w:b/>
          <w:bCs/>
          <w:u w:val="single"/>
          <w:rtl/>
        </w:rPr>
        <w:t>טיעוני באי-כוח הצדדים:</w:t>
      </w:r>
    </w:p>
    <w:p w14:paraId="3BB49C5C" w14:textId="77777777" w:rsidR="00BA54BA" w:rsidRDefault="00826F39">
      <w:pPr>
        <w:numPr>
          <w:ilvl w:val="0"/>
          <w:numId w:val="1"/>
        </w:numPr>
        <w:spacing w:line="360" w:lineRule="auto"/>
        <w:jc w:val="both"/>
      </w:pPr>
      <w:r>
        <w:rPr>
          <w:b/>
          <w:bCs/>
          <w:rtl/>
        </w:rPr>
        <w:t>בא כוח המאשימה</w:t>
      </w:r>
      <w:r>
        <w:rPr>
          <w:rtl/>
        </w:rPr>
        <w:t xml:space="preserve"> הזכיר את עקרון ההלימה כשיקול המרכזי בענישה. כן, עמד ב"כ המאשימה על חשיבותם של הערכים המוגנים שנפגעו כתוצאה ממעשי הנאשם, ביניהם, הגנה על שלמות גופו של אדם, ביטחון הפרט והציבור ושמירה על הסדר התקין במדינה.  בא כוח המאשימה הדגיש גם את ההשלכות הקשות הנובעות מעבירות הנשק השונות והסיכון הרב שהן מסבות לציבור. בא כוח המאשימה הרחיב אודות הצורך החשוב בהרתעת הרבים מפני החזקת נשק שלא כדין ושימוש בו, בטענה כי תופעה זו הולכת ומתגברת במחוזותינו, ועל כן עתר לבית המשפט שירים את תרומתו למלחמה בתופעה על ידי קביעת מתחם ענישה הולם. זאת, בהדגישו כי הענישה הנוהגת אינה אלא אחד השיקולים שעל בית המשפט לשקול.  לשיטת המאשימה, </w:t>
      </w:r>
      <w:r>
        <w:rPr>
          <w:u w:val="single"/>
          <w:rtl/>
        </w:rPr>
        <w:t>המתחם הראוי</w:t>
      </w:r>
      <w:r>
        <w:rPr>
          <w:rtl/>
        </w:rPr>
        <w:t xml:space="preserve"> צריך </w:t>
      </w:r>
      <w:r>
        <w:rPr>
          <w:u w:val="single"/>
          <w:rtl/>
        </w:rPr>
        <w:t>שינוע בין 5 ל-7 שנות מאסר בפועל.</w:t>
      </w:r>
      <w:r>
        <w:rPr>
          <w:rtl/>
        </w:rPr>
        <w:t xml:space="preserve"> </w:t>
      </w:r>
    </w:p>
    <w:p w14:paraId="1ADF42D3" w14:textId="77777777" w:rsidR="00BA54BA" w:rsidRDefault="00826F39">
      <w:pPr>
        <w:numPr>
          <w:ilvl w:val="0"/>
          <w:numId w:val="1"/>
        </w:numPr>
        <w:spacing w:line="360" w:lineRule="auto"/>
        <w:jc w:val="both"/>
      </w:pPr>
      <w:r>
        <w:rPr>
          <w:rtl/>
        </w:rPr>
        <w:t>לעניין העונש אשר בתוך המתחם, ביקש התובע כי העונש ימוקם סביב "חלקו התחתון של מחצית המתחם". זאת, בשים לב לשיתוף הפעולה של הנאשם והודייתו, גילו הצעיר, העדר עבר פלילי, הפגיעה במשפחתו עקב מאסר ממושך וקיומה של סולחה בה פוצה המתלונן. עם זאת הזכיר כי סולחה אינה חזות הכול, וכן הדגיש כי למרות היות התסקיר חיובי בעיקרו, יש בו גם היבטים של מסוכנות אשר צריכים להילקח בחשבון, כמו גם שיקולי הרתעה. מעבר לכך, ביקש התובע להטיל על הנאשם מאסר מותנה,  קנס כספי ופיצוי למתלונן בגין הנזקים שנגרמו לו.</w:t>
      </w:r>
    </w:p>
    <w:p w14:paraId="0213647C" w14:textId="77777777" w:rsidR="00BA54BA" w:rsidRDefault="00826F39">
      <w:pPr>
        <w:numPr>
          <w:ilvl w:val="0"/>
          <w:numId w:val="1"/>
        </w:numPr>
        <w:spacing w:line="360" w:lineRule="auto"/>
        <w:jc w:val="both"/>
      </w:pPr>
      <w:r>
        <w:rPr>
          <w:b/>
          <w:bCs/>
          <w:rtl/>
        </w:rPr>
        <w:t xml:space="preserve">בא כוח הנאשם </w:t>
      </w:r>
      <w:r>
        <w:rPr>
          <w:rtl/>
        </w:rPr>
        <w:t>טען כי בין שתי המשפחות של המתלונן והנאשם יחסי שכנות רבת שנים וענפה, המבוססת על כבוד ורעות הדדית, ואף עודנה קיימת לאחר האירוע. עוד נטען, כי מיד עם פרוץ הסכסוך עמלו הצדדים לרקום הסכם סולחה, במסגרתו שולם למתלונן פיצוי כספי עבור הנזק שנגרם לרכבו, ובזאת הובא הסכסוך לסיום חיובי וסופי. עוד טען הסנגור, כי הנאשם לקח אחריות מלאה על מעשיו, הודה בהזדמנות הראשונה שניתנה לו ובכך חסך בזמן שיפוטי. הסנגור הזכיר כי מיום שחרורו של הנאשם ממעצר עד יום הדיון, לא הופרו תנאי השחרור. בא כוח הנאשם הפנה לתסקיר שירות המבחן בעניינו, ממנו עולה כי הנאשם, עובר לאירוע, היה אזרח נורמטיבי, בן למשפחה נורמטיבית, יציב מבחינה תעסוקתית, השתלב בטיפול והביע נכונות ללמידה ושיקום. לאור האמור לעיל,</w:t>
      </w:r>
      <w:r>
        <w:rPr>
          <w:b/>
          <w:bCs/>
          <w:rtl/>
        </w:rPr>
        <w:t xml:space="preserve"> </w:t>
      </w:r>
      <w:r>
        <w:rPr>
          <w:rtl/>
        </w:rPr>
        <w:t>עתר שלא למצות עם הנאשם את הדין, לילך בנתיב השיקומי ולקבל את המלצת שירות המבחן בעניינו, היינו לגזור על הנאשם עונש מאסר שירוצה בעבודות שירות.</w:t>
      </w:r>
    </w:p>
    <w:p w14:paraId="3D0295A1" w14:textId="77777777" w:rsidR="00BA54BA" w:rsidRDefault="00826F39">
      <w:pPr>
        <w:numPr>
          <w:ilvl w:val="0"/>
          <w:numId w:val="1"/>
        </w:numPr>
        <w:spacing w:line="360" w:lineRule="auto"/>
        <w:jc w:val="both"/>
        <w:rPr>
          <w:rtl/>
        </w:rPr>
      </w:pPr>
      <w:r>
        <w:rPr>
          <w:rtl/>
        </w:rPr>
        <w:t xml:space="preserve">יוער כי הסנגור בטיעוניו פרט טענות עובדתיות נוספות, לגבי נסיבות ביצוע העבירה. נסיבות, שאינן עולות בקנה אחד עם כתב האישום. אתעלם מטענות אלה, על פי מצוות המחוקק </w:t>
      </w:r>
      <w:hyperlink r:id="rId23" w:history="1">
        <w:r w:rsidR="0022660A" w:rsidRPr="0022660A">
          <w:rPr>
            <w:rStyle w:val="Hyperlink"/>
            <w:rtl/>
          </w:rPr>
          <w:t>בסעיף 40י</w:t>
        </w:r>
      </w:hyperlink>
      <w:r>
        <w:rPr>
          <w:rtl/>
        </w:rPr>
        <w:t xml:space="preserve"> ל</w:t>
      </w:r>
      <w:hyperlink r:id="rId24" w:history="1">
        <w:r w:rsidRPr="00826F39">
          <w:rPr>
            <w:color w:val="0000FF"/>
            <w:u w:val="single"/>
            <w:rtl/>
          </w:rPr>
          <w:t>חוק העונשין</w:t>
        </w:r>
      </w:hyperlink>
      <w:r>
        <w:rPr>
          <w:rtl/>
        </w:rPr>
        <w:t xml:space="preserve"> והפסיקה הברורה בעניין זה (</w:t>
      </w:r>
      <w:hyperlink r:id="rId25" w:history="1">
        <w:r w:rsidRPr="00826F39">
          <w:rPr>
            <w:color w:val="0000FF"/>
            <w:u w:val="single"/>
            <w:rtl/>
          </w:rPr>
          <w:t>ע"פ 3667/13</w:t>
        </w:r>
      </w:hyperlink>
      <w:r>
        <w:rPr>
          <w:rtl/>
        </w:rPr>
        <w:t xml:space="preserve"> </w:t>
      </w:r>
      <w:r>
        <w:rPr>
          <w:b/>
          <w:bCs/>
          <w:rtl/>
        </w:rPr>
        <w:t>ח'טיב נ' מדינת ישראל</w:t>
      </w:r>
      <w:r>
        <w:rPr>
          <w:rtl/>
        </w:rPr>
        <w:t xml:space="preserve"> </w:t>
      </w:r>
      <w:r w:rsidR="006208D0" w:rsidRPr="006208D0">
        <w:rPr>
          <w:sz w:val="22"/>
          <w:rtl/>
        </w:rPr>
        <w:t xml:space="preserve">[פורסם בנבו] </w:t>
      </w:r>
      <w:r>
        <w:rPr>
          <w:rtl/>
        </w:rPr>
        <w:t xml:space="preserve">(מיום 14.10.14), </w:t>
      </w:r>
      <w:hyperlink r:id="rId26" w:history="1">
        <w:r w:rsidRPr="00826F39">
          <w:rPr>
            <w:color w:val="0000FF"/>
            <w:u w:val="single"/>
            <w:rtl/>
          </w:rPr>
          <w:t>ע"פ 6802/14</w:t>
        </w:r>
      </w:hyperlink>
      <w:r>
        <w:rPr>
          <w:rtl/>
        </w:rPr>
        <w:t xml:space="preserve"> </w:t>
      </w:r>
      <w:r>
        <w:rPr>
          <w:b/>
          <w:bCs/>
          <w:rtl/>
        </w:rPr>
        <w:t xml:space="preserve">פלוני נ' מדינת ישראל </w:t>
      </w:r>
      <w:r w:rsidR="006208D0" w:rsidRPr="006208D0">
        <w:rPr>
          <w:sz w:val="22"/>
          <w:rtl/>
        </w:rPr>
        <w:t xml:space="preserve">[פורסם בנבו] </w:t>
      </w:r>
      <w:r>
        <w:rPr>
          <w:rtl/>
        </w:rPr>
        <w:t>(מיום 6.1.15)).</w:t>
      </w:r>
    </w:p>
    <w:p w14:paraId="27331E41" w14:textId="77777777" w:rsidR="00BA54BA" w:rsidRDefault="00826F39">
      <w:pPr>
        <w:numPr>
          <w:ilvl w:val="0"/>
          <w:numId w:val="1"/>
        </w:numPr>
        <w:spacing w:line="360" w:lineRule="auto"/>
        <w:jc w:val="both"/>
      </w:pPr>
      <w:r>
        <w:rPr>
          <w:b/>
          <w:bCs/>
          <w:rtl/>
        </w:rPr>
        <w:t xml:space="preserve"> </w:t>
      </w:r>
      <w:r>
        <w:rPr>
          <w:rtl/>
        </w:rPr>
        <w:t>שני הצדדים הגישו פסיקה לתמוך בטיעוניהם.</w:t>
      </w:r>
    </w:p>
    <w:p w14:paraId="6F1C6925" w14:textId="77777777" w:rsidR="00BA54BA" w:rsidRDefault="00826F39">
      <w:pPr>
        <w:numPr>
          <w:ilvl w:val="0"/>
          <w:numId w:val="1"/>
        </w:numPr>
        <w:spacing w:line="360" w:lineRule="auto"/>
        <w:jc w:val="both"/>
        <w:rPr>
          <w:rtl/>
        </w:rPr>
      </w:pPr>
      <w:r>
        <w:rPr>
          <w:rtl/>
        </w:rPr>
        <w:t xml:space="preserve">הנאשם עצמו הביע צער על "מה שהיה". הנאשם הדגיש כי הוא והמתלונן מתגוררים באותה שכונה, אומרים שלום, והיחסים ביניהם טובים. הנאשם גם הבטיח שהדברים לא יחזרו.   </w:t>
      </w:r>
    </w:p>
    <w:p w14:paraId="2FFA9FDC" w14:textId="77777777" w:rsidR="00BA54BA" w:rsidRDefault="00BA54BA">
      <w:pPr>
        <w:spacing w:line="360" w:lineRule="auto"/>
        <w:ind w:left="720"/>
        <w:jc w:val="both"/>
        <w:rPr>
          <w:rtl/>
        </w:rPr>
      </w:pPr>
    </w:p>
    <w:p w14:paraId="3CD398A8" w14:textId="77777777" w:rsidR="00BA54BA" w:rsidRDefault="00826F39">
      <w:pPr>
        <w:spacing w:line="360" w:lineRule="auto"/>
        <w:ind w:firstLine="426"/>
        <w:jc w:val="both"/>
        <w:rPr>
          <w:b/>
          <w:bCs/>
          <w:u w:val="single"/>
          <w:rtl/>
        </w:rPr>
      </w:pPr>
      <w:r>
        <w:rPr>
          <w:b/>
          <w:bCs/>
          <w:u w:val="single"/>
          <w:rtl/>
        </w:rPr>
        <w:t>דיון והכרעה-מתחם הענישה:</w:t>
      </w:r>
    </w:p>
    <w:p w14:paraId="1C9447CA" w14:textId="77777777" w:rsidR="00BA54BA" w:rsidRDefault="00826F39">
      <w:pPr>
        <w:numPr>
          <w:ilvl w:val="0"/>
          <w:numId w:val="1"/>
        </w:numPr>
        <w:spacing w:line="360" w:lineRule="auto"/>
        <w:jc w:val="both"/>
      </w:pPr>
      <w:r>
        <w:rPr>
          <w:rtl/>
        </w:rPr>
        <w:t xml:space="preserve">המדובר במעשה עבירה חמור ביותר. אולם, הרושם המתקבל מתיאור עד ההגנה את מערכת היחסים, מתסקיר שירות המבחן ומדברי הנאשם, שלא כללו הפנמה ברורה וחרטה משכנעת, שחסרה תובנה של מידת החומרה של המעשה. </w:t>
      </w:r>
    </w:p>
    <w:p w14:paraId="7F92D34A" w14:textId="77777777" w:rsidR="00BA54BA" w:rsidRDefault="00826F39">
      <w:pPr>
        <w:numPr>
          <w:ilvl w:val="0"/>
          <w:numId w:val="1"/>
        </w:numPr>
        <w:spacing w:line="360" w:lineRule="auto"/>
        <w:jc w:val="both"/>
      </w:pPr>
      <w:r>
        <w:rPr>
          <w:rtl/>
        </w:rPr>
        <w:t>לפיכך, יובהר כי המדובר בניסיון לגרום לחבלה חמורה באמצעות ירי באקדח. הנאשם החזיק בנשק, ממקור עלום, הפנה את הנשק לעבר שני בני אדם היושבים ברכב וירה מספר כדורים לעבר הרכב, מתוך מטרה לפגוע ביושבי הרכב. שלשה כדורים פגעו בדלת הנהג, בעוד הנהג ובנו יושבים ברכב. אכן, איש לא נפגע, אולם הסיכון הכרוך בהתנהגותו של הנאשם</w:t>
      </w:r>
      <w:r>
        <w:rPr>
          <w:i/>
          <w:iCs/>
          <w:rtl/>
        </w:rPr>
        <w:t xml:space="preserve"> מסמר שיער</w:t>
      </w:r>
      <w:r>
        <w:rPr>
          <w:rtl/>
        </w:rPr>
        <w:t xml:space="preserve">. </w:t>
      </w:r>
    </w:p>
    <w:p w14:paraId="3EC0C5F4" w14:textId="77777777" w:rsidR="00BA54BA" w:rsidRDefault="00826F39">
      <w:pPr>
        <w:numPr>
          <w:ilvl w:val="0"/>
          <w:numId w:val="1"/>
        </w:numPr>
        <w:spacing w:line="360" w:lineRule="auto"/>
        <w:jc w:val="both"/>
      </w:pPr>
      <w:r>
        <w:rPr>
          <w:rtl/>
        </w:rPr>
        <w:t xml:space="preserve">ניתן להרחיב בניסוחים משפטניים אודות הערכים המוגנים שנפגעו במעשה. ניתן להפליג בסגנון ספרותי ובמשלב לשוני גבוה אודות חומרת המעשים, משמעות הסיכון לחיי אדם שנטילתם אינה הפיכה, ערך שלמות הגוף ומשמעות הפציעה באקדח שניסה הנאשם לגרום. ניתן להכביר במילים וציטוטי פסיקה, בגנות בריונות הרחוב, זמינות הנשק הבלתי חוקי, הקלות הבלתי נסבלת של ירי של אדם על חברו, החרדה הציבורית מאלימות מזדמנת, הסיכון המוחשי לעוברים ושבים, הסדר הציבורי שהופר ועוד. מילים כאלה נאמרות ונכתבות, בבית משפט זה ובבתי משפט אחרים, בכל הערכאות ובכל מחוזות המדינה, פעם אחר פעם, זה שנים רבות. </w:t>
      </w:r>
    </w:p>
    <w:p w14:paraId="0476F617" w14:textId="77777777" w:rsidR="00BA54BA" w:rsidRDefault="00826F39">
      <w:pPr>
        <w:numPr>
          <w:ilvl w:val="0"/>
          <w:numId w:val="1"/>
        </w:numPr>
        <w:spacing w:line="360" w:lineRule="auto"/>
        <w:jc w:val="both"/>
      </w:pPr>
      <w:r>
        <w:rPr>
          <w:rtl/>
        </w:rPr>
        <w:t xml:space="preserve">אולם, בסופו של דבר, מדובר בעניין פשוט. כתב האישום מתמצת הדברים בשפה בהירה: "הנאשם, החזיק נשק ותחמושת שלא כדין, וניסה לפגוע באנשים, באמצעות אקדח". על מנת להבין את חומרת העניין, במקום להכביר במילים, יכול כל אחד לדמיין כיצד הוא היה מרגיש, בראותו את הנאשם דופק על חלונו עם אקדח, ולאחר מכן מתרחק מעט, ואז יורה לעברו. אז, ידמיין מה היה קורה לו פגעו הכדורים בו או בילדו, ברגל, בבטן או בלב. והחי יתן אל לבו.    </w:t>
      </w:r>
    </w:p>
    <w:p w14:paraId="62CB78AA" w14:textId="77777777" w:rsidR="00BA54BA" w:rsidRDefault="00826F39">
      <w:pPr>
        <w:numPr>
          <w:ilvl w:val="0"/>
          <w:numId w:val="1"/>
        </w:numPr>
        <w:spacing w:line="360" w:lineRule="auto"/>
        <w:jc w:val="both"/>
      </w:pPr>
      <w:r>
        <w:rPr>
          <w:rtl/>
        </w:rPr>
        <w:t>על שום מה ולמה עשה הנאשם מעשה כה חמור? מדוע ארב הנאשם לשכנו, איים עליו וירה, ולא הורתע מנוכחות בנו</w:t>
      </w:r>
      <w:r>
        <w:rPr>
          <w:rFonts w:hint="cs"/>
          <w:rtl/>
        </w:rPr>
        <w:t xml:space="preserve"> הצעיר ברכב</w:t>
      </w:r>
      <w:r>
        <w:rPr>
          <w:rtl/>
        </w:rPr>
        <w:t>? הוא עשה זאת, עקב הפגיעה ב"כבודו" של הנאשם. פגיעה</w:t>
      </w:r>
      <w:r>
        <w:rPr>
          <w:rFonts w:hint="cs"/>
          <w:rtl/>
        </w:rPr>
        <w:t>,</w:t>
      </w:r>
      <w:r>
        <w:rPr>
          <w:rtl/>
        </w:rPr>
        <w:t xml:space="preserve"> הבאה בעקבות השמן שמשח המתלונן על הספסל בשכונה, ואשר כנראה לכלך את בגדיו של הנאשם, ואולי את בגדי חבריו. </w:t>
      </w:r>
    </w:p>
    <w:p w14:paraId="32E10752" w14:textId="77777777" w:rsidR="00BA54BA" w:rsidRDefault="00826F39">
      <w:pPr>
        <w:numPr>
          <w:ilvl w:val="0"/>
          <w:numId w:val="1"/>
        </w:numPr>
        <w:spacing w:line="360" w:lineRule="auto"/>
        <w:jc w:val="both"/>
      </w:pPr>
      <w:r>
        <w:rPr>
          <w:rtl/>
        </w:rPr>
        <w:t>הנאשם החליט לגמול על לכלוך הבגד על ידי ירי, ועל פגיעה בכבוד על ידי פגיעה חמורה בגוף.</w:t>
      </w:r>
    </w:p>
    <w:p w14:paraId="7DE2AE66" w14:textId="77777777" w:rsidR="00BA54BA" w:rsidRDefault="00826F39">
      <w:pPr>
        <w:numPr>
          <w:ilvl w:val="0"/>
          <w:numId w:val="1"/>
        </w:numPr>
        <w:spacing w:line="360" w:lineRule="auto"/>
        <w:jc w:val="both"/>
        <w:rPr>
          <w:lang w:eastAsia="he-IL"/>
        </w:rPr>
      </w:pPr>
      <w:r>
        <w:rPr>
          <w:rtl/>
        </w:rPr>
        <w:t>איני יודע אם יש בענישה חמורה יותר כדי להרתיע, בשים לב להתרבות עבירות מסוג זה ברחובותינו, למרות הענישה. מכל מקום, אין ההרתעה נכללת בשיקולים לתיחום מתחם העונש הראוי (</w:t>
      </w:r>
      <w:hyperlink r:id="rId27" w:history="1">
        <w:r w:rsidRPr="00826F39">
          <w:rPr>
            <w:color w:val="0000FF"/>
            <w:u w:val="single"/>
            <w:rtl/>
            <w:lang w:eastAsia="he-IL"/>
          </w:rPr>
          <w:t>ע"פ 1127/13</w:t>
        </w:r>
      </w:hyperlink>
      <w:r>
        <w:rPr>
          <w:rtl/>
          <w:lang w:eastAsia="he-IL"/>
        </w:rPr>
        <w:t xml:space="preserve"> </w:t>
      </w:r>
      <w:r>
        <w:rPr>
          <w:b/>
          <w:bCs/>
          <w:rtl/>
          <w:lang w:eastAsia="he-IL"/>
        </w:rPr>
        <w:t xml:space="preserve">גברזגיי נ' מדינת ישראל </w:t>
      </w:r>
      <w:r w:rsidR="006208D0" w:rsidRPr="006208D0">
        <w:rPr>
          <w:sz w:val="22"/>
          <w:rtl/>
          <w:lang w:eastAsia="he-IL"/>
        </w:rPr>
        <w:t xml:space="preserve">[פורסם בנבו] </w:t>
      </w:r>
      <w:r>
        <w:rPr>
          <w:rtl/>
          <w:lang w:eastAsia="he-IL"/>
        </w:rPr>
        <w:t>(מיום 15.1.14)</w:t>
      </w:r>
      <w:r>
        <w:rPr>
          <w:rtl/>
        </w:rPr>
        <w:t xml:space="preserve">, </w:t>
      </w:r>
      <w:hyperlink r:id="rId28" w:history="1">
        <w:r w:rsidRPr="00826F39">
          <w:rPr>
            <w:color w:val="0000FF"/>
            <w:u w:val="single"/>
            <w:rtl/>
            <w:lang w:eastAsia="he-IL"/>
          </w:rPr>
          <w:t>ע"פ   2626/13</w:t>
        </w:r>
      </w:hyperlink>
      <w:r>
        <w:rPr>
          <w:rtl/>
          <w:lang w:eastAsia="he-IL"/>
        </w:rPr>
        <w:t xml:space="preserve"> </w:t>
      </w:r>
      <w:r>
        <w:rPr>
          <w:b/>
          <w:bCs/>
          <w:rtl/>
          <w:lang w:eastAsia="he-IL"/>
        </w:rPr>
        <w:t xml:space="preserve">אל צופי נ' מדינת ישראל </w:t>
      </w:r>
      <w:r w:rsidR="006208D0" w:rsidRPr="006208D0">
        <w:rPr>
          <w:sz w:val="22"/>
          <w:rtl/>
          <w:lang w:eastAsia="he-IL"/>
        </w:rPr>
        <w:t xml:space="preserve">[פורסם בנבו] </w:t>
      </w:r>
      <w:r>
        <w:rPr>
          <w:rtl/>
          <w:lang w:eastAsia="he-IL"/>
        </w:rPr>
        <w:t xml:space="preserve">(מיום 6.1.15). אולם, אף ללא קשר להרתעה, יש מקום להבהיר, נורמטיבית, את חומרת המעשה, ואם אין במילים כדי להלום, אז במתחם עונש הולם. יש להבהיר בענישה הולמת כי אף אם, בחסדו של האל הרחמן והרחום, לא נפגע איש ולא נגרם אלא נזק "פח", ירי באקדח לא חוקי, לעבר בני אדם, בניסיון לחבול בהם, תוך סיכון חייהם, הוא מעשה חמור, מאוד חמור. </w:t>
      </w:r>
    </w:p>
    <w:p w14:paraId="7C49888B" w14:textId="77777777" w:rsidR="00BA54BA" w:rsidRDefault="00826F39">
      <w:pPr>
        <w:numPr>
          <w:ilvl w:val="0"/>
          <w:numId w:val="1"/>
        </w:numPr>
        <w:spacing w:line="360" w:lineRule="auto"/>
        <w:jc w:val="both"/>
        <w:rPr>
          <w:lang w:eastAsia="he-IL"/>
        </w:rPr>
      </w:pPr>
      <w:r>
        <w:rPr>
          <w:rtl/>
          <w:lang w:eastAsia="he-IL"/>
        </w:rPr>
        <w:t>על פי מצוות המחוקק, מעבר לנסיבות המעשה שפורטו לעיל, ומעבר לערכים המוגנים שנפגעו ואוזכרו לעיל, יש צורך להתחשב גם במדיניות הענישה הנוהגת (</w:t>
      </w:r>
      <w:hyperlink r:id="rId29" w:history="1">
        <w:r w:rsidR="0022660A" w:rsidRPr="0022660A">
          <w:rPr>
            <w:rStyle w:val="Hyperlink"/>
            <w:rtl/>
            <w:lang w:eastAsia="he-IL"/>
          </w:rPr>
          <w:t>סעיף 40ג(א)</w:t>
        </w:r>
      </w:hyperlink>
      <w:r>
        <w:rPr>
          <w:rtl/>
          <w:lang w:eastAsia="he-IL"/>
        </w:rPr>
        <w:t xml:space="preserve"> ל</w:t>
      </w:r>
      <w:hyperlink r:id="rId30" w:history="1">
        <w:r w:rsidRPr="00826F39">
          <w:rPr>
            <w:color w:val="0000FF"/>
            <w:u w:val="single"/>
            <w:rtl/>
            <w:lang w:eastAsia="he-IL"/>
          </w:rPr>
          <w:t>חוק העונשין</w:t>
        </w:r>
      </w:hyperlink>
      <w:r>
        <w:rPr>
          <w:rtl/>
          <w:lang w:eastAsia="he-IL"/>
        </w:rPr>
        <w:t>). הסנגור הפנה לפסיקה אשר חלקה היא אכן פסיקה מקלה יחסית. הסנגור בהגינותו אישר כי בחלק מן המקרים כי מדובר בתיקים בהם היו הסדרי טיעון מקלים, עקב קשיים בראיות (</w:t>
      </w:r>
      <w:hyperlink r:id="rId31" w:history="1">
        <w:r w:rsidRPr="00826F39">
          <w:rPr>
            <w:color w:val="0000FF"/>
            <w:u w:val="single"/>
            <w:rtl/>
            <w:lang w:eastAsia="he-IL"/>
          </w:rPr>
          <w:t>ת"פ 13299-04-13</w:t>
        </w:r>
      </w:hyperlink>
      <w:r>
        <w:rPr>
          <w:rtl/>
          <w:lang w:eastAsia="he-IL"/>
        </w:rPr>
        <w:t xml:space="preserve"> </w:t>
      </w:r>
      <w:r w:rsidR="006208D0" w:rsidRPr="006208D0">
        <w:rPr>
          <w:sz w:val="22"/>
          <w:rtl/>
          <w:lang w:eastAsia="he-IL"/>
        </w:rPr>
        <w:t xml:space="preserve">[פורסם בנבו] </w:t>
      </w:r>
      <w:r>
        <w:rPr>
          <w:rtl/>
          <w:lang w:eastAsia="he-IL"/>
        </w:rPr>
        <w:t>וכן 5612-10-13). מעבר למה שציין הסנגור יש לציין שכך גם תיק 6503-03-10 מבטא הקלה בעונש בהסדר טיעון עקב קשיים ראייתיים. עם זאת, ב</w:t>
      </w:r>
      <w:hyperlink r:id="rId32" w:history="1">
        <w:r w:rsidRPr="00826F39">
          <w:rPr>
            <w:color w:val="0000FF"/>
            <w:u w:val="single"/>
            <w:rtl/>
            <w:lang w:eastAsia="he-IL"/>
          </w:rPr>
          <w:t>ת"פ 29331-10-10</w:t>
        </w:r>
      </w:hyperlink>
      <w:r>
        <w:rPr>
          <w:rtl/>
          <w:lang w:eastAsia="he-IL"/>
        </w:rPr>
        <w:t xml:space="preserve"> </w:t>
      </w:r>
      <w:r>
        <w:rPr>
          <w:b/>
          <w:bCs/>
          <w:rtl/>
          <w:lang w:eastAsia="he-IL"/>
        </w:rPr>
        <w:t xml:space="preserve">מדינת ישראל נ' עמאר </w:t>
      </w:r>
      <w:r w:rsidR="006208D0" w:rsidRPr="006208D0">
        <w:rPr>
          <w:sz w:val="22"/>
          <w:rtl/>
          <w:lang w:eastAsia="he-IL"/>
        </w:rPr>
        <w:t xml:space="preserve">[פורסם בנבו] </w:t>
      </w:r>
      <w:r>
        <w:rPr>
          <w:rtl/>
          <w:lang w:eastAsia="he-IL"/>
        </w:rPr>
        <w:t xml:space="preserve">(מיום 18.3.13), אכן הטיל בית משפט זה (כב' השופט לוי) ענישה קלה יחסית, בת 15 חודשי מאסר, בגין עבירה החמורה מהמעשה כאן, ללא הסדר. </w:t>
      </w:r>
    </w:p>
    <w:p w14:paraId="2C0848B0" w14:textId="77777777" w:rsidR="00BA54BA" w:rsidRDefault="00826F39">
      <w:pPr>
        <w:numPr>
          <w:ilvl w:val="0"/>
          <w:numId w:val="1"/>
        </w:numPr>
        <w:spacing w:line="360" w:lineRule="auto"/>
        <w:jc w:val="both"/>
        <w:rPr>
          <w:b/>
          <w:bCs/>
        </w:rPr>
      </w:pPr>
      <w:r>
        <w:rPr>
          <w:rtl/>
          <w:lang w:eastAsia="he-IL"/>
        </w:rPr>
        <w:t>עם זאת, התובע הציג פסיקה מחמירה בהרבה, אשר ערכה התקדימי גבוה יותר, בהיותה פסיקה של בית המשפט העליון. אמנם, רובה עוסק במקרים חמורים יותר, או שהיא פסיקה ישנה. אך יש גם מקרים מתאימים. כך, בית המשפט העליון אישר עונש דומה לנ"ל, 16 חודשי מאסר בפועל לאדם שרק החזיק אקדח טעון, מבלי שירה בו כלל, סטודנט צעיר ללא עבר פלילי (</w:t>
      </w:r>
      <w:hyperlink r:id="rId33" w:history="1">
        <w:r w:rsidRPr="00826F39">
          <w:rPr>
            <w:color w:val="0000FF"/>
            <w:u w:val="single"/>
            <w:rtl/>
            <w:lang w:eastAsia="he-IL"/>
          </w:rPr>
          <w:t>ע"פ 4329/10</w:t>
        </w:r>
      </w:hyperlink>
      <w:r>
        <w:rPr>
          <w:rtl/>
          <w:lang w:eastAsia="he-IL"/>
        </w:rPr>
        <w:t xml:space="preserve"> </w:t>
      </w:r>
      <w:r>
        <w:rPr>
          <w:b/>
          <w:bCs/>
          <w:rtl/>
          <w:lang w:eastAsia="he-IL"/>
        </w:rPr>
        <w:t>מוחמד איסמאעיל נ' מדינת ישראל</w:t>
      </w:r>
      <w:r>
        <w:rPr>
          <w:rtl/>
          <w:lang w:eastAsia="he-IL"/>
        </w:rPr>
        <w:t xml:space="preserve"> </w:t>
      </w:r>
      <w:r w:rsidR="006208D0" w:rsidRPr="006208D0">
        <w:rPr>
          <w:sz w:val="22"/>
          <w:rtl/>
          <w:lang w:eastAsia="he-IL"/>
        </w:rPr>
        <w:t xml:space="preserve">[פורסם בנבו] </w:t>
      </w:r>
      <w:r>
        <w:rPr>
          <w:rtl/>
          <w:lang w:eastAsia="he-IL"/>
        </w:rPr>
        <w:t>(מיום 25.10.10). על מקרה דומה יותר למקרה שלנו, אודות שני אירועים של הגעת המערער עם אקדח לבית אויביו, בצורה מאיימת, כאשר פעם אחת גם הספיק לדרוך הנשק, לפני שנהדף על ידי בני המשפחה הנפגעת, אישר בית המשפט העליון 30 חודשי מאסר בפועל. זאת, תוך הדגשה כי אין לתת משקל לקולה לסכסוך אשר ברקע של המעשה. וזאת, תוך התייחסות לכך שהחברה הופכת אלימה יותר, ו"היד הקלה על ההדק", ולמרות סולחה שנערכה באותו מקרה, ומחדלי תביעה משמעותיים (</w:t>
      </w:r>
      <w:hyperlink r:id="rId34" w:history="1">
        <w:r w:rsidRPr="00826F39">
          <w:rPr>
            <w:color w:val="0000FF"/>
            <w:u w:val="single"/>
            <w:rtl/>
            <w:lang w:eastAsia="he-IL"/>
          </w:rPr>
          <w:t>ע"פ 2057/12</w:t>
        </w:r>
      </w:hyperlink>
      <w:r>
        <w:rPr>
          <w:rtl/>
          <w:lang w:eastAsia="he-IL"/>
        </w:rPr>
        <w:t xml:space="preserve"> </w:t>
      </w:r>
      <w:r>
        <w:rPr>
          <w:b/>
          <w:bCs/>
          <w:rtl/>
          <w:lang w:eastAsia="he-IL"/>
        </w:rPr>
        <w:t xml:space="preserve">תבל נ' מדינת ישראל </w:t>
      </w:r>
      <w:r w:rsidR="006208D0" w:rsidRPr="006208D0">
        <w:rPr>
          <w:sz w:val="22"/>
          <w:rtl/>
          <w:lang w:eastAsia="he-IL"/>
        </w:rPr>
        <w:t xml:space="preserve">[פורסם בנבו] </w:t>
      </w:r>
      <w:r>
        <w:rPr>
          <w:rtl/>
          <w:lang w:eastAsia="he-IL"/>
        </w:rPr>
        <w:t>(מיום 4.6.12).</w:t>
      </w:r>
    </w:p>
    <w:p w14:paraId="54D95C15" w14:textId="77777777" w:rsidR="00BA54BA" w:rsidRDefault="00826F39">
      <w:pPr>
        <w:numPr>
          <w:ilvl w:val="0"/>
          <w:numId w:val="1"/>
        </w:numPr>
        <w:spacing w:line="360" w:lineRule="auto"/>
        <w:jc w:val="both"/>
        <w:rPr>
          <w:b/>
          <w:bCs/>
        </w:rPr>
      </w:pPr>
      <w:r>
        <w:rPr>
          <w:rtl/>
          <w:lang w:eastAsia="he-IL"/>
        </w:rPr>
        <w:t>דומני כי, במקרה זה, כאשר הנאשם הספיק להביא הנשק למארב מתוכנן ואף ירה מספר כדורים לעבר שכניו, העונש חייב להיות משמעותי ביותר. בית המשפט העליון קרא להעלות את רמת הענישה בעבירות אלימות תוך שימוש בנשק. זאת, פעמים רבות, כך לדוגמא לפני עשור ב</w:t>
      </w:r>
      <w:hyperlink r:id="rId35" w:history="1">
        <w:r w:rsidRPr="00826F39">
          <w:rPr>
            <w:color w:val="0000FF"/>
            <w:u w:val="single"/>
            <w:rtl/>
          </w:rPr>
          <w:t>ע"פ 5753/04</w:t>
        </w:r>
      </w:hyperlink>
      <w:r>
        <w:rPr>
          <w:rtl/>
        </w:rPr>
        <w:t xml:space="preserve"> </w:t>
      </w:r>
      <w:r>
        <w:rPr>
          <w:b/>
          <w:bCs/>
          <w:rtl/>
        </w:rPr>
        <w:t>מדינת ישראל נ' ירון רייכמן</w:t>
      </w:r>
      <w:r>
        <w:rPr>
          <w:rtl/>
        </w:rPr>
        <w:t xml:space="preserve"> </w:t>
      </w:r>
      <w:r w:rsidR="006208D0" w:rsidRPr="006208D0">
        <w:rPr>
          <w:sz w:val="22"/>
          <w:rtl/>
        </w:rPr>
        <w:t xml:space="preserve">[פורסם בנבו] </w:t>
      </w:r>
      <w:r>
        <w:rPr>
          <w:rtl/>
        </w:rPr>
        <w:t>(מיום 7.2.05, באירוע יותר חמור) וכך לדוגמא, לפני חודש, ב</w:t>
      </w:r>
      <w:hyperlink r:id="rId36" w:history="1">
        <w:r w:rsidRPr="00826F39">
          <w:rPr>
            <w:color w:val="0000FF"/>
            <w:u w:val="single"/>
            <w:rtl/>
          </w:rPr>
          <w:t>ע"פ 5717/14</w:t>
        </w:r>
      </w:hyperlink>
      <w:r>
        <w:rPr>
          <w:rtl/>
        </w:rPr>
        <w:t xml:space="preserve"> </w:t>
      </w:r>
      <w:r>
        <w:rPr>
          <w:b/>
          <w:bCs/>
          <w:rtl/>
        </w:rPr>
        <w:t>מדינת ישראל נ' יוסף גדבאן</w:t>
      </w:r>
      <w:r>
        <w:rPr>
          <w:rtl/>
        </w:rPr>
        <w:t xml:space="preserve"> </w:t>
      </w:r>
      <w:r w:rsidR="006208D0" w:rsidRPr="006208D0">
        <w:rPr>
          <w:sz w:val="22"/>
          <w:rtl/>
        </w:rPr>
        <w:t xml:space="preserve">[פורסם בנבו] </w:t>
      </w:r>
      <w:r>
        <w:rPr>
          <w:rtl/>
        </w:rPr>
        <w:t xml:space="preserve">(מיום 02.12.2014, אירוע דומה לשלנו, בו נגרמה גם פציעה קלה, </w:t>
      </w:r>
      <w:r>
        <w:rPr>
          <w:rFonts w:hint="cs"/>
          <w:rtl/>
        </w:rPr>
        <w:t xml:space="preserve">אך זאת מנתז, </w:t>
      </w:r>
      <w:r>
        <w:rPr>
          <w:rtl/>
        </w:rPr>
        <w:t>כאשר הירי היה לעבר הקרקע להפחיד ו</w:t>
      </w:r>
      <w:r>
        <w:rPr>
          <w:i/>
          <w:iCs/>
          <w:rtl/>
        </w:rPr>
        <w:t>לא</w:t>
      </w:r>
      <w:r>
        <w:rPr>
          <w:rtl/>
        </w:rPr>
        <w:t xml:space="preserve"> כוון לפגוע דווקא) שם ציין השופט ג'ובראן כי "... הדרישה להחמרה בעבירות אלה מועצמת כאשר עסקינן בנשק חם שרק צד אחד מחזיק בו... חומרת החזקת ונשיאת נשק ללא היתר כדין אינה תחומה אך לעבירות עצמן ולהיותן מנוגדות לחוק החרות. לא אחת עבירות אלה מובילות ... לעבירות נוספות של שימוש בנשק תוך פגיעה בזולת... שיקולים אלה כולם מובילים לצורך בהחמרה בעונש המשיב... האינטרס הציבורי מצדיק ומחייב את העלאת רף הענישה, כך שעונשי המאסר בפועל יהיו ממשיים ומשמעותיים".</w:t>
      </w:r>
    </w:p>
    <w:p w14:paraId="31AE6ACB" w14:textId="77777777" w:rsidR="00BA54BA" w:rsidRDefault="00826F39">
      <w:pPr>
        <w:numPr>
          <w:ilvl w:val="0"/>
          <w:numId w:val="1"/>
        </w:numPr>
        <w:spacing w:line="360" w:lineRule="auto"/>
        <w:jc w:val="both"/>
        <w:rPr>
          <w:color w:val="FF0000"/>
          <w:rtl/>
        </w:rPr>
      </w:pPr>
      <w:r>
        <w:rPr>
          <w:rtl/>
        </w:rPr>
        <w:t xml:space="preserve">נוכח כל האמור, יש להעמיד את </w:t>
      </w:r>
      <w:r>
        <w:rPr>
          <w:b/>
          <w:bCs/>
          <w:rtl/>
        </w:rPr>
        <w:t>מתחם העונש ההולם את מעשי הנאשם על 3 עד 6 שנות מאסר בפועל</w:t>
      </w:r>
      <w:r>
        <w:rPr>
          <w:rtl/>
        </w:rPr>
        <w:t xml:space="preserve">. </w:t>
      </w:r>
    </w:p>
    <w:p w14:paraId="0B43CD6F" w14:textId="77777777" w:rsidR="00BA54BA" w:rsidRDefault="00BA54BA">
      <w:pPr>
        <w:spacing w:line="360" w:lineRule="auto"/>
        <w:jc w:val="both"/>
        <w:rPr>
          <w:rtl/>
        </w:rPr>
      </w:pPr>
    </w:p>
    <w:p w14:paraId="432CCD14" w14:textId="77777777" w:rsidR="00BA54BA" w:rsidRDefault="00BA54BA">
      <w:pPr>
        <w:spacing w:line="360" w:lineRule="auto"/>
        <w:jc w:val="both"/>
        <w:rPr>
          <w:rtl/>
        </w:rPr>
      </w:pPr>
    </w:p>
    <w:p w14:paraId="28C4431F" w14:textId="77777777" w:rsidR="00BA54BA" w:rsidRDefault="00826F39">
      <w:pPr>
        <w:spacing w:line="360" w:lineRule="auto"/>
        <w:ind w:firstLine="426"/>
        <w:jc w:val="both"/>
        <w:rPr>
          <w:b/>
          <w:bCs/>
          <w:u w:val="single"/>
        </w:rPr>
      </w:pPr>
      <w:r>
        <w:rPr>
          <w:b/>
          <w:bCs/>
          <w:u w:val="single"/>
          <w:rtl/>
        </w:rPr>
        <w:t>נסיבות שאינן קשורות לביצוע העבירה:</w:t>
      </w:r>
    </w:p>
    <w:p w14:paraId="0C4FC159" w14:textId="77777777" w:rsidR="00BA54BA" w:rsidRDefault="00826F39">
      <w:pPr>
        <w:numPr>
          <w:ilvl w:val="0"/>
          <w:numId w:val="1"/>
        </w:numPr>
        <w:spacing w:line="360" w:lineRule="auto"/>
        <w:jc w:val="both"/>
      </w:pPr>
      <w:r>
        <w:rPr>
          <w:rtl/>
        </w:rPr>
        <w:t>יש ליתן משקל ל</w:t>
      </w:r>
      <w:r>
        <w:rPr>
          <w:b/>
          <w:bCs/>
          <w:rtl/>
        </w:rPr>
        <w:t>הודיית הנאשם בפני בית המשפט</w:t>
      </w:r>
      <w:r>
        <w:rPr>
          <w:rtl/>
        </w:rPr>
        <w:t xml:space="preserve">, החיסכון בזמן שיפוטי, זמנה של התביעה וזמן העדים. מדובר בשיקול מרכזי בחשיבותו, נוכח העומס הרב המוטל על בתי המשפט בימים אלה. </w:t>
      </w:r>
    </w:p>
    <w:p w14:paraId="6AB938F0" w14:textId="77777777" w:rsidR="00BA54BA" w:rsidRDefault="00826F39">
      <w:pPr>
        <w:numPr>
          <w:ilvl w:val="0"/>
          <w:numId w:val="1"/>
        </w:numPr>
        <w:spacing w:line="360" w:lineRule="auto"/>
        <w:jc w:val="both"/>
      </w:pPr>
      <w:r>
        <w:rPr>
          <w:rtl/>
        </w:rPr>
        <w:t xml:space="preserve">הנאשם </w:t>
      </w:r>
      <w:r>
        <w:rPr>
          <w:b/>
          <w:bCs/>
          <w:rtl/>
        </w:rPr>
        <w:t>צעיר</w:t>
      </w:r>
      <w:r>
        <w:rPr>
          <w:rtl/>
        </w:rPr>
        <w:t xml:space="preserve"> יחסית, </w:t>
      </w:r>
      <w:r>
        <w:rPr>
          <w:b/>
          <w:bCs/>
          <w:rtl/>
        </w:rPr>
        <w:t>נעדר עבר פלילי</w:t>
      </w:r>
      <w:r>
        <w:rPr>
          <w:rtl/>
        </w:rPr>
        <w:t xml:space="preserve">, נורמטיבי בדרך כלל, אשר עובד לפרנסת משפחתו כבר מגיל צעיר. שיקולים אלה מקבלים חשיבות רבה בפסיקה, שכן יש בהם כדי ללמד על אופי חיובי בבסיס, וסיכויי שיקום טובים. עוד יש לקחת בחשבון את שאיפותיו הנורמטיביות של הנאשם, השתתפותו הפעילה בתהליך טיפולי במסגרת שירות המבחן, והבעת החרטה במסגרות הטיפוליות ובבית המשפט. </w:t>
      </w:r>
    </w:p>
    <w:p w14:paraId="5ECA4593" w14:textId="77777777" w:rsidR="00BA54BA" w:rsidRDefault="00826F39">
      <w:pPr>
        <w:numPr>
          <w:ilvl w:val="0"/>
          <w:numId w:val="1"/>
        </w:numPr>
        <w:spacing w:line="360" w:lineRule="auto"/>
        <w:jc w:val="both"/>
      </w:pPr>
      <w:r>
        <w:rPr>
          <w:rtl/>
        </w:rPr>
        <w:t xml:space="preserve">במסגרת </w:t>
      </w:r>
      <w:hyperlink r:id="rId37" w:history="1">
        <w:r w:rsidR="0022660A" w:rsidRPr="0022660A">
          <w:rPr>
            <w:rStyle w:val="Hyperlink"/>
            <w:rtl/>
          </w:rPr>
          <w:t>סעיף 40יא(5)</w:t>
        </w:r>
      </w:hyperlink>
      <w:r>
        <w:rPr>
          <w:rtl/>
        </w:rPr>
        <w:t xml:space="preserve"> יש לקחת בחשבון את הסולחה שנערכה, ויחסי השכנות שהשתקמו, כעולה מהתסקיר ומעדות עד ההגנה, אחי המתלונן. </w:t>
      </w:r>
    </w:p>
    <w:p w14:paraId="10DBF1F2" w14:textId="77777777" w:rsidR="00BA54BA" w:rsidRDefault="00826F39">
      <w:pPr>
        <w:numPr>
          <w:ilvl w:val="0"/>
          <w:numId w:val="1"/>
        </w:numPr>
        <w:spacing w:line="360" w:lineRule="auto"/>
        <w:jc w:val="both"/>
      </w:pPr>
      <w:r>
        <w:rPr>
          <w:rtl/>
        </w:rPr>
        <w:t xml:space="preserve">עם זאת, צודק התובע כי במסגרת </w:t>
      </w:r>
      <w:hyperlink r:id="rId38" w:history="1">
        <w:r w:rsidR="0022660A" w:rsidRPr="0022660A">
          <w:rPr>
            <w:rStyle w:val="Hyperlink"/>
            <w:rtl/>
          </w:rPr>
          <w:t>סעיף 40יא(5)</w:t>
        </w:r>
      </w:hyperlink>
      <w:r>
        <w:rPr>
          <w:rtl/>
        </w:rPr>
        <w:t xml:space="preserve"> יש לקחת בחשבון </w:t>
      </w:r>
      <w:r>
        <w:rPr>
          <w:rFonts w:hint="cs"/>
          <w:rtl/>
        </w:rPr>
        <w:t xml:space="preserve">גם </w:t>
      </w:r>
      <w:r>
        <w:rPr>
          <w:rtl/>
        </w:rPr>
        <w:t xml:space="preserve">כי </w:t>
      </w:r>
      <w:r>
        <w:rPr>
          <w:b/>
          <w:bCs/>
          <w:rtl/>
        </w:rPr>
        <w:t>האקדח לא הו</w:t>
      </w:r>
      <w:r>
        <w:rPr>
          <w:rFonts w:hint="cs"/>
          <w:b/>
          <w:bCs/>
          <w:rtl/>
        </w:rPr>
        <w:t>סגר</w:t>
      </w:r>
      <w:r>
        <w:rPr>
          <w:b/>
          <w:bCs/>
          <w:rtl/>
        </w:rPr>
        <w:t xml:space="preserve"> למשטרה</w:t>
      </w:r>
      <w:r>
        <w:rPr>
          <w:rtl/>
        </w:rPr>
        <w:t>. עולה גם מהתסקיר, כי בעניין זה אין הנאשם משתף באופן כן. הימנעות הנאשם מלטפל בעניין זה מדאיגה ביותר, ומהווה שיקול של ממש להחמיר לגביו. זאת, הן משום שהוא מבטא לכאורה נאמנות של הנאשם לגורם אחר כלשהו, לאקדח שברשותו או לבן משפחה או חבר המחזיק אקדח, הן משום שהדבר מגלה כי החרטה אינה עמוקה כפי שנדמה, הן משום שמתברר שהבנתו את חומרת המעשה רחוקה מלהיות מלאה, ובעיקר משום ש</w:t>
      </w:r>
      <w:r>
        <w:rPr>
          <w:b/>
          <w:bCs/>
          <w:rtl/>
        </w:rPr>
        <w:t>הסכנה לציבור מהנאשם מוגברת מאוד בשים לב לכך שעדיין יש לו נגישות לאותו אקדח</w:t>
      </w:r>
      <w:r>
        <w:rPr>
          <w:rFonts w:hint="cs"/>
          <w:rtl/>
        </w:rPr>
        <w:t>, לכאורה.</w:t>
      </w:r>
      <w:r>
        <w:rPr>
          <w:rtl/>
        </w:rPr>
        <w:t xml:space="preserve"> אקדח, שגם נראה וגם ירה, כבר במערכה הראשונה, ומי יודע במי יפגע במערכות הבאות. </w:t>
      </w:r>
    </w:p>
    <w:p w14:paraId="60DD86B6" w14:textId="77777777" w:rsidR="00BA54BA" w:rsidRDefault="00826F39">
      <w:pPr>
        <w:numPr>
          <w:ilvl w:val="0"/>
          <w:numId w:val="1"/>
        </w:numPr>
        <w:spacing w:line="360" w:lineRule="auto"/>
        <w:jc w:val="both"/>
      </w:pPr>
      <w:r>
        <w:rPr>
          <w:rtl/>
        </w:rPr>
        <w:t xml:space="preserve">הסיכון מקיומו של האקדח מתקשר לרכיב המסוכנות אצל הנאשם. בהקשר זה יש גם לקחת בחשבון את עמדת שירות המבחן כי יש בנאשם מידה של מסוכנות, נוכח נטייתו לעמוד על כבודו וכבוד משפחתו, ונטייתו לתגובות אימפולסיביות. מסוכנות, המתוארת בחוות דעת שירות המבחן, מהווה עילה להחמרה בעונש לפי </w:t>
      </w:r>
      <w:hyperlink r:id="rId39" w:history="1">
        <w:r w:rsidR="0022660A" w:rsidRPr="0022660A">
          <w:rPr>
            <w:rStyle w:val="Hyperlink"/>
            <w:rtl/>
          </w:rPr>
          <w:t>סעיף 40ה</w:t>
        </w:r>
      </w:hyperlink>
      <w:r>
        <w:rPr>
          <w:rtl/>
        </w:rPr>
        <w:t xml:space="preserve"> ל</w:t>
      </w:r>
      <w:hyperlink r:id="rId40" w:history="1">
        <w:r w:rsidRPr="00826F39">
          <w:rPr>
            <w:color w:val="0000FF"/>
            <w:u w:val="single"/>
            <w:rtl/>
          </w:rPr>
          <w:t>חוק העונשין</w:t>
        </w:r>
      </w:hyperlink>
      <w:r>
        <w:rPr>
          <w:rtl/>
        </w:rPr>
        <w:t xml:space="preserve"> (הרי אף ללא חוות דעת ניתן להחמיר בשל שיקול מסוכנות, אם אין חורגים מן המתחם, וכל שכן בהתקיים חוות דעת).</w:t>
      </w:r>
    </w:p>
    <w:p w14:paraId="2D85DDFE" w14:textId="77777777" w:rsidR="00BA54BA" w:rsidRDefault="00826F39">
      <w:pPr>
        <w:numPr>
          <w:ilvl w:val="0"/>
          <w:numId w:val="1"/>
        </w:numPr>
        <w:spacing w:line="360" w:lineRule="auto"/>
        <w:jc w:val="both"/>
      </w:pPr>
      <w:r>
        <w:rPr>
          <w:rtl/>
        </w:rPr>
        <w:t xml:space="preserve">צודק התובע שיש משקל גם </w:t>
      </w:r>
      <w:r>
        <w:rPr>
          <w:b/>
          <w:bCs/>
          <w:rtl/>
        </w:rPr>
        <w:t>לשיקולי ההרתעה האישית ובעיקר הרתעת הרבים</w:t>
      </w:r>
      <w:r>
        <w:rPr>
          <w:rtl/>
        </w:rPr>
        <w:t>, מפני מעשים מסוג זה (</w:t>
      </w:r>
      <w:hyperlink r:id="rId41" w:history="1">
        <w:r w:rsidR="0022660A" w:rsidRPr="0022660A">
          <w:rPr>
            <w:rStyle w:val="Hyperlink"/>
            <w:rtl/>
          </w:rPr>
          <w:t>סעיפים 40ו</w:t>
        </w:r>
      </w:hyperlink>
      <w:r>
        <w:rPr>
          <w:rtl/>
        </w:rPr>
        <w:t xml:space="preserve"> ו- </w:t>
      </w:r>
      <w:hyperlink r:id="rId42" w:history="1">
        <w:r w:rsidR="0022660A" w:rsidRPr="0022660A">
          <w:rPr>
            <w:rStyle w:val="Hyperlink"/>
            <w:rtl/>
          </w:rPr>
          <w:t>40ז</w:t>
        </w:r>
      </w:hyperlink>
      <w:r>
        <w:rPr>
          <w:rtl/>
        </w:rPr>
        <w:t xml:space="preserve"> ל</w:t>
      </w:r>
      <w:hyperlink r:id="rId43" w:history="1">
        <w:r w:rsidRPr="00826F39">
          <w:rPr>
            <w:color w:val="0000FF"/>
            <w:u w:val="single"/>
            <w:rtl/>
          </w:rPr>
          <w:t>חוק העונשין</w:t>
        </w:r>
      </w:hyperlink>
      <w:r>
        <w:rPr>
          <w:rtl/>
        </w:rPr>
        <w:t xml:space="preserve">). אולם, בהעדר אינדיקציה ישירה ליעילות ההחמרה בהקשר זה, מעבר לאמור בפסיקה, יש לדבר </w:t>
      </w:r>
      <w:r>
        <w:rPr>
          <w:b/>
          <w:bCs/>
          <w:rtl/>
        </w:rPr>
        <w:t>משקל מועט</w:t>
      </w:r>
      <w:r>
        <w:rPr>
          <w:rtl/>
        </w:rPr>
        <w:t xml:space="preserve">. </w:t>
      </w:r>
    </w:p>
    <w:p w14:paraId="03A22601" w14:textId="77777777" w:rsidR="00BA54BA" w:rsidRDefault="00826F39">
      <w:pPr>
        <w:numPr>
          <w:ilvl w:val="0"/>
          <w:numId w:val="1"/>
        </w:numPr>
        <w:spacing w:line="360" w:lineRule="auto"/>
        <w:jc w:val="both"/>
      </w:pPr>
      <w:r>
        <w:rPr>
          <w:rtl/>
        </w:rPr>
        <w:t xml:space="preserve">נוכח כל האמור, </w:t>
      </w:r>
      <w:r>
        <w:rPr>
          <w:b/>
          <w:bCs/>
          <w:rtl/>
        </w:rPr>
        <w:t>בשים לב לנסיבות האישיות, יש להטיל על הנאשם עונש מאסר בפועל שהוא בצד התחתון של המתחם, אך אין הנאשם ראוי לענישה המתקרבת לקצה התחתון עצמו, נוכח השיקולים לחומרה</w:t>
      </w:r>
      <w:r>
        <w:rPr>
          <w:rtl/>
        </w:rPr>
        <w:t xml:space="preserve">. </w:t>
      </w:r>
    </w:p>
    <w:p w14:paraId="7E98A7D6" w14:textId="77777777" w:rsidR="00BA54BA" w:rsidRDefault="00826F39">
      <w:pPr>
        <w:numPr>
          <w:ilvl w:val="0"/>
          <w:numId w:val="1"/>
        </w:numPr>
        <w:spacing w:line="360" w:lineRule="auto"/>
        <w:jc w:val="both"/>
      </w:pPr>
      <w:r>
        <w:rPr>
          <w:b/>
          <w:bCs/>
          <w:rtl/>
        </w:rPr>
        <w:t>אין מקום להשית קנס</w:t>
      </w:r>
      <w:r>
        <w:rPr>
          <w:rtl/>
        </w:rPr>
        <w:t xml:space="preserve"> כאשר מדובר בעבירה שאין מטרתה כלכלית ועל הנאשם מושת עונש מאסר ממושך. </w:t>
      </w:r>
    </w:p>
    <w:p w14:paraId="416BB4C7" w14:textId="77777777" w:rsidR="00BA54BA" w:rsidRDefault="00826F39">
      <w:pPr>
        <w:numPr>
          <w:ilvl w:val="0"/>
          <w:numId w:val="1"/>
        </w:numPr>
        <w:spacing w:line="360" w:lineRule="auto"/>
        <w:jc w:val="both"/>
        <w:rPr>
          <w:rtl/>
        </w:rPr>
      </w:pPr>
      <w:r>
        <w:rPr>
          <w:rtl/>
        </w:rPr>
        <w:t xml:space="preserve">אמנם המתלונן לא ביקש זאת, אך יש ערך חינוכי </w:t>
      </w:r>
      <w:r>
        <w:rPr>
          <w:b/>
          <w:bCs/>
          <w:rtl/>
        </w:rPr>
        <w:t>לפיצוי</w:t>
      </w:r>
      <w:r>
        <w:rPr>
          <w:rtl/>
        </w:rPr>
        <w:t xml:space="preserve"> שהוא מעבר לפיצוי הכספי לו זכה המתלונן בגין נזקי הרכוש שלו. זאת, כדי לפצות על הפגיעה בכבודו שלו, ובעיקר על הבהלה הרבה הכרוכה בירי, והכניסה לסכסוך </w:t>
      </w:r>
      <w:r>
        <w:rPr>
          <w:rFonts w:hint="cs"/>
          <w:rtl/>
        </w:rPr>
        <w:t>מסוג זה</w:t>
      </w:r>
      <w:r>
        <w:rPr>
          <w:rtl/>
        </w:rPr>
        <w:t>.</w:t>
      </w:r>
      <w:r>
        <w:rPr>
          <w:rFonts w:hint="cs"/>
          <w:rtl/>
        </w:rPr>
        <w:t xml:space="preserve"> </w:t>
      </w:r>
      <w:r>
        <w:rPr>
          <w:rtl/>
        </w:rPr>
        <w:t xml:space="preserve">לפיכך, יש להורות על פיצוי מסוים נוסף. מטעם זה יש להורות גם על פיצוי עבור בנו של המתלונן שהיה עמו ברכב. </w:t>
      </w:r>
    </w:p>
    <w:p w14:paraId="5C030FD5" w14:textId="77777777" w:rsidR="00BA54BA" w:rsidRDefault="00BA54BA">
      <w:pPr>
        <w:spacing w:line="360" w:lineRule="auto"/>
        <w:jc w:val="both"/>
        <w:rPr>
          <w:rtl/>
        </w:rPr>
      </w:pPr>
    </w:p>
    <w:p w14:paraId="7C833A8A" w14:textId="77777777" w:rsidR="00BA54BA" w:rsidRDefault="00826F39">
      <w:pPr>
        <w:spacing w:line="360" w:lineRule="auto"/>
        <w:jc w:val="both"/>
        <w:rPr>
          <w:b/>
          <w:bCs/>
          <w:rtl/>
        </w:rPr>
      </w:pPr>
      <w:r>
        <w:rPr>
          <w:b/>
          <w:bCs/>
          <w:rtl/>
        </w:rPr>
        <w:t>על כן, הנני דן את הנאשם לעונשים הבאים:</w:t>
      </w:r>
    </w:p>
    <w:p w14:paraId="5169AA01" w14:textId="77777777" w:rsidR="00BA54BA" w:rsidRDefault="00826F39">
      <w:pPr>
        <w:numPr>
          <w:ilvl w:val="0"/>
          <w:numId w:val="2"/>
        </w:numPr>
        <w:spacing w:line="360" w:lineRule="auto"/>
        <w:jc w:val="both"/>
      </w:pPr>
      <w:r>
        <w:rPr>
          <w:b/>
          <w:bCs/>
          <w:rtl/>
        </w:rPr>
        <w:t>מאסר בפועל לתקופה של</w:t>
      </w:r>
      <w:r>
        <w:rPr>
          <w:rtl/>
        </w:rPr>
        <w:t xml:space="preserve"> </w:t>
      </w:r>
      <w:r>
        <w:rPr>
          <w:b/>
          <w:bCs/>
          <w:rtl/>
        </w:rPr>
        <w:t>4 שנים</w:t>
      </w:r>
      <w:r>
        <w:rPr>
          <w:rtl/>
        </w:rPr>
        <w:t>, בניכוי ימי מעצרו בתיק זה.</w:t>
      </w:r>
    </w:p>
    <w:p w14:paraId="5DABDB87" w14:textId="77777777" w:rsidR="00BA54BA" w:rsidRDefault="00826F39">
      <w:pPr>
        <w:numPr>
          <w:ilvl w:val="0"/>
          <w:numId w:val="2"/>
        </w:numPr>
        <w:spacing w:line="360" w:lineRule="auto"/>
        <w:jc w:val="both"/>
      </w:pPr>
      <w:r>
        <w:rPr>
          <w:b/>
          <w:bCs/>
          <w:rtl/>
        </w:rPr>
        <w:t>מאסר על תנאי</w:t>
      </w:r>
      <w:r>
        <w:rPr>
          <w:rtl/>
        </w:rPr>
        <w:t xml:space="preserve"> לתקופה של 12 חודשים למשך 3 שנים מיום שחרורו, והתנאי הוא שלא יעבור עבירות נשק או אלימות (לרבות אלימות כלפי רכוש ואיומים) מסוג פשע. </w:t>
      </w:r>
    </w:p>
    <w:p w14:paraId="2511AADA" w14:textId="77777777" w:rsidR="00BA54BA" w:rsidRDefault="00826F39">
      <w:pPr>
        <w:numPr>
          <w:ilvl w:val="0"/>
          <w:numId w:val="2"/>
        </w:numPr>
        <w:spacing w:line="360" w:lineRule="auto"/>
        <w:jc w:val="both"/>
      </w:pPr>
      <w:r>
        <w:rPr>
          <w:b/>
          <w:bCs/>
          <w:rtl/>
        </w:rPr>
        <w:t>מאסר על תנאי</w:t>
      </w:r>
      <w:r>
        <w:rPr>
          <w:rtl/>
        </w:rPr>
        <w:t xml:space="preserve"> לתקופה של 6 חודשים למשך שנתיים מיום שחרורו, והתנאי הוא שלא יעבור עבירות נשק או אלימות (לרבות אלימות כלפי רכוש ואיומים) מסוג עוון. </w:t>
      </w:r>
    </w:p>
    <w:p w14:paraId="31D43ABF" w14:textId="77777777" w:rsidR="00BA54BA" w:rsidRDefault="00826F39">
      <w:pPr>
        <w:numPr>
          <w:ilvl w:val="0"/>
          <w:numId w:val="2"/>
        </w:numPr>
        <w:spacing w:line="360" w:lineRule="auto"/>
        <w:jc w:val="both"/>
      </w:pPr>
      <w:r>
        <w:rPr>
          <w:rtl/>
        </w:rPr>
        <w:t xml:space="preserve">הנאשם ישלם </w:t>
      </w:r>
      <w:r>
        <w:rPr>
          <w:b/>
          <w:bCs/>
          <w:rtl/>
        </w:rPr>
        <w:t>פיצוי למתלונן ולבנו</w:t>
      </w:r>
      <w:r>
        <w:rPr>
          <w:rtl/>
        </w:rPr>
        <w:t xml:space="preserve"> אשר ישב עמו ברכב, </w:t>
      </w:r>
      <w:r>
        <w:rPr>
          <w:b/>
          <w:bCs/>
          <w:rtl/>
        </w:rPr>
        <w:t>בסך של 6000 ₪, לכל אחד</w:t>
      </w:r>
      <w:r>
        <w:rPr>
          <w:rtl/>
        </w:rPr>
        <w:t xml:space="preserve">. הפיצוי ישולם תוך 6 חודשים. </w:t>
      </w:r>
      <w:r>
        <w:rPr>
          <w:rFonts w:hint="cs"/>
          <w:rtl/>
        </w:rPr>
        <w:t xml:space="preserve">הפרקליטות תמסור פרטיהם למזכירות. </w:t>
      </w:r>
    </w:p>
    <w:p w14:paraId="35DE8B27" w14:textId="77777777" w:rsidR="00BA54BA" w:rsidRDefault="00BA54BA">
      <w:pPr>
        <w:spacing w:line="360" w:lineRule="auto"/>
        <w:ind w:left="720"/>
        <w:jc w:val="both"/>
        <w:rPr>
          <w:b/>
          <w:bCs/>
          <w:rtl/>
        </w:rPr>
      </w:pPr>
    </w:p>
    <w:p w14:paraId="358D21DF" w14:textId="77777777" w:rsidR="00BA54BA" w:rsidRDefault="00826F39">
      <w:pPr>
        <w:spacing w:line="360" w:lineRule="auto"/>
        <w:ind w:left="720"/>
        <w:jc w:val="both"/>
        <w:rPr>
          <w:b/>
          <w:bCs/>
          <w:rtl/>
        </w:rPr>
      </w:pPr>
      <w:r>
        <w:rPr>
          <w:b/>
          <w:bCs/>
          <w:rtl/>
        </w:rPr>
        <w:t xml:space="preserve">זכות ערעור תוך 45 יום. </w:t>
      </w:r>
    </w:p>
    <w:p w14:paraId="02594587" w14:textId="77777777" w:rsidR="00BA54BA" w:rsidRDefault="00BA54BA">
      <w:pPr>
        <w:rPr>
          <w:rtl/>
        </w:rPr>
      </w:pPr>
    </w:p>
    <w:p w14:paraId="35CCF388" w14:textId="77777777" w:rsidR="00BA54BA" w:rsidRDefault="00826F39">
      <w:pPr>
        <w:spacing w:line="360" w:lineRule="auto"/>
        <w:jc w:val="both"/>
        <w:rPr>
          <w:rFonts w:ascii="Arial" w:hAnsi="Arial"/>
        </w:rPr>
      </w:pPr>
      <w:r w:rsidRPr="00826F39">
        <w:rPr>
          <w:rFonts w:ascii="Arial" w:hAnsi="Arial"/>
          <w:color w:val="FFFFFF"/>
          <w:sz w:val="2"/>
          <w:szCs w:val="2"/>
          <w:rtl/>
        </w:rPr>
        <w:t>5129371</w:t>
      </w:r>
      <w:r>
        <w:rPr>
          <w:rFonts w:ascii="Arial" w:hAnsi="Arial"/>
          <w:rtl/>
        </w:rPr>
        <w:t xml:space="preserve">ניתן היום,  כ"ז טבת תשע"ה, 18 ינואר 2015, בנוכחות הנאשם, ב"כ עו"ד אלזיאדנה והתובעת עו"ד </w:t>
      </w:r>
      <w:r>
        <w:rPr>
          <w:rFonts w:ascii="Arial" w:hAnsi="Arial" w:hint="cs"/>
          <w:rtl/>
        </w:rPr>
        <w:t>נעה בורג.</w:t>
      </w:r>
    </w:p>
    <w:p w14:paraId="12A777B0" w14:textId="77777777" w:rsidR="00BA54BA" w:rsidRPr="00826F39" w:rsidRDefault="00826F39">
      <w:pPr>
        <w:rPr>
          <w:rFonts w:cs="FrankRuehl"/>
          <w:color w:val="FFFFFF"/>
          <w:sz w:val="2"/>
          <w:szCs w:val="2"/>
          <w:rtl/>
        </w:rPr>
      </w:pPr>
      <w:r w:rsidRPr="00826F39">
        <w:rPr>
          <w:rFonts w:cs="FrankRuehl"/>
          <w:color w:val="FFFFFF"/>
          <w:sz w:val="2"/>
          <w:szCs w:val="2"/>
          <w:rtl/>
        </w:rPr>
        <w:t>54678313</w:t>
      </w:r>
    </w:p>
    <w:p w14:paraId="3DA745CC" w14:textId="77777777" w:rsidR="00BA54BA" w:rsidRDefault="00826F3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2D790D" w14:textId="77777777" w:rsidR="00BA54BA" w:rsidRDefault="00BA54BA">
      <w:pPr>
        <w:jc w:val="center"/>
        <w:rPr>
          <w:rFonts w:ascii="Arial" w:hAnsi="Arial" w:cs="FrankRuehl"/>
          <w:sz w:val="28"/>
          <w:szCs w:val="28"/>
          <w:rtl/>
        </w:rPr>
      </w:pPr>
    </w:p>
    <w:p w14:paraId="4C89CEAC" w14:textId="77777777" w:rsidR="00BA54BA" w:rsidRDefault="00BA54BA">
      <w:pPr>
        <w:rPr>
          <w:rFonts w:cs="FrankRuehl"/>
          <w:sz w:val="28"/>
          <w:szCs w:val="28"/>
          <w:rtl/>
        </w:rPr>
      </w:pPr>
    </w:p>
    <w:p w14:paraId="5DCA8C5A" w14:textId="77777777" w:rsidR="00BA54BA" w:rsidRDefault="00BA54BA">
      <w:pPr>
        <w:pStyle w:val="a3"/>
        <w:jc w:val="center"/>
        <w:rPr>
          <w:rtl/>
        </w:rPr>
      </w:pPr>
    </w:p>
    <w:p w14:paraId="3E7739CE" w14:textId="77777777" w:rsidR="00826F39" w:rsidRPr="00826F39" w:rsidRDefault="00826F39" w:rsidP="00826F39">
      <w:pPr>
        <w:keepNext/>
        <w:rPr>
          <w:rFonts w:ascii="David" w:hAnsi="David"/>
          <w:color w:val="000000"/>
          <w:sz w:val="22"/>
          <w:szCs w:val="22"/>
          <w:rtl/>
        </w:rPr>
      </w:pPr>
    </w:p>
    <w:p w14:paraId="7EF156E5" w14:textId="77777777" w:rsidR="00826F39" w:rsidRPr="00826F39" w:rsidRDefault="00826F39" w:rsidP="00826F39">
      <w:pPr>
        <w:keepNext/>
        <w:rPr>
          <w:rFonts w:ascii="David" w:hAnsi="David"/>
          <w:color w:val="000000"/>
          <w:sz w:val="22"/>
          <w:szCs w:val="22"/>
          <w:rtl/>
        </w:rPr>
      </w:pPr>
      <w:r w:rsidRPr="00826F39">
        <w:rPr>
          <w:rFonts w:ascii="David" w:hAnsi="David"/>
          <w:color w:val="000000"/>
          <w:sz w:val="22"/>
          <w:szCs w:val="22"/>
          <w:rtl/>
        </w:rPr>
        <w:t>אלון אינפלד 54678313</w:t>
      </w:r>
    </w:p>
    <w:p w14:paraId="0B9F7ED7" w14:textId="77777777" w:rsidR="00826F39" w:rsidRDefault="00826F39" w:rsidP="00826F39">
      <w:r w:rsidRPr="00826F39">
        <w:rPr>
          <w:color w:val="000000"/>
          <w:rtl/>
        </w:rPr>
        <w:t>נוסח מסמך זה כפוף לשינויי ניסוח ועריכה</w:t>
      </w:r>
    </w:p>
    <w:p w14:paraId="00D1A419" w14:textId="77777777" w:rsidR="00826F39" w:rsidRDefault="00826F39" w:rsidP="00826F39">
      <w:pPr>
        <w:rPr>
          <w:rtl/>
        </w:rPr>
      </w:pPr>
    </w:p>
    <w:p w14:paraId="05910A15" w14:textId="77777777" w:rsidR="00826F39" w:rsidRDefault="00826F39" w:rsidP="00826F39">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83C878C" w14:textId="77777777" w:rsidR="00BA54BA" w:rsidRPr="00826F39" w:rsidRDefault="00BA54BA" w:rsidP="00826F39">
      <w:pPr>
        <w:jc w:val="center"/>
        <w:rPr>
          <w:color w:val="0000FF"/>
          <w:u w:val="single"/>
        </w:rPr>
      </w:pPr>
    </w:p>
    <w:sectPr w:rsidR="00BA54BA" w:rsidRPr="00826F39" w:rsidSect="00826F39">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C5E0B" w14:textId="77777777" w:rsidR="00BB7825" w:rsidRDefault="00BB7825">
      <w:r>
        <w:separator/>
      </w:r>
    </w:p>
  </w:endnote>
  <w:endnote w:type="continuationSeparator" w:id="0">
    <w:p w14:paraId="3304B764" w14:textId="77777777" w:rsidR="00BB7825" w:rsidRDefault="00BB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2899" w14:textId="77777777" w:rsidR="00826F39" w:rsidRDefault="00826F39" w:rsidP="00826F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937003" w14:textId="77777777" w:rsidR="00BA54BA" w:rsidRPr="00826F39" w:rsidRDefault="00826F39" w:rsidP="00826F39">
    <w:pPr>
      <w:pStyle w:val="a4"/>
      <w:pBdr>
        <w:top w:val="single" w:sz="4" w:space="1" w:color="auto"/>
        <w:between w:val="single" w:sz="4" w:space="0" w:color="auto"/>
      </w:pBdr>
      <w:spacing w:after="60"/>
      <w:jc w:val="center"/>
      <w:rPr>
        <w:rFonts w:ascii="FrankRuehl" w:hAnsi="FrankRuehl" w:cs="FrankRuehl"/>
        <w:color w:val="000000"/>
      </w:rPr>
    </w:pPr>
    <w:r w:rsidRPr="00826F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52DB" w14:textId="77777777" w:rsidR="00826F39" w:rsidRDefault="00826F39" w:rsidP="00826F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8D0">
      <w:rPr>
        <w:rFonts w:ascii="FrankRuehl" w:hAnsi="FrankRuehl" w:cs="FrankRuehl"/>
        <w:noProof/>
        <w:rtl/>
      </w:rPr>
      <w:t>7</w:t>
    </w:r>
    <w:r>
      <w:rPr>
        <w:rFonts w:ascii="FrankRuehl" w:hAnsi="FrankRuehl" w:cs="FrankRuehl"/>
        <w:rtl/>
      </w:rPr>
      <w:fldChar w:fldCharType="end"/>
    </w:r>
  </w:p>
  <w:p w14:paraId="385744B2" w14:textId="77777777" w:rsidR="00BA54BA" w:rsidRPr="00826F39" w:rsidRDefault="00826F39" w:rsidP="00826F39">
    <w:pPr>
      <w:pStyle w:val="a4"/>
      <w:pBdr>
        <w:top w:val="single" w:sz="4" w:space="1" w:color="auto"/>
        <w:between w:val="single" w:sz="4" w:space="0" w:color="auto"/>
      </w:pBdr>
      <w:spacing w:after="60"/>
      <w:jc w:val="center"/>
      <w:rPr>
        <w:rFonts w:ascii="FrankRuehl" w:hAnsi="FrankRuehl" w:cs="FrankRuehl"/>
        <w:color w:val="000000"/>
      </w:rPr>
    </w:pPr>
    <w:r w:rsidRPr="00826F39">
      <w:rPr>
        <w:rFonts w:ascii="FrankRuehl" w:hAnsi="FrankRuehl" w:cs="FrankRuehl"/>
        <w:color w:val="000000"/>
      </w:rPr>
      <w:pict w14:anchorId="6EE89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DC10" w14:textId="77777777" w:rsidR="00BB7825" w:rsidRDefault="00BB7825">
      <w:r>
        <w:separator/>
      </w:r>
    </w:p>
  </w:footnote>
  <w:footnote w:type="continuationSeparator" w:id="0">
    <w:p w14:paraId="51C8724A" w14:textId="77777777" w:rsidR="00BB7825" w:rsidRDefault="00BB7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741E" w14:textId="77777777" w:rsidR="00826F39" w:rsidRPr="00826F39" w:rsidRDefault="00826F39" w:rsidP="00826F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28139-10-13</w:t>
    </w:r>
    <w:r>
      <w:rPr>
        <w:rFonts w:ascii="David" w:hAnsi="David"/>
        <w:color w:val="000000"/>
        <w:sz w:val="22"/>
        <w:szCs w:val="22"/>
        <w:rtl/>
      </w:rPr>
      <w:tab/>
      <w:t xml:space="preserve"> מדינת ישראל נ' באסל אבו אעמר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A147" w14:textId="77777777" w:rsidR="00826F39" w:rsidRPr="00826F39" w:rsidRDefault="00826F39" w:rsidP="00826F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28139-10-13</w:t>
    </w:r>
    <w:r>
      <w:rPr>
        <w:rFonts w:ascii="David" w:hAnsi="David"/>
        <w:color w:val="000000"/>
        <w:sz w:val="22"/>
        <w:szCs w:val="22"/>
        <w:rtl/>
      </w:rPr>
      <w:tab/>
      <w:t xml:space="preserve"> מדינת ישראל נ' באסל אבו אעמר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5080"/>
    <w:multiLevelType w:val="hybridMultilevel"/>
    <w:tmpl w:val="D48C7E6C"/>
    <w:lvl w:ilvl="0" w:tplc="75408174">
      <w:start w:val="1"/>
      <w:numFmt w:val="decimal"/>
      <w:lvlText w:val="%1."/>
      <w:lvlJc w:val="left"/>
      <w:pPr>
        <w:tabs>
          <w:tab w:val="num" w:pos="786"/>
        </w:tabs>
        <w:ind w:left="786"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C0E2775"/>
    <w:multiLevelType w:val="hybridMultilevel"/>
    <w:tmpl w:val="EF8452E0"/>
    <w:lvl w:ilvl="0" w:tplc="8DB2680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49127FEA"/>
    <w:multiLevelType w:val="hybridMultilevel"/>
    <w:tmpl w:val="55668756"/>
    <w:lvl w:ilvl="0" w:tplc="80CC96B6">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488128">
    <w:abstractNumId w:val="0"/>
  </w:num>
  <w:num w:numId="2" w16cid:durableId="1573277689">
    <w:abstractNumId w:val="1"/>
  </w:num>
  <w:num w:numId="3" w16cid:durableId="112361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54BA"/>
    <w:rsid w:val="000C2785"/>
    <w:rsid w:val="0022660A"/>
    <w:rsid w:val="005A7813"/>
    <w:rsid w:val="005C1366"/>
    <w:rsid w:val="006208D0"/>
    <w:rsid w:val="00826F39"/>
    <w:rsid w:val="008B0E63"/>
    <w:rsid w:val="00BA54BA"/>
    <w:rsid w:val="00BB7825"/>
    <w:rsid w:val="00C7647B"/>
    <w:rsid w:val="00E078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38AB53"/>
  <w15:chartTrackingRefBased/>
  <w15:docId w15:val="{69B3C89A-7E1D-4394-B9DF-FDD1BC86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4B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A54BA"/>
    <w:pPr>
      <w:tabs>
        <w:tab w:val="center" w:pos="4153"/>
        <w:tab w:val="right" w:pos="8306"/>
      </w:tabs>
    </w:pPr>
  </w:style>
  <w:style w:type="paragraph" w:styleId="a4">
    <w:name w:val="footer"/>
    <w:basedOn w:val="a"/>
    <w:rsid w:val="00BA54BA"/>
    <w:pPr>
      <w:tabs>
        <w:tab w:val="center" w:pos="4153"/>
        <w:tab w:val="right" w:pos="8306"/>
      </w:tabs>
    </w:pPr>
  </w:style>
  <w:style w:type="character" w:styleId="a5">
    <w:name w:val="page number"/>
    <w:basedOn w:val="a0"/>
    <w:rsid w:val="00BA54BA"/>
  </w:style>
  <w:style w:type="character" w:styleId="Hyperlink">
    <w:name w:val="Hyperlink"/>
    <w:basedOn w:val="a0"/>
    <w:rsid w:val="00826F39"/>
    <w:rPr>
      <w:color w:val="0000FF"/>
      <w:u w:val="single"/>
    </w:rPr>
  </w:style>
  <w:style w:type="paragraph" w:styleId="a6">
    <w:name w:val="List Paragraph"/>
    <w:basedOn w:val="a"/>
    <w:qFormat/>
    <w:rsid w:val="005C1366"/>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18093113" TargetMode="External"/><Relationship Id="rId39" Type="http://schemas.openxmlformats.org/officeDocument/2006/relationships/hyperlink" Target="http://www.nevo.co.il/law/70301/40e" TargetMode="External"/><Relationship Id="rId21" Type="http://schemas.openxmlformats.org/officeDocument/2006/relationships/hyperlink" Target="http://www.nevo.co.il/law/70301/335.a.1" TargetMode="External"/><Relationship Id="rId34" Type="http://schemas.openxmlformats.org/officeDocument/2006/relationships/hyperlink" Target="http://www.nevo.co.il/case/5578618" TargetMode="External"/><Relationship Id="rId42" Type="http://schemas.openxmlformats.org/officeDocument/2006/relationships/hyperlink" Target="http://www.nevo.co.il/law/70301/40g"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4251621" TargetMode="External"/><Relationship Id="rId37" Type="http://schemas.openxmlformats.org/officeDocument/2006/relationships/hyperlink" Target="http://www.nevo.co.il/law/70301/40ja.5"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33" TargetMode="External"/><Relationship Id="rId23" Type="http://schemas.openxmlformats.org/officeDocument/2006/relationships/hyperlink" Target="http://www.nevo.co.il/law/70301/40j" TargetMode="External"/><Relationship Id="rId28" Type="http://schemas.openxmlformats.org/officeDocument/2006/relationships/hyperlink" Target="http://www.nevo.co.il/case/7765404" TargetMode="External"/><Relationship Id="rId36" Type="http://schemas.openxmlformats.org/officeDocument/2006/relationships/hyperlink" Target="http://www.nevo.co.il/case/17948201" TargetMode="External"/><Relationship Id="rId49" Type="http://schemas.openxmlformats.org/officeDocument/2006/relationships/fontTable" Target="fontTable.xml"/><Relationship Id="rId10" Type="http://schemas.openxmlformats.org/officeDocument/2006/relationships/hyperlink" Target="http://www.nevo.co.il/law/70301/40e"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87501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601851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30667"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70301/40ja.5" TargetMode="External"/><Relationship Id="rId25" Type="http://schemas.openxmlformats.org/officeDocument/2006/relationships/hyperlink" Target="http://www.nevo.co.il/case/17954542" TargetMode="External"/><Relationship Id="rId33" Type="http://schemas.openxmlformats.org/officeDocument/2006/relationships/hyperlink" Target="http://www.nevo.co.il/case/5950172" TargetMode="External"/><Relationship Id="rId38" Type="http://schemas.openxmlformats.org/officeDocument/2006/relationships/hyperlink" Target="http://www.nevo.co.il/law/70301/40ja.5" TargetMode="External"/><Relationship Id="rId46" Type="http://schemas.openxmlformats.org/officeDocument/2006/relationships/header" Target="header2.xml"/><Relationship Id="rId20" Type="http://schemas.openxmlformats.org/officeDocument/2006/relationships/hyperlink" Target="http://www.nevo.co.il/law/70301/333" TargetMode="External"/><Relationship Id="rId41" Type="http://schemas.openxmlformats.org/officeDocument/2006/relationships/hyperlink" Target="http://www.nevo.co.il/law/70301/40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2775</Words>
  <Characters>13876</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16618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http://www.nevo.co.il/law/70301/40g</vt:lpwstr>
      </vt:variant>
      <vt:variant>
        <vt:lpwstr/>
      </vt:variant>
      <vt:variant>
        <vt:i4>6619233</vt:i4>
      </vt:variant>
      <vt:variant>
        <vt:i4>102</vt:i4>
      </vt:variant>
      <vt:variant>
        <vt:i4>0</vt:i4>
      </vt:variant>
      <vt:variant>
        <vt:i4>5</vt:i4>
      </vt:variant>
      <vt:variant>
        <vt:lpwstr>http://www.nevo.co.il/law/70301/40f</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http://www.nevo.co.il/law/70301/40e</vt:lpwstr>
      </vt:variant>
      <vt:variant>
        <vt:lpwstr/>
      </vt:variant>
      <vt:variant>
        <vt:i4>3211301</vt:i4>
      </vt:variant>
      <vt:variant>
        <vt:i4>93</vt:i4>
      </vt:variant>
      <vt:variant>
        <vt:i4>0</vt:i4>
      </vt:variant>
      <vt:variant>
        <vt:i4>5</vt:i4>
      </vt:variant>
      <vt:variant>
        <vt:lpwstr>http://www.nevo.co.il/law/70301/40ja.5</vt:lpwstr>
      </vt:variant>
      <vt:variant>
        <vt:lpwstr/>
      </vt:variant>
      <vt:variant>
        <vt:i4>3211301</vt:i4>
      </vt:variant>
      <vt:variant>
        <vt:i4>90</vt:i4>
      </vt:variant>
      <vt:variant>
        <vt:i4>0</vt:i4>
      </vt:variant>
      <vt:variant>
        <vt:i4>5</vt:i4>
      </vt:variant>
      <vt:variant>
        <vt:lpwstr>http://www.nevo.co.il/law/70301/40ja.5</vt:lpwstr>
      </vt:variant>
      <vt:variant>
        <vt:lpwstr/>
      </vt:variant>
      <vt:variant>
        <vt:i4>3145845</vt:i4>
      </vt:variant>
      <vt:variant>
        <vt:i4>87</vt:i4>
      </vt:variant>
      <vt:variant>
        <vt:i4>0</vt:i4>
      </vt:variant>
      <vt:variant>
        <vt:i4>5</vt:i4>
      </vt:variant>
      <vt:variant>
        <vt:lpwstr>http://www.nevo.co.il/case/17948201</vt:lpwstr>
      </vt:variant>
      <vt:variant>
        <vt:lpwstr/>
      </vt:variant>
      <vt:variant>
        <vt:i4>3407986</vt:i4>
      </vt:variant>
      <vt:variant>
        <vt:i4>84</vt:i4>
      </vt:variant>
      <vt:variant>
        <vt:i4>0</vt:i4>
      </vt:variant>
      <vt:variant>
        <vt:i4>5</vt:i4>
      </vt:variant>
      <vt:variant>
        <vt:lpwstr>http://www.nevo.co.il/case/6030667</vt:lpwstr>
      </vt:variant>
      <vt:variant>
        <vt:lpwstr/>
      </vt:variant>
      <vt:variant>
        <vt:i4>3932280</vt:i4>
      </vt:variant>
      <vt:variant>
        <vt:i4>81</vt:i4>
      </vt:variant>
      <vt:variant>
        <vt:i4>0</vt:i4>
      </vt:variant>
      <vt:variant>
        <vt:i4>5</vt:i4>
      </vt:variant>
      <vt:variant>
        <vt:lpwstr>http://www.nevo.co.il/case/5578618</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3539061</vt:i4>
      </vt:variant>
      <vt:variant>
        <vt:i4>75</vt:i4>
      </vt:variant>
      <vt:variant>
        <vt:i4>0</vt:i4>
      </vt:variant>
      <vt:variant>
        <vt:i4>5</vt:i4>
      </vt:variant>
      <vt:variant>
        <vt:lpwstr>http://www.nevo.co.il/case/4251621</vt:lpwstr>
      </vt:variant>
      <vt:variant>
        <vt:lpwstr/>
      </vt:variant>
      <vt:variant>
        <vt:i4>3145848</vt:i4>
      </vt:variant>
      <vt:variant>
        <vt:i4>72</vt:i4>
      </vt:variant>
      <vt:variant>
        <vt:i4>0</vt:i4>
      </vt:variant>
      <vt:variant>
        <vt:i4>5</vt:i4>
      </vt:variant>
      <vt:variant>
        <vt:lpwstr>http://www.nevo.co.il/case/6875011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3211382</vt:i4>
      </vt:variant>
      <vt:variant>
        <vt:i4>63</vt:i4>
      </vt:variant>
      <vt:variant>
        <vt:i4>0</vt:i4>
      </vt:variant>
      <vt:variant>
        <vt:i4>5</vt:i4>
      </vt:variant>
      <vt:variant>
        <vt:lpwstr>http://www.nevo.co.il/case/7765404</vt:lpwstr>
      </vt:variant>
      <vt:variant>
        <vt:lpwstr/>
      </vt:variant>
      <vt:variant>
        <vt:i4>3407997</vt:i4>
      </vt:variant>
      <vt:variant>
        <vt:i4>60</vt:i4>
      </vt:variant>
      <vt:variant>
        <vt:i4>0</vt:i4>
      </vt:variant>
      <vt:variant>
        <vt:i4>5</vt:i4>
      </vt:variant>
      <vt:variant>
        <vt:lpwstr>http://www.nevo.co.il/case/6018516</vt:lpwstr>
      </vt:variant>
      <vt:variant>
        <vt:lpwstr/>
      </vt:variant>
      <vt:variant>
        <vt:i4>3342452</vt:i4>
      </vt:variant>
      <vt:variant>
        <vt:i4>57</vt:i4>
      </vt:variant>
      <vt:variant>
        <vt:i4>0</vt:i4>
      </vt:variant>
      <vt:variant>
        <vt:i4>5</vt:i4>
      </vt:variant>
      <vt:variant>
        <vt:lpwstr>http://www.nevo.co.il/case/18093113</vt:lpwstr>
      </vt:variant>
      <vt:variant>
        <vt:lpwstr/>
      </vt:variant>
      <vt:variant>
        <vt:i4>3670131</vt:i4>
      </vt:variant>
      <vt:variant>
        <vt:i4>54</vt:i4>
      </vt:variant>
      <vt:variant>
        <vt:i4>0</vt:i4>
      </vt:variant>
      <vt:variant>
        <vt:i4>5</vt:i4>
      </vt:variant>
      <vt:variant>
        <vt:lpwstr>http://www.nevo.co.il/case/17954542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http://www.nevo.co.il/law/70301/40j</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3211301</vt:i4>
      </vt:variant>
      <vt:variant>
        <vt:i4>30</vt:i4>
      </vt:variant>
      <vt:variant>
        <vt:i4>0</vt:i4>
      </vt:variant>
      <vt:variant>
        <vt:i4>5</vt:i4>
      </vt:variant>
      <vt:variant>
        <vt:lpwstr>http://www.nevo.co.il/law/70301/40ja.5</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28139</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באסל אבו אעמר</vt:lpwstr>
  </property>
  <property fmtid="{D5CDD505-2E9C-101B-9397-08002B2CF9AE}" pid="10" name="LAWYER">
    <vt:lpwstr>ירון סעדון;כאמל אלזיאדנה</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20150118</vt:lpwstr>
  </property>
  <property fmtid="{D5CDD505-2E9C-101B-9397-08002B2CF9AE}" pid="14" name="TYPE_N_DATE">
    <vt:lpwstr>39020150118</vt:lpwstr>
  </property>
  <property fmtid="{D5CDD505-2E9C-101B-9397-08002B2CF9AE}" pid="15" name="CASESLISTTMP1">
    <vt:lpwstr>17954542;18093113;6018516;7765404;6875011;4251621;5950172;5578618;6030667;17948201</vt:lpwstr>
  </property>
  <property fmtid="{D5CDD505-2E9C-101B-9397-08002B2CF9AE}" pid="16" name="WORDNUMPAGES">
    <vt:lpwstr>8</vt:lpwstr>
  </property>
  <property fmtid="{D5CDD505-2E9C-101B-9397-08002B2CF9AE}" pid="17" name="TYPE_ABS_DATE">
    <vt:lpwstr>390120150118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70301/144.a;333;335.a.1;025;040j;040c.a;40ja.5;040e;040f;040g</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8984</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אלימות</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20150208</vt:lpwstr>
  </property>
</Properties>
</file>