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1611D9" w:rsidRPr="000849E1" w14:paraId="7D6015A4" w14:textId="77777777">
        <w:trPr>
          <w:trHeight w:hRule="exact" w:val="418"/>
          <w:jc w:val="center"/>
        </w:trPr>
        <w:tc>
          <w:tcPr>
            <w:tcW w:w="8720" w:type="dxa"/>
            <w:gridSpan w:val="3"/>
          </w:tcPr>
          <w:p w14:paraId="30F68BDB" w14:textId="77777777" w:rsidR="001611D9" w:rsidRPr="000849E1" w:rsidRDefault="000849E1">
            <w:pPr>
              <w:pStyle w:val="a3"/>
              <w:tabs>
                <w:tab w:val="clear" w:pos="8306"/>
              </w:tabs>
              <w:jc w:val="center"/>
              <w:rPr>
                <w:rFonts w:ascii="Tahoma" w:hAnsi="Tahoma" w:cs="Tahoma"/>
                <w:b/>
                <w:bCs/>
                <w:color w:val="000080"/>
                <w:sz w:val="20"/>
                <w:szCs w:val="20"/>
                <w:rtl/>
              </w:rPr>
            </w:pPr>
            <w:bookmarkStart w:id="0" w:name="FirstLawyer"/>
            <w:r w:rsidRPr="000849E1">
              <w:rPr>
                <w:rFonts w:ascii="Tahoma" w:hAnsi="Tahoma" w:cs="Tahoma"/>
                <w:b/>
                <w:bCs/>
                <w:color w:val="000080"/>
                <w:sz w:val="20"/>
                <w:szCs w:val="20"/>
                <w:rtl/>
              </w:rPr>
              <w:t>בית המשפט המחוזי בנצרת</w:t>
            </w:r>
          </w:p>
        </w:tc>
      </w:tr>
      <w:tr w:rsidR="001611D9" w:rsidRPr="000849E1" w14:paraId="7280088D" w14:textId="77777777">
        <w:trPr>
          <w:trHeight w:val="337"/>
          <w:jc w:val="center"/>
        </w:trPr>
        <w:tc>
          <w:tcPr>
            <w:tcW w:w="3973" w:type="dxa"/>
          </w:tcPr>
          <w:p w14:paraId="6A2B208C" w14:textId="77777777" w:rsidR="001611D9" w:rsidRPr="000849E1" w:rsidRDefault="000849E1" w:rsidP="006546C0">
            <w:pPr>
              <w:rPr>
                <w:rFonts w:hint="cs"/>
                <w:b/>
                <w:bCs/>
                <w:sz w:val="26"/>
                <w:szCs w:val="26"/>
                <w:rtl/>
              </w:rPr>
            </w:pPr>
            <w:r w:rsidRPr="000849E1">
              <w:rPr>
                <w:b/>
                <w:bCs/>
                <w:sz w:val="26"/>
                <w:szCs w:val="26"/>
                <w:rtl/>
              </w:rPr>
              <w:t>ת"פ</w:t>
            </w:r>
            <w:r w:rsidRPr="000849E1">
              <w:rPr>
                <w:rFonts w:hint="cs"/>
                <w:b/>
                <w:bCs/>
                <w:sz w:val="26"/>
                <w:szCs w:val="26"/>
                <w:rtl/>
              </w:rPr>
              <w:t xml:space="preserve"> </w:t>
            </w:r>
            <w:r w:rsidRPr="000849E1">
              <w:rPr>
                <w:b/>
                <w:bCs/>
                <w:sz w:val="26"/>
                <w:szCs w:val="26"/>
                <w:rtl/>
              </w:rPr>
              <w:t>13179-07-14</w:t>
            </w:r>
            <w:r w:rsidRPr="000849E1">
              <w:rPr>
                <w:rFonts w:hint="cs"/>
                <w:b/>
                <w:bCs/>
                <w:sz w:val="26"/>
                <w:szCs w:val="26"/>
                <w:rtl/>
              </w:rPr>
              <w:t xml:space="preserve"> </w:t>
            </w:r>
            <w:r w:rsidR="006546C0">
              <w:rPr>
                <w:b/>
                <w:bCs/>
                <w:sz w:val="26"/>
                <w:szCs w:val="26"/>
                <w:rtl/>
              </w:rPr>
              <w:t>מדינת ישראל נ' עווד</w:t>
            </w:r>
          </w:p>
          <w:p w14:paraId="138C9153" w14:textId="77777777" w:rsidR="001611D9" w:rsidRPr="000849E1" w:rsidRDefault="001611D9">
            <w:pPr>
              <w:rPr>
                <w:b/>
                <w:bCs/>
                <w:sz w:val="26"/>
                <w:szCs w:val="26"/>
                <w:rtl/>
              </w:rPr>
            </w:pPr>
          </w:p>
        </w:tc>
        <w:tc>
          <w:tcPr>
            <w:tcW w:w="1068" w:type="dxa"/>
          </w:tcPr>
          <w:p w14:paraId="12AFD74D" w14:textId="77777777" w:rsidR="001611D9" w:rsidRPr="000849E1" w:rsidRDefault="001611D9">
            <w:pPr>
              <w:pStyle w:val="a3"/>
              <w:jc w:val="right"/>
              <w:rPr>
                <w:b/>
                <w:bCs/>
                <w:sz w:val="26"/>
                <w:szCs w:val="26"/>
                <w:rtl/>
              </w:rPr>
            </w:pPr>
          </w:p>
        </w:tc>
        <w:tc>
          <w:tcPr>
            <w:tcW w:w="3679" w:type="dxa"/>
          </w:tcPr>
          <w:p w14:paraId="7EE356A6" w14:textId="77777777" w:rsidR="001611D9" w:rsidRPr="000849E1" w:rsidRDefault="000849E1">
            <w:pPr>
              <w:pStyle w:val="a3"/>
              <w:tabs>
                <w:tab w:val="clear" w:pos="4153"/>
              </w:tabs>
              <w:jc w:val="right"/>
              <w:rPr>
                <w:b/>
                <w:bCs/>
                <w:sz w:val="26"/>
                <w:szCs w:val="26"/>
                <w:rtl/>
              </w:rPr>
            </w:pPr>
            <w:r w:rsidRPr="000849E1">
              <w:rPr>
                <w:b/>
                <w:bCs/>
                <w:sz w:val="26"/>
                <w:szCs w:val="26"/>
                <w:rtl/>
              </w:rPr>
              <w:t>05 מאי 2015</w:t>
            </w:r>
          </w:p>
        </w:tc>
      </w:tr>
    </w:tbl>
    <w:p w14:paraId="34D4F8F1" w14:textId="77777777" w:rsidR="001611D9" w:rsidRPr="000849E1" w:rsidRDefault="001611D9">
      <w:pPr>
        <w:pStyle w:val="a3"/>
        <w:jc w:val="center"/>
        <w:rPr>
          <w:rFonts w:ascii="Tahoma" w:hAnsi="Tahoma" w:cs="Tahoma"/>
          <w:b/>
          <w:bCs/>
          <w:color w:val="000080"/>
          <w:sz w:val="20"/>
          <w:szCs w:val="20"/>
          <w:rtl/>
        </w:rPr>
      </w:pPr>
    </w:p>
    <w:p w14:paraId="695F08CB" w14:textId="77777777" w:rsidR="001611D9" w:rsidRPr="000849E1" w:rsidRDefault="001611D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1611D9" w:rsidRPr="000849E1" w14:paraId="473C1003" w14:textId="77777777">
        <w:trPr>
          <w:gridAfter w:val="1"/>
          <w:wAfter w:w="55" w:type="dxa"/>
        </w:trPr>
        <w:tc>
          <w:tcPr>
            <w:tcW w:w="8719" w:type="dxa"/>
            <w:gridSpan w:val="2"/>
          </w:tcPr>
          <w:p w14:paraId="7DE14C61" w14:textId="77777777" w:rsidR="001611D9" w:rsidRPr="000849E1" w:rsidRDefault="000849E1">
            <w:pPr>
              <w:spacing w:line="360" w:lineRule="auto"/>
              <w:jc w:val="both"/>
              <w:rPr>
                <w:rFonts w:ascii="Arial" w:eastAsia="Times New Roman" w:hAnsi="Arial"/>
                <w:sz w:val="26"/>
                <w:szCs w:val="26"/>
                <w:rtl/>
              </w:rPr>
            </w:pPr>
            <w:r w:rsidRPr="000849E1">
              <w:rPr>
                <w:rFonts w:ascii="Times New Roman" w:eastAsia="Times New Roman" w:hAnsi="Times New Roman" w:hint="cs"/>
                <w:b/>
                <w:bCs/>
                <w:sz w:val="26"/>
                <w:szCs w:val="26"/>
                <w:rtl/>
              </w:rPr>
              <w:t>בפני כבוד סגן הנשיא, השופט – תאופיק כתילי</w:t>
            </w:r>
          </w:p>
        </w:tc>
      </w:tr>
      <w:tr w:rsidR="001611D9" w:rsidRPr="000849E1" w14:paraId="15BB0BA0" w14:textId="77777777">
        <w:tc>
          <w:tcPr>
            <w:tcW w:w="2880" w:type="dxa"/>
          </w:tcPr>
          <w:p w14:paraId="663F16C8" w14:textId="77777777" w:rsidR="001611D9" w:rsidRPr="000849E1" w:rsidRDefault="000849E1">
            <w:pPr>
              <w:ind w:left="26"/>
              <w:rPr>
                <w:rFonts w:ascii="Times New Roman" w:eastAsia="Times New Roman" w:hAnsi="Times New Roman"/>
                <w:b/>
                <w:bCs/>
                <w:sz w:val="26"/>
                <w:szCs w:val="26"/>
                <w:rtl/>
              </w:rPr>
            </w:pPr>
            <w:bookmarkStart w:id="1" w:name="FirstAppellant"/>
            <w:bookmarkStart w:id="2" w:name="LastJudge"/>
            <w:bookmarkEnd w:id="2"/>
            <w:r w:rsidRPr="000849E1">
              <w:rPr>
                <w:rFonts w:ascii="Times New Roman" w:eastAsia="Times New Roman" w:hAnsi="Times New Roman" w:hint="cs"/>
                <w:b/>
                <w:bCs/>
                <w:sz w:val="26"/>
                <w:szCs w:val="26"/>
                <w:rtl/>
              </w:rPr>
              <w:t>המאשימה</w:t>
            </w:r>
          </w:p>
        </w:tc>
        <w:tc>
          <w:tcPr>
            <w:tcW w:w="5922" w:type="dxa"/>
            <w:gridSpan w:val="2"/>
          </w:tcPr>
          <w:p w14:paraId="1D59F2BD" w14:textId="77777777" w:rsidR="001611D9" w:rsidRPr="000849E1" w:rsidRDefault="000849E1">
            <w:pPr>
              <w:rPr>
                <w:rFonts w:ascii="Times New Roman" w:eastAsia="Times New Roman" w:hAnsi="Times New Roman"/>
                <w:b/>
                <w:bCs/>
                <w:sz w:val="26"/>
                <w:szCs w:val="26"/>
              </w:rPr>
            </w:pPr>
            <w:r w:rsidRPr="000849E1">
              <w:rPr>
                <w:rFonts w:ascii="Times New Roman" w:eastAsia="Times New Roman" w:hAnsi="Times New Roman" w:hint="cs"/>
                <w:b/>
                <w:bCs/>
                <w:sz w:val="26"/>
                <w:szCs w:val="26"/>
                <w:rtl/>
              </w:rPr>
              <w:t>מדינת ישראל</w:t>
            </w:r>
          </w:p>
          <w:p w14:paraId="1EC20EB6" w14:textId="77777777" w:rsidR="001611D9" w:rsidRPr="000849E1" w:rsidRDefault="000849E1">
            <w:pPr>
              <w:rPr>
                <w:rFonts w:ascii="Times New Roman" w:eastAsia="Times New Roman" w:hAnsi="Times New Roman"/>
                <w:b/>
                <w:bCs/>
                <w:sz w:val="22"/>
                <w:szCs w:val="22"/>
                <w:rtl/>
              </w:rPr>
            </w:pPr>
            <w:r w:rsidRPr="000849E1">
              <w:rPr>
                <w:rFonts w:ascii="Times New Roman" w:eastAsia="Times New Roman" w:hAnsi="Times New Roman" w:hint="cs"/>
                <w:b/>
                <w:bCs/>
                <w:sz w:val="22"/>
                <w:szCs w:val="22"/>
                <w:rtl/>
              </w:rPr>
              <w:t>באמצעות פרקליטות מחוז צפון</w:t>
            </w:r>
          </w:p>
        </w:tc>
      </w:tr>
      <w:bookmarkEnd w:id="1"/>
      <w:tr w:rsidR="001611D9" w:rsidRPr="000849E1" w14:paraId="41059B3C" w14:textId="77777777">
        <w:tc>
          <w:tcPr>
            <w:tcW w:w="8802" w:type="dxa"/>
            <w:gridSpan w:val="3"/>
          </w:tcPr>
          <w:p w14:paraId="43B9B2BF" w14:textId="77777777" w:rsidR="001611D9" w:rsidRPr="000849E1" w:rsidRDefault="001611D9">
            <w:pPr>
              <w:jc w:val="both"/>
              <w:rPr>
                <w:rFonts w:ascii="Arial" w:eastAsia="Times New Roman" w:hAnsi="Arial"/>
                <w:b/>
                <w:bCs/>
                <w:sz w:val="26"/>
                <w:szCs w:val="26"/>
                <w:rtl/>
              </w:rPr>
            </w:pPr>
          </w:p>
          <w:p w14:paraId="460B1703" w14:textId="77777777" w:rsidR="001611D9" w:rsidRPr="000849E1" w:rsidRDefault="000849E1">
            <w:pPr>
              <w:jc w:val="center"/>
              <w:rPr>
                <w:rFonts w:ascii="Arial" w:eastAsia="Times New Roman" w:hAnsi="Arial"/>
                <w:b/>
                <w:bCs/>
                <w:sz w:val="26"/>
                <w:szCs w:val="26"/>
                <w:rtl/>
              </w:rPr>
            </w:pPr>
            <w:r w:rsidRPr="000849E1">
              <w:rPr>
                <w:rFonts w:ascii="Arial" w:eastAsia="Times New Roman" w:hAnsi="Arial"/>
                <w:b/>
                <w:bCs/>
                <w:sz w:val="26"/>
                <w:szCs w:val="26"/>
                <w:rtl/>
              </w:rPr>
              <w:t>נגד</w:t>
            </w:r>
          </w:p>
          <w:p w14:paraId="327EAED3" w14:textId="77777777" w:rsidR="001611D9" w:rsidRPr="000849E1" w:rsidRDefault="001611D9">
            <w:pPr>
              <w:jc w:val="center"/>
              <w:rPr>
                <w:rFonts w:ascii="Arial" w:eastAsia="Times New Roman" w:hAnsi="Arial"/>
                <w:b/>
                <w:bCs/>
                <w:sz w:val="26"/>
                <w:szCs w:val="26"/>
              </w:rPr>
            </w:pPr>
          </w:p>
        </w:tc>
      </w:tr>
      <w:tr w:rsidR="001611D9" w:rsidRPr="000849E1" w14:paraId="75D98FF2" w14:textId="77777777">
        <w:tc>
          <w:tcPr>
            <w:tcW w:w="2880" w:type="dxa"/>
          </w:tcPr>
          <w:p w14:paraId="0F212AAF" w14:textId="77777777" w:rsidR="001611D9" w:rsidRPr="000849E1" w:rsidRDefault="000849E1">
            <w:pPr>
              <w:ind w:left="26"/>
              <w:rPr>
                <w:rFonts w:ascii="Times New Roman" w:eastAsia="Times New Roman" w:hAnsi="Times New Roman"/>
                <w:b/>
                <w:bCs/>
                <w:sz w:val="26"/>
                <w:szCs w:val="26"/>
                <w:rtl/>
              </w:rPr>
            </w:pPr>
            <w:r w:rsidRPr="000849E1">
              <w:rPr>
                <w:rFonts w:ascii="Times New Roman" w:eastAsia="Times New Roman" w:hAnsi="Times New Roman" w:hint="cs"/>
                <w:b/>
                <w:bCs/>
                <w:sz w:val="26"/>
                <w:szCs w:val="26"/>
                <w:rtl/>
              </w:rPr>
              <w:t>הנאשם</w:t>
            </w:r>
          </w:p>
        </w:tc>
        <w:tc>
          <w:tcPr>
            <w:tcW w:w="5922" w:type="dxa"/>
            <w:gridSpan w:val="2"/>
          </w:tcPr>
          <w:p w14:paraId="066F45E8" w14:textId="77777777" w:rsidR="001611D9" w:rsidRPr="000849E1" w:rsidRDefault="000849E1">
            <w:pPr>
              <w:rPr>
                <w:rFonts w:ascii="Times New Roman" w:eastAsia="Times New Roman" w:hAnsi="Times New Roman"/>
                <w:b/>
                <w:bCs/>
                <w:sz w:val="26"/>
                <w:szCs w:val="26"/>
                <w:rtl/>
              </w:rPr>
            </w:pPr>
            <w:r w:rsidRPr="000849E1">
              <w:rPr>
                <w:rFonts w:ascii="Times New Roman" w:eastAsia="Times New Roman" w:hAnsi="Times New Roman" w:hint="cs"/>
                <w:rtl/>
              </w:rPr>
              <w:t xml:space="preserve">סלימאן עווד </w:t>
            </w:r>
          </w:p>
        </w:tc>
      </w:tr>
    </w:tbl>
    <w:p w14:paraId="36743FBC" w14:textId="77777777" w:rsidR="001611D9" w:rsidRPr="000849E1" w:rsidRDefault="000849E1">
      <w:pPr>
        <w:spacing w:line="360" w:lineRule="auto"/>
        <w:jc w:val="both"/>
        <w:rPr>
          <w:sz w:val="6"/>
          <w:szCs w:val="6"/>
          <w:rtl/>
        </w:rPr>
      </w:pPr>
      <w:r w:rsidRPr="000849E1">
        <w:rPr>
          <w:sz w:val="6"/>
          <w:szCs w:val="6"/>
          <w:rtl/>
        </w:rPr>
        <w:t>&lt;#2#&gt;</w:t>
      </w:r>
    </w:p>
    <w:p w14:paraId="24BDDCDA" w14:textId="77777777" w:rsidR="001611D9" w:rsidRPr="000849E1" w:rsidRDefault="000849E1">
      <w:pPr>
        <w:pStyle w:val="12"/>
        <w:rPr>
          <w:u w:val="none"/>
          <w:rtl/>
        </w:rPr>
      </w:pPr>
      <w:r w:rsidRPr="000849E1">
        <w:rPr>
          <w:rFonts w:hint="cs"/>
          <w:u w:val="none"/>
          <w:rtl/>
        </w:rPr>
        <w:t>נוכחים:</w:t>
      </w:r>
    </w:p>
    <w:p w14:paraId="22CE4A99" w14:textId="77777777" w:rsidR="001611D9" w:rsidRPr="000849E1" w:rsidRDefault="000849E1">
      <w:pPr>
        <w:pStyle w:val="12"/>
        <w:rPr>
          <w:u w:val="none"/>
          <w:rtl/>
        </w:rPr>
      </w:pPr>
      <w:r w:rsidRPr="000849E1">
        <w:rPr>
          <w:rFonts w:hint="cs"/>
          <w:u w:val="none"/>
          <w:rtl/>
        </w:rPr>
        <w:t>מטעם המאשימה: עו"ד עידית שדה</w:t>
      </w:r>
    </w:p>
    <w:p w14:paraId="5F109A49" w14:textId="77777777" w:rsidR="009A41BC" w:rsidRDefault="000849E1">
      <w:pPr>
        <w:pStyle w:val="12"/>
        <w:rPr>
          <w:b w:val="0"/>
          <w:bCs w:val="0"/>
          <w:u w:val="none"/>
          <w:rtl/>
        </w:rPr>
      </w:pPr>
      <w:r w:rsidRPr="000849E1">
        <w:rPr>
          <w:rFonts w:hint="cs"/>
          <w:u w:val="none"/>
          <w:rtl/>
        </w:rPr>
        <w:t>מטעם הנאשם: הובא וע"י ב"כ עו"ד ראפי מסאלח</w:t>
      </w:r>
      <w:bookmarkStart w:id="3" w:name="LawTable"/>
      <w:bookmarkEnd w:id="3"/>
    </w:p>
    <w:p w14:paraId="1AFBC008" w14:textId="77777777" w:rsidR="009A41BC" w:rsidRPr="009A41BC" w:rsidRDefault="009A41BC" w:rsidP="009A41BC">
      <w:pPr>
        <w:pStyle w:val="12"/>
        <w:spacing w:after="120" w:line="240" w:lineRule="exact"/>
        <w:ind w:left="283" w:hanging="283"/>
        <w:jc w:val="both"/>
        <w:rPr>
          <w:rFonts w:ascii="FrankRuehl" w:hAnsi="FrankRuehl" w:cs="FrankRuehl"/>
          <w:b w:val="0"/>
          <w:bCs w:val="0"/>
          <w:u w:val="none"/>
          <w:rtl/>
        </w:rPr>
      </w:pPr>
    </w:p>
    <w:p w14:paraId="4702C0C2" w14:textId="77777777" w:rsidR="009A41BC" w:rsidRPr="009A41BC" w:rsidRDefault="009A41BC" w:rsidP="009A41BC">
      <w:pPr>
        <w:pStyle w:val="12"/>
        <w:spacing w:after="120" w:line="240" w:lineRule="exact"/>
        <w:ind w:left="283" w:hanging="283"/>
        <w:jc w:val="both"/>
        <w:rPr>
          <w:rFonts w:ascii="FrankRuehl" w:hAnsi="FrankRuehl" w:cs="FrankRuehl"/>
          <w:b w:val="0"/>
          <w:bCs w:val="0"/>
          <w:u w:val="none"/>
          <w:rtl/>
        </w:rPr>
      </w:pPr>
      <w:r w:rsidRPr="009A41BC">
        <w:rPr>
          <w:rFonts w:ascii="FrankRuehl" w:hAnsi="FrankRuehl" w:cs="FrankRuehl"/>
          <w:b w:val="0"/>
          <w:bCs w:val="0"/>
          <w:u w:val="none"/>
          <w:rtl/>
        </w:rPr>
        <w:t xml:space="preserve">חקיקה שאוזכרה: </w:t>
      </w:r>
    </w:p>
    <w:p w14:paraId="4FA9A1C0" w14:textId="77777777" w:rsidR="009A41BC" w:rsidRPr="009A41BC" w:rsidRDefault="009A41BC" w:rsidP="009A41BC">
      <w:pPr>
        <w:pStyle w:val="12"/>
        <w:spacing w:after="120" w:line="240" w:lineRule="exact"/>
        <w:ind w:left="283" w:hanging="283"/>
        <w:jc w:val="both"/>
        <w:rPr>
          <w:rFonts w:ascii="FrankRuehl" w:hAnsi="FrankRuehl" w:cs="FrankRuehl"/>
          <w:b w:val="0"/>
          <w:bCs w:val="0"/>
          <w:u w:val="none"/>
          <w:rtl/>
        </w:rPr>
      </w:pPr>
      <w:hyperlink r:id="rId7" w:history="1">
        <w:r w:rsidRPr="009A41BC">
          <w:rPr>
            <w:rFonts w:ascii="FrankRuehl" w:hAnsi="FrankRuehl" w:cs="FrankRuehl"/>
            <w:b w:val="0"/>
            <w:bCs w:val="0"/>
            <w:color w:val="0000FF"/>
            <w:rtl/>
          </w:rPr>
          <w:t>חוק העונשין, תשל"ז-1977</w:t>
        </w:r>
      </w:hyperlink>
      <w:r w:rsidRPr="009A41BC">
        <w:rPr>
          <w:rFonts w:ascii="FrankRuehl" w:hAnsi="FrankRuehl" w:cs="FrankRuehl"/>
          <w:b w:val="0"/>
          <w:bCs w:val="0"/>
          <w:u w:val="none"/>
          <w:rtl/>
        </w:rPr>
        <w:t xml:space="preserve">: סע'  </w:t>
      </w:r>
      <w:hyperlink r:id="rId8" w:history="1">
        <w:r w:rsidRPr="009A41BC">
          <w:rPr>
            <w:rFonts w:ascii="FrankRuehl" w:hAnsi="FrankRuehl" w:cs="FrankRuehl"/>
            <w:b w:val="0"/>
            <w:bCs w:val="0"/>
            <w:color w:val="0000FF"/>
            <w:rtl/>
          </w:rPr>
          <w:t>144(א)</w:t>
        </w:r>
      </w:hyperlink>
      <w:r w:rsidRPr="009A41BC">
        <w:rPr>
          <w:rFonts w:ascii="FrankRuehl" w:hAnsi="FrankRuehl" w:cs="FrankRuehl"/>
          <w:b w:val="0"/>
          <w:bCs w:val="0"/>
          <w:u w:val="none"/>
          <w:rtl/>
        </w:rPr>
        <w:t xml:space="preserve">, </w:t>
      </w:r>
      <w:hyperlink r:id="rId9" w:history="1">
        <w:r w:rsidRPr="009A41BC">
          <w:rPr>
            <w:rFonts w:ascii="FrankRuehl" w:hAnsi="FrankRuehl" w:cs="FrankRuehl"/>
            <w:b w:val="0"/>
            <w:bCs w:val="0"/>
            <w:color w:val="0000FF"/>
            <w:rtl/>
          </w:rPr>
          <w:t>144(ב)+(</w:t>
        </w:r>
      </w:hyperlink>
      <w:r w:rsidRPr="009A41BC">
        <w:rPr>
          <w:rFonts w:ascii="FrankRuehl" w:hAnsi="FrankRuehl" w:cs="FrankRuehl"/>
          <w:b w:val="0"/>
          <w:bCs w:val="0"/>
          <w:u w:val="none"/>
          <w:rtl/>
        </w:rPr>
        <w:t xml:space="preserve">, </w:t>
      </w:r>
      <w:hyperlink r:id="rId10" w:history="1">
        <w:r w:rsidRPr="009A41BC">
          <w:rPr>
            <w:rFonts w:ascii="FrankRuehl" w:hAnsi="FrankRuehl" w:cs="FrankRuehl"/>
            <w:b w:val="0"/>
            <w:bCs w:val="0"/>
            <w:color w:val="0000FF"/>
            <w:rtl/>
          </w:rPr>
          <w:t>ג)(1)</w:t>
        </w:r>
      </w:hyperlink>
      <w:r w:rsidRPr="009A41BC">
        <w:rPr>
          <w:rFonts w:ascii="FrankRuehl" w:hAnsi="FrankRuehl" w:cs="FrankRuehl"/>
          <w:b w:val="0"/>
          <w:bCs w:val="0"/>
          <w:u w:val="none"/>
          <w:rtl/>
        </w:rPr>
        <w:t xml:space="preserve">, </w:t>
      </w:r>
      <w:hyperlink r:id="rId11" w:history="1">
        <w:r w:rsidRPr="009A41BC">
          <w:rPr>
            <w:rFonts w:ascii="FrankRuehl" w:hAnsi="FrankRuehl" w:cs="FrankRuehl"/>
            <w:b w:val="0"/>
            <w:bCs w:val="0"/>
            <w:color w:val="0000FF"/>
            <w:rtl/>
          </w:rPr>
          <w:t>192</w:t>
        </w:r>
      </w:hyperlink>
      <w:r w:rsidRPr="009A41BC">
        <w:rPr>
          <w:rFonts w:ascii="FrankRuehl" w:hAnsi="FrankRuehl" w:cs="FrankRuehl"/>
          <w:b w:val="0"/>
          <w:bCs w:val="0"/>
          <w:u w:val="none"/>
          <w:rtl/>
        </w:rPr>
        <w:t xml:space="preserve">, </w:t>
      </w:r>
      <w:hyperlink r:id="rId12" w:history="1">
        <w:r w:rsidRPr="009A41BC">
          <w:rPr>
            <w:rFonts w:ascii="FrankRuehl" w:hAnsi="FrankRuehl" w:cs="FrankRuehl"/>
            <w:b w:val="0"/>
            <w:bCs w:val="0"/>
            <w:color w:val="0000FF"/>
            <w:rtl/>
          </w:rPr>
          <w:t>244</w:t>
        </w:r>
      </w:hyperlink>
      <w:r w:rsidRPr="009A41BC">
        <w:rPr>
          <w:rFonts w:ascii="FrankRuehl" w:hAnsi="FrankRuehl" w:cs="FrankRuehl"/>
          <w:b w:val="0"/>
          <w:bCs w:val="0"/>
          <w:u w:val="none"/>
          <w:rtl/>
        </w:rPr>
        <w:t xml:space="preserve">, </w:t>
      </w:r>
      <w:hyperlink r:id="rId13" w:history="1">
        <w:r w:rsidRPr="009A41BC">
          <w:rPr>
            <w:rFonts w:ascii="FrankRuehl" w:hAnsi="FrankRuehl" w:cs="FrankRuehl"/>
            <w:b w:val="0"/>
            <w:bCs w:val="0"/>
            <w:color w:val="0000FF"/>
            <w:rtl/>
          </w:rPr>
          <w:t>287(א)</w:t>
        </w:r>
      </w:hyperlink>
      <w:r w:rsidRPr="009A41BC">
        <w:rPr>
          <w:rFonts w:ascii="FrankRuehl" w:hAnsi="FrankRuehl" w:cs="FrankRuehl"/>
          <w:b w:val="0"/>
          <w:bCs w:val="0"/>
          <w:u w:val="none"/>
          <w:rtl/>
        </w:rPr>
        <w:t xml:space="preserve">, </w:t>
      </w:r>
      <w:hyperlink r:id="rId14" w:history="1">
        <w:r w:rsidRPr="009A41BC">
          <w:rPr>
            <w:rFonts w:ascii="FrankRuehl" w:hAnsi="FrankRuehl" w:cs="FrankRuehl"/>
            <w:b w:val="0"/>
            <w:bCs w:val="0"/>
            <w:color w:val="0000FF"/>
            <w:rtl/>
          </w:rPr>
          <w:t>340א</w:t>
        </w:r>
      </w:hyperlink>
      <w:r w:rsidRPr="009A41BC">
        <w:rPr>
          <w:rFonts w:ascii="FrankRuehl" w:hAnsi="FrankRuehl" w:cs="FrankRuehl"/>
          <w:b w:val="0"/>
          <w:bCs w:val="0"/>
          <w:u w:val="none"/>
          <w:rtl/>
        </w:rPr>
        <w:t xml:space="preserve">, </w:t>
      </w:r>
      <w:hyperlink r:id="rId15" w:history="1">
        <w:r w:rsidRPr="009A41BC">
          <w:rPr>
            <w:rFonts w:ascii="FrankRuehl" w:hAnsi="FrankRuehl" w:cs="FrankRuehl"/>
            <w:b w:val="0"/>
            <w:bCs w:val="0"/>
            <w:color w:val="0000FF"/>
            <w:rtl/>
          </w:rPr>
          <w:t>384</w:t>
        </w:r>
      </w:hyperlink>
    </w:p>
    <w:p w14:paraId="39AF2355" w14:textId="77777777" w:rsidR="009A41BC" w:rsidRPr="009A41BC" w:rsidRDefault="009A41BC" w:rsidP="009A41BC">
      <w:pPr>
        <w:pStyle w:val="12"/>
        <w:spacing w:after="120" w:line="240" w:lineRule="exact"/>
        <w:ind w:left="283" w:hanging="283"/>
        <w:jc w:val="both"/>
        <w:rPr>
          <w:rFonts w:ascii="FrankRuehl" w:hAnsi="FrankRuehl" w:cs="FrankRuehl"/>
          <w:b w:val="0"/>
          <w:bCs w:val="0"/>
          <w:u w:val="none"/>
          <w:rtl/>
        </w:rPr>
      </w:pPr>
    </w:p>
    <w:p w14:paraId="0EEB52E4" w14:textId="77777777" w:rsidR="009A41BC" w:rsidRPr="009A41BC" w:rsidRDefault="009A41BC">
      <w:pPr>
        <w:pStyle w:val="12"/>
        <w:rPr>
          <w:b w:val="0"/>
          <w:bCs w:val="0"/>
          <w:u w:val="none"/>
          <w:rtl/>
        </w:rPr>
      </w:pPr>
      <w:bookmarkStart w:id="4" w:name="LawTable_End"/>
      <w:bookmarkEnd w:id="4"/>
    </w:p>
    <w:p w14:paraId="74D7B497" w14:textId="77777777" w:rsidR="009A41BC" w:rsidRPr="009A41BC" w:rsidRDefault="009A41BC">
      <w:pPr>
        <w:pStyle w:val="12"/>
        <w:rPr>
          <w:u w:val="none"/>
          <w:rtl/>
        </w:rPr>
      </w:pPr>
    </w:p>
    <w:p w14:paraId="1237F4CD" w14:textId="77777777" w:rsidR="00B75BBA" w:rsidRPr="00B75BBA" w:rsidRDefault="000849E1">
      <w:pPr>
        <w:pStyle w:val="12"/>
        <w:rPr>
          <w:b w:val="0"/>
          <w:bCs w:val="0"/>
          <w:u w:val="none"/>
          <w:rtl/>
        </w:rPr>
      </w:pPr>
      <w:r w:rsidRPr="009A41BC">
        <w:rPr>
          <w:rFonts w:hint="cs"/>
          <w:u w:val="none"/>
          <w:rtl/>
        </w:rPr>
        <w:t>ה</w:t>
      </w:r>
    </w:p>
    <w:p w14:paraId="07B71E57" w14:textId="77777777" w:rsidR="00B75BBA" w:rsidRPr="00B75BBA" w:rsidRDefault="00B75BBA">
      <w:pPr>
        <w:pStyle w:val="12"/>
        <w:rPr>
          <w:u w:val="none"/>
          <w:rtl/>
        </w:rPr>
      </w:pPr>
    </w:p>
    <w:p w14:paraId="1713961F" w14:textId="77777777" w:rsidR="001611D9" w:rsidRPr="00B75BBA" w:rsidRDefault="001611D9">
      <w:pPr>
        <w:pStyle w:val="12"/>
        <w:rPr>
          <w:u w:val="none"/>
          <w:rtl/>
        </w:rPr>
      </w:pPr>
    </w:p>
    <w:p w14:paraId="6572E4AC" w14:textId="77777777" w:rsidR="000849E1" w:rsidRPr="000849E1" w:rsidRDefault="000849E1">
      <w:pPr>
        <w:spacing w:line="360" w:lineRule="auto"/>
        <w:jc w:val="center"/>
        <w:rPr>
          <w:rFonts w:ascii="Arial" w:hAnsi="Arial"/>
          <w:b/>
          <w:bCs/>
          <w:sz w:val="28"/>
          <w:szCs w:val="28"/>
          <w:rtl/>
        </w:rPr>
      </w:pPr>
    </w:p>
    <w:p w14:paraId="03BB8A48" w14:textId="77777777" w:rsidR="000849E1" w:rsidRPr="000849E1" w:rsidRDefault="000849E1" w:rsidP="000849E1">
      <w:pPr>
        <w:spacing w:line="360" w:lineRule="auto"/>
        <w:jc w:val="center"/>
        <w:rPr>
          <w:rFonts w:ascii="Arial" w:hAnsi="Arial"/>
          <w:b/>
          <w:bCs/>
          <w:sz w:val="28"/>
          <w:szCs w:val="28"/>
          <w:u w:val="single"/>
          <w:rtl/>
        </w:rPr>
      </w:pPr>
      <w:bookmarkStart w:id="5" w:name="PsakDin"/>
      <w:bookmarkEnd w:id="0"/>
      <w:r w:rsidRPr="000849E1">
        <w:rPr>
          <w:rFonts w:ascii="Arial" w:hAnsi="Arial"/>
          <w:b/>
          <w:bCs/>
          <w:sz w:val="28"/>
          <w:szCs w:val="28"/>
          <w:u w:val="single"/>
          <w:rtl/>
        </w:rPr>
        <w:t>גזר דין</w:t>
      </w:r>
    </w:p>
    <w:bookmarkEnd w:id="5"/>
    <w:p w14:paraId="4CB49FEE" w14:textId="77777777" w:rsidR="001611D9" w:rsidRDefault="000849E1">
      <w:pPr>
        <w:spacing w:line="360" w:lineRule="auto"/>
        <w:jc w:val="both"/>
        <w:rPr>
          <w:rtl/>
        </w:rPr>
      </w:pPr>
      <w:r>
        <w:rPr>
          <w:rtl/>
        </w:rPr>
        <w:t xml:space="preserve"> </w:t>
      </w:r>
    </w:p>
    <w:p w14:paraId="48685B02"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הנאשם לפניי הורשע, על-פי הודאתו בעובדות כתב-אישום מתוקן מיום 13.01.15 (להלן: "</w:t>
      </w:r>
      <w:r>
        <w:rPr>
          <w:rFonts w:cs="David" w:hint="cs"/>
          <w:b/>
          <w:bCs/>
          <w:sz w:val="24"/>
          <w:szCs w:val="24"/>
          <w:rtl/>
        </w:rPr>
        <w:t>כתב-האישום</w:t>
      </w:r>
      <w:r>
        <w:rPr>
          <w:rFonts w:cs="David" w:hint="cs"/>
          <w:sz w:val="24"/>
          <w:szCs w:val="24"/>
          <w:rtl/>
        </w:rPr>
        <w:t xml:space="preserve">"), בעבירות של </w:t>
      </w:r>
      <w:r>
        <w:rPr>
          <w:rFonts w:cs="David" w:hint="cs"/>
          <w:sz w:val="24"/>
          <w:szCs w:val="24"/>
          <w:u w:val="single"/>
          <w:rtl/>
        </w:rPr>
        <w:t>נשיאת נשק ותחמושת</w:t>
      </w:r>
      <w:r>
        <w:rPr>
          <w:rFonts w:cs="David" w:hint="cs"/>
          <w:sz w:val="24"/>
          <w:szCs w:val="24"/>
          <w:rtl/>
        </w:rPr>
        <w:t xml:space="preserve">, לפי סעיף </w:t>
      </w:r>
      <w:hyperlink r:id="rId16" w:history="1">
        <w:r w:rsidR="006546C0" w:rsidRPr="006546C0">
          <w:rPr>
            <w:rStyle w:val="Hyperlink"/>
            <w:rFonts w:cs="David"/>
            <w:sz w:val="24"/>
            <w:szCs w:val="24"/>
            <w:rtl/>
          </w:rPr>
          <w:t>144(</w:t>
        </w:r>
        <w:r w:rsidR="006546C0" w:rsidRPr="006546C0">
          <w:rPr>
            <w:rStyle w:val="Hyperlink"/>
            <w:rFonts w:cs="David" w:hint="cs"/>
            <w:sz w:val="24"/>
            <w:szCs w:val="24"/>
            <w:rtl/>
          </w:rPr>
          <w:t>ב</w:t>
        </w:r>
        <w:r w:rsidR="006546C0" w:rsidRPr="006546C0">
          <w:rPr>
            <w:rStyle w:val="Hyperlink"/>
            <w:rFonts w:cs="David"/>
            <w:sz w:val="24"/>
            <w:szCs w:val="24"/>
            <w:rtl/>
          </w:rPr>
          <w:t>)+(</w:t>
        </w:r>
      </w:hyperlink>
      <w:hyperlink r:id="rId17" w:history="1">
        <w:r w:rsidR="006546C0" w:rsidRPr="006546C0">
          <w:rPr>
            <w:rStyle w:val="Hyperlink"/>
            <w:rFonts w:cs="David" w:hint="cs"/>
            <w:sz w:val="24"/>
            <w:szCs w:val="24"/>
            <w:rtl/>
          </w:rPr>
          <w:t>ג</w:t>
        </w:r>
        <w:r w:rsidR="006546C0" w:rsidRPr="006546C0">
          <w:rPr>
            <w:rStyle w:val="Hyperlink"/>
            <w:rFonts w:cs="David"/>
            <w:sz w:val="24"/>
            <w:szCs w:val="24"/>
            <w:rtl/>
          </w:rPr>
          <w:t>)(1)</w:t>
        </w:r>
      </w:hyperlink>
      <w:r>
        <w:rPr>
          <w:rFonts w:cs="David" w:hint="cs"/>
          <w:sz w:val="24"/>
          <w:szCs w:val="24"/>
          <w:rtl/>
        </w:rPr>
        <w:t xml:space="preserve"> ל</w:t>
      </w:r>
      <w:hyperlink r:id="rId18" w:history="1">
        <w:r w:rsidRPr="000849E1">
          <w:rPr>
            <w:rFonts w:cs="David" w:hint="cs"/>
            <w:color w:val="0000FF"/>
            <w:sz w:val="24"/>
            <w:szCs w:val="24"/>
            <w:u w:val="single"/>
            <w:rtl/>
          </w:rPr>
          <w:t>חוק</w:t>
        </w:r>
        <w:r w:rsidRPr="000849E1">
          <w:rPr>
            <w:rFonts w:cs="David"/>
            <w:color w:val="0000FF"/>
            <w:sz w:val="24"/>
            <w:szCs w:val="24"/>
            <w:u w:val="single"/>
            <w:rtl/>
          </w:rPr>
          <w:t xml:space="preserve"> </w:t>
        </w:r>
        <w:r w:rsidRPr="000849E1">
          <w:rPr>
            <w:rFonts w:cs="David" w:hint="cs"/>
            <w:color w:val="0000FF"/>
            <w:sz w:val="24"/>
            <w:szCs w:val="24"/>
            <w:u w:val="single"/>
            <w:rtl/>
          </w:rPr>
          <w:t>העונשין</w:t>
        </w:r>
      </w:hyperlink>
      <w:r>
        <w:rPr>
          <w:rFonts w:cs="David" w:hint="cs"/>
          <w:sz w:val="24"/>
          <w:szCs w:val="24"/>
          <w:rtl/>
        </w:rPr>
        <w:t>, התשל"ז-1977 (להלן: "</w:t>
      </w:r>
      <w:r>
        <w:rPr>
          <w:rFonts w:cs="David" w:hint="cs"/>
          <w:b/>
          <w:bCs/>
          <w:sz w:val="24"/>
          <w:szCs w:val="24"/>
          <w:rtl/>
        </w:rPr>
        <w:t>החוק</w:t>
      </w:r>
      <w:r>
        <w:rPr>
          <w:rFonts w:cs="David" w:hint="cs"/>
          <w:sz w:val="24"/>
          <w:szCs w:val="24"/>
          <w:rtl/>
        </w:rPr>
        <w:t xml:space="preserve">"); </w:t>
      </w:r>
      <w:r>
        <w:rPr>
          <w:rFonts w:cs="David" w:hint="cs"/>
          <w:sz w:val="24"/>
          <w:szCs w:val="24"/>
          <w:u w:val="single"/>
          <w:rtl/>
        </w:rPr>
        <w:t>ירי באזור מגורים</w:t>
      </w:r>
      <w:r>
        <w:rPr>
          <w:rFonts w:cs="David" w:hint="cs"/>
          <w:sz w:val="24"/>
          <w:szCs w:val="24"/>
          <w:rtl/>
        </w:rPr>
        <w:t xml:space="preserve">, לפי </w:t>
      </w:r>
      <w:hyperlink r:id="rId19"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340</w:t>
        </w:r>
        <w:r w:rsidR="006546C0" w:rsidRPr="006546C0">
          <w:rPr>
            <w:rStyle w:val="Hyperlink"/>
            <w:rFonts w:cs="David" w:hint="cs"/>
            <w:sz w:val="24"/>
            <w:szCs w:val="24"/>
            <w:rtl/>
          </w:rPr>
          <w:t>א</w:t>
        </w:r>
      </w:hyperlink>
      <w:r>
        <w:rPr>
          <w:rFonts w:cs="David" w:hint="cs"/>
          <w:sz w:val="24"/>
          <w:szCs w:val="24"/>
          <w:rtl/>
        </w:rPr>
        <w:t xml:space="preserve"> לחוק; </w:t>
      </w:r>
      <w:r>
        <w:rPr>
          <w:rFonts w:cs="David" w:hint="cs"/>
          <w:sz w:val="24"/>
          <w:szCs w:val="24"/>
          <w:u w:val="single"/>
          <w:rtl/>
        </w:rPr>
        <w:t>שיבוש מהלכי משפט</w:t>
      </w:r>
      <w:r>
        <w:rPr>
          <w:rFonts w:cs="David" w:hint="cs"/>
          <w:sz w:val="24"/>
          <w:szCs w:val="24"/>
          <w:rtl/>
        </w:rPr>
        <w:t xml:space="preserve">, לפי </w:t>
      </w:r>
      <w:hyperlink r:id="rId20"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244</w:t>
        </w:r>
      </w:hyperlink>
      <w:r>
        <w:rPr>
          <w:rFonts w:cs="David" w:hint="cs"/>
          <w:sz w:val="24"/>
          <w:szCs w:val="24"/>
          <w:rtl/>
        </w:rPr>
        <w:t xml:space="preserve"> לחוק; </w:t>
      </w:r>
      <w:r>
        <w:rPr>
          <w:rFonts w:cs="David" w:hint="cs"/>
          <w:sz w:val="24"/>
          <w:szCs w:val="24"/>
          <w:u w:val="single"/>
          <w:rtl/>
        </w:rPr>
        <w:t>הפרת הוראה חוקית</w:t>
      </w:r>
      <w:r>
        <w:rPr>
          <w:rFonts w:cs="David" w:hint="cs"/>
          <w:sz w:val="24"/>
          <w:szCs w:val="24"/>
          <w:rtl/>
        </w:rPr>
        <w:t xml:space="preserve">, לפי </w:t>
      </w:r>
      <w:hyperlink r:id="rId21"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287(</w:t>
        </w:r>
        <w:r w:rsidR="006546C0" w:rsidRPr="006546C0">
          <w:rPr>
            <w:rStyle w:val="Hyperlink"/>
            <w:rFonts w:cs="David" w:hint="cs"/>
            <w:sz w:val="24"/>
            <w:szCs w:val="24"/>
            <w:rtl/>
          </w:rPr>
          <w:t>א</w:t>
        </w:r>
        <w:r w:rsidR="006546C0" w:rsidRPr="006546C0">
          <w:rPr>
            <w:rStyle w:val="Hyperlink"/>
            <w:rFonts w:cs="David"/>
            <w:sz w:val="24"/>
            <w:szCs w:val="24"/>
            <w:rtl/>
          </w:rPr>
          <w:t>)</w:t>
        </w:r>
      </w:hyperlink>
      <w:r>
        <w:rPr>
          <w:rFonts w:cs="David" w:hint="cs"/>
          <w:sz w:val="24"/>
          <w:szCs w:val="24"/>
          <w:rtl/>
        </w:rPr>
        <w:t xml:space="preserve"> לחוק; </w:t>
      </w:r>
      <w:r>
        <w:rPr>
          <w:rFonts w:cs="David" w:hint="cs"/>
          <w:sz w:val="24"/>
          <w:szCs w:val="24"/>
          <w:u w:val="single"/>
          <w:rtl/>
        </w:rPr>
        <w:t>גניבה</w:t>
      </w:r>
      <w:r>
        <w:rPr>
          <w:rFonts w:cs="David" w:hint="cs"/>
          <w:sz w:val="24"/>
          <w:szCs w:val="24"/>
          <w:rtl/>
        </w:rPr>
        <w:t xml:space="preserve">, לפי </w:t>
      </w:r>
      <w:hyperlink r:id="rId22"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384</w:t>
        </w:r>
      </w:hyperlink>
      <w:r>
        <w:rPr>
          <w:rFonts w:cs="David" w:hint="cs"/>
          <w:sz w:val="24"/>
          <w:szCs w:val="24"/>
          <w:rtl/>
        </w:rPr>
        <w:t xml:space="preserve"> לחוק; ו</w:t>
      </w:r>
      <w:r>
        <w:rPr>
          <w:rFonts w:cs="David" w:hint="cs"/>
          <w:sz w:val="24"/>
          <w:szCs w:val="24"/>
          <w:u w:val="single"/>
          <w:rtl/>
        </w:rPr>
        <w:t>איומים</w:t>
      </w:r>
      <w:r>
        <w:rPr>
          <w:rFonts w:cs="David" w:hint="cs"/>
          <w:sz w:val="24"/>
          <w:szCs w:val="24"/>
          <w:rtl/>
        </w:rPr>
        <w:t xml:space="preserve">, לפי </w:t>
      </w:r>
      <w:hyperlink r:id="rId23"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192</w:t>
        </w:r>
      </w:hyperlink>
      <w:r>
        <w:rPr>
          <w:rFonts w:cs="David" w:hint="cs"/>
          <w:sz w:val="24"/>
          <w:szCs w:val="24"/>
          <w:rtl/>
        </w:rPr>
        <w:t xml:space="preserve"> לחוק.</w:t>
      </w:r>
    </w:p>
    <w:p w14:paraId="667824A1" w14:textId="77777777" w:rsidR="001611D9" w:rsidRDefault="001611D9">
      <w:pPr>
        <w:pStyle w:val="ListParagraph"/>
        <w:spacing w:after="0" w:line="360" w:lineRule="auto"/>
        <w:jc w:val="both"/>
        <w:rPr>
          <w:rFonts w:cs="David"/>
          <w:sz w:val="24"/>
          <w:szCs w:val="24"/>
        </w:rPr>
      </w:pPr>
    </w:p>
    <w:p w14:paraId="2A222A94" w14:textId="77777777" w:rsidR="001611D9" w:rsidRDefault="000849E1">
      <w:pPr>
        <w:pStyle w:val="ListParagraph"/>
        <w:spacing w:after="0" w:line="360" w:lineRule="auto"/>
        <w:jc w:val="both"/>
        <w:rPr>
          <w:rFonts w:cs="David"/>
          <w:sz w:val="24"/>
          <w:szCs w:val="24"/>
          <w:rtl/>
        </w:rPr>
      </w:pPr>
      <w:r>
        <w:rPr>
          <w:rFonts w:cs="David" w:hint="cs"/>
          <w:sz w:val="24"/>
          <w:szCs w:val="24"/>
          <w:rtl/>
        </w:rPr>
        <w:t>בנוסף הורשע הנאשם, לאחר הודאתו בעובדותיו של כתב אישום נוסף שאותו ביקש לצרף (</w:t>
      </w:r>
      <w:hyperlink r:id="rId24" w:history="1">
        <w:r w:rsidRPr="000849E1">
          <w:rPr>
            <w:rFonts w:cs="David" w:hint="cs"/>
            <w:color w:val="0000FF"/>
            <w:sz w:val="24"/>
            <w:szCs w:val="24"/>
            <w:u w:val="single"/>
            <w:rtl/>
          </w:rPr>
          <w:t>ת</w:t>
        </w:r>
        <w:r w:rsidRPr="000849E1">
          <w:rPr>
            <w:rFonts w:cs="David"/>
            <w:color w:val="0000FF"/>
            <w:sz w:val="24"/>
            <w:szCs w:val="24"/>
            <w:u w:val="single"/>
            <w:rtl/>
          </w:rPr>
          <w:t>"</w:t>
        </w:r>
        <w:r w:rsidRPr="000849E1">
          <w:rPr>
            <w:rFonts w:cs="David" w:hint="cs"/>
            <w:color w:val="0000FF"/>
            <w:sz w:val="24"/>
            <w:szCs w:val="24"/>
            <w:u w:val="single"/>
            <w:rtl/>
          </w:rPr>
          <w:t>פ</w:t>
        </w:r>
        <w:r w:rsidRPr="000849E1">
          <w:rPr>
            <w:rFonts w:cs="David"/>
            <w:color w:val="0000FF"/>
            <w:sz w:val="24"/>
            <w:szCs w:val="24"/>
            <w:u w:val="single"/>
            <w:rtl/>
          </w:rPr>
          <w:t xml:space="preserve"> (</w:t>
        </w:r>
        <w:r w:rsidRPr="000849E1">
          <w:rPr>
            <w:rFonts w:cs="David" w:hint="cs"/>
            <w:color w:val="0000FF"/>
            <w:sz w:val="24"/>
            <w:szCs w:val="24"/>
            <w:u w:val="single"/>
            <w:rtl/>
          </w:rPr>
          <w:t>שלום</w:t>
        </w:r>
        <w:r w:rsidRPr="000849E1">
          <w:rPr>
            <w:rFonts w:cs="David"/>
            <w:color w:val="0000FF"/>
            <w:sz w:val="24"/>
            <w:szCs w:val="24"/>
            <w:u w:val="single"/>
            <w:rtl/>
          </w:rPr>
          <w:t xml:space="preserve"> </w:t>
        </w:r>
        <w:r w:rsidRPr="000849E1">
          <w:rPr>
            <w:rFonts w:cs="David" w:hint="cs"/>
            <w:color w:val="0000FF"/>
            <w:sz w:val="24"/>
            <w:szCs w:val="24"/>
            <w:u w:val="single"/>
            <w:rtl/>
          </w:rPr>
          <w:t>נצרת</w:t>
        </w:r>
        <w:r w:rsidRPr="000849E1">
          <w:rPr>
            <w:rFonts w:cs="David"/>
            <w:color w:val="0000FF"/>
            <w:sz w:val="24"/>
            <w:szCs w:val="24"/>
            <w:u w:val="single"/>
            <w:rtl/>
          </w:rPr>
          <w:t>) 37290-02-13</w:t>
        </w:r>
      </w:hyperlink>
      <w:r>
        <w:rPr>
          <w:rFonts w:cs="David" w:hint="cs"/>
          <w:sz w:val="24"/>
          <w:szCs w:val="24"/>
          <w:rtl/>
        </w:rPr>
        <w:t>) (להלן: "</w:t>
      </w:r>
      <w:r>
        <w:rPr>
          <w:rFonts w:cs="David" w:hint="cs"/>
          <w:b/>
          <w:bCs/>
          <w:sz w:val="24"/>
          <w:szCs w:val="24"/>
          <w:rtl/>
        </w:rPr>
        <w:t>כתב האישום המצורף</w:t>
      </w:r>
      <w:r>
        <w:rPr>
          <w:rFonts w:cs="David" w:hint="cs"/>
          <w:sz w:val="24"/>
          <w:szCs w:val="24"/>
          <w:rtl/>
        </w:rPr>
        <w:t xml:space="preserve">"), בעבירות של </w:t>
      </w:r>
      <w:r>
        <w:rPr>
          <w:rFonts w:cs="David" w:hint="cs"/>
          <w:sz w:val="24"/>
          <w:szCs w:val="24"/>
          <w:u w:val="single"/>
          <w:rtl/>
        </w:rPr>
        <w:t>החזקת נשק ותחמושת</w:t>
      </w:r>
      <w:r>
        <w:rPr>
          <w:rFonts w:cs="David" w:hint="cs"/>
          <w:sz w:val="24"/>
          <w:szCs w:val="24"/>
          <w:rtl/>
        </w:rPr>
        <w:t xml:space="preserve">, לפי </w:t>
      </w:r>
      <w:hyperlink r:id="rId25"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144(</w:t>
        </w:r>
        <w:r w:rsidR="006546C0" w:rsidRPr="006546C0">
          <w:rPr>
            <w:rStyle w:val="Hyperlink"/>
            <w:rFonts w:cs="David" w:hint="cs"/>
            <w:sz w:val="24"/>
            <w:szCs w:val="24"/>
            <w:rtl/>
          </w:rPr>
          <w:t>א</w:t>
        </w:r>
        <w:r w:rsidR="006546C0" w:rsidRPr="006546C0">
          <w:rPr>
            <w:rStyle w:val="Hyperlink"/>
            <w:rFonts w:cs="David"/>
            <w:sz w:val="24"/>
            <w:szCs w:val="24"/>
            <w:rtl/>
          </w:rPr>
          <w:t>)</w:t>
        </w:r>
      </w:hyperlink>
      <w:r>
        <w:rPr>
          <w:rFonts w:cs="David" w:hint="cs"/>
          <w:sz w:val="24"/>
          <w:szCs w:val="24"/>
          <w:rtl/>
        </w:rPr>
        <w:t xml:space="preserve"> רישא וסיפא לחוק.</w:t>
      </w:r>
    </w:p>
    <w:p w14:paraId="7BC82D6E" w14:textId="77777777" w:rsidR="001611D9" w:rsidRDefault="001611D9">
      <w:pPr>
        <w:pStyle w:val="ListParagraph"/>
        <w:spacing w:after="0" w:line="360" w:lineRule="auto"/>
        <w:jc w:val="both"/>
        <w:rPr>
          <w:rFonts w:cs="David"/>
          <w:sz w:val="24"/>
          <w:szCs w:val="24"/>
        </w:rPr>
      </w:pPr>
    </w:p>
    <w:p w14:paraId="4983C19B"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 xml:space="preserve">על-פי המתואר בכתב האישום, </w:t>
      </w:r>
      <w:bookmarkStart w:id="6" w:name="ABSTRACT_START"/>
      <w:bookmarkEnd w:id="6"/>
      <w:r>
        <w:rPr>
          <w:rFonts w:cs="David" w:hint="cs"/>
          <w:sz w:val="24"/>
          <w:szCs w:val="24"/>
          <w:rtl/>
        </w:rPr>
        <w:t>עודאי חבשי (להלן: "</w:t>
      </w:r>
      <w:r>
        <w:rPr>
          <w:rFonts w:cs="David" w:hint="cs"/>
          <w:b/>
          <w:bCs/>
          <w:sz w:val="24"/>
          <w:szCs w:val="24"/>
          <w:rtl/>
        </w:rPr>
        <w:t>המתלונן</w:t>
      </w:r>
      <w:r>
        <w:rPr>
          <w:rFonts w:cs="David" w:hint="cs"/>
          <w:sz w:val="24"/>
          <w:szCs w:val="24"/>
          <w:rtl/>
        </w:rPr>
        <w:t>") והנאשם הינם בני דודים.</w:t>
      </w:r>
    </w:p>
    <w:p w14:paraId="5EA73FD5" w14:textId="77777777" w:rsidR="001611D9" w:rsidRDefault="000849E1">
      <w:pPr>
        <w:pStyle w:val="ListParagraph"/>
        <w:spacing w:after="0" w:line="360" w:lineRule="auto"/>
        <w:jc w:val="both"/>
        <w:rPr>
          <w:rFonts w:cs="David"/>
          <w:sz w:val="24"/>
          <w:szCs w:val="24"/>
        </w:rPr>
      </w:pPr>
      <w:r>
        <w:rPr>
          <w:rFonts w:cs="David" w:hint="cs"/>
          <w:sz w:val="24"/>
          <w:szCs w:val="24"/>
          <w:rtl/>
        </w:rPr>
        <w:t>ביום 19.02.13 הוגש כנגד הנאשם כתב-האישום המצורף. בד בבד עם הגשת כתב האישום המצורף הוגשה בקשה למעצרו של הנאשם עד תום ההליכים המשפטיים נגדו. עוד באותו המועד הורה בית-המשפט שם על שחרורו של הנאשם לחלופת מעצר בתנאים של 'מעצר בית' מלא, בביתו שבכפר יפיע תחת פיקוחם, יחד ולחוד, של אמו וסבו (להלן: "</w:t>
      </w:r>
      <w:r>
        <w:rPr>
          <w:rFonts w:cs="David" w:hint="cs"/>
          <w:b/>
          <w:bCs/>
          <w:sz w:val="24"/>
          <w:szCs w:val="24"/>
          <w:rtl/>
        </w:rPr>
        <w:t xml:space="preserve">מעצר </w:t>
      </w:r>
      <w:r>
        <w:rPr>
          <w:rFonts w:cs="David" w:hint="cs"/>
          <w:b/>
          <w:bCs/>
          <w:sz w:val="24"/>
          <w:szCs w:val="24"/>
          <w:rtl/>
        </w:rPr>
        <w:lastRenderedPageBreak/>
        <w:t>הבית</w:t>
      </w:r>
      <w:r>
        <w:rPr>
          <w:rFonts w:cs="David" w:hint="cs"/>
          <w:sz w:val="24"/>
          <w:szCs w:val="24"/>
          <w:rtl/>
        </w:rPr>
        <w:t>"). מעצר הבית עמד בתוקפו במועדים בהם התרחשו האירועים המתוארים בכתב האישום הנוכחי.</w:t>
      </w:r>
    </w:p>
    <w:p w14:paraId="5148B721" w14:textId="77777777" w:rsidR="001611D9" w:rsidRDefault="001611D9">
      <w:pPr>
        <w:pStyle w:val="ListParagraph"/>
        <w:spacing w:after="0" w:line="360" w:lineRule="auto"/>
        <w:jc w:val="both"/>
        <w:rPr>
          <w:rFonts w:cs="David"/>
          <w:sz w:val="24"/>
          <w:szCs w:val="24"/>
          <w:rtl/>
        </w:rPr>
      </w:pPr>
    </w:p>
    <w:p w14:paraId="6DA64447" w14:textId="77777777" w:rsidR="001611D9" w:rsidRDefault="000849E1">
      <w:pPr>
        <w:pStyle w:val="ListParagraph"/>
        <w:spacing w:after="0" w:line="360" w:lineRule="auto"/>
        <w:jc w:val="both"/>
        <w:rPr>
          <w:rFonts w:cs="David"/>
          <w:sz w:val="24"/>
          <w:szCs w:val="24"/>
          <w:rtl/>
        </w:rPr>
      </w:pPr>
      <w:r>
        <w:rPr>
          <w:rFonts w:cs="David" w:hint="cs"/>
          <w:sz w:val="24"/>
          <w:szCs w:val="24"/>
          <w:rtl/>
        </w:rPr>
        <w:t>כחודשיים עובר ליום 22.06.14 היה המתלונן אמור לשלם לנאשם סך של 2,000 ₪ (להלן: "</w:t>
      </w:r>
      <w:r>
        <w:rPr>
          <w:rFonts w:cs="David" w:hint="cs"/>
          <w:b/>
          <w:bCs/>
          <w:sz w:val="24"/>
          <w:szCs w:val="24"/>
          <w:rtl/>
        </w:rPr>
        <w:t>החוב</w:t>
      </w:r>
      <w:r>
        <w:rPr>
          <w:rFonts w:cs="David" w:hint="cs"/>
          <w:sz w:val="24"/>
          <w:szCs w:val="24"/>
          <w:rtl/>
        </w:rPr>
        <w:t>"), סכום אותו לא הצליח לגייס. חוב זה עמד בבסיסי האירועים שיפורטו.</w:t>
      </w:r>
    </w:p>
    <w:p w14:paraId="1E964916" w14:textId="77777777" w:rsidR="001611D9" w:rsidRDefault="000849E1">
      <w:pPr>
        <w:pStyle w:val="ListParagraph"/>
        <w:spacing w:after="0" w:line="360" w:lineRule="auto"/>
        <w:jc w:val="both"/>
        <w:rPr>
          <w:rFonts w:cs="David"/>
          <w:sz w:val="24"/>
          <w:szCs w:val="24"/>
          <w:rtl/>
        </w:rPr>
      </w:pPr>
      <w:r>
        <w:rPr>
          <w:rFonts w:cs="David" w:hint="cs"/>
          <w:sz w:val="24"/>
          <w:szCs w:val="24"/>
          <w:rtl/>
        </w:rPr>
        <w:t>על רקע החוב התפתח עימות בין הנאשם למתלונן ביום 22.06.14 במהלכו גנב הנאשם את מכשיר הטלפון של המתלונן.</w:t>
      </w:r>
      <w:bookmarkStart w:id="7" w:name="ABSTRACT_END"/>
      <w:bookmarkEnd w:id="7"/>
      <w:r>
        <w:rPr>
          <w:rFonts w:cs="David" w:hint="cs"/>
          <w:sz w:val="24"/>
          <w:szCs w:val="24"/>
          <w:rtl/>
        </w:rPr>
        <w:t xml:space="preserve"> בעקבות העימות יצר אביו של המתלונן, טארק חבשי (להלן: "</w:t>
      </w:r>
      <w:r>
        <w:rPr>
          <w:rFonts w:cs="David" w:hint="cs"/>
          <w:b/>
          <w:bCs/>
          <w:sz w:val="24"/>
          <w:szCs w:val="24"/>
          <w:rtl/>
        </w:rPr>
        <w:t>טארק</w:t>
      </w:r>
      <w:r>
        <w:rPr>
          <w:rFonts w:cs="David" w:hint="cs"/>
          <w:sz w:val="24"/>
          <w:szCs w:val="24"/>
          <w:rtl/>
        </w:rPr>
        <w:t>"), הוא דודו של הנאשם, קשר עם הנאשם והשניים סיכמו להיפגש. ביום 23.06.14, בסמוך לשעה 22:30, הגיע הנאשם לבית המתלונן באכסאל, תוך שהוא מפר את תנאי מעצר הבית בו היה נתון, יחד עם בן-דודו נידאל בשארה (להלן: "</w:t>
      </w:r>
      <w:r>
        <w:rPr>
          <w:rFonts w:cs="David" w:hint="cs"/>
          <w:b/>
          <w:bCs/>
          <w:sz w:val="24"/>
          <w:szCs w:val="24"/>
          <w:rtl/>
        </w:rPr>
        <w:t>נידאל</w:t>
      </w:r>
      <w:r>
        <w:rPr>
          <w:rFonts w:cs="David" w:hint="cs"/>
          <w:sz w:val="24"/>
          <w:szCs w:val="24"/>
          <w:rtl/>
        </w:rPr>
        <w:t xml:space="preserve">"), ופגש בטארק. אותה העת שהה המתלונן מחוץ לביתו. </w:t>
      </w:r>
    </w:p>
    <w:p w14:paraId="067E9D0C" w14:textId="77777777" w:rsidR="001611D9" w:rsidRDefault="000849E1">
      <w:pPr>
        <w:pStyle w:val="ListParagraph"/>
        <w:spacing w:after="0" w:line="360" w:lineRule="auto"/>
        <w:jc w:val="both"/>
        <w:rPr>
          <w:rFonts w:cs="David"/>
          <w:sz w:val="24"/>
          <w:szCs w:val="24"/>
          <w:rtl/>
        </w:rPr>
      </w:pPr>
      <w:r>
        <w:rPr>
          <w:rFonts w:cs="David" w:hint="cs"/>
          <w:sz w:val="24"/>
          <w:szCs w:val="24"/>
          <w:rtl/>
        </w:rPr>
        <w:t>טארק, נידאל והנאשם שוחחו אודות חובו של המתלונן לנאשם וניסו ליישב את הסכסוך ביניהם. כעבור זמן מה הגיע המתלונן לביתו ואז התפתח בינו לבין הנאשם דין ודברים. הנאשם דרש מהמתלונן כי ישלם לו את חובו בסך 2,000 ₪, אך המתלונן הודיע לנאשם כי אין ברשותו את הסכום האמור. בתגובה החל הנאשם לצעוק ולקלל את המתלונן. במהלך חילופי הדברים הקשים הזכיר המתלונן את שמו של שוטר המתגורר בכפר וסיפר כי עירב אותו בסיפור. או אז, שלף הנאשם אקדח ממכנסיו, דרך אותו וירה 3 יריות באוויר במטרה להפחיד או להקניט את המתלונן. בתום הירי אסף הנאשם את תרמילי האקדח, בכוונה למנוע או להכשיל הליך שיפוטי, וברח מן המקום יחד עם נידאל.</w:t>
      </w:r>
    </w:p>
    <w:p w14:paraId="425B96D9" w14:textId="77777777" w:rsidR="001611D9" w:rsidRDefault="001611D9">
      <w:pPr>
        <w:pStyle w:val="ListParagraph"/>
        <w:spacing w:after="0" w:line="360" w:lineRule="auto"/>
        <w:jc w:val="both"/>
        <w:rPr>
          <w:rFonts w:cs="David"/>
          <w:sz w:val="24"/>
          <w:szCs w:val="24"/>
          <w:rtl/>
        </w:rPr>
      </w:pPr>
    </w:p>
    <w:p w14:paraId="4EB6D33B"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באשר לכתב האישום המצורף, זה מתייחס לאירועים שהתרחשו בשנת 2013, עת עבד הנאשם כשומר במגרש לפירוק כלי רכב (להלן: "</w:t>
      </w:r>
      <w:r>
        <w:rPr>
          <w:rFonts w:cs="David" w:hint="cs"/>
          <w:b/>
          <w:bCs/>
          <w:sz w:val="24"/>
          <w:szCs w:val="24"/>
          <w:rtl/>
        </w:rPr>
        <w:t>המגרש</w:t>
      </w:r>
      <w:r>
        <w:rPr>
          <w:rFonts w:cs="David" w:hint="cs"/>
          <w:sz w:val="24"/>
          <w:szCs w:val="24"/>
          <w:rtl/>
        </w:rPr>
        <w:t xml:space="preserve">"). על-פי המתואר שם, עובר ליום 13.02.13, במועד מדויק שאינו ידוע, החזיק הנאשם בעת שהיה במגרש באקדח </w:t>
      </w:r>
      <w:smartTag w:uri="urn:schemas-microsoft-com:office:smarttags" w:element="metricconverter">
        <w:smartTagPr>
          <w:attr w:name="ProductID" w:val="9 מ&quot;מ"/>
        </w:smartTagPr>
        <w:r>
          <w:rPr>
            <w:rFonts w:cs="David" w:hint="cs"/>
            <w:sz w:val="24"/>
            <w:szCs w:val="24"/>
            <w:rtl/>
          </w:rPr>
          <w:t>9 מ"מ</w:t>
        </w:r>
      </w:smartTag>
      <w:r>
        <w:rPr>
          <w:rFonts w:cs="David" w:hint="cs"/>
          <w:sz w:val="24"/>
          <w:szCs w:val="24"/>
          <w:rtl/>
        </w:rPr>
        <w:t xml:space="preserve"> מסוג "גלוק" (להלן: "</w:t>
      </w:r>
      <w:r>
        <w:rPr>
          <w:rFonts w:cs="David" w:hint="cs"/>
          <w:b/>
          <w:bCs/>
          <w:sz w:val="24"/>
          <w:szCs w:val="24"/>
          <w:rtl/>
        </w:rPr>
        <w:t>האקדח</w:t>
      </w:r>
      <w:r>
        <w:rPr>
          <w:rFonts w:cs="David" w:hint="cs"/>
          <w:sz w:val="24"/>
          <w:szCs w:val="24"/>
          <w:rtl/>
        </w:rPr>
        <w:t>"), המסוגל לירות קלע שבכוחו להמית אדם, יחד עם שלוש מחסניות ובהן תחמושת. בלילה שבין 12.02.13 ל-13.02.13 שהה הנאשם במגרש יחד עם שניים נוספים, כשברשות השלושה האקדח, המחסניות והתחמושת. באותו הלילה, סמוך לשעה 00:12, ירו הנאשם וחבריו מספר יריות באקדח במתחם המגרש.</w:t>
      </w:r>
    </w:p>
    <w:p w14:paraId="56D25473" w14:textId="77777777" w:rsidR="001611D9" w:rsidRDefault="001611D9">
      <w:pPr>
        <w:pStyle w:val="ListParagraph"/>
        <w:spacing w:after="0" w:line="360" w:lineRule="auto"/>
        <w:jc w:val="both"/>
        <w:rPr>
          <w:rFonts w:cs="David"/>
          <w:sz w:val="24"/>
          <w:szCs w:val="24"/>
        </w:rPr>
      </w:pPr>
    </w:p>
    <w:p w14:paraId="5DFEADB2" w14:textId="77777777" w:rsidR="001611D9" w:rsidRDefault="000849E1">
      <w:pPr>
        <w:pStyle w:val="ListParagraph"/>
        <w:spacing w:after="0" w:line="360" w:lineRule="auto"/>
        <w:jc w:val="both"/>
        <w:rPr>
          <w:rFonts w:cs="David"/>
          <w:b/>
          <w:bCs/>
          <w:sz w:val="24"/>
          <w:szCs w:val="24"/>
          <w:u w:val="single"/>
          <w:rtl/>
        </w:rPr>
      </w:pPr>
      <w:r>
        <w:rPr>
          <w:rFonts w:cs="David" w:hint="cs"/>
          <w:b/>
          <w:bCs/>
          <w:sz w:val="24"/>
          <w:szCs w:val="24"/>
          <w:u w:val="single"/>
          <w:rtl/>
        </w:rPr>
        <w:t>תסקירי שירות המבחן</w:t>
      </w:r>
    </w:p>
    <w:p w14:paraId="0E5A716A"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בטרם אפנה למסקנות התסקיר בתיק זה, אציין כי קצינת המבחן ערכה את התסקיר תוך התייחסות לכתב האישום המקורי, תוך שהיא מייחסת לנאשם עבירות בהן לא הודה ולא הורשע, כך על-פי כתב האישום המתוקן. מקורה של הטעות אינו ברור, אולם יש מקום להתחשב בכך בעת הערכת ממצאי התסקיר.</w:t>
      </w:r>
    </w:p>
    <w:p w14:paraId="3EBDAAA0" w14:textId="77777777" w:rsidR="001611D9" w:rsidRDefault="001611D9">
      <w:pPr>
        <w:pStyle w:val="ListParagraph"/>
        <w:spacing w:after="0" w:line="360" w:lineRule="auto"/>
        <w:jc w:val="both"/>
        <w:rPr>
          <w:rFonts w:cs="David"/>
          <w:sz w:val="24"/>
          <w:szCs w:val="24"/>
        </w:rPr>
      </w:pPr>
    </w:p>
    <w:p w14:paraId="0D47A208"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 xml:space="preserve">הנאשם, רווק בן 21, עבד טרם מעצרו כחשמלאי וסייע בפרנסת משפחתו; סיים 9 שנות לימוד בלבד, כאשר עקב מצבה הכלכלי של משפחתו עזב את ספסל הלימודים והחל לעבוד. </w:t>
      </w:r>
      <w:r>
        <w:rPr>
          <w:rFonts w:cs="David" w:hint="cs"/>
          <w:sz w:val="24"/>
          <w:szCs w:val="24"/>
          <w:rtl/>
        </w:rPr>
        <w:lastRenderedPageBreak/>
        <w:t>הנאשם חווה מילדות חוסר יציבות בתפקוד ההורי והיה חשוף לבעיית ההתמכרות של אביו לטיפה המרה, שבעקבותיה התקשה האב להוות דמות הורית סמכותית.</w:t>
      </w:r>
    </w:p>
    <w:p w14:paraId="101FC196" w14:textId="77777777" w:rsidR="001611D9" w:rsidRDefault="001611D9">
      <w:pPr>
        <w:pStyle w:val="ListParagraph"/>
        <w:spacing w:after="0" w:line="360" w:lineRule="auto"/>
        <w:jc w:val="both"/>
        <w:rPr>
          <w:rFonts w:cs="David"/>
          <w:sz w:val="24"/>
          <w:szCs w:val="24"/>
        </w:rPr>
      </w:pPr>
    </w:p>
    <w:p w14:paraId="2D523F35"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בהתייחס לעבירות, קצינת המבחן ציינה כי הנאשם נטל אחריות חלקית לביצוען, תוך שהיא מתייחסת לעובדות שנמחקו מכתב-האישום. באשר ליתר הדברים, הרושם הוא כי הנאשם נטל אחריות, וטען כי האקדח בו עשה שימוש לא היה ברשותו.</w:t>
      </w:r>
    </w:p>
    <w:p w14:paraId="474F9212" w14:textId="77777777" w:rsidR="001611D9" w:rsidRDefault="000849E1">
      <w:pPr>
        <w:pStyle w:val="ListParagraph"/>
        <w:spacing w:after="0" w:line="360" w:lineRule="auto"/>
        <w:jc w:val="both"/>
        <w:rPr>
          <w:rFonts w:cs="David"/>
          <w:sz w:val="24"/>
          <w:szCs w:val="24"/>
        </w:rPr>
      </w:pPr>
      <w:r>
        <w:rPr>
          <w:rFonts w:cs="David" w:hint="cs"/>
          <w:sz w:val="24"/>
          <w:szCs w:val="24"/>
          <w:rtl/>
        </w:rPr>
        <w:t>באשר לאישום שצורף, הנאשם מסר כי קרוב משפחתו הוא שהחזיק באקדח, אף כי נטל אחריות פורמאלית ביחס לשימוש שעשה בו.</w:t>
      </w:r>
    </w:p>
    <w:p w14:paraId="52A390C2" w14:textId="77777777" w:rsidR="001611D9" w:rsidRDefault="000849E1">
      <w:pPr>
        <w:pStyle w:val="ListParagraph"/>
        <w:spacing w:after="0" w:line="360" w:lineRule="auto"/>
        <w:jc w:val="both"/>
        <w:rPr>
          <w:rFonts w:cs="David"/>
          <w:sz w:val="24"/>
          <w:szCs w:val="24"/>
          <w:rtl/>
        </w:rPr>
      </w:pPr>
      <w:r>
        <w:rPr>
          <w:rFonts w:cs="David" w:hint="cs"/>
          <w:sz w:val="24"/>
          <w:szCs w:val="24"/>
          <w:rtl/>
        </w:rPr>
        <w:t>קצינת המבחן התרשמה שהנאשם אינו מכיר בחומרת מעשיו ובסיכון הטמון בהם.</w:t>
      </w:r>
    </w:p>
    <w:p w14:paraId="67F5429C" w14:textId="77777777" w:rsidR="001611D9" w:rsidRDefault="001611D9">
      <w:pPr>
        <w:pStyle w:val="ListParagraph"/>
        <w:spacing w:after="0" w:line="360" w:lineRule="auto"/>
        <w:jc w:val="both"/>
        <w:rPr>
          <w:rFonts w:cs="David"/>
          <w:sz w:val="24"/>
          <w:szCs w:val="24"/>
          <w:rtl/>
        </w:rPr>
      </w:pPr>
    </w:p>
    <w:p w14:paraId="4709363C" w14:textId="77777777" w:rsidR="001611D9" w:rsidRDefault="000849E1">
      <w:pPr>
        <w:pStyle w:val="ListParagraph"/>
        <w:spacing w:after="0" w:line="360" w:lineRule="auto"/>
        <w:jc w:val="both"/>
        <w:rPr>
          <w:rFonts w:cs="David"/>
          <w:sz w:val="24"/>
          <w:szCs w:val="24"/>
          <w:rtl/>
        </w:rPr>
      </w:pPr>
      <w:r>
        <w:rPr>
          <w:rFonts w:cs="David" w:hint="cs"/>
          <w:sz w:val="24"/>
          <w:szCs w:val="24"/>
          <w:rtl/>
        </w:rPr>
        <w:t>במסגרת הערכת הסיכון להישנות עבירות בעתיד, ציינה קצינת המבחן כי עולמו הערכי של הנאשם אינו מאוזן והוא מתקשה לבנות תפיסת עולם נורמטיבית, זאת, בין היתר, בהתייחס לכך שמאסר קודם אותו נשא לא היווה עבורו גבול מרתיע.</w:t>
      </w:r>
    </w:p>
    <w:p w14:paraId="47727449" w14:textId="77777777" w:rsidR="001611D9" w:rsidRDefault="000849E1">
      <w:pPr>
        <w:pStyle w:val="ListParagraph"/>
        <w:spacing w:after="0" w:line="360" w:lineRule="auto"/>
        <w:jc w:val="both"/>
        <w:rPr>
          <w:rFonts w:cs="David"/>
          <w:sz w:val="24"/>
          <w:szCs w:val="24"/>
          <w:rtl/>
        </w:rPr>
      </w:pPr>
      <w:r>
        <w:rPr>
          <w:rFonts w:cs="David" w:hint="cs"/>
          <w:sz w:val="24"/>
          <w:szCs w:val="24"/>
          <w:rtl/>
        </w:rPr>
        <w:t>בשיחה עמו התרשמה כי מעורבותו הפלילית החוזרת מעידה על אי הפנמת גבולות החוק ועל סיכון למעורבות פלילית נוספת, ולפיכך המליצה על ענישה קונקרטית, קרי- מאסר בפועל, ונמנעה ממתן המלצה טיפולית.</w:t>
      </w:r>
    </w:p>
    <w:p w14:paraId="0CE40238" w14:textId="77777777" w:rsidR="001611D9" w:rsidRDefault="001611D9">
      <w:pPr>
        <w:pStyle w:val="ListParagraph"/>
        <w:spacing w:after="0" w:line="360" w:lineRule="auto"/>
        <w:jc w:val="both"/>
        <w:rPr>
          <w:rFonts w:cs="David"/>
          <w:sz w:val="24"/>
          <w:szCs w:val="24"/>
          <w:rtl/>
        </w:rPr>
      </w:pPr>
    </w:p>
    <w:p w14:paraId="2235CED3"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גם במסגרת התיק המצורף נערך תסקיר אודות הנאשם, שממצאיו דומים לממצאי התסקיר כאן, למעט באשר לרמת הסיכון להישנות עבירות בעתיד, אשר הוערכה שם כבינונית.</w:t>
      </w:r>
    </w:p>
    <w:p w14:paraId="054C3C23" w14:textId="77777777" w:rsidR="001611D9" w:rsidRDefault="001611D9">
      <w:pPr>
        <w:pStyle w:val="ListParagraph"/>
        <w:spacing w:after="0" w:line="360" w:lineRule="auto"/>
        <w:jc w:val="both"/>
        <w:rPr>
          <w:rFonts w:cs="David"/>
          <w:sz w:val="24"/>
          <w:szCs w:val="24"/>
          <w:rtl/>
        </w:rPr>
      </w:pPr>
    </w:p>
    <w:p w14:paraId="58ABC921" w14:textId="77777777" w:rsidR="001611D9" w:rsidRDefault="000849E1">
      <w:pPr>
        <w:pStyle w:val="ListParagraph"/>
        <w:spacing w:after="0" w:line="360" w:lineRule="auto"/>
        <w:jc w:val="both"/>
        <w:rPr>
          <w:rFonts w:cs="David"/>
          <w:b/>
          <w:bCs/>
          <w:sz w:val="24"/>
          <w:szCs w:val="24"/>
          <w:u w:val="single"/>
          <w:rtl/>
        </w:rPr>
      </w:pPr>
      <w:r>
        <w:rPr>
          <w:rFonts w:cs="David" w:hint="cs"/>
          <w:b/>
          <w:bCs/>
          <w:sz w:val="24"/>
          <w:szCs w:val="24"/>
          <w:u w:val="single"/>
          <w:rtl/>
        </w:rPr>
        <w:t>טיעוני המאשימה</w:t>
      </w:r>
    </w:p>
    <w:p w14:paraId="514FDC97"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בהתייחס לאישום המצורף, טוענת המאשימה כי מתחם העונש ההולם נע בין שנה לשלוש שנות מאסר בפועל. בין היתר טענה, כי עצם החזקת הנשק במגרש מלמד על תכנון מוקדם, שהנאשם הוא זה שהביא את האקדח, המחסניות והנשק אל מקום העבודה, ושהנזק שהיה צפוי להיגרם הוא רב. כן עמדה על הצורך בהרתעת הרבים ובהרתעתו של הנאשם מפני ביצוע עבירות דומות בעתיד, וביקשה להטיל עליו בגין אישום זה עונש המצוי בגדרי המתחם, זאת בנוסף למאסר על תנאי וקנס כספי.</w:t>
      </w:r>
    </w:p>
    <w:p w14:paraId="7FCE7261" w14:textId="77777777" w:rsidR="001611D9" w:rsidRDefault="001611D9">
      <w:pPr>
        <w:pStyle w:val="ListParagraph"/>
        <w:spacing w:after="0" w:line="360" w:lineRule="auto"/>
        <w:jc w:val="both"/>
        <w:rPr>
          <w:rFonts w:cs="David"/>
          <w:sz w:val="24"/>
          <w:szCs w:val="24"/>
        </w:rPr>
      </w:pPr>
    </w:p>
    <w:p w14:paraId="2E06F82A"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בהתייחס לאישום המאוחר, המאשימה ציינה כי העבירות בוצעו תוך הפרת תנאי מעצר, כשהנאשם עושה שימוש בנשק בזמן שמתנהל נגדו הליך בגין מעשים דומים, נסיבות המלמדות על תעוזה, מסוכנות והעדר גבולות. לדבריה, האישום המאוחר מעיד על עליית מדרגה ביחס לחומרה, שכן העבירות בוצעו במסגרת סכסוך ותוך יצירת סיכון כלפי חייהם של אחרים. בנסיבות אלה, סברה, מתחם העונש ההולם נע בין 3 ל-5 שנות מאסר בפועל.</w:t>
      </w:r>
    </w:p>
    <w:p w14:paraId="5C6B1FB9" w14:textId="77777777" w:rsidR="001611D9" w:rsidRDefault="001611D9">
      <w:pPr>
        <w:pStyle w:val="ListParagraph"/>
        <w:spacing w:after="0" w:line="360" w:lineRule="auto"/>
        <w:jc w:val="both"/>
        <w:rPr>
          <w:rFonts w:cs="David"/>
          <w:sz w:val="24"/>
          <w:szCs w:val="24"/>
        </w:rPr>
      </w:pPr>
    </w:p>
    <w:p w14:paraId="14ACEC74"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באשר לנסיבותיו של הנאשם, המאשימה מפנה לעברו הפלילי ולתסקירי שירות המבחן המעידים על מסוכנותו הגבוהה ועל הצורך בענישה מרתיעה.</w:t>
      </w:r>
    </w:p>
    <w:p w14:paraId="48F7D55D" w14:textId="77777777" w:rsidR="001611D9" w:rsidRDefault="001611D9">
      <w:pPr>
        <w:pStyle w:val="ListParagraph"/>
        <w:spacing w:after="0" w:line="360" w:lineRule="auto"/>
        <w:jc w:val="both"/>
        <w:rPr>
          <w:rFonts w:cs="David"/>
          <w:sz w:val="24"/>
          <w:szCs w:val="24"/>
        </w:rPr>
      </w:pPr>
    </w:p>
    <w:p w14:paraId="66C1259A" w14:textId="77777777" w:rsidR="001611D9" w:rsidRDefault="000849E1">
      <w:pPr>
        <w:pStyle w:val="ListParagraph"/>
        <w:spacing w:after="0" w:line="360" w:lineRule="auto"/>
        <w:jc w:val="both"/>
        <w:rPr>
          <w:rFonts w:cs="David"/>
          <w:b/>
          <w:bCs/>
          <w:sz w:val="24"/>
          <w:szCs w:val="24"/>
          <w:u w:val="single"/>
          <w:rtl/>
        </w:rPr>
      </w:pPr>
      <w:r>
        <w:rPr>
          <w:rFonts w:cs="David" w:hint="cs"/>
          <w:b/>
          <w:bCs/>
          <w:sz w:val="24"/>
          <w:szCs w:val="24"/>
          <w:u w:val="single"/>
          <w:rtl/>
        </w:rPr>
        <w:t>טיעוני הנאשם</w:t>
      </w:r>
    </w:p>
    <w:p w14:paraId="1ACC7677"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 xml:space="preserve"> הסניגור, בהתייחסו לכתב האישום המצורף, הדגיש כי החזקת האקדח שם מיוחסת לנאשם בצוותא עם שניים נוספים, כשלהבנתו בית המשפט אשר דן בעניינם של השניים האחרים הסתפק במעצר של חודש ימים. באותו מקרה הירי לא בוצע בשטח מגורים.</w:t>
      </w:r>
    </w:p>
    <w:p w14:paraId="30E96DD3" w14:textId="77777777" w:rsidR="001611D9" w:rsidRDefault="001611D9">
      <w:pPr>
        <w:pStyle w:val="ListParagraph"/>
        <w:spacing w:after="0" w:line="360" w:lineRule="auto"/>
        <w:jc w:val="both"/>
        <w:rPr>
          <w:rFonts w:cs="David"/>
          <w:sz w:val="24"/>
          <w:szCs w:val="24"/>
        </w:rPr>
      </w:pPr>
    </w:p>
    <w:p w14:paraId="06271325"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באשר לכתב-האישום כאן, הסניגור ביקש לציין כי המתלונן התחמק מתשלום החוב לנאשם, ושהשימוש באקדח נעשה בשעת כעס ובאווירה טעונה. חרף חומרת המעשים, הסניגור סבור כי יש לשקול אותם לאור המכלול, בהינתן כי מדובר בסכסוך "פנים משפחתי", כהגדרתו, ובשים לב שעל הפרת תנאי המעצר "שילם" הנאשם בחילוט סכום מסוים מן הפיקדון שהופקד במסגרת תיק המעצר.</w:t>
      </w:r>
    </w:p>
    <w:p w14:paraId="24161D9A" w14:textId="77777777" w:rsidR="001611D9" w:rsidRDefault="001611D9">
      <w:pPr>
        <w:pStyle w:val="ListParagraph"/>
        <w:rPr>
          <w:rFonts w:cs="David"/>
          <w:sz w:val="24"/>
          <w:szCs w:val="24"/>
        </w:rPr>
      </w:pPr>
    </w:p>
    <w:p w14:paraId="7F7A6865" w14:textId="77777777" w:rsidR="001611D9" w:rsidRDefault="000849E1">
      <w:pPr>
        <w:pStyle w:val="ListParagraph"/>
        <w:spacing w:after="0" w:line="360" w:lineRule="auto"/>
        <w:jc w:val="both"/>
        <w:rPr>
          <w:rFonts w:cs="David"/>
          <w:sz w:val="24"/>
          <w:szCs w:val="24"/>
          <w:rtl/>
        </w:rPr>
      </w:pPr>
      <w:r>
        <w:rPr>
          <w:rFonts w:cs="David" w:hint="cs"/>
          <w:sz w:val="24"/>
          <w:szCs w:val="24"/>
          <w:rtl/>
        </w:rPr>
        <w:t>עוד נטען, בהתייחס לנסיבות, כי הנאשם לא כיוון את נשקו לעבר אנשים, אלא ירה באוויר.</w:t>
      </w:r>
    </w:p>
    <w:p w14:paraId="1603E786" w14:textId="77777777" w:rsidR="001611D9" w:rsidRDefault="001611D9">
      <w:pPr>
        <w:pStyle w:val="ListParagraph"/>
        <w:spacing w:after="0" w:line="360" w:lineRule="auto"/>
        <w:jc w:val="both"/>
        <w:rPr>
          <w:rFonts w:cs="David"/>
          <w:sz w:val="24"/>
          <w:szCs w:val="24"/>
        </w:rPr>
      </w:pPr>
    </w:p>
    <w:p w14:paraId="2ED5CAD6"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באשר לתסקירים, הסנגור הפנה לתסקיר המוקדם, שם פירטה קצינת המבחן כי קיים פוטנציאל לשינוי חיובי בהתנהגותו של הנאשם. בהקשר זה הדגיש הסניגור את נסיבות חייו של הנאשם, אשר גדל בתנאים של עוני והזנחה.</w:t>
      </w:r>
    </w:p>
    <w:p w14:paraId="5AD32E56" w14:textId="77777777" w:rsidR="001611D9" w:rsidRDefault="000849E1">
      <w:pPr>
        <w:pStyle w:val="ListParagraph"/>
        <w:spacing w:after="0" w:line="360" w:lineRule="auto"/>
        <w:jc w:val="both"/>
        <w:rPr>
          <w:rFonts w:cs="David"/>
          <w:sz w:val="24"/>
          <w:szCs w:val="24"/>
          <w:rtl/>
        </w:rPr>
      </w:pPr>
      <w:r>
        <w:rPr>
          <w:rFonts w:cs="David" w:hint="cs"/>
          <w:sz w:val="24"/>
          <w:szCs w:val="24"/>
          <w:rtl/>
        </w:rPr>
        <w:t>בהתייחסו לתסקיר המאוחר, הסניגור טען ל"חוסר מקצועיות הזועק לשמיים", וזאת בין היתר בשל ההסתמכות על כתב האישום המקורי, תחת זה המתוקן, ופנייתה של קצינת המבחן, בין היתר, לחקירת מעצר בתיק קודם. עוד ביקש להשיג באשר לקביעתה של קצינת המבחן כי הנאשם נטל אחריות חלקית בלבד למעשיו, וטען להתעלמות משיקולי שיקום, זאת במיוחד נוכח גילו של הנאשם וגיליון הרשעותיו שאינו מכביד, לדבריו.</w:t>
      </w:r>
    </w:p>
    <w:p w14:paraId="72A574BA" w14:textId="77777777" w:rsidR="001611D9" w:rsidRDefault="001611D9">
      <w:pPr>
        <w:pStyle w:val="ListParagraph"/>
        <w:spacing w:after="0" w:line="360" w:lineRule="auto"/>
        <w:jc w:val="both"/>
        <w:rPr>
          <w:rFonts w:cs="David"/>
          <w:sz w:val="24"/>
          <w:szCs w:val="24"/>
          <w:rtl/>
        </w:rPr>
      </w:pPr>
    </w:p>
    <w:p w14:paraId="507BFB74"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לבסוף, הפנה הסניגור להודאתו של הנאשם ולחרטה שהביע, והפנה לפסקי-דין בהם הוטלו על נאשמים שהורשעו בעבירות נשק עונשים מסוג עבודות שירות בלבד ועד 13 חודשי מאסר בפועל. לפיכך, ביקש להסתפק בעונש מאסר שלא יעלה על שנת מאסר.</w:t>
      </w:r>
    </w:p>
    <w:p w14:paraId="3F6A82F5" w14:textId="77777777" w:rsidR="001611D9" w:rsidRDefault="001611D9">
      <w:pPr>
        <w:pStyle w:val="ListParagraph"/>
        <w:spacing w:after="0" w:line="360" w:lineRule="auto"/>
        <w:jc w:val="both"/>
        <w:rPr>
          <w:rFonts w:cs="David"/>
          <w:sz w:val="24"/>
          <w:szCs w:val="24"/>
        </w:rPr>
      </w:pPr>
    </w:p>
    <w:p w14:paraId="742EC778"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הנאשם הביע צער על מעשיו, וציין כי סבל משהייתו במעצר.</w:t>
      </w:r>
    </w:p>
    <w:p w14:paraId="41A737F6" w14:textId="77777777" w:rsidR="001611D9" w:rsidRDefault="001611D9">
      <w:pPr>
        <w:pStyle w:val="ListParagraph"/>
        <w:rPr>
          <w:rFonts w:cs="David"/>
          <w:sz w:val="24"/>
          <w:szCs w:val="24"/>
        </w:rPr>
      </w:pPr>
    </w:p>
    <w:p w14:paraId="471AAB76" w14:textId="77777777" w:rsidR="001611D9" w:rsidRDefault="000849E1">
      <w:pPr>
        <w:pStyle w:val="ListParagraph"/>
        <w:rPr>
          <w:rFonts w:cs="David"/>
          <w:b/>
          <w:bCs/>
          <w:sz w:val="28"/>
          <w:szCs w:val="28"/>
          <w:u w:val="single"/>
          <w:rtl/>
        </w:rPr>
      </w:pPr>
      <w:r>
        <w:rPr>
          <w:rFonts w:cs="David" w:hint="cs"/>
          <w:b/>
          <w:bCs/>
          <w:sz w:val="28"/>
          <w:szCs w:val="28"/>
          <w:u w:val="single"/>
          <w:rtl/>
        </w:rPr>
        <w:t>דיון והכרעה</w:t>
      </w:r>
    </w:p>
    <w:p w14:paraId="6530B890"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רבות נכתב ודובר אודות הסכנה הטמונה בעבירות נשק, ובפרט כשמדובר בשימוש שנעשה בכלי הנשק בסביבת מגורים, בה הסיכוי לפגיעה בחפים מפשע הוא גדול. בית המשפט העליון עמד אף הוא על הדברים, בנמקו כי הסכנה היא "</w:t>
      </w:r>
      <w:r>
        <w:rPr>
          <w:rFonts w:cs="David" w:hint="cs"/>
          <w:b/>
          <w:bCs/>
          <w:sz w:val="24"/>
          <w:szCs w:val="24"/>
          <w:rtl/>
        </w:rPr>
        <w:t>בעיקר בשל כך שעבירות מסוג זה מקימות פוטנציאל להסלמה עבריינית ויוצרות סיכון ממשי וחמור לשלום הציבור וביטחונו</w:t>
      </w:r>
      <w:r>
        <w:rPr>
          <w:rFonts w:cs="David" w:hint="cs"/>
          <w:sz w:val="24"/>
          <w:szCs w:val="24"/>
          <w:rtl/>
        </w:rPr>
        <w:t>" (</w:t>
      </w:r>
      <w:hyperlink r:id="rId26" w:history="1">
        <w:r w:rsidRPr="000849E1">
          <w:rPr>
            <w:rFonts w:cs="David" w:hint="cs"/>
            <w:color w:val="0000FF"/>
            <w:sz w:val="24"/>
            <w:szCs w:val="24"/>
            <w:u w:val="single"/>
            <w:rtl/>
          </w:rPr>
          <w:t>ע</w:t>
        </w:r>
        <w:r w:rsidRPr="000849E1">
          <w:rPr>
            <w:rFonts w:cs="David"/>
            <w:color w:val="0000FF"/>
            <w:sz w:val="24"/>
            <w:szCs w:val="24"/>
            <w:u w:val="single"/>
            <w:rtl/>
          </w:rPr>
          <w:t>"</w:t>
        </w:r>
        <w:r w:rsidRPr="000849E1">
          <w:rPr>
            <w:rFonts w:cs="David" w:hint="cs"/>
            <w:color w:val="0000FF"/>
            <w:sz w:val="24"/>
            <w:szCs w:val="24"/>
            <w:u w:val="single"/>
            <w:rtl/>
          </w:rPr>
          <w:t>פ</w:t>
        </w:r>
        <w:r w:rsidRPr="000849E1">
          <w:rPr>
            <w:rFonts w:cs="David"/>
            <w:color w:val="0000FF"/>
            <w:sz w:val="24"/>
            <w:szCs w:val="24"/>
            <w:u w:val="single"/>
            <w:rtl/>
          </w:rPr>
          <w:t xml:space="preserve"> 3156/11</w:t>
        </w:r>
      </w:hyperlink>
      <w:r>
        <w:rPr>
          <w:rFonts w:cs="David" w:hint="cs"/>
          <w:sz w:val="24"/>
          <w:szCs w:val="24"/>
          <w:rtl/>
        </w:rPr>
        <w:t xml:space="preserve"> </w:t>
      </w:r>
      <w:r>
        <w:rPr>
          <w:rFonts w:cs="David" w:hint="cs"/>
          <w:b/>
          <w:bCs/>
          <w:sz w:val="24"/>
          <w:szCs w:val="24"/>
          <w:rtl/>
        </w:rPr>
        <w:t>זראיעה נ' מדינת ישראל</w:t>
      </w:r>
      <w:r>
        <w:rPr>
          <w:rFonts w:cs="David" w:hint="cs"/>
          <w:sz w:val="24"/>
          <w:szCs w:val="24"/>
          <w:rtl/>
        </w:rPr>
        <w:t xml:space="preserve">  (21.02.12)). כך, גם מעשיו של הנאשם, הן בעצם החזקת הנשק ונשיאתו שלא כדין, ועל אחת כמה וכמה בשימוש שנעשה בו במהלך הוויכוח עם המתלונן, יצרו סיכון כלפי חייהם וגופם של אנשים, ופגעו בסדר הציבורי ובתחושת הביטחון וההגנה של בני משפחתו, של שכניו ושל תושבי האזור.</w:t>
      </w:r>
    </w:p>
    <w:p w14:paraId="19255F55" w14:textId="77777777" w:rsidR="001611D9" w:rsidRDefault="000849E1">
      <w:pPr>
        <w:pStyle w:val="ListParagraph"/>
        <w:spacing w:after="0" w:line="360" w:lineRule="auto"/>
        <w:jc w:val="both"/>
        <w:rPr>
          <w:rFonts w:cs="David"/>
          <w:sz w:val="24"/>
          <w:szCs w:val="24"/>
          <w:rtl/>
        </w:rPr>
      </w:pPr>
      <w:r>
        <w:rPr>
          <w:rFonts w:cs="David" w:hint="cs"/>
          <w:sz w:val="24"/>
          <w:szCs w:val="24"/>
          <w:rtl/>
        </w:rPr>
        <w:t>בהתאם, גישת הפסיקה היא כי יש לנקוט במקרים מסוג זה ענישה מחמירה ולהטיל עונשי מאסר מאחורי סורג ובריח גם על מי שזו לו הרשעה ראשונה בפלילים (</w:t>
      </w:r>
      <w:hyperlink r:id="rId27" w:history="1">
        <w:r w:rsidRPr="000849E1">
          <w:rPr>
            <w:rFonts w:cs="David" w:hint="cs"/>
            <w:color w:val="0000FF"/>
            <w:sz w:val="24"/>
            <w:szCs w:val="24"/>
            <w:u w:val="single"/>
            <w:rtl/>
          </w:rPr>
          <w:t>ע</w:t>
        </w:r>
        <w:r w:rsidRPr="000849E1">
          <w:rPr>
            <w:rFonts w:cs="David"/>
            <w:color w:val="0000FF"/>
            <w:sz w:val="24"/>
            <w:szCs w:val="24"/>
            <w:u w:val="single"/>
            <w:rtl/>
          </w:rPr>
          <w:t>"</w:t>
        </w:r>
        <w:r w:rsidRPr="000849E1">
          <w:rPr>
            <w:rFonts w:cs="David" w:hint="cs"/>
            <w:color w:val="0000FF"/>
            <w:sz w:val="24"/>
            <w:szCs w:val="24"/>
            <w:u w:val="single"/>
            <w:rtl/>
          </w:rPr>
          <w:t>פ</w:t>
        </w:r>
        <w:r w:rsidRPr="000849E1">
          <w:rPr>
            <w:rFonts w:cs="David"/>
            <w:color w:val="0000FF"/>
            <w:sz w:val="24"/>
            <w:szCs w:val="24"/>
            <w:u w:val="single"/>
            <w:rtl/>
          </w:rPr>
          <w:t xml:space="preserve"> 2006/12</w:t>
        </w:r>
      </w:hyperlink>
      <w:r>
        <w:rPr>
          <w:rFonts w:cs="David" w:hint="cs"/>
          <w:sz w:val="24"/>
          <w:szCs w:val="24"/>
          <w:rtl/>
        </w:rPr>
        <w:t xml:space="preserve"> </w:t>
      </w:r>
      <w:r>
        <w:rPr>
          <w:rFonts w:cs="David" w:hint="cs"/>
          <w:b/>
          <w:bCs/>
          <w:sz w:val="24"/>
          <w:szCs w:val="24"/>
          <w:rtl/>
        </w:rPr>
        <w:t>מדינת ישראל נ' אסדי</w:t>
      </w:r>
      <w:r>
        <w:rPr>
          <w:rFonts w:cs="David" w:hint="cs"/>
          <w:sz w:val="24"/>
          <w:szCs w:val="24"/>
          <w:rtl/>
        </w:rPr>
        <w:t xml:space="preserve"> (28.03.12)).</w:t>
      </w:r>
    </w:p>
    <w:p w14:paraId="49C6EC63" w14:textId="77777777" w:rsidR="001611D9" w:rsidRDefault="001611D9">
      <w:pPr>
        <w:pStyle w:val="ListParagraph"/>
        <w:spacing w:after="0" w:line="360" w:lineRule="auto"/>
        <w:jc w:val="both"/>
        <w:rPr>
          <w:rFonts w:cs="David"/>
          <w:sz w:val="24"/>
          <w:szCs w:val="24"/>
          <w:rtl/>
        </w:rPr>
      </w:pPr>
    </w:p>
    <w:p w14:paraId="6F6767C1" w14:textId="77777777" w:rsidR="001611D9" w:rsidRDefault="000849E1">
      <w:pPr>
        <w:pStyle w:val="ListParagraph"/>
        <w:spacing w:after="0" w:line="360" w:lineRule="auto"/>
        <w:jc w:val="both"/>
        <w:rPr>
          <w:rFonts w:cs="David"/>
          <w:sz w:val="24"/>
          <w:szCs w:val="24"/>
          <w:u w:val="single"/>
          <w:rtl/>
        </w:rPr>
      </w:pPr>
      <w:r>
        <w:rPr>
          <w:rFonts w:cs="David" w:hint="cs"/>
          <w:sz w:val="24"/>
          <w:szCs w:val="24"/>
          <w:u w:val="single"/>
          <w:rtl/>
        </w:rPr>
        <w:t>נסיבות הקשורות בביצוע העבירות</w:t>
      </w:r>
    </w:p>
    <w:p w14:paraId="6D04567D"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בהתייחס לאישום המוקדם (שצורף), כתב האישום אינו מפרט הרבה לגבי הנסיבות, וכל שניתן לקבוע הוא שהנאשם החזיק באקדח ובתחמושת שלא כדין, ועשה בהם שימוש בצוותא עם שניים נוספים, באזור שאינו משמש למגורים, ממניע שלא פורש ושניתן להגדירו כ"שעמום". לא ברור בהקשר זה על מה נשענת טענת המאשימה ולפיה הנאשם הוא שהביא את האקדח אל המגרש, ובהעדר ראיה בקשר לכך לא ראיתי לייחס לדברים, אשר אינם מפורטים בכתב האישום המצורף, משקל.</w:t>
      </w:r>
    </w:p>
    <w:p w14:paraId="5A76F185" w14:textId="77777777" w:rsidR="001611D9" w:rsidRDefault="001611D9">
      <w:pPr>
        <w:pStyle w:val="ListParagraph"/>
        <w:spacing w:after="0" w:line="360" w:lineRule="auto"/>
        <w:jc w:val="both"/>
        <w:rPr>
          <w:rFonts w:cs="David"/>
          <w:sz w:val="24"/>
          <w:szCs w:val="24"/>
        </w:rPr>
      </w:pPr>
    </w:p>
    <w:p w14:paraId="201C5BC0"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באשר לאישום המאוחר, הנסיבות חמורות יותר, וכוללות התנהגות אלימה וכוחנית מצד הנאשם במסגרת סכסוך כספי; גניבת מכשיר טלפון נייד; הפרת תנאי מעצר בית על-ידי הנאשם, ובתוך כך עשיית שימוש באקדח לשם הפחדה ואיום, שעה שעומד ותלוי נגדו הליך פלילי בגין שימוש באקדח; ואיסוף התרמילים מן הזירה.</w:t>
      </w:r>
    </w:p>
    <w:p w14:paraId="7AF8A5D2" w14:textId="77777777" w:rsidR="001611D9" w:rsidRDefault="001611D9">
      <w:pPr>
        <w:pStyle w:val="ListParagraph"/>
        <w:rPr>
          <w:rFonts w:cs="David"/>
          <w:sz w:val="24"/>
          <w:szCs w:val="24"/>
        </w:rPr>
      </w:pPr>
    </w:p>
    <w:p w14:paraId="2FFE57A9" w14:textId="77777777" w:rsidR="001611D9" w:rsidRDefault="000849E1">
      <w:pPr>
        <w:pStyle w:val="ListParagraph"/>
        <w:spacing w:after="0" w:line="360" w:lineRule="auto"/>
        <w:jc w:val="both"/>
        <w:rPr>
          <w:rFonts w:cs="David"/>
          <w:sz w:val="24"/>
          <w:szCs w:val="24"/>
          <w:rtl/>
        </w:rPr>
      </w:pPr>
      <w:r>
        <w:rPr>
          <w:rFonts w:cs="David" w:hint="cs"/>
          <w:sz w:val="24"/>
          <w:szCs w:val="24"/>
          <w:rtl/>
        </w:rPr>
        <w:t>הנסיבות מלמדות על אחריות מלאה של הנאשם למעשים, כמבצעם הבלעדי; על תחכום, עת בחר לאסוף את התרמילים ובכך להעלים ראיות ולשבש הליכים; על העדר מורא מן החוק; ועל סיכון שנטל לפגיעה בגופו ובחייו של אדם. נתתי דעתי לכך שהירי לא כוון לעבר גופם של אנשים, אולם בעצם ביצוע הירי והשימוש באקדח בסביבת מגורים טמון סיכון במישור זה, כאשר הנאשם יכול היה לצפות לתגובה עקב שליפת האקדח ולהסלמה.</w:t>
      </w:r>
    </w:p>
    <w:p w14:paraId="4B75B74D" w14:textId="77777777" w:rsidR="001611D9" w:rsidRDefault="001611D9">
      <w:pPr>
        <w:pStyle w:val="ListParagraph"/>
        <w:spacing w:after="0" w:line="360" w:lineRule="auto"/>
        <w:jc w:val="both"/>
        <w:rPr>
          <w:rFonts w:cs="David"/>
          <w:sz w:val="24"/>
          <w:szCs w:val="24"/>
          <w:rtl/>
        </w:rPr>
      </w:pPr>
    </w:p>
    <w:p w14:paraId="7E05D4B1"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באשר למניע שהביא את הנאשם לבצע את המעשים, קרי – החוב הכספי והימנעותו של המתלונן מהשבת הכספים: בהינתן מצבו הכלכלי של הנאשם ושל משפחתו ניתן להבין את הכעס בו היה נתון באותה העת, אולם סבורני כי אל מול המניע יש לשקול את "תרומתו" של הנאשם להתפרצות, כשבתחילה גנב את מכשיר הטלפון של המתלונן ומאוחר יותר הביא את עצמו להתעמת עם המתלונן תוך הפרת תנאי מעצרו. עוד ניתן לקבוע בהקשר זה, כי תגובתו של הנאשם חרגה מכל פרופורציה אף בהתחשב במניע. עוד אעיר, כי העובדה שמדובר בסכסוך "פנים משפחתי", כהגדרת הסנגור, אינה מפחיתה לטעמי מחומרת המעשים.</w:t>
      </w:r>
    </w:p>
    <w:p w14:paraId="40BD94B2" w14:textId="77777777" w:rsidR="001611D9" w:rsidRDefault="001611D9">
      <w:pPr>
        <w:pStyle w:val="ListParagraph"/>
        <w:spacing w:after="0" w:line="360" w:lineRule="auto"/>
        <w:jc w:val="both"/>
        <w:rPr>
          <w:rFonts w:cs="David"/>
          <w:sz w:val="24"/>
          <w:szCs w:val="24"/>
        </w:rPr>
      </w:pPr>
    </w:p>
    <w:p w14:paraId="43FE3706" w14:textId="77777777" w:rsidR="001611D9" w:rsidRDefault="000849E1">
      <w:pPr>
        <w:pStyle w:val="ListParagraph"/>
        <w:spacing w:after="0" w:line="360" w:lineRule="auto"/>
        <w:jc w:val="both"/>
        <w:rPr>
          <w:rFonts w:cs="David"/>
          <w:sz w:val="24"/>
          <w:szCs w:val="24"/>
          <w:u w:val="single"/>
          <w:rtl/>
        </w:rPr>
      </w:pPr>
      <w:r>
        <w:rPr>
          <w:rFonts w:cs="David" w:hint="cs"/>
          <w:sz w:val="24"/>
          <w:szCs w:val="24"/>
          <w:u w:val="single"/>
          <w:rtl/>
        </w:rPr>
        <w:t>מדיניות הענישה הנוהגת ומתחמי הענישה ההולמים</w:t>
      </w:r>
    </w:p>
    <w:p w14:paraId="0A91AA2A"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w:t>
      </w:r>
      <w:hyperlink r:id="rId28" w:history="1">
        <w:r w:rsidRPr="000849E1">
          <w:rPr>
            <w:rFonts w:cs="David" w:hint="cs"/>
            <w:color w:val="0000FF"/>
            <w:sz w:val="24"/>
            <w:szCs w:val="24"/>
            <w:u w:val="single"/>
            <w:rtl/>
          </w:rPr>
          <w:t>ע</w:t>
        </w:r>
        <w:r w:rsidRPr="000849E1">
          <w:rPr>
            <w:rFonts w:cs="David"/>
            <w:color w:val="0000FF"/>
            <w:sz w:val="24"/>
            <w:szCs w:val="24"/>
            <w:u w:val="single"/>
            <w:rtl/>
          </w:rPr>
          <w:t>"</w:t>
        </w:r>
        <w:r w:rsidRPr="000849E1">
          <w:rPr>
            <w:rFonts w:cs="David" w:hint="cs"/>
            <w:color w:val="0000FF"/>
            <w:sz w:val="24"/>
            <w:szCs w:val="24"/>
            <w:u w:val="single"/>
            <w:rtl/>
          </w:rPr>
          <w:t>פ</w:t>
        </w:r>
        <w:r w:rsidRPr="000849E1">
          <w:rPr>
            <w:rFonts w:cs="David"/>
            <w:color w:val="0000FF"/>
            <w:sz w:val="24"/>
            <w:szCs w:val="24"/>
            <w:u w:val="single"/>
            <w:rtl/>
          </w:rPr>
          <w:t xml:space="preserve"> 5604/11</w:t>
        </w:r>
      </w:hyperlink>
      <w:r>
        <w:rPr>
          <w:rFonts w:cs="David" w:hint="cs"/>
          <w:sz w:val="24"/>
          <w:szCs w:val="24"/>
          <w:rtl/>
        </w:rPr>
        <w:t xml:space="preserve"> </w:t>
      </w:r>
      <w:r>
        <w:rPr>
          <w:rFonts w:cs="David" w:hint="cs"/>
          <w:b/>
          <w:bCs/>
          <w:sz w:val="24"/>
          <w:szCs w:val="24"/>
          <w:rtl/>
        </w:rPr>
        <w:t>נאסר נ' מדינת ישראל</w:t>
      </w:r>
      <w:r>
        <w:rPr>
          <w:rFonts w:cs="David" w:hint="cs"/>
          <w:sz w:val="24"/>
          <w:szCs w:val="24"/>
          <w:rtl/>
        </w:rPr>
        <w:t xml:space="preserve"> (5.10.11) נאמר באשר לעבירת החזקת נשק כי היא: "</w:t>
      </w:r>
      <w:r>
        <w:rPr>
          <w:rFonts w:cs="David" w:hint="cs"/>
          <w:b/>
          <w:bCs/>
          <w:sz w:val="24"/>
          <w:szCs w:val="24"/>
          <w:rtl/>
        </w:rPr>
        <w:t>מקימה סיכון ממשי וחמור לציבור ויוצרת פוטנציאל להסלמה עבריינית, ולפיכך מחייבת ליתן ביטוי עונשי הולם המרתיע באמצעות הרחקת מבצע העבירה מן החברה לתקופה מסוימת</w:t>
      </w:r>
      <w:r>
        <w:rPr>
          <w:rFonts w:cs="David" w:hint="cs"/>
          <w:sz w:val="24"/>
          <w:szCs w:val="24"/>
          <w:rtl/>
        </w:rPr>
        <w:t xml:space="preserve">". באותו מקרה נגזרו </w:t>
      </w:r>
      <w:r>
        <w:rPr>
          <w:rFonts w:cs="David" w:hint="cs"/>
          <w:sz w:val="24"/>
          <w:szCs w:val="24"/>
          <w:u w:val="single"/>
          <w:rtl/>
        </w:rPr>
        <w:t>12 חודשי מאסר</w:t>
      </w:r>
      <w:r>
        <w:rPr>
          <w:rFonts w:cs="David" w:hint="cs"/>
          <w:sz w:val="24"/>
          <w:szCs w:val="24"/>
          <w:rtl/>
        </w:rPr>
        <w:t xml:space="preserve"> בפועל על אדם אשר הורשע ב</w:t>
      </w:r>
      <w:r>
        <w:rPr>
          <w:rFonts w:cs="David" w:hint="cs"/>
          <w:sz w:val="24"/>
          <w:szCs w:val="24"/>
          <w:u w:val="single"/>
          <w:rtl/>
        </w:rPr>
        <w:t>החזקת אקדח וכדורים</w:t>
      </w:r>
      <w:r>
        <w:rPr>
          <w:rFonts w:cs="David" w:hint="cs"/>
          <w:sz w:val="24"/>
          <w:szCs w:val="24"/>
          <w:rtl/>
        </w:rPr>
        <w:t>, וזאת על אף נסיבות לקולא שבהם התאפיין המקרה הקונקרטי.</w:t>
      </w:r>
    </w:p>
    <w:p w14:paraId="1139BD97" w14:textId="77777777" w:rsidR="001611D9" w:rsidRDefault="001611D9">
      <w:pPr>
        <w:pStyle w:val="ListParagraph"/>
        <w:spacing w:after="0" w:line="360" w:lineRule="auto"/>
        <w:jc w:val="both"/>
        <w:rPr>
          <w:rFonts w:cs="David"/>
          <w:sz w:val="24"/>
          <w:szCs w:val="24"/>
          <w:rtl/>
        </w:rPr>
      </w:pPr>
    </w:p>
    <w:p w14:paraId="6F2B0366" w14:textId="77777777" w:rsidR="001611D9" w:rsidRDefault="00B75BBA">
      <w:pPr>
        <w:pStyle w:val="ListParagraph"/>
        <w:numPr>
          <w:ilvl w:val="0"/>
          <w:numId w:val="1"/>
        </w:numPr>
        <w:spacing w:after="0" w:line="360" w:lineRule="auto"/>
        <w:jc w:val="both"/>
        <w:rPr>
          <w:rFonts w:cs="David"/>
          <w:sz w:val="24"/>
          <w:szCs w:val="24"/>
          <w:rtl/>
        </w:rPr>
      </w:pPr>
      <w:hyperlink r:id="rId29" w:history="1">
        <w:r w:rsidRPr="00B75BBA">
          <w:rPr>
            <w:rStyle w:val="Hyperlink"/>
            <w:rFonts w:cs="David" w:hint="eastAsia"/>
            <w:sz w:val="24"/>
            <w:szCs w:val="24"/>
            <w:rtl/>
          </w:rPr>
          <w:t>בע</w:t>
        </w:r>
        <w:r w:rsidRPr="00B75BBA">
          <w:rPr>
            <w:rStyle w:val="Hyperlink"/>
            <w:rFonts w:cs="David"/>
            <w:sz w:val="24"/>
            <w:szCs w:val="24"/>
            <w:rtl/>
          </w:rPr>
          <w:t xml:space="preserve">"פ 3632 </w:t>
        </w:r>
      </w:hyperlink>
      <w:r w:rsidR="000849E1">
        <w:rPr>
          <w:rFonts w:cs="David" w:hint="cs"/>
          <w:sz w:val="24"/>
          <w:szCs w:val="24"/>
          <w:rtl/>
        </w:rPr>
        <w:t xml:space="preserve"> </w:t>
      </w:r>
      <w:r w:rsidR="000849E1">
        <w:rPr>
          <w:rFonts w:cs="David" w:hint="cs"/>
          <w:b/>
          <w:bCs/>
          <w:sz w:val="24"/>
          <w:szCs w:val="24"/>
          <w:rtl/>
        </w:rPr>
        <w:t>אנואר אבו סבית נ' מדינת ישראל</w:t>
      </w:r>
      <w:r w:rsidR="000849E1">
        <w:rPr>
          <w:rFonts w:cs="David" w:hint="cs"/>
          <w:sz w:val="24"/>
          <w:szCs w:val="24"/>
          <w:rtl/>
        </w:rPr>
        <w:t xml:space="preserve"> (08.12.14) נדחה ערעורו של מי שהורשע בעבירה של </w:t>
      </w:r>
      <w:r w:rsidR="000849E1">
        <w:rPr>
          <w:rFonts w:cs="David" w:hint="cs"/>
          <w:sz w:val="24"/>
          <w:szCs w:val="24"/>
          <w:u w:val="single"/>
          <w:rtl/>
        </w:rPr>
        <w:t>החזקת נשק</w:t>
      </w:r>
      <w:r w:rsidR="000849E1">
        <w:rPr>
          <w:rFonts w:cs="David" w:hint="cs"/>
          <w:sz w:val="24"/>
          <w:szCs w:val="24"/>
          <w:rtl/>
        </w:rPr>
        <w:t xml:space="preserve"> ונדון ל-</w:t>
      </w:r>
      <w:r w:rsidR="000849E1">
        <w:rPr>
          <w:rFonts w:cs="David" w:hint="cs"/>
          <w:sz w:val="24"/>
          <w:szCs w:val="24"/>
          <w:u w:val="single"/>
          <w:rtl/>
        </w:rPr>
        <w:t>18 חודשי מאסר בפועל</w:t>
      </w:r>
      <w:r w:rsidR="000849E1">
        <w:rPr>
          <w:rFonts w:cs="David" w:hint="cs"/>
          <w:sz w:val="24"/>
          <w:szCs w:val="24"/>
          <w:rtl/>
        </w:rPr>
        <w:t>, חרף גילו הצעיר ועברו הנקי. במקרה זה נאמר, כי "</w:t>
      </w:r>
      <w:r w:rsidR="000849E1">
        <w:rPr>
          <w:rFonts w:cs="David" w:hint="cs"/>
          <w:b/>
          <w:bCs/>
          <w:sz w:val="24"/>
          <w:szCs w:val="24"/>
          <w:rtl/>
        </w:rPr>
        <w:t>בשנים האחרונות העלה בית משפט זה את רף הענישה לגבי עבירות בנשק</w:t>
      </w:r>
      <w:r w:rsidR="000849E1">
        <w:rPr>
          <w:rFonts w:cs="David" w:hint="cs"/>
          <w:sz w:val="24"/>
          <w:szCs w:val="24"/>
          <w:rtl/>
        </w:rPr>
        <w:t>".</w:t>
      </w:r>
    </w:p>
    <w:p w14:paraId="602E4D13" w14:textId="77777777" w:rsidR="001611D9" w:rsidRDefault="001611D9">
      <w:pPr>
        <w:pStyle w:val="ListParagraph"/>
        <w:spacing w:after="0" w:line="360" w:lineRule="auto"/>
        <w:rPr>
          <w:rFonts w:cs="David"/>
          <w:sz w:val="24"/>
          <w:szCs w:val="24"/>
          <w:rtl/>
        </w:rPr>
      </w:pPr>
    </w:p>
    <w:p w14:paraId="6B4FB6D4"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 xml:space="preserve"> בגזר-דיני ב</w:t>
      </w:r>
      <w:hyperlink r:id="rId30" w:history="1">
        <w:r w:rsidRPr="000849E1">
          <w:rPr>
            <w:rFonts w:cs="David" w:hint="cs"/>
            <w:color w:val="0000FF"/>
            <w:sz w:val="24"/>
            <w:szCs w:val="24"/>
            <w:u w:val="single"/>
            <w:rtl/>
          </w:rPr>
          <w:t>ת</w:t>
        </w:r>
        <w:r w:rsidRPr="000849E1">
          <w:rPr>
            <w:rFonts w:cs="David"/>
            <w:color w:val="0000FF"/>
            <w:sz w:val="24"/>
            <w:szCs w:val="24"/>
            <w:u w:val="single"/>
            <w:rtl/>
          </w:rPr>
          <w:t>"</w:t>
        </w:r>
        <w:r w:rsidRPr="000849E1">
          <w:rPr>
            <w:rFonts w:cs="David" w:hint="cs"/>
            <w:color w:val="0000FF"/>
            <w:sz w:val="24"/>
            <w:szCs w:val="24"/>
            <w:u w:val="single"/>
            <w:rtl/>
          </w:rPr>
          <w:t>פ</w:t>
        </w:r>
        <w:r w:rsidRPr="000849E1">
          <w:rPr>
            <w:rFonts w:cs="David"/>
            <w:color w:val="0000FF"/>
            <w:sz w:val="24"/>
            <w:szCs w:val="24"/>
            <w:u w:val="single"/>
            <w:rtl/>
          </w:rPr>
          <w:t xml:space="preserve"> (</w:t>
        </w:r>
        <w:r w:rsidRPr="000849E1">
          <w:rPr>
            <w:rFonts w:cs="David" w:hint="cs"/>
            <w:color w:val="0000FF"/>
            <w:sz w:val="24"/>
            <w:szCs w:val="24"/>
            <w:u w:val="single"/>
            <w:rtl/>
          </w:rPr>
          <w:t>מחוזי</w:t>
        </w:r>
        <w:r w:rsidRPr="000849E1">
          <w:rPr>
            <w:rFonts w:cs="David"/>
            <w:color w:val="0000FF"/>
            <w:sz w:val="24"/>
            <w:szCs w:val="24"/>
            <w:u w:val="single"/>
            <w:rtl/>
          </w:rPr>
          <w:t xml:space="preserve"> </w:t>
        </w:r>
        <w:r w:rsidRPr="000849E1">
          <w:rPr>
            <w:rFonts w:cs="David" w:hint="cs"/>
            <w:color w:val="0000FF"/>
            <w:sz w:val="24"/>
            <w:szCs w:val="24"/>
            <w:u w:val="single"/>
            <w:rtl/>
          </w:rPr>
          <w:t>נצרת</w:t>
        </w:r>
        <w:r w:rsidRPr="000849E1">
          <w:rPr>
            <w:rFonts w:cs="David"/>
            <w:color w:val="0000FF"/>
            <w:sz w:val="24"/>
            <w:szCs w:val="24"/>
            <w:u w:val="single"/>
            <w:rtl/>
          </w:rPr>
          <w:t>) 7070-07-13</w:t>
        </w:r>
      </w:hyperlink>
      <w:r>
        <w:rPr>
          <w:rFonts w:cs="David" w:hint="cs"/>
          <w:sz w:val="24"/>
          <w:szCs w:val="24"/>
          <w:rtl/>
        </w:rPr>
        <w:t xml:space="preserve"> </w:t>
      </w:r>
      <w:r>
        <w:rPr>
          <w:rFonts w:cs="David" w:hint="cs"/>
          <w:b/>
          <w:bCs/>
          <w:sz w:val="24"/>
          <w:szCs w:val="24"/>
          <w:rtl/>
        </w:rPr>
        <w:t>מדינת ישראל נ' גמליאל אלחות</w:t>
      </w:r>
      <w:r>
        <w:rPr>
          <w:rFonts w:cs="David" w:hint="cs"/>
          <w:sz w:val="24"/>
          <w:szCs w:val="24"/>
          <w:rtl/>
        </w:rPr>
        <w:t xml:space="preserve"> (30.11.14), קבעתי, לגבי עבירות של </w:t>
      </w:r>
      <w:r>
        <w:rPr>
          <w:rFonts w:cs="David" w:hint="cs"/>
          <w:sz w:val="24"/>
          <w:szCs w:val="24"/>
          <w:u w:val="single"/>
          <w:rtl/>
        </w:rPr>
        <w:t>החזקת נשק</w:t>
      </w:r>
      <w:r>
        <w:rPr>
          <w:rFonts w:cs="David" w:hint="cs"/>
          <w:sz w:val="24"/>
          <w:szCs w:val="24"/>
          <w:rtl/>
        </w:rPr>
        <w:t xml:space="preserve"> ו</w:t>
      </w:r>
      <w:r>
        <w:rPr>
          <w:rFonts w:cs="David" w:hint="cs"/>
          <w:sz w:val="24"/>
          <w:szCs w:val="24"/>
          <w:u w:val="single"/>
          <w:rtl/>
        </w:rPr>
        <w:t xml:space="preserve">ירי באזור מגורים </w:t>
      </w:r>
      <w:r>
        <w:rPr>
          <w:rFonts w:cs="David" w:hint="cs"/>
          <w:sz w:val="24"/>
          <w:szCs w:val="24"/>
          <w:rtl/>
        </w:rPr>
        <w:t xml:space="preserve">וכאשר המניע לשימוש בנשק היה שעמום גרידא ללא שהוכחה כוונה לאיים או לפגוע באדם אחר, כי </w:t>
      </w:r>
      <w:r>
        <w:rPr>
          <w:rFonts w:cs="David" w:hint="cs"/>
          <w:sz w:val="24"/>
          <w:szCs w:val="24"/>
          <w:u w:val="single"/>
          <w:rtl/>
        </w:rPr>
        <w:t>מתחם הענישה ההולם נע בין 7 ל-24 חודשי מאסר בפועל</w:t>
      </w:r>
      <w:r>
        <w:rPr>
          <w:rFonts w:cs="David" w:hint="cs"/>
          <w:sz w:val="24"/>
          <w:szCs w:val="24"/>
          <w:rtl/>
        </w:rPr>
        <w:t>. באותו מקרה דובר באדם שהחזיק ונשא בתוך ביתו רובה מדגם קלצ'ניקוב, שתי מחסניות ו-317 כדורי תחמושת תואמים, והוא ירה בנשק באוויר שתי יריות דרך חלון בסלון ביתו.</w:t>
      </w:r>
    </w:p>
    <w:p w14:paraId="6C25D68D" w14:textId="77777777" w:rsidR="001611D9" w:rsidRDefault="001611D9">
      <w:pPr>
        <w:pStyle w:val="ListParagraph"/>
        <w:spacing w:after="0" w:line="360" w:lineRule="auto"/>
        <w:jc w:val="both"/>
        <w:rPr>
          <w:rFonts w:cs="David"/>
          <w:sz w:val="24"/>
          <w:szCs w:val="24"/>
          <w:rtl/>
        </w:rPr>
      </w:pPr>
    </w:p>
    <w:p w14:paraId="02A4E307"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w:t>
      </w:r>
      <w:hyperlink r:id="rId31" w:history="1">
        <w:r w:rsidRPr="000849E1">
          <w:rPr>
            <w:rFonts w:cs="David" w:hint="cs"/>
            <w:color w:val="0000FF"/>
            <w:sz w:val="24"/>
            <w:szCs w:val="24"/>
            <w:u w:val="single"/>
            <w:rtl/>
          </w:rPr>
          <w:t>ת</w:t>
        </w:r>
        <w:r w:rsidRPr="000849E1">
          <w:rPr>
            <w:rFonts w:cs="David"/>
            <w:color w:val="0000FF"/>
            <w:sz w:val="24"/>
            <w:szCs w:val="24"/>
            <w:u w:val="single"/>
            <w:rtl/>
          </w:rPr>
          <w:t>"</w:t>
        </w:r>
        <w:r w:rsidRPr="000849E1">
          <w:rPr>
            <w:rFonts w:cs="David" w:hint="cs"/>
            <w:color w:val="0000FF"/>
            <w:sz w:val="24"/>
            <w:szCs w:val="24"/>
            <w:u w:val="single"/>
            <w:rtl/>
          </w:rPr>
          <w:t>פ</w:t>
        </w:r>
        <w:r w:rsidRPr="000849E1">
          <w:rPr>
            <w:rFonts w:cs="David"/>
            <w:color w:val="0000FF"/>
            <w:sz w:val="24"/>
            <w:szCs w:val="24"/>
            <w:u w:val="single"/>
            <w:rtl/>
          </w:rPr>
          <w:t xml:space="preserve"> 58351-12-13</w:t>
        </w:r>
      </w:hyperlink>
      <w:r>
        <w:rPr>
          <w:rFonts w:cs="David" w:hint="cs"/>
          <w:sz w:val="24"/>
          <w:szCs w:val="24"/>
          <w:rtl/>
        </w:rPr>
        <w:t xml:space="preserve"> </w:t>
      </w:r>
      <w:r>
        <w:rPr>
          <w:rFonts w:cs="David" w:hint="cs"/>
          <w:b/>
          <w:bCs/>
          <w:sz w:val="24"/>
          <w:szCs w:val="24"/>
          <w:rtl/>
        </w:rPr>
        <w:t>מדינת ישראל נ' נאום סורוצקי</w:t>
      </w:r>
      <w:r>
        <w:rPr>
          <w:rFonts w:cs="David" w:hint="cs"/>
          <w:sz w:val="24"/>
          <w:szCs w:val="24"/>
          <w:rtl/>
        </w:rPr>
        <w:t xml:space="preserve"> (07.12.14), דנתי בעניינו של אדם שהורשע בביצוע </w:t>
      </w:r>
      <w:r>
        <w:rPr>
          <w:rFonts w:cs="David" w:hint="cs"/>
          <w:sz w:val="24"/>
          <w:szCs w:val="24"/>
          <w:u w:val="single"/>
          <w:rtl/>
        </w:rPr>
        <w:t>עבירות בנשק</w:t>
      </w:r>
      <w:r>
        <w:rPr>
          <w:rFonts w:cs="David" w:hint="cs"/>
          <w:sz w:val="24"/>
          <w:szCs w:val="24"/>
          <w:rtl/>
        </w:rPr>
        <w:t xml:space="preserve">, לפי </w:t>
      </w:r>
      <w:hyperlink r:id="rId32" w:history="1">
        <w:r w:rsidR="006546C0" w:rsidRPr="006546C0">
          <w:rPr>
            <w:rStyle w:val="Hyperlink"/>
            <w:rFonts w:cs="David" w:hint="cs"/>
            <w:sz w:val="24"/>
            <w:szCs w:val="24"/>
            <w:rtl/>
          </w:rPr>
          <w:t>סעיף</w:t>
        </w:r>
        <w:r w:rsidR="006546C0" w:rsidRPr="006546C0">
          <w:rPr>
            <w:rStyle w:val="Hyperlink"/>
            <w:rFonts w:cs="David"/>
            <w:sz w:val="24"/>
            <w:szCs w:val="24"/>
            <w:rtl/>
          </w:rPr>
          <w:t xml:space="preserve"> 144(</w:t>
        </w:r>
        <w:r w:rsidR="006546C0" w:rsidRPr="006546C0">
          <w:rPr>
            <w:rStyle w:val="Hyperlink"/>
            <w:rFonts w:cs="David" w:hint="cs"/>
            <w:sz w:val="24"/>
            <w:szCs w:val="24"/>
            <w:rtl/>
          </w:rPr>
          <w:t>א</w:t>
        </w:r>
        <w:r w:rsidR="006546C0" w:rsidRPr="006546C0">
          <w:rPr>
            <w:rStyle w:val="Hyperlink"/>
            <w:rFonts w:cs="David"/>
            <w:sz w:val="24"/>
            <w:szCs w:val="24"/>
            <w:rtl/>
          </w:rPr>
          <w:t>)</w:t>
        </w:r>
      </w:hyperlink>
      <w:r>
        <w:rPr>
          <w:rFonts w:cs="David" w:hint="cs"/>
          <w:sz w:val="24"/>
          <w:szCs w:val="24"/>
          <w:rtl/>
        </w:rPr>
        <w:t xml:space="preserve"> רישא וסיפא </w:t>
      </w:r>
      <w:hyperlink r:id="rId33" w:history="1">
        <w:r w:rsidR="006546C0" w:rsidRPr="006546C0">
          <w:rPr>
            <w:rStyle w:val="Hyperlink"/>
            <w:rFonts w:cs="David" w:hint="cs"/>
            <w:sz w:val="24"/>
            <w:szCs w:val="24"/>
            <w:rtl/>
          </w:rPr>
          <w:t>וסעיף</w:t>
        </w:r>
        <w:r w:rsidR="006546C0" w:rsidRPr="006546C0">
          <w:rPr>
            <w:rStyle w:val="Hyperlink"/>
            <w:rFonts w:cs="David"/>
            <w:sz w:val="24"/>
            <w:szCs w:val="24"/>
            <w:rtl/>
          </w:rPr>
          <w:t xml:space="preserve"> 144(</w:t>
        </w:r>
        <w:r w:rsidR="006546C0" w:rsidRPr="006546C0">
          <w:rPr>
            <w:rStyle w:val="Hyperlink"/>
            <w:rFonts w:cs="David" w:hint="cs"/>
            <w:sz w:val="24"/>
            <w:szCs w:val="24"/>
            <w:rtl/>
          </w:rPr>
          <w:t>ג</w:t>
        </w:r>
        <w:r w:rsidR="006546C0" w:rsidRPr="006546C0">
          <w:rPr>
            <w:rStyle w:val="Hyperlink"/>
            <w:rFonts w:cs="David"/>
            <w:sz w:val="24"/>
            <w:szCs w:val="24"/>
            <w:rtl/>
          </w:rPr>
          <w:t>)(1)</w:t>
        </w:r>
      </w:hyperlink>
      <w:r>
        <w:rPr>
          <w:rFonts w:cs="David" w:hint="cs"/>
          <w:sz w:val="24"/>
          <w:szCs w:val="24"/>
          <w:rtl/>
        </w:rPr>
        <w:t xml:space="preserve"> לחוק, עקב כך </w:t>
      </w:r>
      <w:r>
        <w:rPr>
          <w:rFonts w:cs="David" w:hint="cs"/>
          <w:sz w:val="24"/>
          <w:szCs w:val="24"/>
          <w:u w:val="single"/>
          <w:rtl/>
        </w:rPr>
        <w:t>שהחזיק שלא כדין, בין היתר בביתו, ברובה ציד חצי אוטומטי, וכן כדורי תחמושת לכלי נשק זה</w:t>
      </w:r>
      <w:r>
        <w:rPr>
          <w:rFonts w:cs="David" w:hint="cs"/>
          <w:sz w:val="24"/>
          <w:szCs w:val="24"/>
          <w:rtl/>
        </w:rPr>
        <w:t xml:space="preserve">. באותו מקרה קבעתי, כי שעה שמדובר ברובה צייד, וכאשר לא עולה טענה לכוונה התקפית, לשימוש בנשק בסביבת מגורים או לסיכון ממשי שנגרם לאדם עקב החזקת הנשק, </w:t>
      </w:r>
      <w:r>
        <w:rPr>
          <w:rFonts w:cs="David" w:hint="cs"/>
          <w:sz w:val="24"/>
          <w:szCs w:val="24"/>
          <w:u w:val="single"/>
          <w:rtl/>
        </w:rPr>
        <w:t>מתחם הענישה ההולם נע בין ענישה צופה פני עתיד ל-12 חודשי מאסר בפועל</w:t>
      </w:r>
      <w:r>
        <w:rPr>
          <w:rFonts w:cs="David" w:hint="cs"/>
          <w:sz w:val="24"/>
          <w:szCs w:val="24"/>
          <w:rtl/>
        </w:rPr>
        <w:t xml:space="preserve">. בסופו של יום, תוך התחשבות בנסיבותיו האישיות של הנאשם שם, גילו המבוגר ונסיבות חייו, הטלתי עליו </w:t>
      </w:r>
      <w:r>
        <w:rPr>
          <w:rFonts w:cs="David" w:hint="cs"/>
          <w:sz w:val="24"/>
          <w:szCs w:val="24"/>
          <w:u w:val="single"/>
          <w:rtl/>
        </w:rPr>
        <w:t>שישה חודשי מאסר לנשיאה בדרך של עבודות שירות</w:t>
      </w:r>
      <w:r>
        <w:rPr>
          <w:rFonts w:cs="David" w:hint="cs"/>
          <w:sz w:val="24"/>
          <w:szCs w:val="24"/>
          <w:rtl/>
        </w:rPr>
        <w:t>.</w:t>
      </w:r>
    </w:p>
    <w:p w14:paraId="0AA62424" w14:textId="77777777" w:rsidR="001611D9" w:rsidRDefault="001611D9">
      <w:pPr>
        <w:pStyle w:val="ListParagraph"/>
        <w:spacing w:after="0" w:line="360" w:lineRule="auto"/>
        <w:jc w:val="both"/>
        <w:rPr>
          <w:rFonts w:cs="David"/>
          <w:sz w:val="24"/>
          <w:szCs w:val="24"/>
          <w:rtl/>
        </w:rPr>
      </w:pPr>
    </w:p>
    <w:p w14:paraId="22C52D15"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 xml:space="preserve">במקרה דנן, בהינתן סוג הנשק והשימוש שנעשה בו, בתחילה מתוך שעמום ולבסוף במהלך ויכוח ולשם איום והפחדה, ותוך התייחסות להפרת מעצר הבית, גניבת הטלפון הנייד ואיסוף התרמילים מן הזירה, אני קובע כי </w:t>
      </w:r>
      <w:r>
        <w:rPr>
          <w:rFonts w:cs="David" w:hint="cs"/>
          <w:b/>
          <w:bCs/>
          <w:sz w:val="24"/>
          <w:szCs w:val="24"/>
          <w:u w:val="single"/>
          <w:rtl/>
        </w:rPr>
        <w:t>מתחם הענישה ההולם את נסיבות האירוע המאוחר נע בין 14 ל-40 חודשי מאסר בפועל</w:t>
      </w:r>
      <w:r>
        <w:rPr>
          <w:rFonts w:cs="David" w:hint="cs"/>
          <w:sz w:val="24"/>
          <w:szCs w:val="24"/>
          <w:rtl/>
        </w:rPr>
        <w:t xml:space="preserve">; ואילו </w:t>
      </w:r>
      <w:r>
        <w:rPr>
          <w:rFonts w:cs="David" w:hint="cs"/>
          <w:b/>
          <w:bCs/>
          <w:sz w:val="24"/>
          <w:szCs w:val="24"/>
          <w:u w:val="single"/>
          <w:rtl/>
        </w:rPr>
        <w:t>המתחם ההולם את נסיבות האירוע המוקדם, המפורט בכתב האישום המצורף, נע בין ענישה צופה פני עתיד ל-12 חודשי מאסר בפועל</w:t>
      </w:r>
      <w:r>
        <w:rPr>
          <w:rFonts w:cs="David" w:hint="cs"/>
          <w:sz w:val="24"/>
          <w:szCs w:val="24"/>
          <w:rtl/>
        </w:rPr>
        <w:t>.</w:t>
      </w:r>
    </w:p>
    <w:p w14:paraId="015F4B5A" w14:textId="77777777" w:rsidR="001611D9" w:rsidRDefault="001611D9">
      <w:pPr>
        <w:pStyle w:val="ListParagraph"/>
        <w:rPr>
          <w:rFonts w:cs="David"/>
          <w:sz w:val="24"/>
          <w:szCs w:val="24"/>
        </w:rPr>
      </w:pPr>
    </w:p>
    <w:p w14:paraId="3FDA5FEC" w14:textId="77777777" w:rsidR="001611D9" w:rsidRDefault="000849E1">
      <w:pPr>
        <w:pStyle w:val="ListParagraph"/>
        <w:rPr>
          <w:rFonts w:cs="David"/>
          <w:sz w:val="24"/>
          <w:szCs w:val="24"/>
          <w:u w:val="single"/>
          <w:rtl/>
        </w:rPr>
      </w:pPr>
      <w:r>
        <w:rPr>
          <w:rFonts w:cs="David" w:hint="cs"/>
          <w:sz w:val="24"/>
          <w:szCs w:val="24"/>
          <w:u w:val="single"/>
          <w:rtl/>
        </w:rPr>
        <w:t>נסיבות העושה</w:t>
      </w:r>
    </w:p>
    <w:p w14:paraId="379EC6FA"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נתתי דעתי לטענותיו של הסניגור באשר לטעויות שנפלו בתסקיר שירות המבחן, וכן להפנייתו לממצאי התסקיר המוקדם, ולא מצאתי כי יש בדברים לשכנע באשר להעדפת שיקולי שיקום במקרה דנן. אכן, הנאשם הוא בחור צעיר ונסיבותיו המשפחתיות אינן פשוטות, אולם בכך בלבד אין כדי להטות את הכף לעבר ענישה שיקומית.</w:t>
      </w:r>
    </w:p>
    <w:p w14:paraId="6144312C" w14:textId="77777777" w:rsidR="001611D9" w:rsidRDefault="001611D9">
      <w:pPr>
        <w:pStyle w:val="ListParagraph"/>
        <w:spacing w:after="0" w:line="360" w:lineRule="auto"/>
        <w:jc w:val="both"/>
        <w:rPr>
          <w:rFonts w:cs="David"/>
          <w:sz w:val="24"/>
          <w:szCs w:val="24"/>
        </w:rPr>
      </w:pPr>
    </w:p>
    <w:p w14:paraId="101F4259" w14:textId="77777777" w:rsidR="001611D9" w:rsidRDefault="000849E1">
      <w:pPr>
        <w:pStyle w:val="ListParagraph"/>
        <w:numPr>
          <w:ilvl w:val="0"/>
          <w:numId w:val="1"/>
        </w:numPr>
        <w:spacing w:after="0" w:line="360" w:lineRule="auto"/>
        <w:jc w:val="both"/>
        <w:rPr>
          <w:rFonts w:cs="David"/>
          <w:sz w:val="24"/>
          <w:szCs w:val="24"/>
        </w:rPr>
      </w:pPr>
      <w:r>
        <w:rPr>
          <w:rFonts w:cs="David" w:hint="cs"/>
          <w:sz w:val="24"/>
          <w:szCs w:val="24"/>
          <w:rtl/>
        </w:rPr>
        <w:t>בין השיקולים במקרה זה ניתן למנות את עברו הפלילי של הנאשם, הכולל הרשעה קודמת בעבירת אלימות (פציעה); את הפרת המעצר והשימוש הנוסף והמחמיר באקדח, אשר יש בהם להעיד על העדר הפנמה של גבולות החוק ועל מידת המסוכנות הגבוהה הנשקפת מן הנאשם; ואת התייחסותו מקלת הראש לעבירות אותן ביצע, כפי שהדברים באים לידי ביטוי בשני התסקירים שהונחו בפניי, כאשר בשניהם נמנע שירות המבחן ממתן המלצה טיפולית.</w:t>
      </w:r>
    </w:p>
    <w:p w14:paraId="1A411040" w14:textId="77777777" w:rsidR="001611D9" w:rsidRDefault="001611D9">
      <w:pPr>
        <w:pStyle w:val="ListParagraph"/>
        <w:rPr>
          <w:rFonts w:cs="David"/>
          <w:sz w:val="24"/>
          <w:szCs w:val="24"/>
        </w:rPr>
      </w:pPr>
    </w:p>
    <w:p w14:paraId="4D191867"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בנסיבות אלה, ונוכח חומרת המעשים, אני גוזר על הנאשם את העונשים הבאים:</w:t>
      </w:r>
    </w:p>
    <w:p w14:paraId="56CA0740" w14:textId="77777777" w:rsidR="001611D9" w:rsidRDefault="001611D9">
      <w:pPr>
        <w:pStyle w:val="ListParagraph"/>
        <w:rPr>
          <w:rFonts w:cs="David"/>
          <w:sz w:val="24"/>
          <w:szCs w:val="24"/>
        </w:rPr>
      </w:pPr>
    </w:p>
    <w:p w14:paraId="1F85084E" w14:textId="77777777" w:rsidR="001611D9" w:rsidRDefault="000849E1">
      <w:pPr>
        <w:pStyle w:val="ListParagraph"/>
        <w:numPr>
          <w:ilvl w:val="0"/>
          <w:numId w:val="2"/>
        </w:numPr>
        <w:spacing w:after="0" w:line="360" w:lineRule="auto"/>
        <w:jc w:val="both"/>
        <w:rPr>
          <w:rFonts w:cs="David"/>
          <w:sz w:val="24"/>
          <w:szCs w:val="24"/>
          <w:rtl/>
        </w:rPr>
      </w:pPr>
      <w:r>
        <w:rPr>
          <w:rFonts w:cs="David" w:hint="cs"/>
          <w:sz w:val="24"/>
          <w:szCs w:val="24"/>
          <w:rtl/>
        </w:rPr>
        <w:t>עשרים וארבעה (24) חודשי מאסר לריצוי בפועל בניכוי ימי מעצרו מיום 13.02.13 עד 19.02.13 בגין תיק 37290-02-13 ומיום 24.06.14 ועד היום.</w:t>
      </w:r>
    </w:p>
    <w:p w14:paraId="4D9C5AF2" w14:textId="77777777" w:rsidR="001611D9" w:rsidRDefault="000849E1">
      <w:pPr>
        <w:pStyle w:val="ListParagraph"/>
        <w:numPr>
          <w:ilvl w:val="0"/>
          <w:numId w:val="2"/>
        </w:numPr>
        <w:spacing w:after="0" w:line="360" w:lineRule="auto"/>
        <w:jc w:val="both"/>
        <w:rPr>
          <w:rFonts w:cs="David"/>
          <w:sz w:val="24"/>
          <w:szCs w:val="24"/>
        </w:rPr>
      </w:pPr>
      <w:r>
        <w:rPr>
          <w:rFonts w:cs="David" w:hint="cs"/>
          <w:sz w:val="24"/>
          <w:szCs w:val="24"/>
          <w:rtl/>
        </w:rPr>
        <w:t>שנים עשר (12) חודשי מאסר על תנאי למשך שלוש שנים, לבל יעבור הנאשם עבירה מן העבירות בהן הורשע.</w:t>
      </w:r>
    </w:p>
    <w:p w14:paraId="0259E21D" w14:textId="77777777" w:rsidR="001611D9" w:rsidRDefault="001611D9">
      <w:pPr>
        <w:pStyle w:val="ListParagraph"/>
        <w:spacing w:after="0" w:line="360" w:lineRule="auto"/>
        <w:ind w:left="1080"/>
        <w:jc w:val="both"/>
        <w:rPr>
          <w:rFonts w:cs="David"/>
          <w:sz w:val="24"/>
          <w:szCs w:val="24"/>
        </w:rPr>
      </w:pPr>
    </w:p>
    <w:p w14:paraId="4D44311A" w14:textId="77777777" w:rsidR="001611D9" w:rsidRDefault="000849E1">
      <w:pPr>
        <w:pStyle w:val="ListParagraph"/>
        <w:numPr>
          <w:ilvl w:val="0"/>
          <w:numId w:val="1"/>
        </w:numPr>
        <w:spacing w:after="0" w:line="360" w:lineRule="auto"/>
        <w:jc w:val="both"/>
        <w:rPr>
          <w:rFonts w:cs="David"/>
          <w:sz w:val="24"/>
          <w:szCs w:val="24"/>
          <w:rtl/>
        </w:rPr>
      </w:pPr>
      <w:r>
        <w:rPr>
          <w:rFonts w:cs="David" w:hint="cs"/>
          <w:sz w:val="24"/>
          <w:szCs w:val="24"/>
          <w:rtl/>
        </w:rPr>
        <w:t>בהינתן מצבה הכלכלי של משפחת הנאשם, לא ראיתי להטיל קנס.</w:t>
      </w:r>
    </w:p>
    <w:p w14:paraId="4C1C7FA0" w14:textId="77777777" w:rsidR="001611D9" w:rsidRDefault="001611D9">
      <w:pPr>
        <w:pStyle w:val="David"/>
        <w:rPr>
          <w:rtl/>
        </w:rPr>
      </w:pPr>
    </w:p>
    <w:p w14:paraId="7C58EB0C" w14:textId="77777777" w:rsidR="001611D9" w:rsidRDefault="000849E1">
      <w:pPr>
        <w:spacing w:line="360" w:lineRule="auto"/>
        <w:jc w:val="both"/>
        <w:rPr>
          <w:b/>
          <w:bCs/>
          <w:u w:val="single"/>
          <w:rtl/>
        </w:rPr>
      </w:pPr>
      <w:r>
        <w:rPr>
          <w:b/>
          <w:bCs/>
          <w:u w:val="single"/>
          <w:rtl/>
        </w:rPr>
        <w:t xml:space="preserve"> </w:t>
      </w:r>
      <w:r>
        <w:rPr>
          <w:rFonts w:hint="cs"/>
          <w:b/>
          <w:bCs/>
          <w:u w:val="single"/>
          <w:rtl/>
        </w:rPr>
        <w:t xml:space="preserve">זכות ערעור לבית המשפט העליון בתוך 45 יום מהיום. </w:t>
      </w:r>
    </w:p>
    <w:p w14:paraId="7A3E27F6" w14:textId="77777777" w:rsidR="001611D9" w:rsidRDefault="000849E1">
      <w:pPr>
        <w:spacing w:line="360" w:lineRule="auto"/>
        <w:jc w:val="both"/>
        <w:rPr>
          <w:b/>
          <w:bCs/>
          <w:sz w:val="6"/>
          <w:szCs w:val="6"/>
          <w:rtl/>
        </w:rPr>
      </w:pPr>
      <w:r>
        <w:rPr>
          <w:b/>
          <w:bCs/>
          <w:sz w:val="6"/>
          <w:szCs w:val="6"/>
          <w:rtl/>
        </w:rPr>
        <w:t>&lt;#4#&gt;</w:t>
      </w:r>
    </w:p>
    <w:p w14:paraId="3D900B44" w14:textId="77777777" w:rsidR="001611D9" w:rsidRDefault="001611D9">
      <w:pPr>
        <w:jc w:val="right"/>
        <w:rPr>
          <w:rtl/>
        </w:rPr>
      </w:pPr>
    </w:p>
    <w:p w14:paraId="5A0D1621" w14:textId="77777777" w:rsidR="001611D9" w:rsidRDefault="000849E1">
      <w:pPr>
        <w:spacing w:line="360" w:lineRule="auto"/>
        <w:jc w:val="both"/>
        <w:rPr>
          <w:rtl/>
        </w:rPr>
      </w:pPr>
      <w:bookmarkStart w:id="8" w:name="_GoBack"/>
      <w:bookmarkEnd w:id="8"/>
      <w:r w:rsidRPr="000849E1">
        <w:rPr>
          <w:b/>
          <w:bCs/>
          <w:color w:val="FFFFFF"/>
          <w:sz w:val="2"/>
          <w:szCs w:val="2"/>
          <w:rtl/>
        </w:rPr>
        <w:t>5129371</w:t>
      </w:r>
      <w:r>
        <w:rPr>
          <w:b/>
          <w:bCs/>
          <w:rtl/>
        </w:rPr>
        <w:t xml:space="preserve">ניתנה והודעה היום ט"ז אייר תשע"ה, 05/05/2015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611D9" w14:paraId="5E0727A4" w14:textId="77777777">
        <w:trPr>
          <w:trHeight w:val="316"/>
          <w:jc w:val="right"/>
        </w:trPr>
        <w:tc>
          <w:tcPr>
            <w:tcW w:w="3936" w:type="dxa"/>
          </w:tcPr>
          <w:p w14:paraId="4316D571" w14:textId="77777777" w:rsidR="001611D9" w:rsidRPr="000849E1" w:rsidRDefault="000849E1">
            <w:pPr>
              <w:jc w:val="center"/>
              <w:rPr>
                <w:rFonts w:ascii="Times New Roman" w:eastAsia="Times New Roman" w:hAnsi="Times New Roman" w:cs="Times New Roman"/>
                <w:color w:val="FFFFFF"/>
                <w:sz w:val="2"/>
                <w:szCs w:val="2"/>
                <w:rtl/>
              </w:rPr>
            </w:pPr>
            <w:r w:rsidRPr="000849E1">
              <w:rPr>
                <w:rFonts w:ascii="Times New Roman" w:eastAsia="Times New Roman" w:hAnsi="Times New Roman" w:cs="Times New Roman"/>
                <w:color w:val="FFFFFF"/>
                <w:sz w:val="2"/>
                <w:szCs w:val="2"/>
                <w:rtl/>
              </w:rPr>
              <w:t>54678313</w:t>
            </w:r>
          </w:p>
        </w:tc>
      </w:tr>
      <w:tr w:rsidR="001611D9" w14:paraId="3C3D5C2C" w14:textId="77777777">
        <w:trPr>
          <w:trHeight w:val="361"/>
          <w:jc w:val="right"/>
        </w:trPr>
        <w:tc>
          <w:tcPr>
            <w:tcW w:w="3936" w:type="dxa"/>
          </w:tcPr>
          <w:p w14:paraId="5388A561" w14:textId="77777777" w:rsidR="001611D9" w:rsidRDefault="000849E1">
            <w:pPr>
              <w:jc w:val="center"/>
              <w:rPr>
                <w:rFonts w:ascii="Times New Roman" w:eastAsia="Times New Roman" w:hAnsi="Times New Roman"/>
                <w:b/>
                <w:bCs/>
                <w:rtl/>
              </w:rPr>
            </w:pPr>
            <w:r>
              <w:rPr>
                <w:rFonts w:ascii="Times New Roman" w:eastAsia="Times New Roman" w:hAnsi="Times New Roman" w:hint="cs"/>
                <w:b/>
                <w:bCs/>
                <w:rtl/>
              </w:rPr>
              <w:t>תאופיק כתילי</w:t>
            </w:r>
            <w:r>
              <w:rPr>
                <w:rFonts w:ascii="Times New Roman" w:eastAsia="Times New Roman" w:hAnsi="Times New Roman"/>
                <w:b/>
                <w:bCs/>
                <w:rtl/>
              </w:rPr>
              <w:t xml:space="preserve"> </w:t>
            </w:r>
            <w:r>
              <w:rPr>
                <w:rFonts w:ascii="Times New Roman" w:eastAsia="Times New Roman" w:hAnsi="Times New Roman" w:hint="cs"/>
                <w:b/>
                <w:bCs/>
                <w:rtl/>
              </w:rPr>
              <w:t>, סגן נשיא</w:t>
            </w:r>
            <w:r>
              <w:rPr>
                <w:rFonts w:ascii="Times New Roman" w:eastAsia="Times New Roman" w:hAnsi="Times New Roman"/>
                <w:b/>
                <w:bCs/>
                <w:rtl/>
              </w:rPr>
              <w:t xml:space="preserve"> </w:t>
            </w:r>
          </w:p>
        </w:tc>
      </w:tr>
    </w:tbl>
    <w:p w14:paraId="1905C6F9" w14:textId="77777777" w:rsidR="001611D9" w:rsidRDefault="001611D9">
      <w:pPr>
        <w:spacing w:line="360" w:lineRule="auto"/>
        <w:jc w:val="both"/>
        <w:rPr>
          <w:rtl/>
        </w:rPr>
      </w:pPr>
    </w:p>
    <w:p w14:paraId="0DAF00C6" w14:textId="77777777" w:rsidR="000849E1" w:rsidRPr="000849E1" w:rsidRDefault="000849E1" w:rsidP="000849E1">
      <w:pPr>
        <w:keepNext/>
        <w:rPr>
          <w:color w:val="000000"/>
          <w:sz w:val="22"/>
          <w:szCs w:val="22"/>
          <w:rtl/>
        </w:rPr>
      </w:pPr>
    </w:p>
    <w:p w14:paraId="0DBD55E5" w14:textId="77777777" w:rsidR="000849E1" w:rsidRPr="000849E1" w:rsidRDefault="000849E1" w:rsidP="000849E1">
      <w:pPr>
        <w:keepNext/>
        <w:rPr>
          <w:color w:val="000000"/>
          <w:sz w:val="22"/>
          <w:szCs w:val="22"/>
          <w:rtl/>
        </w:rPr>
      </w:pPr>
      <w:r w:rsidRPr="000849E1">
        <w:rPr>
          <w:color w:val="000000"/>
          <w:sz w:val="22"/>
          <w:szCs w:val="22"/>
          <w:rtl/>
        </w:rPr>
        <w:t>תאופיק כתילי 54678313</w:t>
      </w:r>
    </w:p>
    <w:p w14:paraId="3394DAE1" w14:textId="77777777" w:rsidR="000849E1" w:rsidRDefault="000849E1" w:rsidP="000849E1">
      <w:r w:rsidRPr="000849E1">
        <w:rPr>
          <w:color w:val="000000"/>
          <w:rtl/>
        </w:rPr>
        <w:t>נוסח מסמך זה כפוף לשינויי ניסוח ועריכה</w:t>
      </w:r>
    </w:p>
    <w:p w14:paraId="709DB56A" w14:textId="77777777" w:rsidR="000849E1" w:rsidRDefault="000849E1" w:rsidP="000849E1">
      <w:pPr>
        <w:rPr>
          <w:rtl/>
        </w:rPr>
      </w:pPr>
    </w:p>
    <w:p w14:paraId="6D458EE1" w14:textId="77777777" w:rsidR="000849E1" w:rsidRDefault="000849E1" w:rsidP="000849E1">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208732D2" w14:textId="77777777" w:rsidR="001611D9" w:rsidRPr="000849E1" w:rsidRDefault="00B75BBA" w:rsidP="000849E1">
      <w:pPr>
        <w:jc w:val="center"/>
        <w:rPr>
          <w:color w:val="0000FF"/>
          <w:u w:val="single"/>
        </w:rPr>
      </w:pPr>
      <w:r>
        <w:rPr>
          <w:rFonts w:hint="cs"/>
          <w:color w:val="0000FF"/>
          <w:u w:val="single"/>
          <w:rtl/>
        </w:rPr>
        <w:t xml:space="preserve">  </w:t>
      </w:r>
    </w:p>
    <w:sectPr w:rsidR="001611D9" w:rsidRPr="000849E1" w:rsidSect="000849E1">
      <w:headerReference w:type="even" r:id="rId35"/>
      <w:headerReference w:type="default" r:id="rId36"/>
      <w:footerReference w:type="even" r:id="rId37"/>
      <w:footerReference w:type="default" r:id="rId3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6BF85" w14:textId="77777777" w:rsidR="000D287D" w:rsidRPr="00326057" w:rsidRDefault="000D287D">
      <w:pPr>
        <w:rPr>
          <w:rFonts w:cs="Arial"/>
          <w:szCs w:val="20"/>
        </w:rPr>
      </w:pPr>
      <w:r>
        <w:separator/>
      </w:r>
    </w:p>
  </w:endnote>
  <w:endnote w:type="continuationSeparator" w:id="0">
    <w:p w14:paraId="32FA7B82" w14:textId="77777777" w:rsidR="000D287D" w:rsidRPr="00326057" w:rsidRDefault="000D287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F0F3" w14:textId="77777777" w:rsidR="000D287D" w:rsidRDefault="000D287D" w:rsidP="000849E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21</w:t>
    </w:r>
    <w:r>
      <w:rPr>
        <w:rFonts w:ascii="FrankRuehl" w:hAnsi="FrankRuehl" w:cs="FrankRuehl"/>
        <w:rtl/>
      </w:rPr>
      <w:fldChar w:fldCharType="end"/>
    </w:r>
  </w:p>
  <w:p w14:paraId="0C785C11" w14:textId="77777777" w:rsidR="000D287D" w:rsidRPr="000849E1" w:rsidRDefault="000D287D" w:rsidP="000849E1">
    <w:pPr>
      <w:pStyle w:val="a4"/>
      <w:pBdr>
        <w:top w:val="single" w:sz="4" w:space="1" w:color="auto"/>
        <w:between w:val="single" w:sz="4" w:space="0" w:color="auto"/>
      </w:pBdr>
      <w:spacing w:after="60"/>
      <w:jc w:val="center"/>
      <w:rPr>
        <w:rFonts w:ascii="FrankRuehl" w:hAnsi="FrankRuehl" w:cs="FrankRuehl"/>
        <w:color w:val="000000"/>
      </w:rPr>
    </w:pPr>
    <w:r w:rsidRPr="000849E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91788" w14:textId="77777777" w:rsidR="000D287D" w:rsidRDefault="000D287D" w:rsidP="000849E1">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10311">
      <w:rPr>
        <w:rFonts w:ascii="FrankRuehl" w:hAnsi="FrankRuehl" w:cs="FrankRuehl"/>
        <w:noProof/>
        <w:rtl/>
      </w:rPr>
      <w:t>1</w:t>
    </w:r>
    <w:r>
      <w:rPr>
        <w:rFonts w:ascii="FrankRuehl" w:hAnsi="FrankRuehl" w:cs="FrankRuehl"/>
        <w:rtl/>
      </w:rPr>
      <w:fldChar w:fldCharType="end"/>
    </w:r>
  </w:p>
  <w:p w14:paraId="29485F1A" w14:textId="77777777" w:rsidR="000D287D" w:rsidRPr="000849E1" w:rsidRDefault="000D287D" w:rsidP="000849E1">
    <w:pPr>
      <w:pStyle w:val="a4"/>
      <w:pBdr>
        <w:top w:val="single" w:sz="4" w:space="1" w:color="auto"/>
        <w:between w:val="single" w:sz="4" w:space="0" w:color="auto"/>
      </w:pBdr>
      <w:spacing w:after="60"/>
      <w:jc w:val="center"/>
      <w:rPr>
        <w:rFonts w:ascii="FrankRuehl" w:hAnsi="FrankRuehl" w:cs="FrankRuehl"/>
        <w:color w:val="000000"/>
      </w:rPr>
    </w:pPr>
    <w:r w:rsidRPr="000849E1">
      <w:rPr>
        <w:rFonts w:ascii="FrankRuehl" w:hAnsi="FrankRuehl" w:cs="FrankRuehl"/>
        <w:color w:val="000000"/>
      </w:rPr>
      <w:pict w14:anchorId="44B47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BCF8C" w14:textId="77777777" w:rsidR="000D287D" w:rsidRPr="00326057" w:rsidRDefault="000D287D">
      <w:pPr>
        <w:rPr>
          <w:rFonts w:cs="Arial"/>
          <w:szCs w:val="20"/>
        </w:rPr>
      </w:pPr>
      <w:r>
        <w:separator/>
      </w:r>
    </w:p>
  </w:footnote>
  <w:footnote w:type="continuationSeparator" w:id="0">
    <w:p w14:paraId="11A2AC15" w14:textId="77777777" w:rsidR="000D287D" w:rsidRPr="00326057" w:rsidRDefault="000D287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27BBF" w14:textId="77777777" w:rsidR="000D287D" w:rsidRPr="000849E1" w:rsidRDefault="000D287D" w:rsidP="000849E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13179-07-14</w:t>
    </w:r>
    <w:r>
      <w:rPr>
        <w:color w:val="000000"/>
        <w:sz w:val="22"/>
        <w:szCs w:val="22"/>
        <w:rtl/>
      </w:rPr>
      <w:tab/>
      <w:t xml:space="preserve"> מדינת ישראל נ' סלימאן עווד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D1650" w14:textId="77777777" w:rsidR="000D287D" w:rsidRPr="000849E1" w:rsidRDefault="000D287D" w:rsidP="000849E1">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13179-07-14</w:t>
    </w:r>
    <w:r>
      <w:rPr>
        <w:color w:val="000000"/>
        <w:sz w:val="22"/>
        <w:szCs w:val="22"/>
        <w:rtl/>
      </w:rPr>
      <w:tab/>
      <w:t xml:space="preserve"> מדינת ישראל נ' סלימאן עווד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E73A1"/>
    <w:multiLevelType w:val="hybridMultilevel"/>
    <w:tmpl w:val="B69E7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C4226C7"/>
    <w:multiLevelType w:val="hybridMultilevel"/>
    <w:tmpl w:val="F850B08C"/>
    <w:lvl w:ilvl="0" w:tplc="54B4D9F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10758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27575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11D9"/>
    <w:rsid w:val="000849E1"/>
    <w:rsid w:val="000D287D"/>
    <w:rsid w:val="001611D9"/>
    <w:rsid w:val="004E1495"/>
    <w:rsid w:val="006546C0"/>
    <w:rsid w:val="00710311"/>
    <w:rsid w:val="00767E06"/>
    <w:rsid w:val="007C4CCD"/>
    <w:rsid w:val="009A41BC"/>
    <w:rsid w:val="00B75BBA"/>
    <w:rsid w:val="00BB34DA"/>
    <w:rsid w:val="00BD05EE"/>
    <w:rsid w:val="00C13049"/>
    <w:rsid w:val="00E05921"/>
    <w:rsid w:val="00E761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1F9DFAE4"/>
  <w15:chartTrackingRefBased/>
  <w15:docId w15:val="{6217EFC3-EEBD-421E-848F-CA7FE939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11D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611D9"/>
    <w:pPr>
      <w:tabs>
        <w:tab w:val="center" w:pos="4153"/>
        <w:tab w:val="right" w:pos="8306"/>
      </w:tabs>
    </w:pPr>
  </w:style>
  <w:style w:type="paragraph" w:styleId="a4">
    <w:name w:val="footer"/>
    <w:basedOn w:val="a"/>
    <w:rsid w:val="001611D9"/>
    <w:pPr>
      <w:tabs>
        <w:tab w:val="center" w:pos="4153"/>
        <w:tab w:val="right" w:pos="8306"/>
      </w:tabs>
    </w:pPr>
  </w:style>
  <w:style w:type="character" w:styleId="a5">
    <w:name w:val="page number"/>
    <w:basedOn w:val="a0"/>
    <w:rsid w:val="001611D9"/>
  </w:style>
  <w:style w:type="paragraph" w:customStyle="1" w:styleId="12">
    <w:name w:val="רגיל + ‏12 נק'"/>
    <w:aliases w:val="מיושר לשני הצדדים,מרווח בין שורות:  שורה וחצי"/>
    <w:basedOn w:val="a"/>
    <w:rsid w:val="001611D9"/>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1611D9"/>
    <w:pPr>
      <w:spacing w:line="360" w:lineRule="auto"/>
      <w:jc w:val="both"/>
    </w:pPr>
    <w:rPr>
      <w:rFonts w:ascii="Times New Roman" w:eastAsia="Times New Roman" w:hAnsi="Times New Roman"/>
    </w:rPr>
  </w:style>
  <w:style w:type="paragraph" w:customStyle="1" w:styleId="ListParagraph">
    <w:name w:val="List Paragraph"/>
    <w:basedOn w:val="a"/>
    <w:rsid w:val="001611D9"/>
    <w:pPr>
      <w:spacing w:after="200" w:line="276" w:lineRule="auto"/>
      <w:ind w:left="720"/>
      <w:contextualSpacing/>
    </w:pPr>
    <w:rPr>
      <w:rFonts w:ascii="Calibri" w:eastAsia="Calibri" w:hAnsi="Calibri" w:cs="Arial"/>
      <w:sz w:val="22"/>
      <w:szCs w:val="22"/>
    </w:rPr>
  </w:style>
  <w:style w:type="character" w:styleId="a6">
    <w:name w:val="line number"/>
    <w:basedOn w:val="a0"/>
    <w:rsid w:val="001611D9"/>
  </w:style>
  <w:style w:type="character" w:styleId="Hyperlink">
    <w:name w:val="Hyperlink"/>
    <w:rsid w:val="000849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87.a"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878682" TargetMode="External"/><Relationship Id="rId39" Type="http://schemas.openxmlformats.org/officeDocument/2006/relationships/fontTable" Target="fontTable.xml"/><Relationship Id="rId21" Type="http://schemas.openxmlformats.org/officeDocument/2006/relationships/hyperlink" Target="http://www.nevo.co.il/law/70301/287.a"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44" TargetMode="External"/><Relationship Id="rId17" Type="http://schemas.openxmlformats.org/officeDocument/2006/relationships/hyperlink" Target="http://www.nevo.co.il/law/70301/144.c.1" TargetMode="External"/><Relationship Id="rId25" Type="http://schemas.openxmlformats.org/officeDocument/2006/relationships/hyperlink" Target="http://www.nevo.co.il/law/70301/144.a" TargetMode="External"/><Relationship Id="rId33" Type="http://schemas.openxmlformats.org/officeDocument/2006/relationships/hyperlink" Target="http://www.nevo.co.il/law/70301/144.c.1"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144.b" TargetMode="External"/><Relationship Id="rId20" Type="http://schemas.openxmlformats.org/officeDocument/2006/relationships/hyperlink" Target="http://www.nevo.co.il/law/70301/244" TargetMode="External"/><Relationship Id="rId29" Type="http://schemas.openxmlformats.org/officeDocument/2006/relationships/hyperlink" Target="http://www.nevo.co.il/case/169449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92" TargetMode="External"/><Relationship Id="rId24" Type="http://schemas.openxmlformats.org/officeDocument/2006/relationships/hyperlink" Target="http://www.nevo.co.il/case/6538590" TargetMode="External"/><Relationship Id="rId32" Type="http://schemas.openxmlformats.org/officeDocument/2006/relationships/hyperlink" Target="http://www.nevo.co.il/law/70301/144.a"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384" TargetMode="External"/><Relationship Id="rId23" Type="http://schemas.openxmlformats.org/officeDocument/2006/relationships/hyperlink" Target="http://www.nevo.co.il/law/70301/192" TargetMode="External"/><Relationship Id="rId28" Type="http://schemas.openxmlformats.org/officeDocument/2006/relationships/hyperlink" Target="http://www.nevo.co.il/case/6024035" TargetMode="External"/><Relationship Id="rId36" Type="http://schemas.openxmlformats.org/officeDocument/2006/relationships/header" Target="header2.xml"/><Relationship Id="rId10" Type="http://schemas.openxmlformats.org/officeDocument/2006/relationships/hyperlink" Target="http://www.nevo.co.il/law/70301/144.c.1" TargetMode="External"/><Relationship Id="rId19" Type="http://schemas.openxmlformats.org/officeDocument/2006/relationships/hyperlink" Target="http://www.nevo.co.il/law/70301/340a" TargetMode="External"/><Relationship Id="rId31" Type="http://schemas.openxmlformats.org/officeDocument/2006/relationships/hyperlink" Target="http://www.nevo.co.il/case/11207577"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law/70301/384" TargetMode="External"/><Relationship Id="rId27" Type="http://schemas.openxmlformats.org/officeDocument/2006/relationships/hyperlink" Target="http://www.nevo.co.il/case/5578534" TargetMode="External"/><Relationship Id="rId30" Type="http://schemas.openxmlformats.org/officeDocument/2006/relationships/hyperlink" Target="http://www.nevo.co.il/case/7762217" TargetMode="External"/><Relationship Id="rId35" Type="http://schemas.openxmlformats.org/officeDocument/2006/relationships/header" Target="head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2373</Words>
  <Characters>11866</Characters>
  <Application>Microsoft Office Word</Application>
  <DocSecurity>0</DocSecurity>
  <Lines>98</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14211</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6357043</vt:i4>
      </vt:variant>
      <vt:variant>
        <vt:i4>78</vt:i4>
      </vt:variant>
      <vt:variant>
        <vt:i4>0</vt:i4>
      </vt:variant>
      <vt:variant>
        <vt:i4>5</vt:i4>
      </vt:variant>
      <vt:variant>
        <vt:lpwstr>http://www.nevo.co.il/law/70301/144.c.1</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3342448</vt:i4>
      </vt:variant>
      <vt:variant>
        <vt:i4>72</vt:i4>
      </vt:variant>
      <vt:variant>
        <vt:i4>0</vt:i4>
      </vt:variant>
      <vt:variant>
        <vt:i4>5</vt:i4>
      </vt:variant>
      <vt:variant>
        <vt:lpwstr>http://www.nevo.co.il/case/11207577</vt:lpwstr>
      </vt:variant>
      <vt:variant>
        <vt:lpwstr/>
      </vt:variant>
      <vt:variant>
        <vt:i4>3407984</vt:i4>
      </vt:variant>
      <vt:variant>
        <vt:i4>69</vt:i4>
      </vt:variant>
      <vt:variant>
        <vt:i4>0</vt:i4>
      </vt:variant>
      <vt:variant>
        <vt:i4>5</vt:i4>
      </vt:variant>
      <vt:variant>
        <vt:lpwstr>http://www.nevo.co.il/case/7762217</vt:lpwstr>
      </vt:variant>
      <vt:variant>
        <vt:lpwstr/>
      </vt:variant>
      <vt:variant>
        <vt:i4>4063359</vt:i4>
      </vt:variant>
      <vt:variant>
        <vt:i4>66</vt:i4>
      </vt:variant>
      <vt:variant>
        <vt:i4>0</vt:i4>
      </vt:variant>
      <vt:variant>
        <vt:i4>5</vt:i4>
      </vt:variant>
      <vt:variant>
        <vt:lpwstr>http://www.nevo.co.il/case/16944929</vt:lpwstr>
      </vt:variant>
      <vt:variant>
        <vt:lpwstr/>
      </vt:variant>
      <vt:variant>
        <vt:i4>3211379</vt:i4>
      </vt:variant>
      <vt:variant>
        <vt:i4>63</vt:i4>
      </vt:variant>
      <vt:variant>
        <vt:i4>0</vt:i4>
      </vt:variant>
      <vt:variant>
        <vt:i4>5</vt:i4>
      </vt:variant>
      <vt:variant>
        <vt:lpwstr>http://www.nevo.co.il/case/6024035</vt:lpwstr>
      </vt:variant>
      <vt:variant>
        <vt:lpwstr/>
      </vt:variant>
      <vt:variant>
        <vt:i4>3342458</vt:i4>
      </vt:variant>
      <vt:variant>
        <vt:i4>60</vt:i4>
      </vt:variant>
      <vt:variant>
        <vt:i4>0</vt:i4>
      </vt:variant>
      <vt:variant>
        <vt:i4>5</vt:i4>
      </vt:variant>
      <vt:variant>
        <vt:lpwstr>http://www.nevo.co.il/case/5578534</vt:lpwstr>
      </vt:variant>
      <vt:variant>
        <vt:lpwstr/>
      </vt:variant>
      <vt:variant>
        <vt:i4>3539068</vt:i4>
      </vt:variant>
      <vt:variant>
        <vt:i4>57</vt:i4>
      </vt:variant>
      <vt:variant>
        <vt:i4>0</vt:i4>
      </vt:variant>
      <vt:variant>
        <vt:i4>5</vt:i4>
      </vt:variant>
      <vt:variant>
        <vt:lpwstr>http://www.nevo.co.il/case/5878682</vt:lpwstr>
      </vt:variant>
      <vt:variant>
        <vt:lpwstr/>
      </vt:variant>
      <vt:variant>
        <vt:i4>5177424</vt:i4>
      </vt:variant>
      <vt:variant>
        <vt:i4>54</vt:i4>
      </vt:variant>
      <vt:variant>
        <vt:i4>0</vt:i4>
      </vt:variant>
      <vt:variant>
        <vt:i4>5</vt:i4>
      </vt:variant>
      <vt:variant>
        <vt:lpwstr>http://www.nevo.co.il/law/70301/144.a</vt:lpwstr>
      </vt:variant>
      <vt:variant>
        <vt:lpwstr/>
      </vt:variant>
      <vt:variant>
        <vt:i4>3145840</vt:i4>
      </vt:variant>
      <vt:variant>
        <vt:i4>51</vt:i4>
      </vt:variant>
      <vt:variant>
        <vt:i4>0</vt:i4>
      </vt:variant>
      <vt:variant>
        <vt:i4>5</vt:i4>
      </vt:variant>
      <vt:variant>
        <vt:lpwstr>http://www.nevo.co.il/case/6538590</vt:lpwstr>
      </vt:variant>
      <vt:variant>
        <vt:lpwstr/>
      </vt:variant>
      <vt:variant>
        <vt:i4>7077988</vt:i4>
      </vt:variant>
      <vt:variant>
        <vt:i4>48</vt:i4>
      </vt:variant>
      <vt:variant>
        <vt:i4>0</vt:i4>
      </vt:variant>
      <vt:variant>
        <vt:i4>5</vt:i4>
      </vt:variant>
      <vt:variant>
        <vt:lpwstr>http://www.nevo.co.il/law/70301/192</vt:lpwstr>
      </vt:variant>
      <vt:variant>
        <vt:lpwstr/>
      </vt:variant>
      <vt:variant>
        <vt:i4>7143526</vt:i4>
      </vt:variant>
      <vt:variant>
        <vt:i4>45</vt:i4>
      </vt:variant>
      <vt:variant>
        <vt:i4>0</vt:i4>
      </vt:variant>
      <vt:variant>
        <vt:i4>5</vt:i4>
      </vt:variant>
      <vt:variant>
        <vt:lpwstr>http://www.nevo.co.il/law/70301/384</vt:lpwstr>
      </vt:variant>
      <vt:variant>
        <vt:lpwstr/>
      </vt:variant>
      <vt:variant>
        <vt:i4>4390992</vt:i4>
      </vt:variant>
      <vt:variant>
        <vt:i4>42</vt:i4>
      </vt:variant>
      <vt:variant>
        <vt:i4>0</vt:i4>
      </vt:variant>
      <vt:variant>
        <vt:i4>5</vt:i4>
      </vt:variant>
      <vt:variant>
        <vt:lpwstr>http://www.nevo.co.il/law/70301/287.a</vt:lpwstr>
      </vt:variant>
      <vt:variant>
        <vt:lpwstr/>
      </vt:variant>
      <vt:variant>
        <vt:i4>6357095</vt:i4>
      </vt:variant>
      <vt:variant>
        <vt:i4>39</vt:i4>
      </vt:variant>
      <vt:variant>
        <vt:i4>0</vt:i4>
      </vt:variant>
      <vt:variant>
        <vt:i4>5</vt:i4>
      </vt:variant>
      <vt:variant>
        <vt:lpwstr>http://www.nevo.co.il/law/70301/244</vt:lpwstr>
      </vt:variant>
      <vt:variant>
        <vt:lpwstr/>
      </vt:variant>
      <vt:variant>
        <vt:i4>86</vt:i4>
      </vt:variant>
      <vt:variant>
        <vt:i4>36</vt:i4>
      </vt:variant>
      <vt:variant>
        <vt:i4>0</vt:i4>
      </vt:variant>
      <vt:variant>
        <vt:i4>5</vt:i4>
      </vt:variant>
      <vt:variant>
        <vt:lpwstr>http://www.nevo.co.il/law/70301/340a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6357043</vt:i4>
      </vt:variant>
      <vt:variant>
        <vt:i4>30</vt:i4>
      </vt:variant>
      <vt:variant>
        <vt:i4>0</vt:i4>
      </vt:variant>
      <vt:variant>
        <vt:i4>5</vt:i4>
      </vt:variant>
      <vt:variant>
        <vt:lpwstr>http://www.nevo.co.il/law/70301/144.c.1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7143526</vt:i4>
      </vt:variant>
      <vt:variant>
        <vt:i4>24</vt:i4>
      </vt:variant>
      <vt:variant>
        <vt:i4>0</vt:i4>
      </vt:variant>
      <vt:variant>
        <vt:i4>5</vt:i4>
      </vt:variant>
      <vt:variant>
        <vt:lpwstr>http://www.nevo.co.il/law/70301/384</vt:lpwstr>
      </vt:variant>
      <vt:variant>
        <vt:lpwstr/>
      </vt:variant>
      <vt:variant>
        <vt:i4>86</vt:i4>
      </vt:variant>
      <vt:variant>
        <vt:i4>21</vt:i4>
      </vt:variant>
      <vt:variant>
        <vt:i4>0</vt:i4>
      </vt:variant>
      <vt:variant>
        <vt:i4>5</vt:i4>
      </vt:variant>
      <vt:variant>
        <vt:lpwstr>http://www.nevo.co.il/law/70301/340a</vt:lpwstr>
      </vt:variant>
      <vt:variant>
        <vt:lpwstr/>
      </vt:variant>
      <vt:variant>
        <vt:i4>4390992</vt:i4>
      </vt:variant>
      <vt:variant>
        <vt:i4>18</vt:i4>
      </vt:variant>
      <vt:variant>
        <vt:i4>0</vt:i4>
      </vt:variant>
      <vt:variant>
        <vt:i4>5</vt:i4>
      </vt:variant>
      <vt:variant>
        <vt:lpwstr>http://www.nevo.co.il/law/70301/287.a</vt:lpwstr>
      </vt:variant>
      <vt:variant>
        <vt:lpwstr/>
      </vt:variant>
      <vt:variant>
        <vt:i4>6357095</vt:i4>
      </vt:variant>
      <vt:variant>
        <vt:i4>15</vt:i4>
      </vt:variant>
      <vt:variant>
        <vt:i4>0</vt:i4>
      </vt:variant>
      <vt:variant>
        <vt:i4>5</vt:i4>
      </vt:variant>
      <vt:variant>
        <vt:lpwstr>http://www.nevo.co.il/law/70301/244</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6357043</vt:i4>
      </vt:variant>
      <vt:variant>
        <vt:i4>9</vt:i4>
      </vt:variant>
      <vt:variant>
        <vt:i4>0</vt:i4>
      </vt:variant>
      <vt:variant>
        <vt:i4>5</vt:i4>
      </vt:variant>
      <vt:variant>
        <vt:lpwstr>http://www.nevo.co.il/law/70301/144.c.1</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2024-01-07T12:10:00Z</dcterms:created>
  <dcterms:modified xsi:type="dcterms:W3CDTF">2024-01-07T12:10:00Z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13179</vt:lpwstr>
  </property>
  <property fmtid="{D5CDD505-2E9C-101B-9397-08002B2CF9AE}" pid="6" name="NEWPARTB">
    <vt:lpwstr>07</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סלימאן עווד</vt:lpwstr>
  </property>
  <property fmtid="{D5CDD505-2E9C-101B-9397-08002B2CF9AE}" pid="10" name="LAWYER">
    <vt:lpwstr>ראפי מסאלחה;עידית שדה</vt:lpwstr>
  </property>
  <property fmtid="{D5CDD505-2E9C-101B-9397-08002B2CF9AE}" pid="11" name="JUDGE">
    <vt:lpwstr>תאופיק כתילי</vt:lpwstr>
  </property>
  <property fmtid="{D5CDD505-2E9C-101B-9397-08002B2CF9AE}" pid="12" name="CITY">
    <vt:lpwstr>נצ'</vt:lpwstr>
  </property>
  <property fmtid="{D5CDD505-2E9C-101B-9397-08002B2CF9AE}" pid="13" name="DATE">
    <vt:lpwstr>20150505</vt:lpwstr>
  </property>
  <property fmtid="{D5CDD505-2E9C-101B-9397-08002B2CF9AE}" pid="14" name="TYPE_N_DATE">
    <vt:lpwstr>39020150505</vt:lpwstr>
  </property>
  <property fmtid="{D5CDD505-2E9C-101B-9397-08002B2CF9AE}" pid="15" name="WORDNUMPAGES">
    <vt:lpwstr>7</vt:lpwstr>
  </property>
  <property fmtid="{D5CDD505-2E9C-101B-9397-08002B2CF9AE}" pid="16" name="TYPE_ABS_DATE">
    <vt:lpwstr>390020150505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6538590;5878682;5578534;6024035;16944929;7762217;11207577</vt:lpwstr>
  </property>
  <property fmtid="{D5CDD505-2E9C-101B-9397-08002B2CF9AE}" pid="36" name="LAWLISTTMP1">
    <vt:lpwstr>70301/144.b;144.c.1:2;340a;244;287.a;384;192;144.a:2</vt:lpwstr>
  </property>
</Properties>
</file>