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03327B" w:rsidRPr="00A902D2" w14:paraId="499EDF52" w14:textId="77777777" w:rsidTr="00F2621E">
        <w:trPr>
          <w:trHeight w:hRule="exact" w:val="418"/>
          <w:jc w:val="center"/>
        </w:trPr>
        <w:tc>
          <w:tcPr>
            <w:tcW w:w="8721" w:type="dxa"/>
            <w:gridSpan w:val="2"/>
          </w:tcPr>
          <w:p w14:paraId="11AD8A49" w14:textId="77777777" w:rsidR="0003327B" w:rsidRPr="00A902D2" w:rsidRDefault="0003327B" w:rsidP="00A902D2">
            <w:pPr>
              <w:pStyle w:val="a3"/>
              <w:jc w:val="center"/>
              <w:rPr>
                <w:rFonts w:ascii="Tahoma" w:hAnsi="Tahoma" w:cs="Tahoma"/>
                <w:color w:val="000080"/>
                <w:rtl/>
              </w:rPr>
            </w:pPr>
            <w:bookmarkStart w:id="0" w:name="LastJudge"/>
            <w:r w:rsidRPr="00A902D2">
              <w:rPr>
                <w:rFonts w:ascii="Tahoma" w:hAnsi="Tahoma" w:cs="Tahoma"/>
                <w:b/>
                <w:bCs/>
                <w:color w:val="000080"/>
                <w:rtl/>
              </w:rPr>
              <w:t>בית המשפט המחוזי בבאר שבע</w:t>
            </w:r>
          </w:p>
        </w:tc>
      </w:tr>
      <w:tr w:rsidR="0003327B" w:rsidRPr="00A902D2" w14:paraId="045CC77A" w14:textId="77777777" w:rsidTr="00F2621E">
        <w:trPr>
          <w:trHeight w:val="337"/>
          <w:jc w:val="center"/>
        </w:trPr>
        <w:tc>
          <w:tcPr>
            <w:tcW w:w="5056" w:type="dxa"/>
          </w:tcPr>
          <w:p w14:paraId="6EEA2D98" w14:textId="77777777" w:rsidR="0003327B" w:rsidRPr="00A902D2" w:rsidRDefault="0003327B" w:rsidP="00A902D2">
            <w:pPr>
              <w:rPr>
                <w:rFonts w:cs="FrankRuehl"/>
                <w:sz w:val="28"/>
                <w:szCs w:val="28"/>
                <w:rtl/>
              </w:rPr>
            </w:pPr>
            <w:r w:rsidRPr="00A902D2">
              <w:rPr>
                <w:rFonts w:cs="FrankRuehl"/>
                <w:sz w:val="28"/>
                <w:szCs w:val="28"/>
                <w:rtl/>
              </w:rPr>
              <w:t>ת"פ</w:t>
            </w:r>
            <w:r w:rsidRPr="00A902D2">
              <w:rPr>
                <w:rFonts w:cs="FrankRuehl" w:hint="cs"/>
                <w:sz w:val="28"/>
                <w:szCs w:val="28"/>
                <w:rtl/>
              </w:rPr>
              <w:t xml:space="preserve"> </w:t>
            </w:r>
            <w:r w:rsidRPr="00A902D2">
              <w:rPr>
                <w:rFonts w:cs="FrankRuehl"/>
                <w:sz w:val="28"/>
                <w:szCs w:val="28"/>
                <w:rtl/>
              </w:rPr>
              <w:t>7498-11-14</w:t>
            </w:r>
            <w:r w:rsidRPr="00A902D2">
              <w:rPr>
                <w:rFonts w:cs="FrankRuehl" w:hint="cs"/>
                <w:sz w:val="28"/>
                <w:szCs w:val="28"/>
                <w:rtl/>
              </w:rPr>
              <w:t xml:space="preserve"> </w:t>
            </w:r>
            <w:r w:rsidRPr="00A902D2">
              <w:rPr>
                <w:rFonts w:cs="FrankRuehl"/>
                <w:sz w:val="28"/>
                <w:szCs w:val="28"/>
                <w:rtl/>
              </w:rPr>
              <w:t>מדינת ישראל נ' אלצראיעה ואח'</w:t>
            </w:r>
          </w:p>
          <w:p w14:paraId="28E41422" w14:textId="77777777" w:rsidR="0003327B" w:rsidRPr="00A902D2" w:rsidRDefault="0003327B" w:rsidP="00A902D2">
            <w:pPr>
              <w:pStyle w:val="a3"/>
              <w:rPr>
                <w:rFonts w:cs="FrankRuehl"/>
                <w:sz w:val="28"/>
                <w:szCs w:val="28"/>
                <w:rtl/>
              </w:rPr>
            </w:pPr>
          </w:p>
        </w:tc>
        <w:tc>
          <w:tcPr>
            <w:tcW w:w="3665" w:type="dxa"/>
          </w:tcPr>
          <w:p w14:paraId="50E53631" w14:textId="77777777" w:rsidR="0003327B" w:rsidRPr="00A902D2" w:rsidRDefault="0003327B" w:rsidP="00A902D2">
            <w:pPr>
              <w:pStyle w:val="a3"/>
              <w:jc w:val="right"/>
              <w:rPr>
                <w:rFonts w:cs="FrankRuehl"/>
                <w:sz w:val="28"/>
                <w:szCs w:val="28"/>
                <w:rtl/>
              </w:rPr>
            </w:pPr>
          </w:p>
        </w:tc>
      </w:tr>
    </w:tbl>
    <w:p w14:paraId="765D4658" w14:textId="77777777" w:rsidR="0003327B" w:rsidRPr="00A902D2" w:rsidRDefault="0003327B" w:rsidP="0003327B">
      <w:pPr>
        <w:pStyle w:val="a3"/>
        <w:rPr>
          <w:rtl/>
        </w:rPr>
      </w:pPr>
      <w:r w:rsidRPr="00A902D2">
        <w:rPr>
          <w:rFonts w:hint="cs"/>
          <w:rtl/>
        </w:rPr>
        <w:t xml:space="preserve"> </w:t>
      </w:r>
    </w:p>
    <w:p w14:paraId="7360928E" w14:textId="77777777" w:rsidR="0003327B" w:rsidRPr="00A902D2" w:rsidRDefault="0003327B" w:rsidP="0003327B">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8"/>
        <w:gridCol w:w="3616"/>
      </w:tblGrid>
      <w:tr w:rsidR="0003327B" w:rsidRPr="00A902D2" w14:paraId="01B502E8" w14:textId="77777777" w:rsidTr="00A902D2">
        <w:trPr>
          <w:trHeight w:val="295"/>
          <w:jc w:val="center"/>
        </w:trPr>
        <w:tc>
          <w:tcPr>
            <w:tcW w:w="1212" w:type="dxa"/>
            <w:tcBorders>
              <w:top w:val="nil"/>
              <w:left w:val="nil"/>
              <w:bottom w:val="nil"/>
              <w:right w:val="nil"/>
            </w:tcBorders>
            <w:shd w:val="clear" w:color="auto" w:fill="auto"/>
          </w:tcPr>
          <w:p w14:paraId="5AE343B3" w14:textId="77777777" w:rsidR="0003327B" w:rsidRPr="00A902D2" w:rsidRDefault="0003327B" w:rsidP="00A902D2">
            <w:pPr>
              <w:jc w:val="both"/>
              <w:rPr>
                <w:rFonts w:ascii="Arial" w:hAnsi="Arial"/>
                <w:b/>
                <w:bCs/>
              </w:rPr>
            </w:pPr>
            <w:r w:rsidRPr="00A902D2">
              <w:rPr>
                <w:rFonts w:ascii="Arial" w:hAnsi="Arial" w:hint="cs"/>
                <w:b/>
                <w:bCs/>
                <w:rtl/>
              </w:rPr>
              <w:t>ב</w:t>
            </w:r>
            <w:r w:rsidRPr="00A902D2">
              <w:rPr>
                <w:rFonts w:ascii="Arial" w:hAnsi="Arial"/>
                <w:b/>
                <w:bCs/>
                <w:rtl/>
              </w:rPr>
              <w:t xml:space="preserve">פני </w:t>
            </w:r>
            <w:r w:rsidRPr="00A902D2">
              <w:rPr>
                <w:rFonts w:ascii="Arial" w:hAnsi="Arial" w:hint="cs"/>
                <w:b/>
                <w:bCs/>
                <w:rtl/>
              </w:rPr>
              <w:t>:</w:t>
            </w:r>
          </w:p>
        </w:tc>
        <w:tc>
          <w:tcPr>
            <w:tcW w:w="7608" w:type="dxa"/>
            <w:gridSpan w:val="2"/>
            <w:tcBorders>
              <w:top w:val="nil"/>
              <w:left w:val="nil"/>
              <w:bottom w:val="nil"/>
              <w:right w:val="nil"/>
            </w:tcBorders>
            <w:shd w:val="clear" w:color="auto" w:fill="auto"/>
          </w:tcPr>
          <w:p w14:paraId="5BA91C71" w14:textId="77777777" w:rsidR="0003327B" w:rsidRPr="00A902D2" w:rsidRDefault="0003327B" w:rsidP="00A902D2">
            <w:pPr>
              <w:jc w:val="both"/>
              <w:rPr>
                <w:rFonts w:ascii="Arial" w:hAnsi="Arial"/>
                <w:b/>
                <w:bCs/>
              </w:rPr>
            </w:pPr>
            <w:r w:rsidRPr="00A902D2">
              <w:rPr>
                <w:rFonts w:ascii="Arial" w:hAnsi="Arial" w:hint="cs"/>
                <w:b/>
                <w:bCs/>
                <w:rtl/>
              </w:rPr>
              <w:t>כבוד ה</w:t>
            </w:r>
            <w:r w:rsidRPr="00A902D2">
              <w:rPr>
                <w:rFonts w:hint="cs"/>
                <w:rtl/>
              </w:rPr>
              <w:t>שופט</w:t>
            </w:r>
            <w:r w:rsidRPr="00A902D2">
              <w:rPr>
                <w:rFonts w:ascii="Arial" w:hAnsi="Arial" w:hint="cs"/>
                <w:b/>
                <w:bCs/>
                <w:rtl/>
              </w:rPr>
              <w:t xml:space="preserve">  </w:t>
            </w:r>
            <w:r w:rsidRPr="00A902D2">
              <w:rPr>
                <w:rFonts w:hint="cs"/>
                <w:rtl/>
              </w:rPr>
              <w:t>אליהו ביתן</w:t>
            </w:r>
          </w:p>
        </w:tc>
      </w:tr>
      <w:tr w:rsidR="0003327B" w:rsidRPr="00A902D2" w14:paraId="1D07C34A" w14:textId="77777777" w:rsidTr="00A902D2">
        <w:trPr>
          <w:trHeight w:val="355"/>
          <w:jc w:val="center"/>
        </w:trPr>
        <w:tc>
          <w:tcPr>
            <w:tcW w:w="1212" w:type="dxa"/>
            <w:tcBorders>
              <w:top w:val="nil"/>
              <w:left w:val="nil"/>
              <w:bottom w:val="nil"/>
              <w:right w:val="nil"/>
            </w:tcBorders>
            <w:shd w:val="clear" w:color="auto" w:fill="auto"/>
          </w:tcPr>
          <w:p w14:paraId="183D2852" w14:textId="77777777" w:rsidR="0003327B" w:rsidRPr="00A902D2" w:rsidRDefault="0003327B" w:rsidP="00A902D2">
            <w:pPr>
              <w:jc w:val="both"/>
              <w:rPr>
                <w:rFonts w:ascii="Arial" w:hAnsi="Arial"/>
                <w:b/>
                <w:bCs/>
              </w:rPr>
            </w:pPr>
            <w:r w:rsidRPr="00A902D2">
              <w:rPr>
                <w:rFonts w:ascii="Arial" w:hAnsi="Arial" w:hint="cs"/>
                <w:b/>
                <w:bCs/>
                <w:rtl/>
              </w:rPr>
              <w:t>בעניין:</w:t>
            </w:r>
          </w:p>
        </w:tc>
        <w:tc>
          <w:tcPr>
            <w:tcW w:w="3973" w:type="dxa"/>
            <w:tcBorders>
              <w:top w:val="nil"/>
              <w:left w:val="nil"/>
              <w:bottom w:val="nil"/>
              <w:right w:val="nil"/>
            </w:tcBorders>
            <w:shd w:val="clear" w:color="auto" w:fill="auto"/>
          </w:tcPr>
          <w:p w14:paraId="7D408171" w14:textId="77777777" w:rsidR="0003327B" w:rsidRPr="00A902D2" w:rsidRDefault="0003327B" w:rsidP="00A902D2">
            <w:pPr>
              <w:jc w:val="both"/>
              <w:rPr>
                <w:b/>
                <w:bCs/>
              </w:rPr>
            </w:pPr>
            <w:r w:rsidRPr="00A902D2">
              <w:rPr>
                <w:b/>
                <w:bCs/>
                <w:rtl/>
              </w:rPr>
              <w:t xml:space="preserve">     </w:t>
            </w:r>
          </w:p>
        </w:tc>
        <w:tc>
          <w:tcPr>
            <w:tcW w:w="3635" w:type="dxa"/>
            <w:tcBorders>
              <w:top w:val="nil"/>
              <w:left w:val="nil"/>
              <w:bottom w:val="nil"/>
              <w:right w:val="nil"/>
            </w:tcBorders>
            <w:shd w:val="clear" w:color="auto" w:fill="auto"/>
          </w:tcPr>
          <w:p w14:paraId="2EB2D0FA" w14:textId="77777777" w:rsidR="0003327B" w:rsidRPr="00A902D2" w:rsidRDefault="0003327B" w:rsidP="00A902D2">
            <w:pPr>
              <w:jc w:val="both"/>
              <w:rPr>
                <w:rFonts w:ascii="Arial" w:hAnsi="Arial"/>
              </w:rPr>
            </w:pPr>
          </w:p>
        </w:tc>
      </w:tr>
      <w:tr w:rsidR="0003327B" w:rsidRPr="00A902D2" w14:paraId="1A7CEF07" w14:textId="77777777" w:rsidTr="00A902D2">
        <w:trPr>
          <w:trHeight w:val="355"/>
          <w:jc w:val="center"/>
        </w:trPr>
        <w:tc>
          <w:tcPr>
            <w:tcW w:w="1212" w:type="dxa"/>
            <w:tcBorders>
              <w:top w:val="nil"/>
              <w:left w:val="nil"/>
              <w:bottom w:val="nil"/>
              <w:right w:val="nil"/>
            </w:tcBorders>
            <w:shd w:val="clear" w:color="auto" w:fill="auto"/>
          </w:tcPr>
          <w:p w14:paraId="4DDBB7C3" w14:textId="77777777" w:rsidR="0003327B" w:rsidRPr="00A902D2" w:rsidRDefault="0003327B" w:rsidP="00A902D2">
            <w:pPr>
              <w:jc w:val="both"/>
              <w:rPr>
                <w:rFonts w:ascii="Arial" w:hAnsi="Arial"/>
                <w:b/>
                <w:bCs/>
                <w:rtl/>
              </w:rPr>
            </w:pPr>
            <w:bookmarkStart w:id="1" w:name="FirstAppellant"/>
            <w:r w:rsidRPr="00A902D2">
              <w:rPr>
                <w:rFonts w:ascii="Arial" w:hAnsi="Arial" w:hint="cs"/>
                <w:b/>
                <w:bCs/>
                <w:rtl/>
              </w:rPr>
              <w:t>המאשימה:</w:t>
            </w:r>
          </w:p>
        </w:tc>
        <w:tc>
          <w:tcPr>
            <w:tcW w:w="3973" w:type="dxa"/>
            <w:tcBorders>
              <w:top w:val="nil"/>
              <w:left w:val="nil"/>
              <w:bottom w:val="nil"/>
              <w:right w:val="nil"/>
            </w:tcBorders>
            <w:shd w:val="clear" w:color="auto" w:fill="auto"/>
          </w:tcPr>
          <w:p w14:paraId="0125916E" w14:textId="77777777" w:rsidR="0003327B" w:rsidRPr="00A902D2" w:rsidRDefault="0003327B" w:rsidP="00A902D2">
            <w:pPr>
              <w:jc w:val="both"/>
              <w:rPr>
                <w:b/>
                <w:bCs/>
                <w:rtl/>
              </w:rPr>
            </w:pPr>
            <w:r w:rsidRPr="00A902D2">
              <w:rPr>
                <w:rFonts w:hint="cs"/>
                <w:b/>
                <w:bCs/>
                <w:rtl/>
              </w:rPr>
              <w:t xml:space="preserve">מדינת ישראל </w:t>
            </w:r>
          </w:p>
        </w:tc>
        <w:tc>
          <w:tcPr>
            <w:tcW w:w="3635" w:type="dxa"/>
            <w:tcBorders>
              <w:top w:val="nil"/>
              <w:left w:val="nil"/>
              <w:bottom w:val="nil"/>
              <w:right w:val="nil"/>
            </w:tcBorders>
            <w:shd w:val="clear" w:color="auto" w:fill="auto"/>
          </w:tcPr>
          <w:p w14:paraId="1948D76B" w14:textId="77777777" w:rsidR="0003327B" w:rsidRPr="00A902D2" w:rsidRDefault="0003327B" w:rsidP="00A902D2">
            <w:pPr>
              <w:jc w:val="both"/>
              <w:rPr>
                <w:rFonts w:ascii="Arial" w:hAnsi="Arial"/>
                <w:rtl/>
              </w:rPr>
            </w:pPr>
            <w:r w:rsidRPr="00A902D2">
              <w:rPr>
                <w:rtl/>
              </w:rPr>
              <w:t xml:space="preserve">     </w:t>
            </w:r>
          </w:p>
        </w:tc>
      </w:tr>
      <w:bookmarkEnd w:id="1"/>
      <w:tr w:rsidR="0003327B" w:rsidRPr="00A902D2" w14:paraId="3EA176AB" w14:textId="77777777" w:rsidTr="00A902D2">
        <w:trPr>
          <w:trHeight w:val="355"/>
          <w:jc w:val="center"/>
        </w:trPr>
        <w:tc>
          <w:tcPr>
            <w:tcW w:w="1212" w:type="dxa"/>
            <w:tcBorders>
              <w:top w:val="nil"/>
              <w:left w:val="nil"/>
              <w:bottom w:val="nil"/>
              <w:right w:val="nil"/>
            </w:tcBorders>
            <w:shd w:val="clear" w:color="auto" w:fill="auto"/>
          </w:tcPr>
          <w:p w14:paraId="45EAA5A3" w14:textId="77777777" w:rsidR="0003327B" w:rsidRPr="00A902D2" w:rsidRDefault="0003327B" w:rsidP="00A902D2">
            <w:pPr>
              <w:jc w:val="both"/>
              <w:rPr>
                <w:rFonts w:ascii="Arial" w:hAnsi="Arial"/>
                <w:b/>
                <w:bCs/>
                <w:rtl/>
              </w:rPr>
            </w:pPr>
          </w:p>
        </w:tc>
        <w:tc>
          <w:tcPr>
            <w:tcW w:w="7608" w:type="dxa"/>
            <w:gridSpan w:val="2"/>
            <w:tcBorders>
              <w:top w:val="nil"/>
              <w:left w:val="nil"/>
              <w:bottom w:val="nil"/>
              <w:right w:val="nil"/>
            </w:tcBorders>
            <w:shd w:val="clear" w:color="auto" w:fill="auto"/>
          </w:tcPr>
          <w:p w14:paraId="55E1485A" w14:textId="77777777" w:rsidR="0003327B" w:rsidRPr="00A902D2" w:rsidRDefault="0003327B" w:rsidP="00A902D2">
            <w:pPr>
              <w:jc w:val="center"/>
              <w:rPr>
                <w:rFonts w:ascii="Arial" w:hAnsi="Arial"/>
                <w:b/>
                <w:bCs/>
              </w:rPr>
            </w:pPr>
            <w:r w:rsidRPr="00A902D2">
              <w:rPr>
                <w:rFonts w:ascii="Arial" w:hAnsi="Arial"/>
                <w:b/>
                <w:bCs/>
                <w:rtl/>
              </w:rPr>
              <w:t>נגד</w:t>
            </w:r>
          </w:p>
        </w:tc>
      </w:tr>
      <w:tr w:rsidR="0003327B" w:rsidRPr="00A902D2" w14:paraId="71BD65CC" w14:textId="77777777" w:rsidTr="00A902D2">
        <w:trPr>
          <w:trHeight w:val="355"/>
          <w:jc w:val="center"/>
        </w:trPr>
        <w:tc>
          <w:tcPr>
            <w:tcW w:w="1212" w:type="dxa"/>
            <w:tcBorders>
              <w:top w:val="nil"/>
              <w:left w:val="nil"/>
              <w:bottom w:val="nil"/>
              <w:right w:val="nil"/>
            </w:tcBorders>
            <w:shd w:val="clear" w:color="auto" w:fill="auto"/>
          </w:tcPr>
          <w:p w14:paraId="53524D05" w14:textId="77777777" w:rsidR="0003327B" w:rsidRPr="00A902D2" w:rsidRDefault="0003327B" w:rsidP="00A902D2">
            <w:pPr>
              <w:jc w:val="both"/>
              <w:rPr>
                <w:rFonts w:ascii="Arial" w:hAnsi="Arial"/>
                <w:b/>
                <w:bCs/>
                <w:rtl/>
              </w:rPr>
            </w:pPr>
            <w:r w:rsidRPr="00A902D2">
              <w:rPr>
                <w:rFonts w:ascii="Arial" w:hAnsi="Arial" w:hint="cs"/>
                <w:b/>
                <w:bCs/>
                <w:rtl/>
              </w:rPr>
              <w:t>הנאשם:</w:t>
            </w:r>
          </w:p>
        </w:tc>
        <w:tc>
          <w:tcPr>
            <w:tcW w:w="3973" w:type="dxa"/>
            <w:tcBorders>
              <w:top w:val="nil"/>
              <w:left w:val="nil"/>
              <w:bottom w:val="nil"/>
              <w:right w:val="nil"/>
            </w:tcBorders>
            <w:shd w:val="clear" w:color="auto" w:fill="auto"/>
          </w:tcPr>
          <w:p w14:paraId="17619CEC" w14:textId="77777777" w:rsidR="0003327B" w:rsidRPr="00A902D2" w:rsidRDefault="0003327B" w:rsidP="00A902D2">
            <w:pPr>
              <w:jc w:val="both"/>
              <w:rPr>
                <w:b/>
                <w:bCs/>
                <w:rtl/>
              </w:rPr>
            </w:pPr>
            <w:r w:rsidRPr="00A902D2">
              <w:rPr>
                <w:rFonts w:hint="cs"/>
                <w:b/>
                <w:bCs/>
                <w:rtl/>
              </w:rPr>
              <w:t>עאקף אלצראיעה</w:t>
            </w:r>
          </w:p>
        </w:tc>
        <w:tc>
          <w:tcPr>
            <w:tcW w:w="3635" w:type="dxa"/>
            <w:tcBorders>
              <w:top w:val="nil"/>
              <w:left w:val="nil"/>
              <w:bottom w:val="nil"/>
              <w:right w:val="nil"/>
            </w:tcBorders>
            <w:shd w:val="clear" w:color="auto" w:fill="auto"/>
          </w:tcPr>
          <w:p w14:paraId="16CDD6FD" w14:textId="77777777" w:rsidR="0003327B" w:rsidRPr="00A902D2" w:rsidRDefault="0003327B" w:rsidP="00A902D2">
            <w:pPr>
              <w:jc w:val="both"/>
              <w:rPr>
                <w:rFonts w:ascii="Arial" w:hAnsi="Arial"/>
              </w:rPr>
            </w:pPr>
          </w:p>
        </w:tc>
      </w:tr>
    </w:tbl>
    <w:p w14:paraId="09F744AA" w14:textId="77777777" w:rsidR="00F2621E" w:rsidRDefault="00F2621E" w:rsidP="0003327B">
      <w:pPr>
        <w:jc w:val="both"/>
        <w:rPr>
          <w:rtl/>
        </w:rPr>
      </w:pPr>
      <w:bookmarkStart w:id="2" w:name="LawTable"/>
      <w:bookmarkEnd w:id="2"/>
    </w:p>
    <w:p w14:paraId="6E11E37B" w14:textId="77777777" w:rsidR="00F2621E" w:rsidRPr="00F2621E" w:rsidRDefault="00F2621E" w:rsidP="00F2621E">
      <w:pPr>
        <w:spacing w:after="120" w:line="240" w:lineRule="exact"/>
        <w:ind w:left="283" w:hanging="283"/>
        <w:jc w:val="both"/>
        <w:rPr>
          <w:rFonts w:ascii="FrankRuehl" w:hAnsi="FrankRuehl" w:cs="FrankRuehl"/>
          <w:rtl/>
        </w:rPr>
      </w:pPr>
    </w:p>
    <w:p w14:paraId="3F50C897" w14:textId="77777777" w:rsidR="00F2621E" w:rsidRPr="00F2621E" w:rsidRDefault="00F2621E" w:rsidP="00F2621E">
      <w:pPr>
        <w:spacing w:after="120" w:line="240" w:lineRule="exact"/>
        <w:ind w:left="283" w:hanging="283"/>
        <w:jc w:val="both"/>
        <w:rPr>
          <w:rFonts w:ascii="FrankRuehl" w:hAnsi="FrankRuehl" w:cs="FrankRuehl"/>
          <w:rtl/>
        </w:rPr>
      </w:pPr>
      <w:r w:rsidRPr="00F2621E">
        <w:rPr>
          <w:rFonts w:ascii="FrankRuehl" w:hAnsi="FrankRuehl" w:cs="FrankRuehl"/>
          <w:rtl/>
        </w:rPr>
        <w:t xml:space="preserve">חקיקה שאוזכרה: </w:t>
      </w:r>
    </w:p>
    <w:p w14:paraId="192C19B5" w14:textId="77777777" w:rsidR="00F2621E" w:rsidRPr="00F2621E" w:rsidRDefault="00F2621E" w:rsidP="00F2621E">
      <w:pPr>
        <w:spacing w:after="120" w:line="240" w:lineRule="exact"/>
        <w:ind w:left="283" w:hanging="283"/>
        <w:jc w:val="both"/>
        <w:rPr>
          <w:rFonts w:ascii="FrankRuehl" w:hAnsi="FrankRuehl" w:cs="FrankRuehl"/>
          <w:rtl/>
        </w:rPr>
      </w:pPr>
      <w:hyperlink r:id="rId6" w:history="1">
        <w:r w:rsidRPr="00F2621E">
          <w:rPr>
            <w:rFonts w:ascii="FrankRuehl" w:hAnsi="FrankRuehl" w:cs="FrankRuehl"/>
            <w:color w:val="0000FF"/>
            <w:u w:val="single"/>
            <w:rtl/>
          </w:rPr>
          <w:t>חוק העונשין, תשל"ז-1977</w:t>
        </w:r>
      </w:hyperlink>
      <w:r w:rsidRPr="00F2621E">
        <w:rPr>
          <w:rFonts w:ascii="FrankRuehl" w:hAnsi="FrankRuehl" w:cs="FrankRuehl"/>
          <w:rtl/>
        </w:rPr>
        <w:t xml:space="preserve">: סע'  </w:t>
      </w:r>
      <w:hyperlink r:id="rId7" w:history="1">
        <w:r w:rsidRPr="00F2621E">
          <w:rPr>
            <w:rFonts w:ascii="FrankRuehl" w:hAnsi="FrankRuehl" w:cs="FrankRuehl"/>
            <w:color w:val="0000FF"/>
            <w:u w:val="single"/>
            <w:rtl/>
          </w:rPr>
          <w:t>25</w:t>
        </w:r>
      </w:hyperlink>
      <w:r w:rsidRPr="00F2621E">
        <w:rPr>
          <w:rFonts w:ascii="FrankRuehl" w:hAnsi="FrankRuehl" w:cs="FrankRuehl"/>
          <w:rtl/>
        </w:rPr>
        <w:t xml:space="preserve">, </w:t>
      </w:r>
      <w:hyperlink r:id="rId8" w:history="1">
        <w:r w:rsidRPr="00F2621E">
          <w:rPr>
            <w:rFonts w:ascii="FrankRuehl" w:hAnsi="FrankRuehl" w:cs="FrankRuehl"/>
            <w:color w:val="0000FF"/>
            <w:u w:val="single"/>
            <w:rtl/>
          </w:rPr>
          <w:t>144(א)</w:t>
        </w:r>
      </w:hyperlink>
      <w:r w:rsidRPr="00F2621E">
        <w:rPr>
          <w:rFonts w:ascii="FrankRuehl" w:hAnsi="FrankRuehl" w:cs="FrankRuehl"/>
          <w:rtl/>
        </w:rPr>
        <w:t xml:space="preserve">, </w:t>
      </w:r>
      <w:hyperlink r:id="rId9" w:history="1">
        <w:r w:rsidRPr="00F2621E">
          <w:rPr>
            <w:rFonts w:ascii="FrankRuehl" w:hAnsi="FrankRuehl" w:cs="FrankRuehl"/>
            <w:color w:val="0000FF"/>
            <w:u w:val="single"/>
            <w:rtl/>
          </w:rPr>
          <w:t>144(ב)</w:t>
        </w:r>
      </w:hyperlink>
      <w:r w:rsidRPr="00F2621E">
        <w:rPr>
          <w:rFonts w:ascii="FrankRuehl" w:hAnsi="FrankRuehl" w:cs="FrankRuehl"/>
          <w:rtl/>
        </w:rPr>
        <w:t xml:space="preserve">, </w:t>
      </w:r>
      <w:hyperlink r:id="rId10" w:history="1">
        <w:r w:rsidRPr="00F2621E">
          <w:rPr>
            <w:rFonts w:ascii="FrankRuehl" w:hAnsi="FrankRuehl" w:cs="FrankRuehl"/>
            <w:color w:val="0000FF"/>
            <w:u w:val="single"/>
            <w:rtl/>
          </w:rPr>
          <w:t>144(ב2)</w:t>
        </w:r>
      </w:hyperlink>
      <w:r w:rsidRPr="00F2621E">
        <w:rPr>
          <w:rFonts w:ascii="FrankRuehl" w:hAnsi="FrankRuehl" w:cs="FrankRuehl"/>
          <w:rtl/>
        </w:rPr>
        <w:t xml:space="preserve">, </w:t>
      </w:r>
      <w:hyperlink r:id="rId11" w:history="1">
        <w:r w:rsidRPr="00F2621E">
          <w:rPr>
            <w:rFonts w:ascii="FrankRuehl" w:hAnsi="FrankRuehl" w:cs="FrankRuehl"/>
            <w:color w:val="0000FF"/>
            <w:u w:val="single"/>
            <w:rtl/>
          </w:rPr>
          <w:t>384</w:t>
        </w:r>
      </w:hyperlink>
      <w:r w:rsidRPr="00F2621E">
        <w:rPr>
          <w:rFonts w:ascii="FrankRuehl" w:hAnsi="FrankRuehl" w:cs="FrankRuehl"/>
          <w:rtl/>
        </w:rPr>
        <w:t xml:space="preserve">, </w:t>
      </w:r>
      <w:hyperlink r:id="rId12" w:history="1">
        <w:r w:rsidRPr="00F2621E">
          <w:rPr>
            <w:rFonts w:ascii="FrankRuehl" w:hAnsi="FrankRuehl" w:cs="FrankRuehl"/>
            <w:color w:val="0000FF"/>
            <w:u w:val="single"/>
            <w:rtl/>
          </w:rPr>
          <w:t>499(א)(1)</w:t>
        </w:r>
      </w:hyperlink>
    </w:p>
    <w:p w14:paraId="4BE2E7DB" w14:textId="77777777" w:rsidR="00F2621E" w:rsidRPr="00F2621E" w:rsidRDefault="00F2621E" w:rsidP="00F2621E">
      <w:pPr>
        <w:spacing w:after="120" w:line="240" w:lineRule="exact"/>
        <w:ind w:left="283" w:hanging="283"/>
        <w:jc w:val="both"/>
        <w:rPr>
          <w:rFonts w:ascii="FrankRuehl" w:hAnsi="FrankRuehl" w:cs="FrankRuehl"/>
          <w:rtl/>
        </w:rPr>
      </w:pPr>
      <w:hyperlink r:id="rId13" w:history="1">
        <w:r w:rsidRPr="00F2621E">
          <w:rPr>
            <w:rFonts w:ascii="FrankRuehl" w:hAnsi="FrankRuehl" w:cs="FrankRuehl"/>
            <w:color w:val="0000FF"/>
            <w:u w:val="single"/>
            <w:rtl/>
          </w:rPr>
          <w:t>חוק השיפוט הצבאי, תשט"ו-1955</w:t>
        </w:r>
      </w:hyperlink>
    </w:p>
    <w:p w14:paraId="5AE591C0" w14:textId="77777777" w:rsidR="00F2621E" w:rsidRPr="00F2621E" w:rsidRDefault="00F2621E" w:rsidP="00F2621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327B" w:rsidRPr="00854E50" w14:paraId="6BBF6F05" w14:textId="77777777" w:rsidTr="00A902D2">
        <w:trPr>
          <w:trHeight w:val="355"/>
          <w:jc w:val="center"/>
        </w:trPr>
        <w:tc>
          <w:tcPr>
            <w:tcW w:w="8820" w:type="dxa"/>
            <w:tcBorders>
              <w:top w:val="nil"/>
              <w:left w:val="nil"/>
              <w:bottom w:val="nil"/>
              <w:right w:val="nil"/>
            </w:tcBorders>
            <w:shd w:val="clear" w:color="auto" w:fill="auto"/>
          </w:tcPr>
          <w:p w14:paraId="341560BF" w14:textId="77777777" w:rsidR="00A902D2" w:rsidRPr="00A902D2" w:rsidRDefault="00A902D2" w:rsidP="00A902D2">
            <w:pPr>
              <w:jc w:val="center"/>
              <w:rPr>
                <w:rFonts w:ascii="Arial" w:hAnsi="Arial"/>
                <w:b/>
                <w:bCs/>
                <w:sz w:val="28"/>
                <w:szCs w:val="28"/>
                <w:u w:val="single"/>
                <w:rtl/>
              </w:rPr>
            </w:pPr>
            <w:bookmarkStart w:id="3" w:name="LawTable_End"/>
            <w:bookmarkStart w:id="4" w:name="PsakDin" w:colFirst="0" w:colLast="0"/>
            <w:bookmarkEnd w:id="0"/>
            <w:bookmarkEnd w:id="3"/>
            <w:r w:rsidRPr="00A902D2">
              <w:rPr>
                <w:rFonts w:ascii="Arial" w:hAnsi="Arial"/>
                <w:b/>
                <w:bCs/>
                <w:sz w:val="28"/>
                <w:szCs w:val="28"/>
                <w:u w:val="single"/>
                <w:rtl/>
              </w:rPr>
              <w:t>גזר דין</w:t>
            </w:r>
          </w:p>
          <w:p w14:paraId="332D4BBD" w14:textId="77777777" w:rsidR="0003327B" w:rsidRPr="00A902D2" w:rsidRDefault="0003327B" w:rsidP="00A902D2">
            <w:pPr>
              <w:jc w:val="center"/>
              <w:rPr>
                <w:rFonts w:ascii="Arial" w:hAnsi="Arial"/>
                <w:bCs/>
                <w:u w:val="single"/>
                <w:rtl/>
              </w:rPr>
            </w:pPr>
          </w:p>
        </w:tc>
      </w:tr>
      <w:bookmarkEnd w:id="4"/>
    </w:tbl>
    <w:p w14:paraId="2A12F918" w14:textId="77777777" w:rsidR="0003327B" w:rsidRPr="00854E50" w:rsidRDefault="0003327B" w:rsidP="0003327B">
      <w:pPr>
        <w:jc w:val="both"/>
        <w:rPr>
          <w:rFonts w:ascii="Arial" w:hAnsi="Arial"/>
          <w:rtl/>
        </w:rPr>
      </w:pPr>
    </w:p>
    <w:p w14:paraId="34EAE550" w14:textId="77777777" w:rsidR="0003327B" w:rsidRPr="00854E50" w:rsidRDefault="0003327B" w:rsidP="0003327B">
      <w:pPr>
        <w:spacing w:line="360" w:lineRule="auto"/>
        <w:jc w:val="both"/>
        <w:rPr>
          <w:b/>
          <w:bCs/>
          <w:u w:val="single"/>
          <w:rtl/>
        </w:rPr>
      </w:pPr>
      <w:r w:rsidRPr="00854E50">
        <w:rPr>
          <w:b/>
          <w:bCs/>
          <w:u w:val="single"/>
          <w:rtl/>
        </w:rPr>
        <w:t>כללי</w:t>
      </w:r>
    </w:p>
    <w:p w14:paraId="326BEE81" w14:textId="77777777" w:rsidR="0003327B" w:rsidRPr="00854E50" w:rsidRDefault="0003327B" w:rsidP="0003327B">
      <w:pPr>
        <w:spacing w:line="360" w:lineRule="auto"/>
        <w:ind w:left="720" w:hanging="720"/>
        <w:jc w:val="both"/>
        <w:rPr>
          <w:rtl/>
        </w:rPr>
      </w:pPr>
      <w:r w:rsidRPr="00854E50">
        <w:rPr>
          <w:rtl/>
        </w:rPr>
        <w:t>1.</w:t>
      </w:r>
      <w:r w:rsidRPr="00854E50">
        <w:rPr>
          <w:rtl/>
        </w:rPr>
        <w:tab/>
      </w:r>
      <w:bookmarkStart w:id="5" w:name="ABSTRACT_START"/>
      <w:bookmarkEnd w:id="5"/>
      <w:r w:rsidRPr="00854E50">
        <w:rPr>
          <w:rtl/>
        </w:rPr>
        <w:t>הנאשם הובא לדין יחד עם שלושה אחרים. בטרם שמיעת הראיות, הגיעו הצדדים להסדר, במסגרתו הודה הנאשם בעובדות כתב האישום המתוקן שהוגש נגדו, שעיקריהן הם כדלהלן:</w:t>
      </w:r>
    </w:p>
    <w:p w14:paraId="71A9866E" w14:textId="77777777" w:rsidR="0003327B" w:rsidRPr="00854E50" w:rsidRDefault="0003327B" w:rsidP="0003327B">
      <w:pPr>
        <w:spacing w:line="360" w:lineRule="auto"/>
        <w:ind w:left="720"/>
        <w:jc w:val="both"/>
        <w:rPr>
          <w:rtl/>
        </w:rPr>
      </w:pPr>
      <w:r w:rsidRPr="00854E50">
        <w:rPr>
          <w:rtl/>
        </w:rPr>
        <w:t>במועד הרלוונטי לאירועים המתוארים בכתב האישום, יוסף אלעביד (להלן: "יוסף") שירת כחייל בשירות חובה בבסיס צה"ל בבא"פ דרום הסמוך לצאלים (להלן: "הבסיס"), ובינו לבין הנאשמים היתה היכרות מוקדמת. כשבוע לפני האירוע שיתואר להלן, יוסף קשר קשר עם הנאשם לגנוב מהבסיס רוס"ר מסוג "תבור" ולמכור אותו לאחרים תמורת 50,000 ₪. במסגרת הקשר ולשם קידומו, יוסף גנב מהבסיס רובה צה"לי מסוג "מיקרו תבור" עליו מורכבת כוונת צלפים "טרג'יקון", טעון במחסנית ובה 29 כדורי תחמושת 5.56 מ"מ (להלן: "הנשק"). בהמשך, הוא יצר קשר עם הנאשם ואמר לו להגיע לבסיס       ולקחת ממנו את הנשק, והנאשם הגיע ברכבו לקרבת גדר הבסיס, קיבל מיוסף את הנשק ונסע מהמקום. בהמשך, הנאשם החזיק את הנשק בתא המטען ברכבו.</w:t>
      </w:r>
    </w:p>
    <w:p w14:paraId="0F971350" w14:textId="77777777" w:rsidR="0003327B" w:rsidRPr="00854E50" w:rsidRDefault="0003327B" w:rsidP="0003327B">
      <w:pPr>
        <w:spacing w:line="360" w:lineRule="auto"/>
        <w:ind w:left="720"/>
        <w:jc w:val="both"/>
        <w:rPr>
          <w:rtl/>
        </w:rPr>
      </w:pPr>
      <w:bookmarkStart w:id="6" w:name="ABSTRACT_END"/>
      <w:bookmarkEnd w:id="6"/>
    </w:p>
    <w:p w14:paraId="31CCA686" w14:textId="77777777" w:rsidR="0003327B" w:rsidRPr="00854E50" w:rsidRDefault="0003327B" w:rsidP="0003327B">
      <w:pPr>
        <w:spacing w:line="360" w:lineRule="auto"/>
        <w:ind w:left="720"/>
        <w:jc w:val="both"/>
        <w:rPr>
          <w:rtl/>
        </w:rPr>
      </w:pPr>
      <w:r w:rsidRPr="00854E50">
        <w:rPr>
          <w:rtl/>
        </w:rPr>
        <w:t xml:space="preserve">במסגרת הקשר ולקידומו, בתאריך 23.10.14 גנב יוסף מהבסיס רובה נוסף, מסוג "מיקרו תבור" שעליו כוונת "מארס" (להלן: "הנשק הנוסף"). יוסף ניסה ליצור קשר עם הנאשם ומשלא הצליח, יצר קשר עם הנאשם 2 וביקש ממנו להגיע לקחת את הנשק הנוסף. בהתאם לכך, הנאשם 2 הגיע לבסיס, לקח את הנשק הנוסף מיוסף ונסע מהמקום, והנשק הנוסף נותר למשמורת בחזקתו. </w:t>
      </w:r>
    </w:p>
    <w:p w14:paraId="131D40F1" w14:textId="77777777" w:rsidR="0003327B" w:rsidRPr="00854E50" w:rsidRDefault="0003327B" w:rsidP="0003327B">
      <w:pPr>
        <w:spacing w:line="360" w:lineRule="auto"/>
        <w:ind w:left="720"/>
        <w:jc w:val="both"/>
        <w:rPr>
          <w:rtl/>
        </w:rPr>
      </w:pPr>
    </w:p>
    <w:p w14:paraId="6451245B" w14:textId="77777777" w:rsidR="0003327B" w:rsidRPr="00854E50" w:rsidRDefault="0003327B" w:rsidP="0003327B">
      <w:pPr>
        <w:spacing w:line="360" w:lineRule="auto"/>
        <w:ind w:left="720"/>
        <w:jc w:val="both"/>
        <w:rPr>
          <w:rtl/>
        </w:rPr>
      </w:pPr>
      <w:r w:rsidRPr="00854E50">
        <w:rPr>
          <w:rtl/>
        </w:rPr>
        <w:t>בהמשך לאמור, ובמסגרת הקשר שקשרו יוסף והנאשם, בתאריך 26.10.14 בשעות הצהריים, הגיע יוסף מהבסיס לרהט ונפגש עם הנאשם כדי לאתר רוכשים לשני כלי הנשק. במהלך הערב, נסעו הנאשם ויוסף ברכב כשהם מובילים עמם את הנשק</w:t>
      </w:r>
      <w:r>
        <w:rPr>
          <w:rtl/>
        </w:rPr>
        <w:t>, אספו את הנשק הנוסף מהנאשם 2 ,</w:t>
      </w:r>
      <w:r w:rsidRPr="00854E50">
        <w:rPr>
          <w:rtl/>
        </w:rPr>
        <w:t xml:space="preserve">ונסעו ברחובות רהט, כשהנשקים ברשותם. הנאשם שוחח עם מספר אחרים שהתעניינו ברכישת כלי הנשק ולאחר שהנאשם  ויוסף לא מצאו רוכש מתאים, הם הגיעו לביתו של הנאשם 3 ברהט ומסרו לחזקתו את שני כלי הנשק, על מנת שישמור אותם עבורם. לאחר זמן קצר, הנאשם קיבל הצעה כספית לרכישת אחד מכלי הנשק, והוא ויוסף לקחו את הנשק הנוסף מהנאשם 3 ונסעו עם הנשק הנוסף ברכב על מנת למכרו לאחר. בלשי מג"ב דרום שהיו באותה העת בפעילות משטרתית יזומה, עצרו את הרכב, תפסו את הנשק הנוסף ועצרו את יוסף ואת הנאשם. בהמשך לכך, הנאשם 3 הבחין בתנועת כלי רכב משטרתיים ערה בסביבת ביתו, נטל את הנשק, עטף אותו בבד, הגיע במהירות לביתו של הנאשם 4, מסר לו את הנשק וביקש ממנו שישמור עליו. הנאשם 4 הניח את הנשק בתוך שק והחביא אותו במחסן הסמוך לביתו. בהמשך לכך, יוסף הוביל את בלשי המשטרה לביתו של הנאשם 3 והורה לו למסור לידיהם את הנשק הנוסף. והנאשם 3 הוביל את הבלשים לביתו של הנאשם 4, הנשק הנוסף נתפס על ידי הבלשים, והנאשמים 3 ו-4 נעצרו. </w:t>
      </w:r>
    </w:p>
    <w:p w14:paraId="17ECA9DA" w14:textId="77777777" w:rsidR="0003327B" w:rsidRPr="00854E50" w:rsidRDefault="0003327B" w:rsidP="0003327B">
      <w:pPr>
        <w:spacing w:line="360" w:lineRule="auto"/>
        <w:ind w:left="720"/>
        <w:jc w:val="both"/>
      </w:pPr>
    </w:p>
    <w:p w14:paraId="6D3CCE29" w14:textId="77777777" w:rsidR="0003327B" w:rsidRPr="00854E50" w:rsidRDefault="0003327B" w:rsidP="0003327B">
      <w:pPr>
        <w:spacing w:line="360" w:lineRule="auto"/>
        <w:ind w:left="720" w:hanging="720"/>
        <w:jc w:val="both"/>
        <w:rPr>
          <w:rtl/>
        </w:rPr>
      </w:pPr>
      <w:r w:rsidRPr="00854E50">
        <w:rPr>
          <w:rtl/>
        </w:rPr>
        <w:t>2.</w:t>
      </w:r>
      <w:r w:rsidRPr="00854E50">
        <w:rPr>
          <w:rtl/>
        </w:rPr>
        <w:tab/>
        <w:t xml:space="preserve">על יסוד הודאת הנאשם בעובדות כתב האישום המתוקן כאמור, הוא הורשע בעבירות של קשירת קשר לביצוע פשע, לפי </w:t>
      </w:r>
      <w:hyperlink r:id="rId14" w:history="1">
        <w:r w:rsidR="00F2621E" w:rsidRPr="00F2621E">
          <w:rPr>
            <w:color w:val="0000FF"/>
            <w:u w:val="single"/>
            <w:rtl/>
          </w:rPr>
          <w:t>סעיף 499(א)(1)</w:t>
        </w:r>
      </w:hyperlink>
      <w:r w:rsidRPr="00854E50">
        <w:rPr>
          <w:rtl/>
        </w:rPr>
        <w:t xml:space="preserve"> ל</w:t>
      </w:r>
      <w:hyperlink r:id="rId15" w:history="1">
        <w:r w:rsidR="00A902D2" w:rsidRPr="00A902D2">
          <w:rPr>
            <w:color w:val="0000FF"/>
            <w:u w:val="single"/>
            <w:rtl/>
          </w:rPr>
          <w:t>חוק העונשין</w:t>
        </w:r>
      </w:hyperlink>
      <w:r w:rsidRPr="00854E50">
        <w:rPr>
          <w:rtl/>
        </w:rPr>
        <w:t xml:space="preserve"> תשל"ז-1977 (להלן: "חוק העונשין"); נשיאה והובלת נשק (שתי עבירות), לפי </w:t>
      </w:r>
      <w:hyperlink r:id="rId16" w:history="1">
        <w:r w:rsidR="00F2621E" w:rsidRPr="00F2621E">
          <w:rPr>
            <w:color w:val="0000FF"/>
            <w:u w:val="single"/>
            <w:rtl/>
          </w:rPr>
          <w:t>סעיף 144(ב)</w:t>
        </w:r>
      </w:hyperlink>
      <w:r w:rsidRPr="00854E50">
        <w:rPr>
          <w:rtl/>
        </w:rPr>
        <w:t xml:space="preserve"> רישא וסיפא לחוק העונשין; החזקת נשק (שתי עבירות), לפי </w:t>
      </w:r>
      <w:hyperlink r:id="rId17" w:history="1">
        <w:r w:rsidR="00F2621E" w:rsidRPr="00F2621E">
          <w:rPr>
            <w:color w:val="0000FF"/>
            <w:u w:val="single"/>
            <w:rtl/>
          </w:rPr>
          <w:t>סעיף 144(א)</w:t>
        </w:r>
      </w:hyperlink>
      <w:r w:rsidRPr="00854E50">
        <w:rPr>
          <w:rtl/>
        </w:rPr>
        <w:t xml:space="preserve"> רישא וסיפא לחוק העונשין; גניבה, לפי </w:t>
      </w:r>
      <w:hyperlink r:id="rId18" w:history="1">
        <w:r w:rsidR="00F2621E" w:rsidRPr="00F2621E">
          <w:rPr>
            <w:color w:val="0000FF"/>
            <w:u w:val="single"/>
            <w:rtl/>
          </w:rPr>
          <w:t>סעיף 384</w:t>
        </w:r>
      </w:hyperlink>
      <w:r w:rsidRPr="00854E50">
        <w:rPr>
          <w:rtl/>
        </w:rPr>
        <w:t xml:space="preserve"> לחוק העונשין; וניסיון לסחר בנשק, לפי </w:t>
      </w:r>
      <w:hyperlink r:id="rId19" w:history="1">
        <w:r w:rsidR="00F2621E" w:rsidRPr="00F2621E">
          <w:rPr>
            <w:color w:val="0000FF"/>
            <w:u w:val="single"/>
            <w:rtl/>
          </w:rPr>
          <w:t>סעיף 144(ב2)</w:t>
        </w:r>
      </w:hyperlink>
      <w:r w:rsidRPr="00854E50">
        <w:rPr>
          <w:rtl/>
        </w:rPr>
        <w:t xml:space="preserve"> לחוק בצירוף </w:t>
      </w:r>
      <w:hyperlink r:id="rId20" w:history="1">
        <w:r w:rsidR="00F2621E" w:rsidRPr="00F2621E">
          <w:rPr>
            <w:color w:val="0000FF"/>
            <w:u w:val="single"/>
            <w:rtl/>
          </w:rPr>
          <w:t>סעיף 25</w:t>
        </w:r>
      </w:hyperlink>
      <w:r w:rsidRPr="00854E50">
        <w:rPr>
          <w:rtl/>
        </w:rPr>
        <w:t xml:space="preserve"> לחוק העונשין.</w:t>
      </w:r>
    </w:p>
    <w:p w14:paraId="50BDDD0D" w14:textId="77777777" w:rsidR="0003327B" w:rsidRPr="00854E50" w:rsidRDefault="0003327B" w:rsidP="0003327B">
      <w:pPr>
        <w:spacing w:line="360" w:lineRule="auto"/>
        <w:jc w:val="both"/>
        <w:rPr>
          <w:rtl/>
        </w:rPr>
      </w:pPr>
    </w:p>
    <w:p w14:paraId="1ED613C4" w14:textId="77777777" w:rsidR="0003327B" w:rsidRPr="00854E50" w:rsidRDefault="0003327B" w:rsidP="0003327B">
      <w:pPr>
        <w:spacing w:line="360" w:lineRule="auto"/>
        <w:ind w:left="720" w:hanging="720"/>
        <w:jc w:val="both"/>
        <w:rPr>
          <w:rtl/>
        </w:rPr>
      </w:pPr>
      <w:r w:rsidRPr="00854E50">
        <w:rPr>
          <w:rtl/>
        </w:rPr>
        <w:t>3.</w:t>
      </w:r>
      <w:r w:rsidRPr="00854E50">
        <w:rPr>
          <w:rtl/>
        </w:rPr>
        <w:tab/>
        <w:t xml:space="preserve">הסדר הטיעון לא כלל הסכמה לעניין העונש. לבקשת הנאשם ובהסכמת התביעה, שירות המבחן התבקש לערוך תסקיר על הנאשם. </w:t>
      </w:r>
    </w:p>
    <w:p w14:paraId="15C10A17" w14:textId="77777777" w:rsidR="0003327B" w:rsidRPr="00854E50" w:rsidRDefault="0003327B" w:rsidP="0003327B">
      <w:pPr>
        <w:spacing w:line="360" w:lineRule="auto"/>
        <w:ind w:left="720" w:hanging="720"/>
        <w:jc w:val="both"/>
        <w:rPr>
          <w:rtl/>
        </w:rPr>
      </w:pPr>
    </w:p>
    <w:p w14:paraId="29ACDD90" w14:textId="77777777" w:rsidR="0003327B" w:rsidRDefault="0003327B" w:rsidP="0003327B">
      <w:pPr>
        <w:spacing w:line="360" w:lineRule="auto"/>
        <w:ind w:left="720" w:hanging="720"/>
        <w:jc w:val="both"/>
        <w:rPr>
          <w:b/>
          <w:bCs/>
          <w:u w:val="single"/>
          <w:rtl/>
        </w:rPr>
      </w:pPr>
      <w:r w:rsidRPr="00854E50">
        <w:rPr>
          <w:b/>
          <w:bCs/>
          <w:u w:val="single"/>
          <w:rtl/>
        </w:rPr>
        <w:t>תסקירי שירות המבחן</w:t>
      </w:r>
    </w:p>
    <w:p w14:paraId="67BCA28B" w14:textId="77777777" w:rsidR="0003327B" w:rsidRPr="00854E50" w:rsidRDefault="0003327B" w:rsidP="0003327B">
      <w:pPr>
        <w:spacing w:line="360" w:lineRule="auto"/>
        <w:ind w:left="720" w:hanging="720"/>
        <w:jc w:val="both"/>
        <w:rPr>
          <w:b/>
          <w:bCs/>
          <w:u w:val="single"/>
          <w:rtl/>
        </w:rPr>
      </w:pPr>
    </w:p>
    <w:p w14:paraId="4AB4A867" w14:textId="77777777" w:rsidR="0003327B" w:rsidRPr="00854E50" w:rsidRDefault="0003327B" w:rsidP="0003327B">
      <w:pPr>
        <w:spacing w:line="360" w:lineRule="auto"/>
        <w:jc w:val="both"/>
        <w:rPr>
          <w:rtl/>
        </w:rPr>
      </w:pPr>
      <w:r w:rsidRPr="00854E50">
        <w:rPr>
          <w:rtl/>
        </w:rPr>
        <w:tab/>
        <w:t>שירות המבחן הגיש תסקירים על הנאשם, מהם עולים הדברים הבאים-</w:t>
      </w:r>
    </w:p>
    <w:p w14:paraId="0FAD6591" w14:textId="77777777" w:rsidR="0003327B" w:rsidRPr="00854E50" w:rsidRDefault="0003327B" w:rsidP="0003327B">
      <w:pPr>
        <w:spacing w:line="360" w:lineRule="auto"/>
        <w:jc w:val="both"/>
        <w:rPr>
          <w:rtl/>
        </w:rPr>
      </w:pPr>
    </w:p>
    <w:p w14:paraId="0A1E1F9B" w14:textId="77777777" w:rsidR="0003327B" w:rsidRPr="00854E50" w:rsidRDefault="0003327B" w:rsidP="0003327B">
      <w:pPr>
        <w:spacing w:line="360" w:lineRule="auto"/>
        <w:ind w:left="720"/>
        <w:jc w:val="both"/>
        <w:rPr>
          <w:rtl/>
        </w:rPr>
      </w:pPr>
      <w:r w:rsidRPr="00854E50">
        <w:rPr>
          <w:rtl/>
        </w:rPr>
        <w:t xml:space="preserve">הנאשם בן 21, רווק. נעדר עבר פלילי. שהה כארבעה חודשים במעצר. טרם מעצרו עבד במסעדה בתל אביב כטבח והתגורר לסירוגין בבית הוריו בחורה ובדירת שותפים בתל אביב. סיים 12 שנות לימוד בחורה. תיאר תפקוד תקין במסגרת הלימודית. שלל בעיות או קשיים במסגרת ושלל אירועים חריגים בילדותו. למד כשנה במכללה הקהילתית בבאר- שבע, </w:t>
      </w:r>
      <w:r w:rsidRPr="00854E50">
        <w:rPr>
          <w:rtl/>
        </w:rPr>
        <w:lastRenderedPageBreak/>
        <w:t xml:space="preserve">והפסיק את לימודיו בעקבות מעברו לתל אביב. תיאר כי בתקופה זו (2013) נחשף בהדרגה להתנהגות שולית וסביבה המעודדת נורמות של התנהגות פורצת גבול ושימוש באלכוהול וסמים, ובהמשך, בחודשים שקדמו למעצרו, תאר אורח חיים שולי והתמכרותי, תוך שימוש יומיומי במגוון סמים ובאלכוהול. </w:t>
      </w:r>
    </w:p>
    <w:p w14:paraId="40AF2C10" w14:textId="77777777" w:rsidR="0003327B" w:rsidRPr="00854E50" w:rsidRDefault="0003327B" w:rsidP="0003327B">
      <w:pPr>
        <w:spacing w:line="360" w:lineRule="auto"/>
        <w:ind w:left="720"/>
        <w:jc w:val="both"/>
        <w:rPr>
          <w:rtl/>
        </w:rPr>
      </w:pPr>
    </w:p>
    <w:p w14:paraId="1B3A48D7" w14:textId="77777777" w:rsidR="0003327B" w:rsidRPr="00854E50" w:rsidRDefault="0003327B" w:rsidP="0003327B">
      <w:pPr>
        <w:spacing w:line="360" w:lineRule="auto"/>
        <w:ind w:left="720"/>
        <w:jc w:val="both"/>
        <w:rPr>
          <w:rtl/>
        </w:rPr>
      </w:pPr>
      <w:r w:rsidRPr="00854E50">
        <w:rPr>
          <w:rtl/>
        </w:rPr>
        <w:t xml:space="preserve">ביחס לעבירות, טען, כי היה מודע לחומרתן, והסביר את התנהגותו כנובעת מן הצורך לממן את הסמים שצרך, מסוג קריסטל והרואין, ותחת השפעת הדחף לסם. הוא הביע צער וחרטה על ביצוע העבירות ושירות המבחן התרשם כי הוא מגלה הבנה ראשונית לנזק שיכל להיגרם לאחרים ולסיכון הכרוך בהתנהגותו העבריינית. </w:t>
      </w:r>
    </w:p>
    <w:p w14:paraId="26093095" w14:textId="77777777" w:rsidR="0003327B" w:rsidRPr="00854E50" w:rsidRDefault="0003327B" w:rsidP="0003327B">
      <w:pPr>
        <w:spacing w:line="360" w:lineRule="auto"/>
        <w:ind w:left="720"/>
        <w:jc w:val="both"/>
        <w:rPr>
          <w:rtl/>
        </w:rPr>
      </w:pPr>
    </w:p>
    <w:p w14:paraId="49997AC0" w14:textId="77777777" w:rsidR="0003327B" w:rsidRPr="00854E50" w:rsidRDefault="0003327B" w:rsidP="0003327B">
      <w:pPr>
        <w:spacing w:line="360" w:lineRule="auto"/>
        <w:ind w:left="720"/>
        <w:jc w:val="both"/>
        <w:rPr>
          <w:rtl/>
        </w:rPr>
      </w:pPr>
      <w:r w:rsidRPr="00854E50">
        <w:rPr>
          <w:rtl/>
        </w:rPr>
        <w:t xml:space="preserve">אשר לצריכת האלכוהול והסמים, הנאשם תיאר כי החל בצריכה של אלכוהול בגיל 18 בנסיבות חברתיות ובהדרגה הגביר את צריכתו. עם מעברו לתל אביב צרך אלכוהול בתדירות יומיומית ובכמויות גדולות. בגיל 20 החל לצרוך סמים מסוג קנאביס ובהמשך החל להתנסות במגוון סמים מסוג קריסטל והרואין. במקביל החל מעורבות בפלילים, לצורך קניית הסמים, לרבות חוסר יציבות תפקודית ומעורבות עבריינית. לדבריו, לאחר מעצרו, נגמל באופן עצמאי ומזה כ- 7 חודשים לא צרך סמים או אלכוהול. עם זאת ציין כי ממשיך להתמודד עם רצונו לחזור ולצרוך סמים, ומגלה נכונות ומוטיבציה ראשונית לטיפול אינטנסיבי וממושך. </w:t>
      </w:r>
    </w:p>
    <w:p w14:paraId="2007018D" w14:textId="77777777" w:rsidR="0003327B" w:rsidRPr="00854E50" w:rsidRDefault="0003327B" w:rsidP="0003327B">
      <w:pPr>
        <w:spacing w:line="360" w:lineRule="auto"/>
        <w:ind w:left="720"/>
        <w:jc w:val="both"/>
        <w:rPr>
          <w:rtl/>
        </w:rPr>
      </w:pPr>
    </w:p>
    <w:p w14:paraId="47D343FB" w14:textId="77777777" w:rsidR="0003327B" w:rsidRPr="00854E50" w:rsidRDefault="0003327B" w:rsidP="0003327B">
      <w:pPr>
        <w:spacing w:line="360" w:lineRule="auto"/>
        <w:ind w:left="720"/>
        <w:jc w:val="both"/>
        <w:rPr>
          <w:rtl/>
        </w:rPr>
      </w:pPr>
      <w:r w:rsidRPr="00854E50">
        <w:rPr>
          <w:rtl/>
        </w:rPr>
        <w:t xml:space="preserve">שירות המבחן ציין כי מזה שנה וחצי ניהל הנאשם אורח חיים בלתי יציב שכלל כאמור התנהגות עבריינית, שהתאפיינה באימפולסיביות, קושי בהצבת גבולות פנימיים להתנהגותו וקשיים בוויסות דחפים כפי שבא לידי ביטוי בהתמכרותו לסמים והתנהגותו בביצוע העבירות. והעריך כי בהיעדר טיפול אינטנסיבי בעל גבולות ברורים, הנאשם נמצא בסיכון משמעותי להישנות התנהגות פורצת חוק. </w:t>
      </w:r>
    </w:p>
    <w:p w14:paraId="0EE3D226" w14:textId="77777777" w:rsidR="0003327B" w:rsidRPr="00854E50" w:rsidRDefault="0003327B" w:rsidP="0003327B">
      <w:pPr>
        <w:spacing w:line="360" w:lineRule="auto"/>
        <w:ind w:left="720"/>
        <w:jc w:val="both"/>
        <w:rPr>
          <w:rtl/>
        </w:rPr>
      </w:pPr>
    </w:p>
    <w:p w14:paraId="5501A6BD" w14:textId="77777777" w:rsidR="0003327B" w:rsidRPr="00854E50" w:rsidRDefault="0003327B" w:rsidP="0003327B">
      <w:pPr>
        <w:spacing w:line="360" w:lineRule="auto"/>
        <w:ind w:left="720"/>
        <w:jc w:val="both"/>
        <w:rPr>
          <w:rtl/>
        </w:rPr>
      </w:pPr>
      <w:r w:rsidRPr="00854E50">
        <w:rPr>
          <w:rtl/>
        </w:rPr>
        <w:t xml:space="preserve">לאור האמור, הומלץ לדחות את הדיון ב- 3 חודשים במהלכם ישולב הנאשם בקהילה הטיפולית מלכישוע. </w:t>
      </w:r>
    </w:p>
    <w:p w14:paraId="3B667D92" w14:textId="77777777" w:rsidR="0003327B" w:rsidRPr="00854E50" w:rsidRDefault="0003327B" w:rsidP="0003327B">
      <w:pPr>
        <w:spacing w:line="360" w:lineRule="auto"/>
        <w:ind w:left="720"/>
        <w:jc w:val="both"/>
        <w:rPr>
          <w:rtl/>
        </w:rPr>
      </w:pPr>
    </w:p>
    <w:p w14:paraId="65EC2CDE" w14:textId="77777777" w:rsidR="0003327B" w:rsidRPr="00854E50" w:rsidRDefault="0003327B" w:rsidP="0003327B">
      <w:pPr>
        <w:spacing w:line="360" w:lineRule="auto"/>
        <w:ind w:left="720"/>
        <w:jc w:val="both"/>
        <w:rPr>
          <w:rtl/>
        </w:rPr>
      </w:pPr>
      <w:r w:rsidRPr="00854E50">
        <w:rPr>
          <w:b/>
          <w:bCs/>
          <w:rtl/>
        </w:rPr>
        <w:t>בתסקיר מיום 16.12.15</w:t>
      </w:r>
      <w:r w:rsidRPr="00854E50">
        <w:rPr>
          <w:rtl/>
        </w:rPr>
        <w:t xml:space="preserve"> צוין, כי הנאשם מטופל במלכישוע מזה כשלושה חודשים. בשיחה עמו התמקד בהליך הטיפולי האינטנסיבי, הביע סיפוק נוכח התמדתו בטיפול והביע נכונות להמשיך במסגרת.</w:t>
      </w:r>
    </w:p>
    <w:p w14:paraId="308230E4" w14:textId="77777777" w:rsidR="0003327B" w:rsidRPr="00854E50" w:rsidRDefault="0003327B" w:rsidP="0003327B">
      <w:pPr>
        <w:spacing w:line="360" w:lineRule="auto"/>
        <w:ind w:left="720"/>
        <w:jc w:val="both"/>
        <w:rPr>
          <w:rtl/>
        </w:rPr>
      </w:pPr>
      <w:r w:rsidRPr="00854E50">
        <w:rPr>
          <w:rtl/>
        </w:rPr>
        <w:t xml:space="preserve">מדיווח גורמי הטיפול עולה, כי הנאשם משתף פעולה, עומד בזמנים ומתנהג על פי הנחיות הצוות ובהתאם לכללי הקהילה. ניכר כי הוא מגויס להליך הטיפולי ומעוניין לשנות את הרגלי חייו. מדבר בפתיחות, משתף באופן פעיל ומביע רגשותיו ודעותיו. הומלץ לדחות את הדיון בשלושה חודשים נוספים על מנת לבחון המשך השתלבותו בטיפול. </w:t>
      </w:r>
    </w:p>
    <w:p w14:paraId="0D9A786B" w14:textId="77777777" w:rsidR="0003327B" w:rsidRPr="00854E50" w:rsidRDefault="0003327B" w:rsidP="0003327B">
      <w:pPr>
        <w:spacing w:line="360" w:lineRule="auto"/>
        <w:ind w:left="720"/>
        <w:jc w:val="both"/>
        <w:rPr>
          <w:rtl/>
        </w:rPr>
      </w:pPr>
    </w:p>
    <w:p w14:paraId="7A0A4F53" w14:textId="77777777" w:rsidR="0003327B" w:rsidRPr="00854E50" w:rsidRDefault="0003327B" w:rsidP="0003327B">
      <w:pPr>
        <w:spacing w:line="360" w:lineRule="auto"/>
        <w:ind w:left="720"/>
        <w:jc w:val="both"/>
        <w:rPr>
          <w:rtl/>
        </w:rPr>
      </w:pPr>
      <w:r w:rsidRPr="00854E50">
        <w:rPr>
          <w:b/>
          <w:bCs/>
          <w:rtl/>
        </w:rPr>
        <w:t>בתסקיר מיום 23.03.16</w:t>
      </w:r>
      <w:r w:rsidRPr="00854E50">
        <w:rPr>
          <w:rtl/>
        </w:rPr>
        <w:t xml:space="preserve"> צוין, כי הנאשם מטופל במלכישוע מזה כחצי שנה. בשיחה עמו המשיך להביע סיפוק נוכח התמדתו בטיפול, שיתף כי נתרם מהטיפול, והביע נכונות להמשיך במסגרת.</w:t>
      </w:r>
    </w:p>
    <w:p w14:paraId="789214AA" w14:textId="77777777" w:rsidR="0003327B" w:rsidRPr="00854E50" w:rsidRDefault="0003327B" w:rsidP="0003327B">
      <w:pPr>
        <w:spacing w:line="360" w:lineRule="auto"/>
        <w:ind w:left="720"/>
        <w:jc w:val="both"/>
        <w:rPr>
          <w:rtl/>
        </w:rPr>
      </w:pPr>
      <w:r w:rsidRPr="00854E50">
        <w:rPr>
          <w:rtl/>
        </w:rPr>
        <w:t xml:space="preserve">מדיווח גורמי הטיפול עולה, כי הנאשם ממשיך לשתף פעולה, עומד בזמנים מתנהג באחריות ומשמש דמות מובילה בקהילה. והתחזקה התרשמותם כי הוא מעוניין לשנות את הרגלי חייו. במסגרת הטיפול הפרטני, ממשיך לשתף בחולשותיו, ובטיפול הקבוצתי משתף באופן פעיל ומביע את רגשותיו ודעותיו. שירות המבחן התרשם כי חל שינוי והעמקה ביכולתו של הנאשם להתבונן על חומרת מעשיו ועל הנזק שיכל להיגרם לאחרים, כמו גם הסיכון הכרוך בהתנהגותו העבריינית בתקופת ביצוע העבירות, וכי הנאשם ממוקד בהליך הטיפולי ועורך מאמצים רבים לשקם את חייו. </w:t>
      </w:r>
    </w:p>
    <w:p w14:paraId="172FC528" w14:textId="77777777" w:rsidR="0003327B" w:rsidRPr="00854E50" w:rsidRDefault="0003327B" w:rsidP="0003327B">
      <w:pPr>
        <w:spacing w:line="360" w:lineRule="auto"/>
        <w:ind w:left="720"/>
        <w:jc w:val="both"/>
        <w:rPr>
          <w:rtl/>
        </w:rPr>
      </w:pPr>
      <w:r w:rsidRPr="00854E50">
        <w:rPr>
          <w:rtl/>
        </w:rPr>
        <w:t>הומלץ לדחות את הדיון בעניינו בשלושה חודשים נוספים על מנת לבחון המשך השתלבותו בטיפול.</w:t>
      </w:r>
    </w:p>
    <w:p w14:paraId="1EAB4BB3" w14:textId="77777777" w:rsidR="0003327B" w:rsidRPr="00854E50" w:rsidRDefault="0003327B" w:rsidP="0003327B">
      <w:pPr>
        <w:spacing w:line="360" w:lineRule="auto"/>
        <w:ind w:left="720"/>
        <w:jc w:val="both"/>
        <w:rPr>
          <w:rtl/>
        </w:rPr>
      </w:pPr>
    </w:p>
    <w:p w14:paraId="2C83E666" w14:textId="77777777" w:rsidR="0003327B" w:rsidRPr="00854E50" w:rsidRDefault="0003327B" w:rsidP="0003327B">
      <w:pPr>
        <w:spacing w:line="360" w:lineRule="auto"/>
        <w:ind w:left="720"/>
        <w:jc w:val="both"/>
        <w:rPr>
          <w:rtl/>
        </w:rPr>
      </w:pPr>
      <w:r w:rsidRPr="00854E50">
        <w:rPr>
          <w:b/>
          <w:bCs/>
          <w:rtl/>
        </w:rPr>
        <w:t>בתסקיר מיום 03.07.16</w:t>
      </w:r>
      <w:r w:rsidRPr="00854E50">
        <w:rPr>
          <w:rtl/>
        </w:rPr>
        <w:t xml:space="preserve"> צוין, כי הנאשם מטופל במלכישוע מזה כ- 9 חודשים. בשיחה עמו המשיך להביע סיפוק נוכח התמדתו בטיפול, שיתף כי נתרם מהטיפול, והביע נכונות להמשיך במסגרת.</w:t>
      </w:r>
    </w:p>
    <w:p w14:paraId="5B2A9EC2" w14:textId="77777777" w:rsidR="0003327B" w:rsidRPr="00854E50" w:rsidRDefault="0003327B" w:rsidP="0003327B">
      <w:pPr>
        <w:spacing w:line="360" w:lineRule="auto"/>
        <w:ind w:left="720"/>
        <w:jc w:val="both"/>
        <w:rPr>
          <w:rtl/>
        </w:rPr>
      </w:pPr>
      <w:r w:rsidRPr="00854E50">
        <w:rPr>
          <w:rtl/>
        </w:rPr>
        <w:t xml:space="preserve">מדיווח גורמי הטיפול עולה, כי הנאשם נמצא בשלב המתקדם במסגרת. ממשיך לשתף פעולה, עומד בזמנים מתנהג באחריות ומשמש דמות מובילה בקהילה. מתוקף תפקידו במסגרת, הוא נדרש לקחת אחריות על תפקודם של אחרים וניכר כי בעקבות תפקיד זה הוא נתון ללחצים ולעיתים מגיב בתוקפנות ואימפולסיביות. לצד זאת בולט כי רמת המודעות שלו להתנהגותו עולה באופן הדרגתי ובהתאם הוא לומד לשנות את תגובותיו.   צוין, כי במסגרת הטיפול הפרטני, ממשיך לשתף בחולשותיו, ובטיפול הקבוצתי משתף באופן פעיל ומביע את רגשותיו ודעותיו. והתחזקה התרשמותם כי הוא מעוניין לשנות את הרגלי חייו. </w:t>
      </w:r>
    </w:p>
    <w:p w14:paraId="0D19722A" w14:textId="77777777" w:rsidR="0003327B" w:rsidRPr="00854E50" w:rsidRDefault="0003327B" w:rsidP="0003327B">
      <w:pPr>
        <w:spacing w:line="360" w:lineRule="auto"/>
        <w:ind w:left="720"/>
        <w:jc w:val="both"/>
        <w:rPr>
          <w:rtl/>
        </w:rPr>
      </w:pPr>
    </w:p>
    <w:p w14:paraId="243D6823" w14:textId="77777777" w:rsidR="0003327B" w:rsidRPr="00854E50" w:rsidRDefault="0003327B" w:rsidP="0003327B">
      <w:pPr>
        <w:spacing w:line="360" w:lineRule="auto"/>
        <w:ind w:left="720"/>
        <w:jc w:val="both"/>
        <w:rPr>
          <w:rtl/>
        </w:rPr>
      </w:pPr>
      <w:r w:rsidRPr="00854E50">
        <w:rPr>
          <w:rtl/>
        </w:rPr>
        <w:t>שירות המבחן חזר על התרשמותו והמליץ לדחות את הדיון בעניינו בשלושה חודשים נוספים על מנת לבחון המשך השתלבותו בטיפול.</w:t>
      </w:r>
    </w:p>
    <w:p w14:paraId="62D0C700" w14:textId="77777777" w:rsidR="0003327B" w:rsidRPr="00854E50" w:rsidRDefault="0003327B" w:rsidP="0003327B">
      <w:pPr>
        <w:spacing w:line="360" w:lineRule="auto"/>
        <w:ind w:left="720"/>
        <w:jc w:val="both"/>
        <w:rPr>
          <w:rtl/>
        </w:rPr>
      </w:pPr>
    </w:p>
    <w:p w14:paraId="7E6F455B" w14:textId="77777777" w:rsidR="0003327B" w:rsidRPr="00854E50" w:rsidRDefault="0003327B" w:rsidP="0003327B">
      <w:pPr>
        <w:spacing w:line="360" w:lineRule="auto"/>
        <w:ind w:left="720"/>
        <w:jc w:val="both"/>
        <w:rPr>
          <w:rtl/>
        </w:rPr>
      </w:pPr>
      <w:r w:rsidRPr="00854E50">
        <w:rPr>
          <w:b/>
          <w:bCs/>
          <w:rtl/>
        </w:rPr>
        <w:t>בתסקיר מיום 27.09.16</w:t>
      </w:r>
      <w:r w:rsidRPr="00854E50">
        <w:rPr>
          <w:rtl/>
        </w:rPr>
        <w:t xml:space="preserve"> צוין, כי הנאשם מטופל במלכישוע מזה כשנה. בשיחה עמו המשיך להביע סיפוק נוכח התמדתו בטיפול, שיתף כי נתרם מהטיפול, והביע נכונות להמשיך במסגרת. התייחס להתנהגותו פורצת הגבול בעת ביצוע העבירה באופן ביקורתי ושקול, גילה יכולת להתבוננות משמעותית והבנה של חומרת מעשיו והנזק שנגרם לחברה כתוצאה מכך והביע נכונות לשאת בתוצאות מעשיו. ציין, כי כחלק מהשלב האחרון בתוכנית השיקום, עבר להתגורר בהוסטל בעפולה, המנוהל על ידי גורמי הטיפול בקהילה, והחל לעבוד במשרה מלאה כמסגר. במקביל החל לפעול להסדרת חובותיו מול הבנק ודיווח על רצונו להירשם בהמשך ללמודים אקדמיים ולהתייצב תעסוקתית. שיתף כי העתיק מגוריו לצפון הארץ על מנת להימנע מחזרה לסביבת ילדותו. </w:t>
      </w:r>
    </w:p>
    <w:p w14:paraId="0DC4A5A7" w14:textId="77777777" w:rsidR="0003327B" w:rsidRPr="00854E50" w:rsidRDefault="0003327B" w:rsidP="0003327B">
      <w:pPr>
        <w:spacing w:line="360" w:lineRule="auto"/>
        <w:ind w:left="720"/>
        <w:jc w:val="both"/>
        <w:rPr>
          <w:rtl/>
        </w:rPr>
      </w:pPr>
    </w:p>
    <w:p w14:paraId="4C13B93B" w14:textId="77777777" w:rsidR="0003327B" w:rsidRPr="00854E50" w:rsidRDefault="0003327B" w:rsidP="0003327B">
      <w:pPr>
        <w:spacing w:line="360" w:lineRule="auto"/>
        <w:ind w:left="720"/>
        <w:jc w:val="both"/>
        <w:rPr>
          <w:rtl/>
        </w:rPr>
      </w:pPr>
      <w:r w:rsidRPr="00854E50">
        <w:rPr>
          <w:rtl/>
        </w:rPr>
        <w:t xml:space="preserve">מחוות דעת עדכנית מסכמת עולה, כי במהלך החודשים האחרונים חלה התקדמות משמעותית נוספת בהתנהלותו של הנאשם. הוא שימש תקופה ארוכה בתפקידי ניהול ותיאום של תחומי עבודה בקהילה ונדרש לאחריות, התנהלות אסרטיבית ועמידה בגבולות. לאחרונה החל לבנות את חייו העצמאיים מחוץ לקהילה והראה רצינות ומחויבות להשתלבות תעסוקתית. בנוסף, בתאריך 05.09.16 סיים בהצלחה את הטיפול בקהילה ועבר להתגורר בהוסטל בעפולה. ההשתתפות בהוסטל אורכת כחצי שנה ובמסגרתה ממשיך הנאשם בטיפול הפרטני והקבוצתי. </w:t>
      </w:r>
    </w:p>
    <w:p w14:paraId="2BB5E3CD" w14:textId="77777777" w:rsidR="0003327B" w:rsidRPr="00854E50" w:rsidRDefault="0003327B" w:rsidP="0003327B">
      <w:pPr>
        <w:spacing w:line="360" w:lineRule="auto"/>
        <w:ind w:left="720"/>
        <w:jc w:val="both"/>
        <w:rPr>
          <w:rtl/>
        </w:rPr>
      </w:pPr>
    </w:p>
    <w:p w14:paraId="7BF1015E" w14:textId="77777777" w:rsidR="0003327B" w:rsidRPr="00854E50" w:rsidRDefault="0003327B" w:rsidP="0003327B">
      <w:pPr>
        <w:spacing w:line="360" w:lineRule="auto"/>
        <w:ind w:left="720"/>
        <w:jc w:val="both"/>
        <w:rPr>
          <w:rtl/>
        </w:rPr>
      </w:pPr>
      <w:r w:rsidRPr="00854E50">
        <w:rPr>
          <w:rtl/>
        </w:rPr>
        <w:t xml:space="preserve">שירות המבחן שקל את גורמי הסיכון והסיכוי של הנאשם והתרשם כי כיום הסיכון להישנות עבירות דומות מצד הנאשם פחת משמעותית. וציין, כי על אף חומרת העבירה, ההמלצה היא על ענישה שיקומית אשר תאפשר לנאשם לשמר את הישגיו ולחזקם. הוסיף, כי עונש מאסר בפועל בעיתוי זה, נוכח גילו הצעיר והשלב ההתפתחותי הרגיש המאפיין גיל זה, יפגע במאמצי השיקום הרבים שמשקיע הנאשם לאורך כל הטיפול, עלול לקטוע את התהליך הטיפולי ולגרום לנסיגה במצבו של הנאשם. </w:t>
      </w:r>
    </w:p>
    <w:p w14:paraId="67CE6171" w14:textId="77777777" w:rsidR="0003327B" w:rsidRPr="00854E50" w:rsidRDefault="0003327B" w:rsidP="0003327B">
      <w:pPr>
        <w:spacing w:line="360" w:lineRule="auto"/>
        <w:ind w:left="720"/>
        <w:jc w:val="both"/>
        <w:rPr>
          <w:rtl/>
        </w:rPr>
      </w:pPr>
    </w:p>
    <w:p w14:paraId="737D1446" w14:textId="77777777" w:rsidR="0003327B" w:rsidRPr="00854E50" w:rsidRDefault="0003327B" w:rsidP="0003327B">
      <w:pPr>
        <w:spacing w:line="360" w:lineRule="auto"/>
        <w:ind w:left="720"/>
        <w:jc w:val="both"/>
        <w:rPr>
          <w:rtl/>
        </w:rPr>
      </w:pPr>
      <w:r w:rsidRPr="00854E50">
        <w:rPr>
          <w:rtl/>
        </w:rPr>
        <w:t xml:space="preserve">לאור האמור המליץ שירות המבחן להטיל על הנאשם עונש מאסר בעבודת שירות, מאסר על תנאי וצו מבחן למשך שנה, במהלכו שירות המבחן יעקוב אחר ההליך הטיפולי של הנאשם. </w:t>
      </w:r>
    </w:p>
    <w:p w14:paraId="207FB4AC" w14:textId="77777777" w:rsidR="0003327B" w:rsidRPr="00854E50" w:rsidRDefault="0003327B" w:rsidP="0003327B">
      <w:pPr>
        <w:spacing w:line="360" w:lineRule="auto"/>
        <w:ind w:left="720"/>
        <w:jc w:val="both"/>
        <w:rPr>
          <w:rtl/>
        </w:rPr>
      </w:pPr>
    </w:p>
    <w:p w14:paraId="5E42EC0C" w14:textId="77777777" w:rsidR="0003327B" w:rsidRDefault="0003327B" w:rsidP="0003327B">
      <w:pPr>
        <w:spacing w:line="360" w:lineRule="auto"/>
        <w:ind w:left="720"/>
        <w:jc w:val="both"/>
        <w:rPr>
          <w:rtl/>
        </w:rPr>
      </w:pPr>
      <w:r w:rsidRPr="00854E50">
        <w:rPr>
          <w:b/>
          <w:bCs/>
          <w:u w:val="single"/>
          <w:rtl/>
        </w:rPr>
        <w:t>טענות הצדדים</w:t>
      </w:r>
    </w:p>
    <w:p w14:paraId="48665FBA" w14:textId="77777777" w:rsidR="0003327B" w:rsidRPr="00854E50" w:rsidRDefault="0003327B" w:rsidP="0003327B">
      <w:pPr>
        <w:spacing w:line="360" w:lineRule="auto"/>
        <w:ind w:left="720"/>
        <w:jc w:val="both"/>
        <w:rPr>
          <w:rtl/>
        </w:rPr>
      </w:pPr>
    </w:p>
    <w:p w14:paraId="1A733478" w14:textId="77777777" w:rsidR="0003327B" w:rsidRPr="00854E50" w:rsidRDefault="0003327B" w:rsidP="0003327B">
      <w:pPr>
        <w:spacing w:line="360" w:lineRule="auto"/>
        <w:ind w:left="720" w:hanging="720"/>
        <w:jc w:val="both"/>
        <w:rPr>
          <w:rtl/>
        </w:rPr>
      </w:pPr>
      <w:r w:rsidRPr="00854E50">
        <w:rPr>
          <w:rtl/>
        </w:rPr>
        <w:t>1.</w:t>
      </w:r>
      <w:r w:rsidRPr="00854E50">
        <w:rPr>
          <w:rtl/>
        </w:rPr>
        <w:tab/>
        <w:t xml:space="preserve">ב"כ התביעה חזרה על עובדות כתב האישום. עמדה על מעשי הנאשם ונסיבותיהם; על הערכים החברתיים שנפגעו ממעשיו; ועל מדיניות הענישה בעבירות הנשק; וטענה, כי מתחם העונש ההולם למעשי הנאשם נע בין 36 ל- 72 חודשי מאסר. באשר לעונש הראוי לנאשם בתוך מתחם העונש ההולם, טענה, כי הגם שהנאשם נעדר עבר פלילי, אין בכך כדי למנוע שליחתו למאסר. אשר להמלצת שירות המבחן, טענה, כי על אף התהליך החיובי שעבר הנאשם, הרי שבעבירות בהן הורשע יש להעדיף את אינטרס ההרתעה על פני שיקולי שיקום ואין בכך כדי להצדיק סטיה ממתחם העונש ההולם. </w:t>
      </w:r>
    </w:p>
    <w:p w14:paraId="50B0A786" w14:textId="77777777" w:rsidR="0003327B" w:rsidRPr="00854E50" w:rsidRDefault="0003327B" w:rsidP="0003327B">
      <w:pPr>
        <w:spacing w:line="360" w:lineRule="auto"/>
        <w:ind w:left="720" w:hanging="720"/>
        <w:jc w:val="both"/>
        <w:rPr>
          <w:rtl/>
        </w:rPr>
      </w:pPr>
    </w:p>
    <w:p w14:paraId="2417A7E8" w14:textId="77777777" w:rsidR="0003327B" w:rsidRPr="00854E50" w:rsidRDefault="0003327B" w:rsidP="0003327B">
      <w:pPr>
        <w:spacing w:line="360" w:lineRule="auto"/>
        <w:ind w:left="720" w:hanging="720"/>
        <w:jc w:val="both"/>
        <w:rPr>
          <w:rtl/>
        </w:rPr>
      </w:pPr>
      <w:r w:rsidRPr="00854E50">
        <w:rPr>
          <w:rtl/>
        </w:rPr>
        <w:tab/>
        <w:t xml:space="preserve">ביחס לעונשים שנגזרו על שותפיו של הנאשם, טענה, כי הנאשם 2 אמנם עשה מעשה אקטיבי על מנת לקבל את הנשק לידיו, אולם לא היתה אינדיקציה לתכנון מוקדם או למודעות שלו למעשיו של יוסף. הנאשמים 3 ו-4 החזיקו בנשק אך לא היו שותפים בתכנון העבירות ולא היתה ראיה לכך כי היו מודעים לעובדה שמדובר בנשקים גנובים. ציינה, כי החייל יוסף אלעביד, שותפו של הנאשם, נדון בבית דין צבאי לעונש של 7 שנות מאסר בפועל. </w:t>
      </w:r>
    </w:p>
    <w:p w14:paraId="3A913C29" w14:textId="77777777" w:rsidR="0003327B" w:rsidRPr="00854E50" w:rsidRDefault="0003327B" w:rsidP="0003327B">
      <w:pPr>
        <w:spacing w:line="360" w:lineRule="auto"/>
        <w:ind w:left="720"/>
        <w:jc w:val="both"/>
        <w:rPr>
          <w:rtl/>
        </w:rPr>
      </w:pPr>
    </w:p>
    <w:p w14:paraId="70BDB24E" w14:textId="77777777" w:rsidR="0003327B" w:rsidRPr="00854E50" w:rsidRDefault="0003327B" w:rsidP="0003327B">
      <w:pPr>
        <w:spacing w:line="360" w:lineRule="auto"/>
        <w:ind w:left="720"/>
        <w:jc w:val="both"/>
        <w:rPr>
          <w:rtl/>
        </w:rPr>
      </w:pPr>
      <w:r w:rsidRPr="00854E50">
        <w:rPr>
          <w:rtl/>
        </w:rPr>
        <w:t xml:space="preserve">עתרה להטיל על הנאשם מאסר בפועל ברף הבינוני של מתחם הענישה שהוצע, מאסר על תנאי, קנס וחילוט רכבו. הגישה פסיקה ואת גזר הדין של שותפו של הנאשם יוסף אלעביד. </w:t>
      </w:r>
    </w:p>
    <w:p w14:paraId="386E4A21" w14:textId="77777777" w:rsidR="0003327B" w:rsidRPr="00854E50" w:rsidRDefault="0003327B" w:rsidP="0003327B">
      <w:pPr>
        <w:spacing w:line="360" w:lineRule="auto"/>
        <w:ind w:left="720"/>
        <w:jc w:val="both"/>
        <w:rPr>
          <w:rtl/>
        </w:rPr>
      </w:pPr>
    </w:p>
    <w:p w14:paraId="7A1EAE20" w14:textId="77777777" w:rsidR="0003327B" w:rsidRPr="00854E50" w:rsidRDefault="0003327B" w:rsidP="0003327B">
      <w:pPr>
        <w:spacing w:line="360" w:lineRule="auto"/>
        <w:ind w:left="720" w:hanging="720"/>
        <w:jc w:val="both"/>
        <w:rPr>
          <w:rtl/>
        </w:rPr>
      </w:pPr>
      <w:r w:rsidRPr="00854E50">
        <w:rPr>
          <w:rtl/>
        </w:rPr>
        <w:t>2.</w:t>
      </w:r>
      <w:r w:rsidRPr="00854E50">
        <w:rPr>
          <w:rtl/>
        </w:rPr>
        <w:tab/>
        <w:t xml:space="preserve">ב"כ הנאשם עתר לקבל את המלצת שירות המבחן. טען, כי הנאשם עבר כברת דרך שיקומית אשר מצדיקה לחרוג ממתחם העונש ההולם. הנאשם בן 23, ללא עבר פלילי. הוא ניהל אורח חיים נורמטיבי לפני ואחרי ביצוע העבירות. שהה כ- 4 חודשים במעצר, ו- 8חודשים במעצר בית. לאחר מכן השתלב בקהילת "מלכישוע" שם שהה כשנה, ואז עבר לחצי שנה נוספת להוסטל בעפולה. היום הוא מתגורר בעפולה, נמצא בקשר טיפולי עם קהילת מלכישוע, ואמור לסיים את ההליך הטיפולי בחודש פברואר. הנאשם עובד ומעוניין להסדיר את חובותיו ולשקם את חייו. הנאשם הודה, חסך זמן שיפוטי, לקח אחריות על מעשיו ומבין את הפסול בהם. על הנאשם 2 שביצע עבירות הדומות במהותן לעבירות שביצע הנאשם, נגזרו 6 חודשי מאסר בעבודות שירות. אשר לשותף החייל, הרי שמדובר במי שנשפט בבית דין צבאי, על פי </w:t>
      </w:r>
      <w:hyperlink r:id="rId21" w:history="1">
        <w:r w:rsidR="00A902D2" w:rsidRPr="00A902D2">
          <w:rPr>
            <w:color w:val="0000FF"/>
            <w:u w:val="single"/>
            <w:rtl/>
          </w:rPr>
          <w:t>חוק השיפוט הצבאי</w:t>
        </w:r>
      </w:hyperlink>
      <w:r w:rsidRPr="00854E50">
        <w:rPr>
          <w:rtl/>
        </w:rPr>
        <w:t>. בנוסף, בית הדין הצבאי שוקל שיקולים של מעילה באמון, פגיעה במשמעת הצבאית ועוד. הוסיף, כי חלקו של החייל הוא הדומיננטי והחמור, הוא היה הרוח החיה מאחורי המעשים והוא ביצע בפועל את גניבות הנשק  מהבסיס. הפנה לתסקיר שירות המבחן ולהערכת שירות המבחן כי שליחת הנאשם למאסר עלולה לפגוע במאמצי השיקום שלו ולגרום לנסיגה במצבו. עוד ציין, כי הנשקים נתפסו והוחזרו לרשות הצבא. הגיש פסיקה.</w:t>
      </w:r>
    </w:p>
    <w:p w14:paraId="060AEF2D" w14:textId="77777777" w:rsidR="0003327B" w:rsidRPr="00854E50" w:rsidRDefault="0003327B" w:rsidP="0003327B">
      <w:pPr>
        <w:spacing w:line="360" w:lineRule="auto"/>
        <w:jc w:val="both"/>
        <w:rPr>
          <w:b/>
          <w:bCs/>
          <w:u w:val="single"/>
          <w:rtl/>
        </w:rPr>
      </w:pPr>
    </w:p>
    <w:p w14:paraId="6C863409" w14:textId="77777777" w:rsidR="0003327B" w:rsidRDefault="0003327B" w:rsidP="0003327B">
      <w:pPr>
        <w:spacing w:line="360" w:lineRule="auto"/>
        <w:jc w:val="both"/>
        <w:rPr>
          <w:b/>
          <w:bCs/>
          <w:u w:val="single"/>
          <w:rtl/>
        </w:rPr>
      </w:pPr>
      <w:r w:rsidRPr="00854E50">
        <w:rPr>
          <w:b/>
          <w:bCs/>
          <w:u w:val="single"/>
          <w:rtl/>
        </w:rPr>
        <w:t>דיון והכרעה</w:t>
      </w:r>
    </w:p>
    <w:p w14:paraId="7387414A" w14:textId="77777777" w:rsidR="0003327B" w:rsidRPr="00854E50" w:rsidRDefault="0003327B" w:rsidP="0003327B">
      <w:pPr>
        <w:spacing w:line="360" w:lineRule="auto"/>
        <w:jc w:val="both"/>
        <w:rPr>
          <w:b/>
          <w:bCs/>
          <w:u w:val="single"/>
          <w:rtl/>
        </w:rPr>
      </w:pPr>
    </w:p>
    <w:p w14:paraId="26E0B62F" w14:textId="77777777" w:rsidR="0003327B" w:rsidRPr="00854E50" w:rsidRDefault="0003327B" w:rsidP="0003327B">
      <w:pPr>
        <w:spacing w:line="360" w:lineRule="auto"/>
        <w:ind w:left="720" w:hanging="720"/>
        <w:jc w:val="both"/>
        <w:rPr>
          <w:rtl/>
        </w:rPr>
      </w:pPr>
      <w:r w:rsidRPr="00854E50">
        <w:rPr>
          <w:rtl/>
        </w:rPr>
        <w:t>1.</w:t>
      </w:r>
      <w:r w:rsidRPr="00854E50">
        <w:rPr>
          <w:rtl/>
        </w:rPr>
        <w:tab/>
      </w:r>
      <w:r w:rsidRPr="00854E50">
        <w:rPr>
          <w:rtl/>
          <w:lang w:eastAsia="he-IL"/>
        </w:rPr>
        <w:t>מעשי הנאשם, המתוארים באישומים השונים שבכתב האישום, קשורים אלה לאלה מבחינם טיבם, מטרתם, הדמויות המעורבות בהם ופרק הזמן בהם התרחשו, ובנסיבות, יש לראות בעבירות שביצע הנאשם כמהוות אירוע אחד ולקבוע מתחם עונש הולם לאירוע כולו.</w:t>
      </w:r>
    </w:p>
    <w:p w14:paraId="15B9FE1F" w14:textId="77777777" w:rsidR="0003327B" w:rsidRPr="00854E50" w:rsidRDefault="0003327B" w:rsidP="0003327B">
      <w:pPr>
        <w:spacing w:line="360" w:lineRule="auto"/>
        <w:ind w:left="720" w:hanging="720"/>
        <w:jc w:val="both"/>
        <w:rPr>
          <w:rtl/>
        </w:rPr>
      </w:pPr>
    </w:p>
    <w:p w14:paraId="1B56A4F6" w14:textId="77777777" w:rsidR="0003327B" w:rsidRPr="00854E50" w:rsidRDefault="0003327B" w:rsidP="0003327B">
      <w:pPr>
        <w:spacing w:line="360" w:lineRule="auto"/>
        <w:ind w:left="720" w:hanging="720"/>
        <w:jc w:val="both"/>
        <w:rPr>
          <w:rtl/>
        </w:rPr>
      </w:pPr>
      <w:r w:rsidRPr="00854E50">
        <w:rPr>
          <w:rtl/>
        </w:rPr>
        <w:t>2.</w:t>
      </w:r>
      <w:r w:rsidRPr="00854E50">
        <w:rPr>
          <w:rtl/>
        </w:rPr>
        <w:tab/>
        <w:t>נשק הוא כלי מסוכן. החזקתו מחייבת רישוי, שקודמות לו בדיקות שונות והכשרה. הסיכון הגלום בהחזקתו, בנשיאתו ובשימוש בו שלא כדין, ברור מאליו.</w:t>
      </w:r>
    </w:p>
    <w:p w14:paraId="66031F99" w14:textId="77777777" w:rsidR="0003327B" w:rsidRPr="00854E50" w:rsidRDefault="0003327B" w:rsidP="0003327B">
      <w:pPr>
        <w:spacing w:line="360" w:lineRule="auto"/>
        <w:ind w:left="720" w:hanging="720"/>
        <w:jc w:val="both"/>
        <w:rPr>
          <w:rFonts w:ascii="Arial" w:hAnsi="Arial"/>
          <w:rtl/>
          <w:lang w:eastAsia="he-IL"/>
        </w:rPr>
      </w:pPr>
      <w:r w:rsidRPr="00854E50">
        <w:rPr>
          <w:rtl/>
          <w:lang w:eastAsia="he-IL"/>
        </w:rPr>
        <w:tab/>
        <w:t>מכירת נשק לאחר, חמורה עוד יותר, שכן אין לדעת לאלו ידיים הוא יגיע ואיזה שימוש יעשה בו.</w:t>
      </w:r>
      <w:r w:rsidRPr="00854E50">
        <w:rPr>
          <w:rFonts w:ascii="Arial" w:hAnsi="Arial"/>
          <w:rtl/>
          <w:lang w:eastAsia="he-IL"/>
        </w:rPr>
        <w:t xml:space="preserve"> </w:t>
      </w:r>
    </w:p>
    <w:p w14:paraId="20E00D32" w14:textId="77777777" w:rsidR="0003327B" w:rsidRPr="00854E50" w:rsidRDefault="0003327B" w:rsidP="0003327B">
      <w:pPr>
        <w:spacing w:line="360" w:lineRule="auto"/>
        <w:ind w:left="1440"/>
        <w:jc w:val="both"/>
        <w:rPr>
          <w:rtl/>
        </w:rPr>
      </w:pPr>
      <w:r w:rsidRPr="00854E50">
        <w:rPr>
          <w:rFonts w:ascii="Arial" w:hAnsi="Arial"/>
          <w:rtl/>
          <w:lang w:eastAsia="he-IL"/>
        </w:rPr>
        <w:t>"</w:t>
      </w:r>
      <w:r w:rsidRPr="00854E50">
        <w:rPr>
          <w:rFonts w:ascii="Arial" w:hAnsi="Arial"/>
          <w:b/>
          <w:bCs/>
          <w:rtl/>
          <w:lang w:eastAsia="he-IL"/>
        </w:rPr>
        <w:t>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sidRPr="00854E50">
        <w:rPr>
          <w:rFonts w:ascii="Arial" w:hAnsi="Arial"/>
          <w:rtl/>
          <w:lang w:eastAsia="he-IL"/>
        </w:rPr>
        <w:t>".</w:t>
      </w:r>
      <w:r w:rsidRPr="00854E50">
        <w:rPr>
          <w:rFonts w:ascii="Arial" w:hAnsi="Arial"/>
          <w:b/>
          <w:bCs/>
          <w:rtl/>
          <w:lang w:eastAsia="he-IL"/>
        </w:rPr>
        <w:t xml:space="preserve"> (</w:t>
      </w:r>
      <w:hyperlink r:id="rId22" w:history="1">
        <w:r w:rsidR="00A902D2" w:rsidRPr="00A902D2">
          <w:rPr>
            <w:rFonts w:ascii="Arial" w:hAnsi="Arial"/>
            <w:color w:val="0000FF"/>
            <w:u w:val="single"/>
            <w:rtl/>
            <w:lang w:eastAsia="he-IL"/>
          </w:rPr>
          <w:t>ע"פ 4609/98</w:t>
        </w:r>
      </w:hyperlink>
      <w:r w:rsidRPr="00854E50">
        <w:rPr>
          <w:rFonts w:ascii="Arial" w:hAnsi="Arial"/>
          <w:rtl/>
          <w:lang w:eastAsia="he-IL"/>
        </w:rPr>
        <w:t xml:space="preserve"> </w:t>
      </w:r>
      <w:r w:rsidRPr="00854E50">
        <w:rPr>
          <w:rFonts w:ascii="Arial" w:hAnsi="Arial"/>
          <w:b/>
          <w:bCs/>
          <w:rtl/>
          <w:lang w:eastAsia="he-IL"/>
        </w:rPr>
        <w:t>טאהא</w:t>
      </w:r>
      <w:r w:rsidRPr="00854E50">
        <w:rPr>
          <w:rFonts w:ascii="Arial" w:hAnsi="Arial"/>
          <w:rtl/>
          <w:lang w:eastAsia="he-IL"/>
        </w:rPr>
        <w:t xml:space="preserve"> נ'</w:t>
      </w:r>
      <w:r w:rsidRPr="00854E50">
        <w:rPr>
          <w:rFonts w:ascii="Arial" w:hAnsi="Arial"/>
          <w:b/>
          <w:bCs/>
          <w:rtl/>
          <w:lang w:eastAsia="he-IL"/>
        </w:rPr>
        <w:t xml:space="preserve"> מדינת ישראל, </w:t>
      </w:r>
      <w:r w:rsidRPr="00854E50">
        <w:rPr>
          <w:rFonts w:ascii="Arial" w:hAnsi="Arial"/>
          <w:rtl/>
          <w:lang w:eastAsia="he-IL"/>
        </w:rPr>
        <w:t>תק - על 99(2) 716).</w:t>
      </w:r>
    </w:p>
    <w:p w14:paraId="4E66FE1F" w14:textId="77777777" w:rsidR="0003327B" w:rsidRPr="00854E50" w:rsidRDefault="0003327B" w:rsidP="0003327B">
      <w:pPr>
        <w:spacing w:line="360" w:lineRule="auto"/>
        <w:ind w:left="720" w:hanging="720"/>
        <w:jc w:val="both"/>
        <w:rPr>
          <w:rtl/>
        </w:rPr>
      </w:pPr>
    </w:p>
    <w:p w14:paraId="602FC5A0" w14:textId="77777777" w:rsidR="0003327B" w:rsidRPr="00854E50" w:rsidRDefault="0003327B" w:rsidP="0003327B">
      <w:pPr>
        <w:spacing w:line="360" w:lineRule="auto"/>
        <w:ind w:left="1440"/>
        <w:jc w:val="both"/>
        <w:rPr>
          <w:rtl/>
          <w:lang w:eastAsia="he-IL"/>
        </w:rPr>
      </w:pPr>
      <w:r w:rsidRPr="00854E50">
        <w:rPr>
          <w:b/>
          <w:bCs/>
          <w:rtl/>
          <w:lang w:eastAsia="he-IL"/>
        </w:rPr>
        <w:t>"אין ערוך למסוכנות הסחר הבלתי חוקי בנשק. נשק שכזה עושה את דרכו בדרך לא דרך לידיים עברייניות, לגורמים עויינים, לשימוש פלילי ולפעילות טרור. סכנת נפשות ליחידים ולציבור. בשיקולי הענישה בכגון דא יש לבכּר את האינטרס החברתי הכולל, על פני נסיבותיו האישיות של נאשם</w:t>
      </w:r>
      <w:r w:rsidRPr="00854E50">
        <w:rPr>
          <w:rtl/>
          <w:lang w:eastAsia="he-IL"/>
        </w:rPr>
        <w:t xml:space="preserve">" - </w:t>
      </w:r>
      <w:hyperlink r:id="rId23" w:history="1">
        <w:r w:rsidR="00A902D2" w:rsidRPr="00A902D2">
          <w:rPr>
            <w:color w:val="0000FF"/>
            <w:u w:val="single"/>
            <w:rtl/>
            <w:lang w:eastAsia="he-IL"/>
          </w:rPr>
          <w:t>ע"פ 3138/11</w:t>
        </w:r>
      </w:hyperlink>
      <w:r w:rsidRPr="00854E50">
        <w:rPr>
          <w:rtl/>
          <w:lang w:eastAsia="he-IL"/>
        </w:rPr>
        <w:t xml:space="preserve"> </w:t>
      </w:r>
      <w:r w:rsidRPr="00854E50">
        <w:rPr>
          <w:b/>
          <w:bCs/>
          <w:rtl/>
          <w:lang w:eastAsia="he-IL"/>
        </w:rPr>
        <w:t>עפיף הייבי</w:t>
      </w:r>
      <w:r w:rsidRPr="00854E50">
        <w:rPr>
          <w:rtl/>
          <w:lang w:eastAsia="he-IL"/>
        </w:rPr>
        <w:t xml:space="preserve"> נ' </w:t>
      </w:r>
      <w:r w:rsidRPr="00854E50">
        <w:rPr>
          <w:b/>
          <w:bCs/>
          <w:rtl/>
          <w:lang w:eastAsia="he-IL"/>
        </w:rPr>
        <w:t>מדינת ישראל</w:t>
      </w:r>
      <w:r w:rsidRPr="00854E50">
        <w:rPr>
          <w:rtl/>
          <w:lang w:eastAsia="he-IL"/>
        </w:rPr>
        <w:t xml:space="preserve"> (פורסם בנבו 6.3.12)</w:t>
      </w:r>
      <w:r w:rsidRPr="00854E50">
        <w:rPr>
          <w:rtl/>
        </w:rPr>
        <w:t xml:space="preserve"> </w:t>
      </w:r>
    </w:p>
    <w:p w14:paraId="23BD6737" w14:textId="77777777" w:rsidR="0003327B" w:rsidRPr="00854E50" w:rsidRDefault="0003327B" w:rsidP="0003327B">
      <w:pPr>
        <w:spacing w:line="360" w:lineRule="auto"/>
        <w:ind w:left="720" w:hanging="720"/>
        <w:jc w:val="both"/>
        <w:rPr>
          <w:rtl/>
        </w:rPr>
      </w:pPr>
    </w:p>
    <w:p w14:paraId="342D6586" w14:textId="77777777" w:rsidR="0003327B" w:rsidRPr="00854E50" w:rsidRDefault="0003327B" w:rsidP="0003327B">
      <w:pPr>
        <w:spacing w:line="360" w:lineRule="auto"/>
        <w:ind w:left="720" w:hanging="720"/>
        <w:jc w:val="both"/>
        <w:rPr>
          <w:rtl/>
        </w:rPr>
      </w:pPr>
      <w:r w:rsidRPr="00854E50">
        <w:rPr>
          <w:rtl/>
        </w:rPr>
        <w:t>3.</w:t>
      </w:r>
      <w:r w:rsidRPr="00854E50">
        <w:rPr>
          <w:rtl/>
        </w:rPr>
        <w:tab/>
        <w:t xml:space="preserve">הערכים החברתיים שנפגעו מביצוע העבירות על ידי הנאשם הם בין היתר, שמירת החיים והגוף, שמירת שלום הציבור ובטחונו ושמירת רכוש הצבא. </w:t>
      </w:r>
    </w:p>
    <w:p w14:paraId="4C9C9687" w14:textId="77777777" w:rsidR="0003327B" w:rsidRPr="00854E50" w:rsidRDefault="0003327B" w:rsidP="0003327B">
      <w:pPr>
        <w:spacing w:line="360" w:lineRule="auto"/>
        <w:ind w:left="720"/>
        <w:jc w:val="both"/>
        <w:rPr>
          <w:rtl/>
          <w:lang w:eastAsia="he-IL"/>
        </w:rPr>
      </w:pPr>
      <w:r w:rsidRPr="00854E50">
        <w:rPr>
          <w:rtl/>
          <w:lang w:eastAsia="he-IL"/>
        </w:rPr>
        <w:t xml:space="preserve">הסכנה הטמונה בהגעת כלי נשק ותחמושת לגורמים עברייניים או עויינים, לבטחון המדינה ולשלום הציבור, ברורה מאליה ואינה צריכה פירוט. כאן, המדובר בשני רובי סער צבאיים – שעל כל אחד מהם מותקנת כוונת - שכח האש שלהם משמעותי וסכנת הגעתם לידיים עברייניות או לידי מפגעים, רבה וחמורה.  משכך, מידת הפגיעה בערכי בטחון המדינה ושלום הציבור, הינה משמעותית. </w:t>
      </w:r>
    </w:p>
    <w:p w14:paraId="2E479282" w14:textId="77777777" w:rsidR="0003327B" w:rsidRPr="00854E50" w:rsidRDefault="0003327B" w:rsidP="0003327B">
      <w:pPr>
        <w:spacing w:line="360" w:lineRule="auto"/>
        <w:ind w:left="720" w:hanging="720"/>
        <w:jc w:val="both"/>
        <w:rPr>
          <w:rtl/>
        </w:rPr>
      </w:pPr>
    </w:p>
    <w:p w14:paraId="0ACC5A6C" w14:textId="77777777" w:rsidR="0003327B" w:rsidRPr="00854E50" w:rsidRDefault="0003327B" w:rsidP="0003327B">
      <w:pPr>
        <w:spacing w:line="360" w:lineRule="auto"/>
        <w:ind w:left="720" w:hanging="720"/>
        <w:jc w:val="both"/>
        <w:rPr>
          <w:rtl/>
          <w:lang w:eastAsia="he-IL"/>
        </w:rPr>
      </w:pPr>
      <w:r w:rsidRPr="00854E50">
        <w:rPr>
          <w:rtl/>
        </w:rPr>
        <w:t>4.</w:t>
      </w:r>
      <w:r w:rsidRPr="00854E50">
        <w:rPr>
          <w:rtl/>
        </w:rPr>
        <w:tab/>
        <w:t xml:space="preserve">מדיניות הענישה הנהוגה בעבירות הנשק, במיוחד כשמדובר בכלי נשק התקפיים, עוצמתיים, הינה של החמרה מובהקת. </w:t>
      </w:r>
    </w:p>
    <w:p w14:paraId="5CB5A8DD" w14:textId="77777777" w:rsidR="0003327B" w:rsidRPr="00854E50" w:rsidRDefault="0003327B" w:rsidP="0003327B">
      <w:pPr>
        <w:spacing w:line="360" w:lineRule="auto"/>
        <w:ind w:left="720"/>
        <w:jc w:val="both"/>
        <w:rPr>
          <w:rtl/>
          <w:lang w:eastAsia="he-IL"/>
        </w:rPr>
      </w:pPr>
    </w:p>
    <w:p w14:paraId="401C1900" w14:textId="77777777" w:rsidR="0003327B" w:rsidRPr="00854E50" w:rsidRDefault="0003327B" w:rsidP="0003327B">
      <w:pPr>
        <w:spacing w:line="360" w:lineRule="auto"/>
        <w:ind w:left="1440"/>
        <w:jc w:val="both"/>
        <w:rPr>
          <w:rtl/>
        </w:rPr>
      </w:pPr>
      <w:r w:rsidRPr="00854E50">
        <w:rPr>
          <w:rtl/>
          <w:lang w:eastAsia="he-I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 </w:t>
      </w:r>
      <w:hyperlink r:id="rId24" w:history="1">
        <w:r w:rsidR="00A902D2" w:rsidRPr="00A902D2">
          <w:rPr>
            <w:color w:val="0000FF"/>
            <w:u w:val="single"/>
            <w:rtl/>
            <w:lang w:eastAsia="he-IL"/>
          </w:rPr>
          <w:t>ע"פ 1323/13</w:t>
        </w:r>
      </w:hyperlink>
      <w:r w:rsidRPr="00854E50">
        <w:rPr>
          <w:rtl/>
          <w:lang w:eastAsia="he-IL"/>
        </w:rPr>
        <w:t xml:space="preserve"> </w:t>
      </w:r>
      <w:r w:rsidRPr="00854E50">
        <w:rPr>
          <w:b/>
          <w:bCs/>
          <w:rtl/>
        </w:rPr>
        <w:t>רך חסן</w:t>
      </w:r>
      <w:r w:rsidRPr="00854E50">
        <w:rPr>
          <w:rtl/>
        </w:rPr>
        <w:t xml:space="preserve"> </w:t>
      </w:r>
      <w:r w:rsidRPr="00854E50">
        <w:rPr>
          <w:b/>
          <w:bCs/>
          <w:rtl/>
        </w:rPr>
        <w:t>ואחר</w:t>
      </w:r>
      <w:r w:rsidRPr="00854E50">
        <w:rPr>
          <w:rtl/>
        </w:rPr>
        <w:t xml:space="preserve"> נ' </w:t>
      </w:r>
      <w:r w:rsidRPr="00854E50">
        <w:rPr>
          <w:b/>
          <w:bCs/>
          <w:rtl/>
        </w:rPr>
        <w:t>מדינת ישראל</w:t>
      </w:r>
      <w:r w:rsidRPr="00854E50">
        <w:rPr>
          <w:rtl/>
        </w:rPr>
        <w:t xml:space="preserve"> [פורסם בנבו] 05.06.13. </w:t>
      </w:r>
    </w:p>
    <w:p w14:paraId="10F7F25D" w14:textId="77777777" w:rsidR="0003327B" w:rsidRPr="00854E50" w:rsidRDefault="0003327B" w:rsidP="0003327B">
      <w:pPr>
        <w:spacing w:line="360" w:lineRule="auto"/>
        <w:ind w:left="1440"/>
        <w:jc w:val="both"/>
        <w:rPr>
          <w:rtl/>
        </w:rPr>
      </w:pPr>
    </w:p>
    <w:p w14:paraId="131999B4" w14:textId="77777777" w:rsidR="0003327B" w:rsidRPr="00854E50" w:rsidRDefault="0003327B" w:rsidP="0003327B">
      <w:pPr>
        <w:spacing w:line="360" w:lineRule="auto"/>
        <w:ind w:left="1440"/>
        <w:jc w:val="both"/>
        <w:rPr>
          <w:rtl/>
          <w:lang w:eastAsia="he-IL"/>
        </w:rPr>
      </w:pPr>
      <w:r w:rsidRPr="00854E50">
        <w:rPr>
          <w:rtl/>
          <w:lang w:eastAsia="he-IL"/>
        </w:rPr>
        <w:t xml:space="preserve">"דברים אלה עולים בקנה אחד עם פסיקתו של בית משפט זה, הנוטה להחמיר בעבירות של החזקת נשק שלא כדין ושימוש בנשק, בדרך של ענישה מרתיעה והרחקת מבצע העבירה מן החברה לתקופה מסוימת. זאת, בעיקר בשל כך שעבירות מסוג זה מקימות פוטנציאל להסלמה עבריינית ויוצרות סיכון ממשי וחמור לשלום הציבור וביטחונו". </w:t>
      </w:r>
      <w:hyperlink r:id="rId25" w:history="1">
        <w:r w:rsidR="00A902D2" w:rsidRPr="00A902D2">
          <w:rPr>
            <w:color w:val="0000FF"/>
            <w:u w:val="single"/>
            <w:rtl/>
            <w:lang w:eastAsia="he-IL"/>
          </w:rPr>
          <w:t>ע"פ 3156/11</w:t>
        </w:r>
      </w:hyperlink>
      <w:r w:rsidRPr="00854E50">
        <w:rPr>
          <w:rtl/>
          <w:lang w:eastAsia="he-IL"/>
        </w:rPr>
        <w:t xml:space="preserve"> </w:t>
      </w:r>
      <w:r w:rsidRPr="00854E50">
        <w:rPr>
          <w:b/>
          <w:bCs/>
          <w:rtl/>
          <w:lang w:eastAsia="he-IL"/>
        </w:rPr>
        <w:t>ג'מיל זראיעה</w:t>
      </w:r>
      <w:r w:rsidRPr="00854E50">
        <w:rPr>
          <w:rtl/>
          <w:lang w:eastAsia="he-IL"/>
        </w:rPr>
        <w:t xml:space="preserve"> נ' </w:t>
      </w:r>
      <w:r w:rsidRPr="00854E50">
        <w:rPr>
          <w:b/>
          <w:bCs/>
          <w:rtl/>
          <w:lang w:eastAsia="he-IL"/>
        </w:rPr>
        <w:t>מדינת ישראל</w:t>
      </w:r>
      <w:r w:rsidRPr="00854E50">
        <w:rPr>
          <w:rtl/>
          <w:lang w:eastAsia="he-IL"/>
        </w:rPr>
        <w:t xml:space="preserve"> [פורסם בנבו](21.02.12)</w:t>
      </w:r>
    </w:p>
    <w:p w14:paraId="582A3F8B" w14:textId="77777777" w:rsidR="0003327B" w:rsidRPr="00854E50" w:rsidRDefault="0003327B" w:rsidP="0003327B">
      <w:pPr>
        <w:spacing w:line="360" w:lineRule="auto"/>
        <w:ind w:left="1440"/>
        <w:jc w:val="both"/>
        <w:rPr>
          <w:rtl/>
          <w:lang w:eastAsia="he-IL"/>
        </w:rPr>
      </w:pPr>
    </w:p>
    <w:p w14:paraId="67D49754" w14:textId="77777777" w:rsidR="0003327B" w:rsidRPr="00854E50" w:rsidRDefault="0003327B" w:rsidP="0003327B">
      <w:pPr>
        <w:spacing w:line="360" w:lineRule="auto"/>
        <w:ind w:left="1440"/>
        <w:jc w:val="both"/>
        <w:rPr>
          <w:rtl/>
          <w:lang w:eastAsia="he-IL"/>
        </w:rPr>
      </w:pPr>
      <w:r w:rsidRPr="00854E50">
        <w:rPr>
          <w:rtl/>
          <w:lang w:eastAsia="he-I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hyperlink r:id="rId26" w:history="1">
        <w:r w:rsidR="00A902D2" w:rsidRPr="00A902D2">
          <w:rPr>
            <w:color w:val="0000FF"/>
            <w:u w:val="single"/>
            <w:rtl/>
            <w:lang w:eastAsia="he-IL"/>
          </w:rPr>
          <w:t>רע"פ 2718/04</w:t>
        </w:r>
      </w:hyperlink>
      <w:r w:rsidRPr="00854E50">
        <w:rPr>
          <w:rtl/>
          <w:lang w:eastAsia="he-IL"/>
        </w:rPr>
        <w:t xml:space="preserve"> </w:t>
      </w:r>
      <w:r w:rsidRPr="00854E50">
        <w:rPr>
          <w:b/>
          <w:bCs/>
          <w:rtl/>
          <w:lang w:eastAsia="he-IL"/>
        </w:rPr>
        <w:t>אבו דאחל</w:t>
      </w:r>
      <w:r w:rsidRPr="00854E50">
        <w:rPr>
          <w:rtl/>
          <w:lang w:eastAsia="he-IL"/>
        </w:rPr>
        <w:t xml:space="preserve"> נ' </w:t>
      </w:r>
      <w:r w:rsidRPr="00854E50">
        <w:rPr>
          <w:b/>
          <w:bCs/>
          <w:rtl/>
          <w:lang w:eastAsia="he-IL"/>
        </w:rPr>
        <w:t>מדינת ישראל</w:t>
      </w:r>
      <w:r w:rsidRPr="00854E50">
        <w:rPr>
          <w:rtl/>
          <w:lang w:eastAsia="he-IL"/>
        </w:rPr>
        <w:t xml:space="preserve"> [פורסם בנבו] (29.3.2004).</w:t>
      </w:r>
    </w:p>
    <w:p w14:paraId="61BE5791" w14:textId="77777777" w:rsidR="0003327B" w:rsidRPr="00854E50" w:rsidRDefault="0003327B" w:rsidP="0003327B">
      <w:pPr>
        <w:spacing w:line="360" w:lineRule="auto"/>
        <w:ind w:left="1440"/>
        <w:jc w:val="both"/>
        <w:rPr>
          <w:rtl/>
          <w:lang w:eastAsia="he-IL"/>
        </w:rPr>
      </w:pPr>
    </w:p>
    <w:p w14:paraId="5E323EA6" w14:textId="77777777" w:rsidR="0003327B" w:rsidRPr="00854E50" w:rsidRDefault="0003327B" w:rsidP="0003327B">
      <w:pPr>
        <w:spacing w:line="360" w:lineRule="auto"/>
        <w:ind w:left="1440"/>
        <w:jc w:val="both"/>
        <w:rPr>
          <w:b/>
          <w:rtl/>
          <w:lang w:eastAsia="he-IL"/>
        </w:rPr>
      </w:pPr>
      <w:r w:rsidRPr="00854E50">
        <w:rPr>
          <w:rtl/>
          <w:lang w:eastAsia="he-IL"/>
        </w:rPr>
        <w:t xml:space="preserve">"בית משפט זה עמד לא אחת על חומרתן של עבירות הנשק השונות, הסכנות הנשקפות מהן ותוצאותיהן הקשות (ראו למשל, </w:t>
      </w:r>
      <w:hyperlink r:id="rId27" w:history="1">
        <w:r w:rsidR="00A902D2" w:rsidRPr="00A902D2">
          <w:rPr>
            <w:color w:val="0000FF"/>
            <w:u w:val="single"/>
            <w:rtl/>
            <w:lang w:eastAsia="he-IL"/>
          </w:rPr>
          <w:t>ע"פ 5833/07</w:t>
        </w:r>
      </w:hyperlink>
      <w:r w:rsidRPr="00854E50">
        <w:rPr>
          <w:rtl/>
          <w:lang w:eastAsia="he-IL"/>
        </w:rPr>
        <w:t xml:space="preserve"> ח'ורי נ' מדינת ישראל ([פורסם בנבו], 18.11.2007)). </w:t>
      </w:r>
      <w:r w:rsidRPr="00854E50">
        <w:rPr>
          <w:b/>
          <w:bCs/>
          <w:rtl/>
          <w:lang w:eastAsia="he-IL"/>
        </w:rPr>
        <w:t>לאחרונה ניכרת מגמת החמרה בעונשי המאסר הנגזרים על נאשמים בעבירות אלו, נוכח היקפן המתרחב והצורך בבלימתן</w:t>
      </w:r>
      <w:r w:rsidRPr="00854E50">
        <w:rPr>
          <w:rtl/>
          <w:lang w:eastAsia="he-IL"/>
        </w:rPr>
        <w:t>... ב</w:t>
      </w:r>
      <w:hyperlink r:id="rId28" w:history="1">
        <w:r w:rsidR="00A902D2" w:rsidRPr="00A902D2">
          <w:rPr>
            <w:color w:val="0000FF"/>
            <w:u w:val="single"/>
            <w:rtl/>
            <w:lang w:eastAsia="he-IL"/>
          </w:rPr>
          <w:t>ע"פ 2251/11</w:t>
        </w:r>
      </w:hyperlink>
      <w:r w:rsidRPr="00854E50">
        <w:rPr>
          <w:rtl/>
          <w:lang w:eastAsia="he-IL"/>
        </w:rPr>
        <w:t xml:space="preserve"> נפאע נ' מדינת ישראל ([פורסם בנבו], 4.12.2011) (להלן - עניין נפאע) </w:t>
      </w:r>
      <w:r w:rsidRPr="00854E50">
        <w:rPr>
          <w:b/>
          <w:bCs/>
          <w:rtl/>
          <w:lang w:eastAsia="he-IL"/>
        </w:rPr>
        <w:t>נקבע כי</w:t>
      </w:r>
      <w:r w:rsidRPr="00854E50">
        <w:rPr>
          <w:rtl/>
          <w:lang w:eastAsia="he-IL"/>
        </w:rPr>
        <w:t xml:space="preserve"> </w:t>
      </w:r>
      <w:r w:rsidRPr="00854E50">
        <w:rPr>
          <w:b/>
          <w:bCs/>
          <w:rtl/>
          <w:lang w:eastAsia="he-IL"/>
        </w:rPr>
        <w:t>הגיעה העת להחמיר בעונשיהם של נאשמים המורשעים בעבירות נשק בכלל ובעבירות סחר בנשק בפרט.</w:t>
      </w:r>
      <w:r w:rsidRPr="00854E50">
        <w:rPr>
          <w:rtl/>
          <w:lang w:eastAsia="he-IL"/>
        </w:rPr>
        <w:t xml:space="preserve"> - </w:t>
      </w:r>
      <w:hyperlink r:id="rId29" w:history="1">
        <w:r w:rsidR="00A902D2" w:rsidRPr="00A902D2">
          <w:rPr>
            <w:b/>
            <w:color w:val="0000FF"/>
            <w:u w:val="single"/>
            <w:rtl/>
            <w:lang w:eastAsia="he-IL"/>
          </w:rPr>
          <w:t>ע.פ. 4450/11</w:t>
        </w:r>
      </w:hyperlink>
      <w:r w:rsidRPr="00854E50">
        <w:rPr>
          <w:b/>
          <w:rtl/>
          <w:lang w:eastAsia="he-IL"/>
        </w:rPr>
        <w:t xml:space="preserve"> </w:t>
      </w:r>
      <w:r w:rsidRPr="00854E50">
        <w:rPr>
          <w:bCs/>
          <w:rtl/>
          <w:lang w:eastAsia="he-IL"/>
        </w:rPr>
        <w:t>חאלד עספור ואח'</w:t>
      </w:r>
      <w:r w:rsidRPr="00854E50">
        <w:rPr>
          <w:b/>
          <w:rtl/>
          <w:lang w:eastAsia="he-IL"/>
        </w:rPr>
        <w:t xml:space="preserve"> נ' </w:t>
      </w:r>
      <w:r w:rsidRPr="00854E50">
        <w:rPr>
          <w:bCs/>
          <w:rtl/>
          <w:lang w:eastAsia="he-IL"/>
        </w:rPr>
        <w:t>מדינת ישראל</w:t>
      </w:r>
      <w:r w:rsidRPr="00854E50">
        <w:rPr>
          <w:b/>
          <w:rtl/>
          <w:lang w:eastAsia="he-IL"/>
        </w:rPr>
        <w:t xml:space="preserve"> [פורסם בנבו], 8.2.12. </w:t>
      </w:r>
    </w:p>
    <w:p w14:paraId="489A5280" w14:textId="77777777" w:rsidR="0003327B" w:rsidRPr="00854E50" w:rsidRDefault="0003327B" w:rsidP="0003327B">
      <w:pPr>
        <w:spacing w:line="360" w:lineRule="auto"/>
        <w:ind w:left="1440"/>
        <w:jc w:val="both"/>
        <w:rPr>
          <w:rtl/>
          <w:lang w:eastAsia="he-IL"/>
        </w:rPr>
      </w:pPr>
    </w:p>
    <w:p w14:paraId="635BDD6D" w14:textId="77777777" w:rsidR="0003327B" w:rsidRPr="00854E50" w:rsidRDefault="0003327B" w:rsidP="0003327B">
      <w:pPr>
        <w:spacing w:line="360" w:lineRule="auto"/>
        <w:ind w:left="720" w:hanging="720"/>
        <w:jc w:val="both"/>
        <w:rPr>
          <w:rtl/>
        </w:rPr>
      </w:pPr>
    </w:p>
    <w:p w14:paraId="564A9223" w14:textId="77777777" w:rsidR="0003327B" w:rsidRPr="00854E50" w:rsidRDefault="0003327B" w:rsidP="0003327B">
      <w:pPr>
        <w:spacing w:line="360" w:lineRule="auto"/>
        <w:ind w:left="720" w:hanging="720"/>
        <w:jc w:val="both"/>
        <w:rPr>
          <w:rtl/>
        </w:rPr>
      </w:pPr>
      <w:r w:rsidRPr="00854E50">
        <w:rPr>
          <w:rtl/>
        </w:rPr>
        <w:t>5.</w:t>
      </w:r>
      <w:r w:rsidRPr="00854E50">
        <w:rPr>
          <w:rtl/>
        </w:rPr>
        <w:tab/>
        <w:t xml:space="preserve">הלכה למעשה, על המורשעים בעבירות נשק מוטלים עונשי מאסר משמעותיים. </w:t>
      </w:r>
    </w:p>
    <w:p w14:paraId="05D52601" w14:textId="77777777" w:rsidR="0003327B" w:rsidRPr="00854E50" w:rsidRDefault="0003327B" w:rsidP="0003327B">
      <w:pPr>
        <w:spacing w:line="360" w:lineRule="auto"/>
        <w:ind w:left="720" w:hanging="720"/>
        <w:jc w:val="both"/>
        <w:rPr>
          <w:rtl/>
        </w:rPr>
      </w:pPr>
    </w:p>
    <w:p w14:paraId="5D1FAD4F" w14:textId="77777777" w:rsidR="0003327B" w:rsidRPr="00854E50" w:rsidRDefault="0003327B" w:rsidP="0003327B">
      <w:pPr>
        <w:spacing w:line="360" w:lineRule="auto"/>
        <w:ind w:left="720"/>
        <w:jc w:val="both"/>
        <w:rPr>
          <w:rtl/>
        </w:rPr>
      </w:pPr>
      <w:r w:rsidRPr="00854E50">
        <w:rPr>
          <w:rtl/>
        </w:rPr>
        <w:t>ב</w:t>
      </w:r>
      <w:hyperlink r:id="rId30" w:history="1">
        <w:r w:rsidR="00A902D2" w:rsidRPr="00A902D2">
          <w:rPr>
            <w:color w:val="0000FF"/>
            <w:u w:val="single"/>
            <w:rtl/>
          </w:rPr>
          <w:t>ע"פ 1323/13</w:t>
        </w:r>
      </w:hyperlink>
      <w:r w:rsidRPr="00854E50">
        <w:rPr>
          <w:b/>
          <w:bCs/>
          <w:rtl/>
        </w:rPr>
        <w:t xml:space="preserve"> רך חסן ונסים אגבריה </w:t>
      </w:r>
      <w:r w:rsidRPr="00854E50">
        <w:rPr>
          <w:rtl/>
        </w:rPr>
        <w:t>נ'</w:t>
      </w:r>
      <w:r w:rsidRPr="00854E50">
        <w:rPr>
          <w:b/>
          <w:bCs/>
          <w:rtl/>
        </w:rPr>
        <w:t xml:space="preserve"> מדינת ישראל</w:t>
      </w:r>
      <w:r w:rsidRPr="00854E50">
        <w:rPr>
          <w:rtl/>
        </w:rPr>
        <w:t xml:space="preserve"> (פורסם בנבו, 5.6.13) הורשעו המערערים בעבירת נשק, בכך שמכרו לסוכן משטרתי סמוי </w:t>
      </w:r>
      <w:r w:rsidRPr="00854E50">
        <w:rPr>
          <w:b/>
          <w:bCs/>
          <w:rtl/>
        </w:rPr>
        <w:t>רימון הלם</w:t>
      </w:r>
      <w:r w:rsidRPr="00854E50">
        <w:rPr>
          <w:rtl/>
        </w:rPr>
        <w:t xml:space="preserve"> צה"לי תמורת 1,300 ₪. בית המשפט המחוזי קבע מתחם עונש הנע בין שנה ל- 4 שנות מאסר וגזר עליהם</w:t>
      </w:r>
      <w:r w:rsidRPr="00854E50">
        <w:rPr>
          <w:b/>
          <w:bCs/>
          <w:rtl/>
        </w:rPr>
        <w:t xml:space="preserve"> 24 חודשי מאסר בפועל</w:t>
      </w:r>
      <w:r w:rsidRPr="00854E50">
        <w:rPr>
          <w:rtl/>
        </w:rPr>
        <w:t xml:space="preserve"> על עבירת הנשק. בית המשפט העליון דחה את הערעור על חומרת העונש וקבע כי הגם שבהתחשב בסוג הנשק המדובר, מתחם העונש שנקבע מחמיר מעט, הרי שבהתחשב במגמת החמרת הענישה בעבירות נשק, העונש שנגזר על המערערים איננו מצדיק התערבות.</w:t>
      </w:r>
    </w:p>
    <w:p w14:paraId="23488B57" w14:textId="77777777" w:rsidR="0003327B" w:rsidRPr="00854E50" w:rsidRDefault="0003327B" w:rsidP="0003327B">
      <w:pPr>
        <w:spacing w:line="360" w:lineRule="auto"/>
        <w:ind w:left="720" w:hanging="720"/>
        <w:jc w:val="both"/>
        <w:rPr>
          <w:b/>
          <w:bCs/>
          <w:rtl/>
        </w:rPr>
      </w:pPr>
      <w:r w:rsidRPr="00854E50">
        <w:rPr>
          <w:rtl/>
        </w:rPr>
        <w:tab/>
      </w:r>
    </w:p>
    <w:p w14:paraId="311641B4" w14:textId="77777777" w:rsidR="0003327B" w:rsidRPr="00854E50" w:rsidRDefault="0003327B" w:rsidP="0003327B">
      <w:pPr>
        <w:spacing w:line="360" w:lineRule="auto"/>
        <w:ind w:left="720"/>
        <w:jc w:val="both"/>
        <w:rPr>
          <w:rtl/>
        </w:rPr>
      </w:pPr>
      <w:r w:rsidRPr="00854E50">
        <w:rPr>
          <w:rtl/>
        </w:rPr>
        <w:t>ב</w:t>
      </w:r>
      <w:hyperlink r:id="rId31" w:history="1">
        <w:r w:rsidR="00A902D2" w:rsidRPr="00A902D2">
          <w:rPr>
            <w:color w:val="0000FF"/>
            <w:u w:val="single"/>
            <w:rtl/>
          </w:rPr>
          <w:t>ע"פ 3138/11</w:t>
        </w:r>
      </w:hyperlink>
      <w:r w:rsidRPr="00854E50">
        <w:rPr>
          <w:rtl/>
        </w:rPr>
        <w:t xml:space="preserve"> </w:t>
      </w:r>
      <w:r w:rsidRPr="00854E50">
        <w:rPr>
          <w:b/>
          <w:bCs/>
          <w:rtl/>
        </w:rPr>
        <w:t xml:space="preserve">עפיף הייבי </w:t>
      </w:r>
      <w:r w:rsidRPr="00854E50">
        <w:rPr>
          <w:rtl/>
        </w:rPr>
        <w:t>נ'</w:t>
      </w:r>
      <w:r w:rsidRPr="00854E50">
        <w:rPr>
          <w:b/>
          <w:bCs/>
          <w:rtl/>
        </w:rPr>
        <w:t xml:space="preserve"> מדינת ישראל</w:t>
      </w:r>
      <w:r w:rsidRPr="00854E50">
        <w:rPr>
          <w:rtl/>
        </w:rPr>
        <w:t xml:space="preserve"> (פורסם בנבו, 06.03.12) דובר במערער שהורשע על פי הודאתו בקשירת קשר לפשע ובנסיון לסחר בנשק, על רקע נסיונו למכור </w:t>
      </w:r>
      <w:r w:rsidRPr="00854E50">
        <w:rPr>
          <w:b/>
          <w:bCs/>
          <w:rtl/>
        </w:rPr>
        <w:t>אקדח</w:t>
      </w:r>
      <w:r w:rsidRPr="00854E50">
        <w:rPr>
          <w:rtl/>
        </w:rPr>
        <w:t xml:space="preserve"> לסוכן משטרתי.</w:t>
      </w:r>
      <w:r w:rsidRPr="00854E50">
        <w:rPr>
          <w:b/>
          <w:bCs/>
          <w:rtl/>
        </w:rPr>
        <w:t xml:space="preserve"> </w:t>
      </w:r>
      <w:r w:rsidRPr="00854E50">
        <w:rPr>
          <w:rtl/>
        </w:rPr>
        <w:t>בית המשפט המחוזי גזר עליו</w:t>
      </w:r>
      <w:r w:rsidRPr="00854E50">
        <w:rPr>
          <w:b/>
          <w:bCs/>
          <w:rtl/>
        </w:rPr>
        <w:t xml:space="preserve"> 36 חודשי מאסר בפועל</w:t>
      </w:r>
      <w:r w:rsidRPr="00854E50">
        <w:rPr>
          <w:rtl/>
        </w:rPr>
        <w:t xml:space="preserve"> ובית המשפט העליון דחה את ערעורו על חומרת העונש. </w:t>
      </w:r>
    </w:p>
    <w:p w14:paraId="3DE3599A" w14:textId="77777777" w:rsidR="0003327B" w:rsidRPr="00854E50" w:rsidRDefault="0003327B" w:rsidP="0003327B">
      <w:pPr>
        <w:spacing w:line="360" w:lineRule="auto"/>
        <w:ind w:left="720"/>
        <w:jc w:val="both"/>
        <w:rPr>
          <w:rtl/>
        </w:rPr>
      </w:pPr>
    </w:p>
    <w:p w14:paraId="55F14029" w14:textId="77777777" w:rsidR="0003327B" w:rsidRPr="00854E50" w:rsidRDefault="0003327B" w:rsidP="0003327B">
      <w:pPr>
        <w:spacing w:line="360" w:lineRule="auto"/>
        <w:ind w:left="720"/>
        <w:jc w:val="both"/>
        <w:rPr>
          <w:rtl/>
        </w:rPr>
      </w:pPr>
      <w:r w:rsidRPr="00854E50">
        <w:rPr>
          <w:rtl/>
        </w:rPr>
        <w:t>ב</w:t>
      </w:r>
      <w:hyperlink r:id="rId32" w:history="1">
        <w:r w:rsidR="00A902D2" w:rsidRPr="00A902D2">
          <w:rPr>
            <w:color w:val="0000FF"/>
            <w:u w:val="single"/>
            <w:rtl/>
          </w:rPr>
          <w:t>ע"פ 4841/11</w:t>
        </w:r>
      </w:hyperlink>
      <w:r w:rsidRPr="00854E50">
        <w:rPr>
          <w:b/>
          <w:bCs/>
          <w:rtl/>
        </w:rPr>
        <w:t xml:space="preserve"> אחמד עאסלה </w:t>
      </w:r>
      <w:r w:rsidRPr="00854E50">
        <w:rPr>
          <w:rtl/>
        </w:rPr>
        <w:t>נ'</w:t>
      </w:r>
      <w:r w:rsidRPr="00854E50">
        <w:rPr>
          <w:b/>
          <w:bCs/>
          <w:rtl/>
        </w:rPr>
        <w:t xml:space="preserve"> מדינת ישראל</w:t>
      </w:r>
      <w:r w:rsidRPr="00854E50">
        <w:rPr>
          <w:rtl/>
        </w:rPr>
        <w:t xml:space="preserve"> (פורסם בנבו, 08.02.12) </w:t>
      </w:r>
      <w:r w:rsidRPr="00854E50">
        <w:rPr>
          <w:rtl/>
          <w:lang w:eastAsia="he-IL"/>
        </w:rPr>
        <w:t>הורשע המערער בעבירה של קשירת קשר לפשע ובעבירה של סחר בנשק, על רקע מכירת</w:t>
      </w:r>
      <w:r w:rsidRPr="00854E50">
        <w:rPr>
          <w:b/>
          <w:bCs/>
          <w:rtl/>
          <w:lang w:eastAsia="he-IL"/>
        </w:rPr>
        <w:t xml:space="preserve"> אקדח </w:t>
      </w:r>
      <w:r w:rsidRPr="00854E50">
        <w:rPr>
          <w:rtl/>
          <w:lang w:eastAsia="he-IL"/>
        </w:rPr>
        <w:t>לסוכן משטרתי, ודינו נגזר ל-</w:t>
      </w:r>
      <w:r w:rsidRPr="00854E50">
        <w:rPr>
          <w:b/>
          <w:bCs/>
          <w:rtl/>
          <w:lang w:eastAsia="he-IL"/>
        </w:rPr>
        <w:t xml:space="preserve"> 30 חודשי מאסר בפועל.</w:t>
      </w:r>
      <w:r w:rsidRPr="00854E50">
        <w:rPr>
          <w:rtl/>
          <w:lang w:eastAsia="he-IL"/>
        </w:rPr>
        <w:t xml:space="preserve"> </w:t>
      </w:r>
      <w:r w:rsidRPr="00854E50">
        <w:rPr>
          <w:rtl/>
        </w:rPr>
        <w:t>ערעורו על חומרת העונש נדחה, תוך שבית המשפט העליון קובע כי העונש שנגזר עליו איננו סוטה מרף הענישה הראוי.</w:t>
      </w:r>
    </w:p>
    <w:p w14:paraId="23374F38" w14:textId="77777777" w:rsidR="0003327B" w:rsidRPr="00854E50" w:rsidRDefault="0003327B" w:rsidP="0003327B">
      <w:pPr>
        <w:spacing w:line="360" w:lineRule="auto"/>
        <w:ind w:left="720"/>
        <w:jc w:val="both"/>
        <w:rPr>
          <w:rtl/>
        </w:rPr>
      </w:pPr>
    </w:p>
    <w:p w14:paraId="1BE6E785" w14:textId="77777777" w:rsidR="0003327B" w:rsidRPr="00854E50" w:rsidRDefault="0003327B" w:rsidP="0003327B">
      <w:pPr>
        <w:spacing w:line="360" w:lineRule="auto"/>
        <w:ind w:left="720"/>
        <w:jc w:val="both"/>
        <w:rPr>
          <w:rtl/>
          <w:lang w:eastAsia="he-IL"/>
        </w:rPr>
      </w:pPr>
      <w:r w:rsidRPr="00854E50">
        <w:rPr>
          <w:rtl/>
          <w:lang w:eastAsia="he-IL"/>
        </w:rPr>
        <w:t>ב</w:t>
      </w:r>
      <w:hyperlink r:id="rId33" w:history="1">
        <w:r w:rsidR="00A902D2" w:rsidRPr="00A902D2">
          <w:rPr>
            <w:color w:val="0000FF"/>
            <w:u w:val="single"/>
            <w:rtl/>
            <w:lang w:eastAsia="he-IL"/>
          </w:rPr>
          <w:t>ע"פ 5549/09</w:t>
        </w:r>
      </w:hyperlink>
      <w:r w:rsidRPr="00854E50">
        <w:rPr>
          <w:b/>
          <w:bCs/>
          <w:rtl/>
          <w:lang w:eastAsia="he-IL"/>
        </w:rPr>
        <w:t xml:space="preserve"> ניסים יעקב </w:t>
      </w:r>
      <w:r w:rsidRPr="00854E50">
        <w:rPr>
          <w:rtl/>
          <w:lang w:eastAsia="he-IL"/>
        </w:rPr>
        <w:t>נ'</w:t>
      </w:r>
      <w:r w:rsidRPr="00854E50">
        <w:rPr>
          <w:b/>
          <w:bCs/>
          <w:rtl/>
          <w:lang w:eastAsia="he-IL"/>
        </w:rPr>
        <w:t xml:space="preserve"> מדינת ישראל</w:t>
      </w:r>
      <w:r w:rsidRPr="00854E50">
        <w:rPr>
          <w:rtl/>
          <w:lang w:eastAsia="he-IL"/>
        </w:rPr>
        <w:t xml:space="preserve"> ([פורסם בנבו, 06.01.10) נדון עניינו של מערער </w:t>
      </w:r>
      <w:r w:rsidRPr="00854E50">
        <w:rPr>
          <w:b/>
          <w:bCs/>
          <w:rtl/>
          <w:lang w:eastAsia="he-IL"/>
        </w:rPr>
        <w:t>שקשר קשר עם חייל צה"ל ואחר, קטין, לגנוב נשק מבסיס צבאי</w:t>
      </w:r>
      <w:r w:rsidRPr="00854E50">
        <w:rPr>
          <w:rtl/>
          <w:lang w:eastAsia="he-IL"/>
        </w:rPr>
        <w:t xml:space="preserve">. החייל והקטין גנבו את הנשק, פגשו במערער מחוץ לבסיס, והמערער שילם לקטין. </w:t>
      </w:r>
      <w:r w:rsidRPr="00854E50">
        <w:rPr>
          <w:b/>
          <w:bCs/>
          <w:rtl/>
          <w:lang w:eastAsia="he-IL"/>
        </w:rPr>
        <w:t>הנשק עצמו אבד</w:t>
      </w:r>
      <w:r w:rsidRPr="00854E50">
        <w:rPr>
          <w:rtl/>
          <w:lang w:eastAsia="he-IL"/>
        </w:rPr>
        <w:t xml:space="preserve">. בית המשפט המחוזי גזר על המערער </w:t>
      </w:r>
      <w:r w:rsidRPr="00854E50">
        <w:rPr>
          <w:b/>
          <w:bCs/>
          <w:rtl/>
          <w:lang w:eastAsia="he-IL"/>
        </w:rPr>
        <w:t>4.5 שנות מאסר בפועל</w:t>
      </w:r>
      <w:r w:rsidRPr="00854E50">
        <w:rPr>
          <w:rtl/>
          <w:lang w:eastAsia="he-IL"/>
        </w:rPr>
        <w:t xml:space="preserve">, וערעורו על העונש נדחה. צוין, כי </w:t>
      </w:r>
      <w:r w:rsidRPr="00854E50">
        <w:rPr>
          <w:b/>
          <w:bCs/>
          <w:rtl/>
          <w:lang w:eastAsia="he-IL"/>
        </w:rPr>
        <w:t>החייל נשפט</w:t>
      </w:r>
      <w:r w:rsidRPr="00854E50">
        <w:rPr>
          <w:rFonts w:ascii="FrankRuehl"/>
          <w:b/>
          <w:bCs/>
          <w:lang w:eastAsia="he-IL"/>
        </w:rPr>
        <w:t xml:space="preserve"> </w:t>
      </w:r>
      <w:r w:rsidRPr="00854E50">
        <w:rPr>
          <w:b/>
          <w:bCs/>
          <w:rtl/>
          <w:lang w:eastAsia="he-IL"/>
        </w:rPr>
        <w:t>בפני</w:t>
      </w:r>
      <w:r w:rsidRPr="00854E50">
        <w:rPr>
          <w:rFonts w:ascii="FrankRuehl"/>
          <w:b/>
          <w:bCs/>
          <w:lang w:eastAsia="he-IL"/>
        </w:rPr>
        <w:t xml:space="preserve"> </w:t>
      </w:r>
      <w:r w:rsidRPr="00854E50">
        <w:rPr>
          <w:b/>
          <w:bCs/>
          <w:rtl/>
          <w:lang w:eastAsia="he-IL"/>
        </w:rPr>
        <w:t>בית</w:t>
      </w:r>
      <w:r w:rsidRPr="00854E50">
        <w:rPr>
          <w:rFonts w:ascii="FrankRuehl"/>
          <w:b/>
          <w:bCs/>
          <w:lang w:eastAsia="he-IL"/>
        </w:rPr>
        <w:t xml:space="preserve"> </w:t>
      </w:r>
      <w:r w:rsidRPr="00854E50">
        <w:rPr>
          <w:b/>
          <w:bCs/>
          <w:rtl/>
          <w:lang w:eastAsia="he-IL"/>
        </w:rPr>
        <w:t>דין</w:t>
      </w:r>
      <w:r w:rsidRPr="00854E50">
        <w:rPr>
          <w:rFonts w:ascii="FrankRuehl"/>
          <w:b/>
          <w:bCs/>
          <w:lang w:eastAsia="he-IL"/>
        </w:rPr>
        <w:t xml:space="preserve"> </w:t>
      </w:r>
      <w:r w:rsidRPr="00854E50">
        <w:rPr>
          <w:b/>
          <w:bCs/>
          <w:rtl/>
          <w:lang w:eastAsia="he-IL"/>
        </w:rPr>
        <w:t>צבאי</w:t>
      </w:r>
      <w:r w:rsidRPr="00854E50">
        <w:rPr>
          <w:rtl/>
          <w:lang w:eastAsia="he-IL"/>
        </w:rPr>
        <w:t>,</w:t>
      </w:r>
      <w:r w:rsidRPr="00854E50">
        <w:rPr>
          <w:rFonts w:ascii="FrankRuehl"/>
          <w:lang w:eastAsia="he-IL"/>
        </w:rPr>
        <w:t xml:space="preserve"> </w:t>
      </w:r>
      <w:r w:rsidRPr="00854E50">
        <w:rPr>
          <w:rtl/>
          <w:lang w:eastAsia="he-IL"/>
        </w:rPr>
        <w:t>שם</w:t>
      </w:r>
      <w:r w:rsidRPr="00854E50">
        <w:rPr>
          <w:rFonts w:ascii="FrankRuehl"/>
          <w:lang w:eastAsia="he-IL"/>
        </w:rPr>
        <w:t xml:space="preserve"> </w:t>
      </w:r>
      <w:r w:rsidRPr="00854E50">
        <w:rPr>
          <w:rtl/>
          <w:lang w:eastAsia="he-IL"/>
        </w:rPr>
        <w:t>ביקש</w:t>
      </w:r>
      <w:r w:rsidRPr="00854E50">
        <w:rPr>
          <w:rFonts w:ascii="FrankRuehl"/>
          <w:lang w:eastAsia="he-IL"/>
        </w:rPr>
        <w:t xml:space="preserve"> </w:t>
      </w:r>
      <w:r w:rsidRPr="00854E50">
        <w:rPr>
          <w:rtl/>
          <w:lang w:eastAsia="he-IL"/>
        </w:rPr>
        <w:t>לצרף</w:t>
      </w:r>
      <w:r w:rsidRPr="00854E50">
        <w:rPr>
          <w:rFonts w:ascii="FrankRuehl"/>
          <w:lang w:eastAsia="he-IL"/>
        </w:rPr>
        <w:t xml:space="preserve"> </w:t>
      </w:r>
      <w:r w:rsidRPr="00854E50">
        <w:rPr>
          <w:rtl/>
          <w:lang w:eastAsia="he-IL"/>
        </w:rPr>
        <w:t>תיק נוסף</w:t>
      </w:r>
      <w:r w:rsidRPr="00854E50">
        <w:rPr>
          <w:rFonts w:ascii="FrankRuehl"/>
          <w:lang w:eastAsia="he-IL"/>
        </w:rPr>
        <w:t xml:space="preserve"> </w:t>
      </w:r>
      <w:r w:rsidRPr="00854E50">
        <w:rPr>
          <w:rtl/>
          <w:lang w:eastAsia="he-IL"/>
        </w:rPr>
        <w:t>בו</w:t>
      </w:r>
      <w:r w:rsidRPr="00854E50">
        <w:rPr>
          <w:rFonts w:ascii="FrankRuehl"/>
          <w:lang w:eastAsia="he-IL"/>
        </w:rPr>
        <w:t xml:space="preserve"> </w:t>
      </w:r>
      <w:r w:rsidRPr="00854E50">
        <w:rPr>
          <w:rtl/>
          <w:lang w:eastAsia="he-IL"/>
        </w:rPr>
        <w:t>הודה,</w:t>
      </w:r>
      <w:r w:rsidRPr="00854E50">
        <w:rPr>
          <w:rFonts w:ascii="FrankRuehl"/>
          <w:lang w:eastAsia="he-IL"/>
        </w:rPr>
        <w:t xml:space="preserve"> </w:t>
      </w:r>
      <w:r w:rsidRPr="00854E50">
        <w:rPr>
          <w:rtl/>
          <w:lang w:eastAsia="he-IL"/>
        </w:rPr>
        <w:t>גם</w:t>
      </w:r>
      <w:r w:rsidRPr="00854E50">
        <w:rPr>
          <w:rFonts w:ascii="FrankRuehl"/>
          <w:lang w:eastAsia="he-IL"/>
        </w:rPr>
        <w:t xml:space="preserve"> </w:t>
      </w:r>
      <w:r w:rsidRPr="00854E50">
        <w:rPr>
          <w:rtl/>
          <w:lang w:eastAsia="he-IL"/>
        </w:rPr>
        <w:t>הוא</w:t>
      </w:r>
      <w:r w:rsidRPr="00854E50">
        <w:rPr>
          <w:rFonts w:ascii="FrankRuehl"/>
          <w:lang w:eastAsia="he-IL"/>
        </w:rPr>
        <w:t xml:space="preserve"> </w:t>
      </w:r>
      <w:r w:rsidRPr="00854E50">
        <w:rPr>
          <w:rtl/>
          <w:lang w:eastAsia="he-IL"/>
        </w:rPr>
        <w:t>מאותו</w:t>
      </w:r>
      <w:r w:rsidRPr="00854E50">
        <w:rPr>
          <w:rFonts w:ascii="FrankRuehl"/>
          <w:lang w:eastAsia="he-IL"/>
        </w:rPr>
        <w:t xml:space="preserve"> </w:t>
      </w:r>
      <w:r w:rsidRPr="00854E50">
        <w:rPr>
          <w:rtl/>
          <w:lang w:eastAsia="he-IL"/>
        </w:rPr>
        <w:t>תחום</w:t>
      </w:r>
      <w:r w:rsidRPr="00854E50">
        <w:rPr>
          <w:rFonts w:ascii="FrankRuehl"/>
          <w:lang w:eastAsia="he-IL"/>
        </w:rPr>
        <w:t xml:space="preserve"> </w:t>
      </w:r>
      <w:r w:rsidRPr="00854E50">
        <w:rPr>
          <w:rFonts w:ascii="FrankRuehl"/>
          <w:lang w:eastAsia="he-IL"/>
        </w:rPr>
        <w:t>–</w:t>
      </w:r>
      <w:r w:rsidRPr="00854E50">
        <w:rPr>
          <w:rFonts w:ascii="FrankRuehl"/>
          <w:lang w:eastAsia="he-IL"/>
        </w:rPr>
        <w:t xml:space="preserve"> </w:t>
      </w:r>
      <w:r w:rsidRPr="00854E50">
        <w:rPr>
          <w:rtl/>
          <w:lang w:eastAsia="he-IL"/>
        </w:rPr>
        <w:t>גניבת</w:t>
      </w:r>
      <w:r w:rsidRPr="00854E50">
        <w:rPr>
          <w:rFonts w:ascii="FrankRuehl"/>
          <w:lang w:eastAsia="he-IL"/>
        </w:rPr>
        <w:t xml:space="preserve"> </w:t>
      </w:r>
      <w:r w:rsidRPr="00854E50">
        <w:rPr>
          <w:rtl/>
          <w:lang w:eastAsia="he-IL"/>
        </w:rPr>
        <w:t>נשק</w:t>
      </w:r>
      <w:r w:rsidRPr="00854E50">
        <w:rPr>
          <w:rFonts w:ascii="FrankRuehl"/>
          <w:lang w:eastAsia="he-IL"/>
        </w:rPr>
        <w:t xml:space="preserve"> </w:t>
      </w:r>
      <w:r w:rsidRPr="00854E50">
        <w:rPr>
          <w:rtl/>
          <w:lang w:eastAsia="he-IL"/>
        </w:rPr>
        <w:t>מצה"ל, ונדון ל</w:t>
      </w:r>
      <w:r w:rsidRPr="00854E50">
        <w:rPr>
          <w:b/>
          <w:bCs/>
          <w:rtl/>
          <w:lang w:eastAsia="he-IL"/>
        </w:rPr>
        <w:t>שש וחצי</w:t>
      </w:r>
      <w:r w:rsidRPr="00854E50">
        <w:rPr>
          <w:rFonts w:ascii="FrankRuehl"/>
          <w:b/>
          <w:bCs/>
          <w:lang w:eastAsia="he-IL"/>
        </w:rPr>
        <w:t xml:space="preserve"> </w:t>
      </w:r>
      <w:r w:rsidRPr="00854E50">
        <w:rPr>
          <w:b/>
          <w:bCs/>
          <w:rtl/>
          <w:lang w:eastAsia="he-IL"/>
        </w:rPr>
        <w:t>שנות</w:t>
      </w:r>
      <w:r w:rsidRPr="00854E50">
        <w:rPr>
          <w:rFonts w:ascii="FrankRuehl"/>
          <w:b/>
          <w:bCs/>
          <w:lang w:eastAsia="he-IL"/>
        </w:rPr>
        <w:t xml:space="preserve"> </w:t>
      </w:r>
      <w:r w:rsidRPr="00854E50">
        <w:rPr>
          <w:b/>
          <w:bCs/>
          <w:rtl/>
          <w:lang w:eastAsia="he-IL"/>
        </w:rPr>
        <w:t>מאסר</w:t>
      </w:r>
      <w:r w:rsidRPr="00854E50">
        <w:rPr>
          <w:rFonts w:ascii="FrankRuehl"/>
          <w:b/>
          <w:bCs/>
          <w:lang w:eastAsia="he-IL"/>
        </w:rPr>
        <w:t xml:space="preserve"> </w:t>
      </w:r>
      <w:r w:rsidRPr="00854E50">
        <w:rPr>
          <w:rtl/>
          <w:lang w:eastAsia="he-IL"/>
        </w:rPr>
        <w:t>ושלוש</w:t>
      </w:r>
      <w:r w:rsidRPr="00854E50">
        <w:rPr>
          <w:rFonts w:ascii="FrankRuehl"/>
          <w:lang w:eastAsia="he-IL"/>
        </w:rPr>
        <w:t xml:space="preserve"> </w:t>
      </w:r>
      <w:r w:rsidRPr="00854E50">
        <w:rPr>
          <w:rtl/>
          <w:lang w:eastAsia="he-IL"/>
        </w:rPr>
        <w:t>שנים</w:t>
      </w:r>
      <w:r w:rsidRPr="00854E50">
        <w:rPr>
          <w:rFonts w:ascii="FrankRuehl"/>
          <w:lang w:eastAsia="he-IL"/>
        </w:rPr>
        <w:t xml:space="preserve"> </w:t>
      </w:r>
      <w:r w:rsidRPr="00854E50">
        <w:rPr>
          <w:rtl/>
          <w:lang w:eastAsia="he-IL"/>
        </w:rPr>
        <w:t>מאסר</w:t>
      </w:r>
      <w:r w:rsidRPr="00854E50">
        <w:rPr>
          <w:rFonts w:ascii="FrankRuehl"/>
          <w:lang w:eastAsia="he-IL"/>
        </w:rPr>
        <w:t xml:space="preserve"> </w:t>
      </w:r>
      <w:r w:rsidRPr="00854E50">
        <w:rPr>
          <w:rtl/>
          <w:lang w:eastAsia="he-IL"/>
        </w:rPr>
        <w:t>על</w:t>
      </w:r>
      <w:r w:rsidRPr="00854E50">
        <w:rPr>
          <w:rFonts w:ascii="FrankRuehl"/>
          <w:lang w:eastAsia="he-IL"/>
        </w:rPr>
        <w:t>-</w:t>
      </w:r>
      <w:r w:rsidRPr="00854E50">
        <w:rPr>
          <w:rtl/>
          <w:lang w:eastAsia="he-IL"/>
        </w:rPr>
        <w:t>תנאי.</w:t>
      </w:r>
      <w:r w:rsidRPr="00854E50">
        <w:rPr>
          <w:rFonts w:ascii="FrankRuehl"/>
          <w:lang w:eastAsia="he-IL"/>
        </w:rPr>
        <w:t xml:space="preserve"> </w:t>
      </w:r>
      <w:r w:rsidRPr="00854E50">
        <w:rPr>
          <w:b/>
          <w:bCs/>
          <w:rtl/>
          <w:lang w:eastAsia="he-IL"/>
        </w:rPr>
        <w:t>הקטין</w:t>
      </w:r>
      <w:r w:rsidRPr="00854E50">
        <w:rPr>
          <w:rFonts w:ascii="FrankRuehl"/>
          <w:b/>
          <w:bCs/>
          <w:lang w:eastAsia="he-IL"/>
        </w:rPr>
        <w:t xml:space="preserve"> </w:t>
      </w:r>
      <w:r w:rsidRPr="00854E50">
        <w:rPr>
          <w:b/>
          <w:bCs/>
          <w:rtl/>
          <w:lang w:eastAsia="he-IL"/>
        </w:rPr>
        <w:t>נדון</w:t>
      </w:r>
      <w:r w:rsidRPr="00854E50">
        <w:rPr>
          <w:rFonts w:ascii="FrankRuehl"/>
          <w:b/>
          <w:bCs/>
          <w:lang w:eastAsia="he-IL"/>
        </w:rPr>
        <w:t xml:space="preserve"> </w:t>
      </w:r>
      <w:r w:rsidRPr="00854E50">
        <w:rPr>
          <w:b/>
          <w:bCs/>
          <w:rtl/>
          <w:lang w:eastAsia="he-IL"/>
        </w:rPr>
        <w:t>לעשרים</w:t>
      </w:r>
      <w:r w:rsidRPr="00854E50">
        <w:rPr>
          <w:rFonts w:ascii="FrankRuehl"/>
          <w:b/>
          <w:bCs/>
          <w:lang w:eastAsia="he-IL"/>
        </w:rPr>
        <w:t xml:space="preserve"> </w:t>
      </w:r>
      <w:r w:rsidRPr="00854E50">
        <w:rPr>
          <w:b/>
          <w:bCs/>
          <w:rtl/>
          <w:lang w:eastAsia="he-IL"/>
        </w:rPr>
        <w:t>ושניים</w:t>
      </w:r>
      <w:r w:rsidRPr="00854E50">
        <w:rPr>
          <w:rFonts w:ascii="FrankRuehl"/>
          <w:b/>
          <w:bCs/>
          <w:lang w:eastAsia="he-IL"/>
        </w:rPr>
        <w:t xml:space="preserve"> </w:t>
      </w:r>
      <w:r w:rsidRPr="00854E50">
        <w:rPr>
          <w:b/>
          <w:bCs/>
          <w:rtl/>
          <w:lang w:eastAsia="he-IL"/>
        </w:rPr>
        <w:t>חודשי מאסר</w:t>
      </w:r>
      <w:r w:rsidRPr="00854E50">
        <w:rPr>
          <w:rtl/>
          <w:lang w:eastAsia="he-IL"/>
        </w:rPr>
        <w:t>,</w:t>
      </w:r>
      <w:r w:rsidRPr="00854E50">
        <w:rPr>
          <w:rFonts w:ascii="FrankRuehl"/>
          <w:lang w:eastAsia="he-IL"/>
        </w:rPr>
        <w:t xml:space="preserve"> </w:t>
      </w:r>
      <w:r w:rsidRPr="00854E50">
        <w:rPr>
          <w:rtl/>
          <w:lang w:eastAsia="he-IL"/>
        </w:rPr>
        <w:t>וזאת</w:t>
      </w:r>
      <w:r w:rsidRPr="00854E50">
        <w:rPr>
          <w:rFonts w:ascii="FrankRuehl"/>
          <w:lang w:eastAsia="he-IL"/>
        </w:rPr>
        <w:t xml:space="preserve"> </w:t>
      </w:r>
      <w:r w:rsidRPr="00854E50">
        <w:rPr>
          <w:rtl/>
          <w:lang w:eastAsia="he-IL"/>
        </w:rPr>
        <w:t>במסגרת</w:t>
      </w:r>
      <w:r w:rsidRPr="00854E50">
        <w:rPr>
          <w:rFonts w:ascii="FrankRuehl"/>
          <w:lang w:eastAsia="he-IL"/>
        </w:rPr>
        <w:t xml:space="preserve"> </w:t>
      </w:r>
      <w:r w:rsidRPr="00854E50">
        <w:rPr>
          <w:rtl/>
          <w:lang w:eastAsia="he-IL"/>
        </w:rPr>
        <w:t>הסדר</w:t>
      </w:r>
      <w:r w:rsidRPr="00854E50">
        <w:rPr>
          <w:rFonts w:ascii="FrankRuehl"/>
          <w:lang w:eastAsia="he-IL"/>
        </w:rPr>
        <w:t xml:space="preserve"> </w:t>
      </w:r>
      <w:r w:rsidRPr="00854E50">
        <w:rPr>
          <w:rtl/>
          <w:lang w:eastAsia="he-IL"/>
        </w:rPr>
        <w:t>טיעון</w:t>
      </w:r>
      <w:r w:rsidRPr="00854E50">
        <w:rPr>
          <w:rFonts w:ascii="FrankRuehl"/>
          <w:lang w:eastAsia="he-IL"/>
        </w:rPr>
        <w:t xml:space="preserve"> </w:t>
      </w:r>
      <w:r w:rsidRPr="00854E50">
        <w:rPr>
          <w:rtl/>
          <w:lang w:eastAsia="he-IL"/>
        </w:rPr>
        <w:t>שכלל</w:t>
      </w:r>
      <w:r w:rsidRPr="00854E50">
        <w:rPr>
          <w:rFonts w:ascii="FrankRuehl"/>
          <w:lang w:eastAsia="he-IL"/>
        </w:rPr>
        <w:t xml:space="preserve"> </w:t>
      </w:r>
      <w:r w:rsidRPr="00854E50">
        <w:rPr>
          <w:rtl/>
          <w:lang w:eastAsia="he-IL"/>
        </w:rPr>
        <w:t>גם</w:t>
      </w:r>
      <w:r w:rsidRPr="00854E50">
        <w:rPr>
          <w:rFonts w:ascii="FrankRuehl"/>
          <w:lang w:eastAsia="he-IL"/>
        </w:rPr>
        <w:t xml:space="preserve"> </w:t>
      </w:r>
      <w:r w:rsidRPr="00854E50">
        <w:rPr>
          <w:rtl/>
          <w:lang w:eastAsia="he-IL"/>
        </w:rPr>
        <w:t>הסכמה</w:t>
      </w:r>
      <w:r w:rsidRPr="00854E50">
        <w:rPr>
          <w:rFonts w:ascii="FrankRuehl"/>
          <w:lang w:eastAsia="he-IL"/>
        </w:rPr>
        <w:t xml:space="preserve"> </w:t>
      </w:r>
      <w:r w:rsidRPr="00854E50">
        <w:rPr>
          <w:rtl/>
          <w:lang w:eastAsia="he-IL"/>
        </w:rPr>
        <w:t>לעניין</w:t>
      </w:r>
      <w:r w:rsidRPr="00854E50">
        <w:rPr>
          <w:rFonts w:ascii="FrankRuehl"/>
          <w:lang w:eastAsia="he-IL"/>
        </w:rPr>
        <w:t xml:space="preserve"> </w:t>
      </w:r>
      <w:r w:rsidRPr="00854E50">
        <w:rPr>
          <w:rtl/>
          <w:lang w:eastAsia="he-IL"/>
        </w:rPr>
        <w:t>העונש</w:t>
      </w:r>
      <w:r w:rsidRPr="00854E50">
        <w:rPr>
          <w:rFonts w:ascii="FrankRuehl"/>
          <w:lang w:eastAsia="he-IL"/>
        </w:rPr>
        <w:t>.</w:t>
      </w:r>
    </w:p>
    <w:p w14:paraId="044C9A6F" w14:textId="77777777" w:rsidR="0003327B" w:rsidRPr="00854E50" w:rsidRDefault="0003327B" w:rsidP="0003327B">
      <w:pPr>
        <w:spacing w:line="360" w:lineRule="auto"/>
        <w:ind w:left="1440"/>
        <w:jc w:val="both"/>
        <w:rPr>
          <w:rtl/>
          <w:lang w:eastAsia="he-IL"/>
        </w:rPr>
      </w:pPr>
      <w:r w:rsidRPr="00854E50">
        <w:rPr>
          <w:rtl/>
          <w:lang w:eastAsia="he-IL"/>
        </w:rPr>
        <w:t>" הערעור</w:t>
      </w:r>
      <w:r w:rsidRPr="00854E50">
        <w:rPr>
          <w:lang w:eastAsia="he-IL"/>
        </w:rPr>
        <w:t xml:space="preserve"> </w:t>
      </w:r>
      <w:r w:rsidRPr="00854E50">
        <w:rPr>
          <w:rtl/>
          <w:lang w:eastAsia="he-IL"/>
        </w:rPr>
        <w:t>ראוי להידחות</w:t>
      </w:r>
      <w:r w:rsidRPr="00854E50">
        <w:rPr>
          <w:lang w:eastAsia="he-IL"/>
        </w:rPr>
        <w:t xml:space="preserve"> </w:t>
      </w:r>
      <w:r w:rsidRPr="00854E50">
        <w:rPr>
          <w:rtl/>
          <w:lang w:eastAsia="he-IL"/>
        </w:rPr>
        <w:t>גם</w:t>
      </w:r>
      <w:r w:rsidRPr="00854E50">
        <w:rPr>
          <w:lang w:eastAsia="he-IL"/>
        </w:rPr>
        <w:t xml:space="preserve"> </w:t>
      </w:r>
      <w:r w:rsidRPr="00854E50">
        <w:rPr>
          <w:rtl/>
          <w:lang w:eastAsia="he-IL"/>
        </w:rPr>
        <w:t>לגופו,</w:t>
      </w:r>
      <w:r w:rsidRPr="00854E50">
        <w:rPr>
          <w:lang w:eastAsia="he-IL"/>
        </w:rPr>
        <w:t xml:space="preserve"> </w:t>
      </w:r>
      <w:r w:rsidRPr="00854E50">
        <w:rPr>
          <w:rtl/>
          <w:lang w:eastAsia="he-IL"/>
        </w:rPr>
        <w:t>נוכח</w:t>
      </w:r>
      <w:r w:rsidRPr="00854E50">
        <w:rPr>
          <w:lang w:eastAsia="he-IL"/>
        </w:rPr>
        <w:t xml:space="preserve"> </w:t>
      </w:r>
      <w:r w:rsidRPr="00854E50">
        <w:rPr>
          <w:rtl/>
          <w:lang w:eastAsia="he-IL"/>
        </w:rPr>
        <w:t>חומרתן</w:t>
      </w:r>
      <w:r w:rsidRPr="00854E50">
        <w:rPr>
          <w:lang w:eastAsia="he-IL"/>
        </w:rPr>
        <w:t xml:space="preserve"> </w:t>
      </w:r>
      <w:r w:rsidRPr="00854E50">
        <w:rPr>
          <w:rtl/>
          <w:lang w:eastAsia="he-IL"/>
        </w:rPr>
        <w:t>של</w:t>
      </w:r>
      <w:r w:rsidRPr="00854E50">
        <w:rPr>
          <w:lang w:eastAsia="he-IL"/>
        </w:rPr>
        <w:t xml:space="preserve"> </w:t>
      </w:r>
      <w:r w:rsidRPr="00854E50">
        <w:rPr>
          <w:rtl/>
          <w:lang w:eastAsia="he-IL"/>
        </w:rPr>
        <w:t>העבירות.</w:t>
      </w:r>
      <w:r w:rsidRPr="00854E50">
        <w:rPr>
          <w:lang w:eastAsia="he-IL"/>
        </w:rPr>
        <w:t xml:space="preserve"> </w:t>
      </w:r>
      <w:r w:rsidRPr="00854E50">
        <w:rPr>
          <w:rtl/>
          <w:lang w:eastAsia="he-IL"/>
        </w:rPr>
        <w:t>המערער</w:t>
      </w:r>
      <w:r w:rsidRPr="00854E50">
        <w:rPr>
          <w:lang w:eastAsia="he-IL"/>
        </w:rPr>
        <w:t xml:space="preserve"> </w:t>
      </w:r>
      <w:r w:rsidRPr="00854E50">
        <w:rPr>
          <w:rtl/>
          <w:lang w:eastAsia="he-IL"/>
        </w:rPr>
        <w:t>נטל</w:t>
      </w:r>
      <w:r w:rsidRPr="00854E50">
        <w:rPr>
          <w:lang w:eastAsia="he-IL"/>
        </w:rPr>
        <w:t xml:space="preserve"> </w:t>
      </w:r>
      <w:r w:rsidRPr="00854E50">
        <w:rPr>
          <w:rtl/>
          <w:lang w:eastAsia="he-IL"/>
        </w:rPr>
        <w:t>חלק</w:t>
      </w:r>
      <w:r w:rsidRPr="00854E50">
        <w:rPr>
          <w:lang w:eastAsia="he-IL"/>
        </w:rPr>
        <w:t xml:space="preserve"> </w:t>
      </w:r>
      <w:r w:rsidRPr="00854E50">
        <w:rPr>
          <w:rtl/>
          <w:lang w:eastAsia="he-IL"/>
        </w:rPr>
        <w:t>פעיל</w:t>
      </w:r>
      <w:r w:rsidRPr="00854E50">
        <w:rPr>
          <w:lang w:eastAsia="he-IL"/>
        </w:rPr>
        <w:t xml:space="preserve"> </w:t>
      </w:r>
      <w:r w:rsidRPr="00854E50">
        <w:rPr>
          <w:rtl/>
          <w:lang w:eastAsia="he-IL"/>
        </w:rPr>
        <w:t>בקשר</w:t>
      </w:r>
      <w:r w:rsidRPr="00854E50">
        <w:rPr>
          <w:lang w:eastAsia="he-IL"/>
        </w:rPr>
        <w:t xml:space="preserve"> </w:t>
      </w:r>
      <w:r w:rsidRPr="00854E50">
        <w:rPr>
          <w:rtl/>
          <w:lang w:eastAsia="he-IL"/>
        </w:rPr>
        <w:t>לגנוב נשק</w:t>
      </w:r>
      <w:r w:rsidRPr="00854E50">
        <w:rPr>
          <w:lang w:eastAsia="he-IL"/>
        </w:rPr>
        <w:t xml:space="preserve"> </w:t>
      </w:r>
      <w:r w:rsidRPr="00854E50">
        <w:rPr>
          <w:rtl/>
          <w:lang w:eastAsia="he-IL"/>
        </w:rPr>
        <w:t>מצה</w:t>
      </w:r>
      <w:r w:rsidRPr="00854E50">
        <w:rPr>
          <w:lang w:eastAsia="he-IL"/>
        </w:rPr>
        <w:t>"</w:t>
      </w:r>
      <w:r w:rsidRPr="00854E50">
        <w:rPr>
          <w:rtl/>
          <w:lang w:eastAsia="he-IL"/>
        </w:rPr>
        <w:t>ל,</w:t>
      </w:r>
      <w:r w:rsidRPr="00854E50">
        <w:rPr>
          <w:lang w:eastAsia="he-IL"/>
        </w:rPr>
        <w:t xml:space="preserve"> </w:t>
      </w:r>
      <w:r w:rsidRPr="00854E50">
        <w:rPr>
          <w:rtl/>
          <w:lang w:eastAsia="he-IL"/>
        </w:rPr>
        <w:t>ובמטרה</w:t>
      </w:r>
      <w:r w:rsidRPr="00854E50">
        <w:rPr>
          <w:lang w:eastAsia="he-IL"/>
        </w:rPr>
        <w:t xml:space="preserve"> </w:t>
      </w:r>
      <w:r w:rsidRPr="00854E50">
        <w:rPr>
          <w:rtl/>
          <w:lang w:eastAsia="he-IL"/>
        </w:rPr>
        <w:t>למכור</w:t>
      </w:r>
      <w:r w:rsidRPr="00854E50">
        <w:rPr>
          <w:lang w:eastAsia="he-IL"/>
        </w:rPr>
        <w:t xml:space="preserve"> </w:t>
      </w:r>
      <w:r w:rsidRPr="00854E50">
        <w:rPr>
          <w:rtl/>
          <w:lang w:eastAsia="he-IL"/>
        </w:rPr>
        <w:t>אותו</w:t>
      </w:r>
      <w:r w:rsidRPr="00854E50">
        <w:rPr>
          <w:lang w:eastAsia="he-IL"/>
        </w:rPr>
        <w:t xml:space="preserve"> </w:t>
      </w:r>
      <w:r w:rsidRPr="00854E50">
        <w:rPr>
          <w:rtl/>
          <w:lang w:eastAsia="he-IL"/>
        </w:rPr>
        <w:t>לאחר</w:t>
      </w:r>
      <w:r w:rsidRPr="00854E50">
        <w:rPr>
          <w:lang w:eastAsia="he-IL"/>
        </w:rPr>
        <w:t xml:space="preserve"> </w:t>
      </w:r>
      <w:r w:rsidRPr="00854E50">
        <w:rPr>
          <w:rtl/>
          <w:lang w:eastAsia="he-IL"/>
        </w:rPr>
        <w:t>תמורת</w:t>
      </w:r>
      <w:r w:rsidRPr="00854E50">
        <w:rPr>
          <w:lang w:eastAsia="he-IL"/>
        </w:rPr>
        <w:t xml:space="preserve"> </w:t>
      </w:r>
      <w:r w:rsidRPr="00854E50">
        <w:rPr>
          <w:rtl/>
          <w:lang w:eastAsia="he-IL"/>
        </w:rPr>
        <w:t>בצע</w:t>
      </w:r>
      <w:r w:rsidRPr="00854E50">
        <w:rPr>
          <w:lang w:eastAsia="he-IL"/>
        </w:rPr>
        <w:t xml:space="preserve"> </w:t>
      </w:r>
      <w:r w:rsidRPr="00854E50">
        <w:rPr>
          <w:rtl/>
          <w:lang w:eastAsia="he-IL"/>
        </w:rPr>
        <w:t>כסף.</w:t>
      </w:r>
      <w:r w:rsidRPr="00854E50">
        <w:rPr>
          <w:lang w:eastAsia="he-IL"/>
        </w:rPr>
        <w:t xml:space="preserve"> </w:t>
      </w:r>
      <w:r w:rsidRPr="00854E50">
        <w:rPr>
          <w:rtl/>
          <w:lang w:eastAsia="he-IL"/>
        </w:rPr>
        <w:t>אין</w:t>
      </w:r>
      <w:r w:rsidRPr="00854E50">
        <w:rPr>
          <w:lang w:eastAsia="he-IL"/>
        </w:rPr>
        <w:t xml:space="preserve"> </w:t>
      </w:r>
      <w:r w:rsidRPr="00854E50">
        <w:rPr>
          <w:rtl/>
          <w:lang w:eastAsia="he-IL"/>
        </w:rPr>
        <w:t>ספק</w:t>
      </w:r>
      <w:r w:rsidRPr="00854E50">
        <w:rPr>
          <w:lang w:eastAsia="he-IL"/>
        </w:rPr>
        <w:t xml:space="preserve"> </w:t>
      </w:r>
      <w:r w:rsidRPr="00854E50">
        <w:rPr>
          <w:rtl/>
          <w:lang w:eastAsia="he-IL"/>
        </w:rPr>
        <w:t>שהמערער</w:t>
      </w:r>
      <w:r w:rsidRPr="00854E50">
        <w:rPr>
          <w:lang w:eastAsia="he-IL"/>
        </w:rPr>
        <w:t xml:space="preserve"> </w:t>
      </w:r>
      <w:r w:rsidRPr="00854E50">
        <w:rPr>
          <w:rtl/>
          <w:lang w:eastAsia="he-IL"/>
        </w:rPr>
        <w:t>ידע</w:t>
      </w:r>
      <w:r w:rsidRPr="00854E50">
        <w:rPr>
          <w:lang w:eastAsia="he-IL"/>
        </w:rPr>
        <w:t xml:space="preserve"> </w:t>
      </w:r>
      <w:r w:rsidRPr="00854E50">
        <w:rPr>
          <w:rtl/>
          <w:lang w:eastAsia="he-IL"/>
        </w:rPr>
        <w:t>כי הקונה</w:t>
      </w:r>
      <w:r w:rsidRPr="00854E50">
        <w:rPr>
          <w:lang w:eastAsia="he-IL"/>
        </w:rPr>
        <w:t xml:space="preserve"> </w:t>
      </w:r>
      <w:r w:rsidRPr="00854E50">
        <w:rPr>
          <w:rtl/>
          <w:lang w:eastAsia="he-IL"/>
        </w:rPr>
        <w:t>הפוטנציאלי</w:t>
      </w:r>
      <w:r w:rsidRPr="00854E50">
        <w:rPr>
          <w:lang w:eastAsia="he-IL"/>
        </w:rPr>
        <w:t xml:space="preserve"> </w:t>
      </w:r>
      <w:r w:rsidRPr="00854E50">
        <w:rPr>
          <w:rtl/>
          <w:lang w:eastAsia="he-IL"/>
        </w:rPr>
        <w:t>עתיד</w:t>
      </w:r>
      <w:r w:rsidRPr="00854E50">
        <w:rPr>
          <w:lang w:eastAsia="he-IL"/>
        </w:rPr>
        <w:t xml:space="preserve"> </w:t>
      </w:r>
      <w:r w:rsidRPr="00854E50">
        <w:rPr>
          <w:rtl/>
          <w:lang w:eastAsia="he-IL"/>
        </w:rPr>
        <w:t>להשתמש</w:t>
      </w:r>
      <w:r w:rsidRPr="00854E50">
        <w:rPr>
          <w:lang w:eastAsia="he-IL"/>
        </w:rPr>
        <w:t xml:space="preserve"> </w:t>
      </w:r>
      <w:r w:rsidRPr="00854E50">
        <w:rPr>
          <w:rtl/>
          <w:lang w:eastAsia="he-IL"/>
        </w:rPr>
        <w:t>בנשק</w:t>
      </w:r>
      <w:r w:rsidRPr="00854E50">
        <w:rPr>
          <w:lang w:eastAsia="he-IL"/>
        </w:rPr>
        <w:t xml:space="preserve"> </w:t>
      </w:r>
      <w:r w:rsidRPr="00854E50">
        <w:rPr>
          <w:rtl/>
          <w:lang w:eastAsia="he-IL"/>
        </w:rPr>
        <w:t>למטרות</w:t>
      </w:r>
      <w:r w:rsidRPr="00854E50">
        <w:rPr>
          <w:lang w:eastAsia="he-IL"/>
        </w:rPr>
        <w:t xml:space="preserve"> </w:t>
      </w:r>
      <w:r w:rsidRPr="00854E50">
        <w:rPr>
          <w:rtl/>
          <w:lang w:eastAsia="he-IL"/>
        </w:rPr>
        <w:t>אסורות,</w:t>
      </w:r>
      <w:r w:rsidRPr="00854E50">
        <w:rPr>
          <w:lang w:eastAsia="he-IL"/>
        </w:rPr>
        <w:t xml:space="preserve"> </w:t>
      </w:r>
      <w:r w:rsidRPr="00854E50">
        <w:rPr>
          <w:rtl/>
          <w:lang w:eastAsia="he-IL"/>
        </w:rPr>
        <w:t>שאם</w:t>
      </w:r>
      <w:r w:rsidRPr="00854E50">
        <w:rPr>
          <w:lang w:eastAsia="he-IL"/>
        </w:rPr>
        <w:t xml:space="preserve"> </w:t>
      </w:r>
      <w:r w:rsidRPr="00854E50">
        <w:rPr>
          <w:rtl/>
          <w:lang w:eastAsia="he-IL"/>
        </w:rPr>
        <w:t>לא</w:t>
      </w:r>
      <w:r w:rsidRPr="00854E50">
        <w:rPr>
          <w:lang w:eastAsia="he-IL"/>
        </w:rPr>
        <w:t xml:space="preserve"> </w:t>
      </w:r>
      <w:r w:rsidRPr="00854E50">
        <w:rPr>
          <w:rtl/>
          <w:lang w:eastAsia="he-IL"/>
        </w:rPr>
        <w:t>כן,</w:t>
      </w:r>
      <w:r w:rsidRPr="00854E50">
        <w:rPr>
          <w:lang w:eastAsia="he-IL"/>
        </w:rPr>
        <w:t xml:space="preserve"> </w:t>
      </w:r>
      <w:r w:rsidRPr="00854E50">
        <w:rPr>
          <w:rtl/>
          <w:lang w:eastAsia="he-IL"/>
        </w:rPr>
        <w:t>היה</w:t>
      </w:r>
      <w:r w:rsidRPr="00854E50">
        <w:rPr>
          <w:lang w:eastAsia="he-IL"/>
        </w:rPr>
        <w:t xml:space="preserve"> </w:t>
      </w:r>
      <w:r w:rsidRPr="00854E50">
        <w:rPr>
          <w:rtl/>
          <w:lang w:eastAsia="he-IL"/>
        </w:rPr>
        <w:t>פונה אותו</w:t>
      </w:r>
      <w:r w:rsidRPr="00854E50">
        <w:rPr>
          <w:lang w:eastAsia="he-IL"/>
        </w:rPr>
        <w:t xml:space="preserve"> </w:t>
      </w:r>
      <w:r w:rsidRPr="00854E50">
        <w:rPr>
          <w:rtl/>
          <w:lang w:eastAsia="he-IL"/>
        </w:rPr>
        <w:t>קונה</w:t>
      </w:r>
      <w:r w:rsidRPr="00854E50">
        <w:rPr>
          <w:lang w:eastAsia="he-IL"/>
        </w:rPr>
        <w:t xml:space="preserve"> </w:t>
      </w:r>
      <w:r w:rsidRPr="00854E50">
        <w:rPr>
          <w:rtl/>
          <w:lang w:eastAsia="he-IL"/>
        </w:rPr>
        <w:t>לרשויות</w:t>
      </w:r>
      <w:r w:rsidRPr="00854E50">
        <w:rPr>
          <w:lang w:eastAsia="he-IL"/>
        </w:rPr>
        <w:t xml:space="preserve"> </w:t>
      </w:r>
      <w:r w:rsidRPr="00854E50">
        <w:rPr>
          <w:rtl/>
          <w:lang w:eastAsia="he-IL"/>
        </w:rPr>
        <w:t>המוסמכות</w:t>
      </w:r>
      <w:r w:rsidRPr="00854E50">
        <w:rPr>
          <w:lang w:eastAsia="he-IL"/>
        </w:rPr>
        <w:t xml:space="preserve"> </w:t>
      </w:r>
      <w:r w:rsidRPr="00854E50">
        <w:rPr>
          <w:rtl/>
          <w:lang w:eastAsia="he-IL"/>
        </w:rPr>
        <w:t>ורוכש</w:t>
      </w:r>
      <w:r w:rsidRPr="00854E50">
        <w:rPr>
          <w:lang w:eastAsia="he-IL"/>
        </w:rPr>
        <w:t xml:space="preserve"> </w:t>
      </w:r>
      <w:r w:rsidRPr="00854E50">
        <w:rPr>
          <w:rtl/>
          <w:lang w:eastAsia="he-IL"/>
        </w:rPr>
        <w:t>נשק</w:t>
      </w:r>
      <w:r w:rsidRPr="00854E50">
        <w:rPr>
          <w:lang w:eastAsia="he-IL"/>
        </w:rPr>
        <w:t xml:space="preserve"> </w:t>
      </w:r>
      <w:r w:rsidRPr="00854E50">
        <w:rPr>
          <w:rtl/>
          <w:lang w:eastAsia="he-IL"/>
        </w:rPr>
        <w:t>כדין.</w:t>
      </w:r>
      <w:r w:rsidRPr="00854E50">
        <w:rPr>
          <w:lang w:eastAsia="he-IL"/>
        </w:rPr>
        <w:t xml:space="preserve"> </w:t>
      </w:r>
      <w:r w:rsidRPr="00854E50">
        <w:rPr>
          <w:rtl/>
          <w:lang w:eastAsia="he-IL"/>
        </w:rPr>
        <w:t>כך</w:t>
      </w:r>
      <w:r w:rsidRPr="00854E50">
        <w:rPr>
          <w:lang w:eastAsia="he-IL"/>
        </w:rPr>
        <w:t xml:space="preserve"> </w:t>
      </w:r>
      <w:r w:rsidRPr="00854E50">
        <w:rPr>
          <w:rtl/>
          <w:lang w:eastAsia="he-IL"/>
        </w:rPr>
        <w:t>או</w:t>
      </w:r>
      <w:r w:rsidRPr="00854E50">
        <w:rPr>
          <w:lang w:eastAsia="he-IL"/>
        </w:rPr>
        <w:t xml:space="preserve"> </w:t>
      </w:r>
      <w:r w:rsidRPr="00854E50">
        <w:rPr>
          <w:rtl/>
          <w:lang w:eastAsia="he-IL"/>
        </w:rPr>
        <w:t>כך,</w:t>
      </w:r>
      <w:r w:rsidRPr="00854E50">
        <w:rPr>
          <w:lang w:eastAsia="he-IL"/>
        </w:rPr>
        <w:t xml:space="preserve"> </w:t>
      </w:r>
      <w:r w:rsidRPr="00854E50">
        <w:rPr>
          <w:rtl/>
          <w:lang w:eastAsia="he-IL"/>
        </w:rPr>
        <w:t>לא</w:t>
      </w:r>
      <w:r w:rsidRPr="00854E50">
        <w:rPr>
          <w:lang w:eastAsia="he-IL"/>
        </w:rPr>
        <w:t xml:space="preserve"> </w:t>
      </w:r>
      <w:r w:rsidRPr="00854E50">
        <w:rPr>
          <w:rtl/>
          <w:lang w:eastAsia="he-IL"/>
        </w:rPr>
        <w:t>ידוע</w:t>
      </w:r>
      <w:r w:rsidRPr="00854E50">
        <w:rPr>
          <w:lang w:eastAsia="he-IL"/>
        </w:rPr>
        <w:t xml:space="preserve"> </w:t>
      </w:r>
      <w:r w:rsidRPr="00854E50">
        <w:rPr>
          <w:rtl/>
          <w:lang w:eastAsia="he-IL"/>
        </w:rPr>
        <w:t>מה</w:t>
      </w:r>
      <w:r w:rsidRPr="00854E50">
        <w:rPr>
          <w:lang w:eastAsia="he-IL"/>
        </w:rPr>
        <w:t xml:space="preserve"> </w:t>
      </w:r>
      <w:r w:rsidRPr="00854E50">
        <w:rPr>
          <w:rtl/>
          <w:lang w:eastAsia="he-IL"/>
        </w:rPr>
        <w:t>עלה</w:t>
      </w:r>
      <w:r w:rsidRPr="00854E50">
        <w:rPr>
          <w:lang w:eastAsia="he-IL"/>
        </w:rPr>
        <w:t xml:space="preserve"> </w:t>
      </w:r>
      <w:r w:rsidRPr="00854E50">
        <w:rPr>
          <w:rtl/>
          <w:lang w:eastAsia="he-IL"/>
        </w:rPr>
        <w:t>בגורלו של</w:t>
      </w:r>
      <w:r w:rsidRPr="00854E50">
        <w:rPr>
          <w:lang w:eastAsia="he-IL"/>
        </w:rPr>
        <w:t xml:space="preserve"> </w:t>
      </w:r>
      <w:r w:rsidRPr="00854E50">
        <w:rPr>
          <w:rtl/>
          <w:lang w:eastAsia="he-IL"/>
        </w:rPr>
        <w:t>הרובה</w:t>
      </w:r>
      <w:r w:rsidRPr="00854E50">
        <w:rPr>
          <w:lang w:eastAsia="he-IL"/>
        </w:rPr>
        <w:t xml:space="preserve"> </w:t>
      </w:r>
      <w:r w:rsidRPr="00854E50">
        <w:rPr>
          <w:rtl/>
          <w:lang w:eastAsia="he-IL"/>
        </w:rPr>
        <w:t>שנגנב,</w:t>
      </w:r>
      <w:r w:rsidRPr="00854E50">
        <w:rPr>
          <w:lang w:eastAsia="he-IL"/>
        </w:rPr>
        <w:t xml:space="preserve"> </w:t>
      </w:r>
      <w:r w:rsidRPr="00854E50">
        <w:rPr>
          <w:rtl/>
          <w:lang w:eastAsia="he-IL"/>
        </w:rPr>
        <w:t>ונדמה</w:t>
      </w:r>
      <w:r w:rsidRPr="00854E50">
        <w:rPr>
          <w:lang w:eastAsia="he-IL"/>
        </w:rPr>
        <w:t xml:space="preserve"> </w:t>
      </w:r>
      <w:r w:rsidRPr="00854E50">
        <w:rPr>
          <w:rtl/>
          <w:lang w:eastAsia="he-IL"/>
        </w:rPr>
        <w:t>כי</w:t>
      </w:r>
      <w:r w:rsidRPr="00854E50">
        <w:rPr>
          <w:lang w:eastAsia="he-IL"/>
        </w:rPr>
        <w:t xml:space="preserve"> </w:t>
      </w:r>
      <w:r w:rsidRPr="00854E50">
        <w:rPr>
          <w:rtl/>
          <w:lang w:eastAsia="he-IL"/>
        </w:rPr>
        <w:t>אין</w:t>
      </w:r>
      <w:r w:rsidRPr="00854E50">
        <w:rPr>
          <w:lang w:eastAsia="he-IL"/>
        </w:rPr>
        <w:t xml:space="preserve"> </w:t>
      </w:r>
      <w:r w:rsidRPr="00854E50">
        <w:rPr>
          <w:rtl/>
          <w:lang w:eastAsia="he-IL"/>
        </w:rPr>
        <w:t>צורך</w:t>
      </w:r>
      <w:r w:rsidRPr="00854E50">
        <w:rPr>
          <w:lang w:eastAsia="he-IL"/>
        </w:rPr>
        <w:t xml:space="preserve"> </w:t>
      </w:r>
      <w:r w:rsidRPr="00854E50">
        <w:rPr>
          <w:rtl/>
          <w:lang w:eastAsia="he-IL"/>
        </w:rPr>
        <w:t>להבהיר</w:t>
      </w:r>
      <w:r w:rsidRPr="00854E50">
        <w:rPr>
          <w:lang w:eastAsia="he-IL"/>
        </w:rPr>
        <w:t xml:space="preserve"> </w:t>
      </w:r>
      <w:r w:rsidRPr="00854E50">
        <w:rPr>
          <w:rtl/>
          <w:lang w:eastAsia="he-IL"/>
        </w:rPr>
        <w:t>את</w:t>
      </w:r>
      <w:r w:rsidRPr="00854E50">
        <w:rPr>
          <w:lang w:eastAsia="he-IL"/>
        </w:rPr>
        <w:t xml:space="preserve"> </w:t>
      </w:r>
      <w:r w:rsidRPr="00854E50">
        <w:rPr>
          <w:rtl/>
          <w:lang w:eastAsia="he-IL"/>
        </w:rPr>
        <w:t>הסכנה</w:t>
      </w:r>
      <w:r w:rsidRPr="00854E50">
        <w:rPr>
          <w:lang w:eastAsia="he-IL"/>
        </w:rPr>
        <w:t xml:space="preserve"> </w:t>
      </w:r>
      <w:r w:rsidRPr="00854E50">
        <w:rPr>
          <w:rtl/>
          <w:lang w:eastAsia="he-IL"/>
        </w:rPr>
        <w:t>הנשקפת</w:t>
      </w:r>
      <w:r w:rsidRPr="00854E50">
        <w:rPr>
          <w:lang w:eastAsia="he-IL"/>
        </w:rPr>
        <w:t xml:space="preserve"> </w:t>
      </w:r>
      <w:r w:rsidRPr="00854E50">
        <w:rPr>
          <w:rtl/>
          <w:lang w:eastAsia="he-IL"/>
        </w:rPr>
        <w:t>לצבור</w:t>
      </w:r>
      <w:r w:rsidRPr="00854E50">
        <w:rPr>
          <w:lang w:eastAsia="he-IL"/>
        </w:rPr>
        <w:t xml:space="preserve"> </w:t>
      </w:r>
      <w:r w:rsidRPr="00854E50">
        <w:rPr>
          <w:rtl/>
          <w:lang w:eastAsia="he-IL"/>
        </w:rPr>
        <w:t>מנשק</w:t>
      </w:r>
      <w:r w:rsidRPr="00854E50">
        <w:rPr>
          <w:lang w:eastAsia="he-IL"/>
        </w:rPr>
        <w:t xml:space="preserve"> </w:t>
      </w:r>
      <w:r w:rsidRPr="00854E50">
        <w:rPr>
          <w:rtl/>
          <w:lang w:eastAsia="he-IL"/>
        </w:rPr>
        <w:t>זה. בנסיבות</w:t>
      </w:r>
      <w:r w:rsidRPr="00854E50">
        <w:rPr>
          <w:lang w:eastAsia="he-IL"/>
        </w:rPr>
        <w:t xml:space="preserve"> </w:t>
      </w:r>
      <w:r w:rsidRPr="00854E50">
        <w:rPr>
          <w:rtl/>
          <w:lang w:eastAsia="he-IL"/>
        </w:rPr>
        <w:t>אלו,</w:t>
      </w:r>
      <w:r w:rsidRPr="00854E50">
        <w:rPr>
          <w:lang w:eastAsia="he-IL"/>
        </w:rPr>
        <w:t xml:space="preserve"> </w:t>
      </w:r>
      <w:r w:rsidRPr="00854E50">
        <w:rPr>
          <w:rtl/>
          <w:lang w:eastAsia="he-IL"/>
        </w:rPr>
        <w:t>ובמטרה</w:t>
      </w:r>
      <w:r w:rsidRPr="00854E50">
        <w:rPr>
          <w:lang w:eastAsia="he-IL"/>
        </w:rPr>
        <w:t xml:space="preserve"> </w:t>
      </w:r>
      <w:r w:rsidRPr="00854E50">
        <w:rPr>
          <w:rtl/>
          <w:lang w:eastAsia="he-IL"/>
        </w:rPr>
        <w:t>לגמול</w:t>
      </w:r>
      <w:r w:rsidRPr="00854E50">
        <w:rPr>
          <w:lang w:eastAsia="he-IL"/>
        </w:rPr>
        <w:t xml:space="preserve"> </w:t>
      </w:r>
      <w:r w:rsidRPr="00854E50">
        <w:rPr>
          <w:rtl/>
          <w:lang w:eastAsia="he-IL"/>
        </w:rPr>
        <w:t>ליחיד</w:t>
      </w:r>
      <w:r w:rsidRPr="00854E50">
        <w:rPr>
          <w:lang w:eastAsia="he-IL"/>
        </w:rPr>
        <w:t xml:space="preserve"> </w:t>
      </w:r>
      <w:r w:rsidRPr="00854E50">
        <w:rPr>
          <w:rtl/>
          <w:lang w:eastAsia="he-IL"/>
        </w:rPr>
        <w:t>ולהרתיע</w:t>
      </w:r>
      <w:r w:rsidRPr="00854E50">
        <w:rPr>
          <w:lang w:eastAsia="he-IL"/>
        </w:rPr>
        <w:t xml:space="preserve"> </w:t>
      </w:r>
      <w:r w:rsidRPr="00854E50">
        <w:rPr>
          <w:rtl/>
          <w:lang w:eastAsia="he-IL"/>
        </w:rPr>
        <w:t>את</w:t>
      </w:r>
      <w:r w:rsidRPr="00854E50">
        <w:rPr>
          <w:lang w:eastAsia="he-IL"/>
        </w:rPr>
        <w:t xml:space="preserve"> </w:t>
      </w:r>
      <w:r w:rsidRPr="00854E50">
        <w:rPr>
          <w:rtl/>
          <w:lang w:eastAsia="he-IL"/>
        </w:rPr>
        <w:t>הרבים,</w:t>
      </w:r>
      <w:r w:rsidRPr="00854E50">
        <w:rPr>
          <w:lang w:eastAsia="he-IL"/>
        </w:rPr>
        <w:t xml:space="preserve"> </w:t>
      </w:r>
      <w:r w:rsidRPr="00854E50">
        <w:rPr>
          <w:rtl/>
          <w:lang w:eastAsia="he-IL"/>
        </w:rPr>
        <w:t>לא</w:t>
      </w:r>
      <w:r w:rsidRPr="00854E50">
        <w:rPr>
          <w:lang w:eastAsia="he-IL"/>
        </w:rPr>
        <w:t xml:space="preserve"> </w:t>
      </w:r>
      <w:r w:rsidRPr="00854E50">
        <w:rPr>
          <w:rtl/>
          <w:lang w:eastAsia="he-IL"/>
        </w:rPr>
        <w:t>מצאנו</w:t>
      </w:r>
      <w:r w:rsidRPr="00854E50">
        <w:rPr>
          <w:lang w:eastAsia="he-IL"/>
        </w:rPr>
        <w:t xml:space="preserve"> </w:t>
      </w:r>
      <w:r w:rsidRPr="00854E50">
        <w:rPr>
          <w:rtl/>
          <w:lang w:eastAsia="he-IL"/>
        </w:rPr>
        <w:t>בעונש</w:t>
      </w:r>
      <w:r w:rsidRPr="00854E50">
        <w:rPr>
          <w:lang w:eastAsia="he-IL"/>
        </w:rPr>
        <w:t xml:space="preserve"> </w:t>
      </w:r>
      <w:r w:rsidRPr="00854E50">
        <w:rPr>
          <w:rtl/>
          <w:lang w:eastAsia="he-IL"/>
        </w:rPr>
        <w:t>חומרה כלשהי,</w:t>
      </w:r>
      <w:r w:rsidRPr="00854E50">
        <w:rPr>
          <w:lang w:eastAsia="he-IL"/>
        </w:rPr>
        <w:t xml:space="preserve"> </w:t>
      </w:r>
      <w:r w:rsidRPr="00854E50">
        <w:rPr>
          <w:rtl/>
          <w:lang w:eastAsia="he-IL"/>
        </w:rPr>
        <w:t>ומכאן</w:t>
      </w:r>
      <w:r w:rsidRPr="00854E50">
        <w:rPr>
          <w:lang w:eastAsia="he-IL"/>
        </w:rPr>
        <w:t xml:space="preserve"> </w:t>
      </w:r>
      <w:r w:rsidRPr="00854E50">
        <w:rPr>
          <w:rtl/>
          <w:lang w:eastAsia="he-IL"/>
        </w:rPr>
        <w:t>ההחלטה</w:t>
      </w:r>
      <w:r w:rsidRPr="00854E50">
        <w:rPr>
          <w:lang w:eastAsia="he-IL"/>
        </w:rPr>
        <w:t xml:space="preserve"> </w:t>
      </w:r>
      <w:r w:rsidRPr="00854E50">
        <w:rPr>
          <w:rtl/>
          <w:lang w:eastAsia="he-IL"/>
        </w:rPr>
        <w:t>לדחות</w:t>
      </w:r>
      <w:r w:rsidRPr="00854E50">
        <w:rPr>
          <w:lang w:eastAsia="he-IL"/>
        </w:rPr>
        <w:t xml:space="preserve"> </w:t>
      </w:r>
      <w:r w:rsidRPr="00854E50">
        <w:rPr>
          <w:rtl/>
          <w:lang w:eastAsia="he-IL"/>
        </w:rPr>
        <w:t>את</w:t>
      </w:r>
      <w:r w:rsidRPr="00854E50">
        <w:rPr>
          <w:lang w:eastAsia="he-IL"/>
        </w:rPr>
        <w:t xml:space="preserve"> </w:t>
      </w:r>
      <w:r w:rsidRPr="00854E50">
        <w:rPr>
          <w:rtl/>
          <w:lang w:eastAsia="he-IL"/>
        </w:rPr>
        <w:t>הערעור."</w:t>
      </w:r>
    </w:p>
    <w:p w14:paraId="09CD41E2" w14:textId="77777777" w:rsidR="0003327B" w:rsidRPr="00854E50" w:rsidRDefault="0003327B" w:rsidP="0003327B">
      <w:pPr>
        <w:spacing w:line="360" w:lineRule="auto"/>
        <w:ind w:left="720"/>
        <w:jc w:val="both"/>
        <w:rPr>
          <w:rtl/>
        </w:rPr>
      </w:pPr>
    </w:p>
    <w:p w14:paraId="22653F5D" w14:textId="77777777" w:rsidR="0003327B" w:rsidRPr="00854E50" w:rsidRDefault="0003327B" w:rsidP="0003327B">
      <w:pPr>
        <w:spacing w:line="360" w:lineRule="auto"/>
        <w:ind w:left="720"/>
        <w:jc w:val="both"/>
        <w:rPr>
          <w:rtl/>
          <w:lang w:eastAsia="he-IL"/>
        </w:rPr>
      </w:pPr>
      <w:r w:rsidRPr="00854E50">
        <w:rPr>
          <w:rtl/>
          <w:lang w:eastAsia="he-IL"/>
        </w:rPr>
        <w:t>ב</w:t>
      </w:r>
      <w:hyperlink r:id="rId34" w:history="1">
        <w:r w:rsidR="00A902D2" w:rsidRPr="00A902D2">
          <w:rPr>
            <w:color w:val="0000FF"/>
            <w:u w:val="single"/>
            <w:rtl/>
            <w:lang w:eastAsia="he-IL"/>
          </w:rPr>
          <w:t>ע"פ 5318/03</w:t>
        </w:r>
      </w:hyperlink>
      <w:r w:rsidRPr="00854E50">
        <w:rPr>
          <w:b/>
          <w:bCs/>
          <w:rtl/>
          <w:lang w:eastAsia="he-IL"/>
        </w:rPr>
        <w:t xml:space="preserve"> סלע עמר </w:t>
      </w:r>
      <w:r w:rsidRPr="00854E50">
        <w:rPr>
          <w:rtl/>
          <w:lang w:eastAsia="he-IL"/>
        </w:rPr>
        <w:t>נ'</w:t>
      </w:r>
      <w:r w:rsidRPr="00854E50">
        <w:rPr>
          <w:b/>
          <w:bCs/>
          <w:rtl/>
          <w:lang w:eastAsia="he-IL"/>
        </w:rPr>
        <w:t xml:space="preserve"> מדינת ישראל</w:t>
      </w:r>
      <w:r w:rsidRPr="00854E50">
        <w:rPr>
          <w:rtl/>
          <w:lang w:eastAsia="he-IL"/>
        </w:rPr>
        <w:t xml:space="preserve"> (פורסם בנבו, 08.01.04),  דובר במערער שבין השנים 2000 ו-2001 מכר ביחד עם אחר במספר הזדמנויות אמצעי לחימה מסוג</w:t>
      </w:r>
      <w:r w:rsidRPr="00854E50">
        <w:rPr>
          <w:b/>
          <w:bCs/>
          <w:rtl/>
          <w:lang w:eastAsia="he-IL"/>
        </w:rPr>
        <w:t xml:space="preserve"> תחמושת - כדורים בכמויות גדולות ביותר </w:t>
      </w:r>
      <w:r w:rsidRPr="00854E50">
        <w:rPr>
          <w:rtl/>
          <w:lang w:eastAsia="he-IL"/>
        </w:rPr>
        <w:t>תמורת סכומי כסף ניכרים.</w:t>
      </w:r>
      <w:r w:rsidRPr="00854E50">
        <w:rPr>
          <w:b/>
          <w:bCs/>
          <w:rtl/>
          <w:lang w:eastAsia="he-IL"/>
        </w:rPr>
        <w:t xml:space="preserve"> אמצעי הלחימה נגנבו מצה"ל על ידי השותף, חברו של המערער</w:t>
      </w:r>
      <w:r w:rsidRPr="00854E50">
        <w:rPr>
          <w:rtl/>
          <w:lang w:eastAsia="he-IL"/>
        </w:rPr>
        <w:t xml:space="preserve">, ובידיעתו של המערער, תוך שהשותף מנצל לצורך כך את היותו חייל בשירות סדיר בצבא ואת נגישותו לתחמושת צהל"ית. בית המשפט המחוזי גזר על המערער </w:t>
      </w:r>
      <w:r w:rsidRPr="00854E50">
        <w:rPr>
          <w:b/>
          <w:bCs/>
          <w:rtl/>
          <w:lang w:eastAsia="he-IL"/>
        </w:rPr>
        <w:t>5 שנות מאסר בפועל</w:t>
      </w:r>
      <w:r w:rsidRPr="00854E50">
        <w:rPr>
          <w:rtl/>
          <w:lang w:eastAsia="he-IL"/>
        </w:rPr>
        <w:t>. ערעורו על העונש נדחה.</w:t>
      </w:r>
    </w:p>
    <w:p w14:paraId="213C9878" w14:textId="77777777" w:rsidR="0003327B" w:rsidRDefault="0003327B" w:rsidP="0003327B">
      <w:pPr>
        <w:spacing w:line="360" w:lineRule="auto"/>
        <w:ind w:left="1440"/>
        <w:jc w:val="both"/>
        <w:rPr>
          <w:rtl/>
          <w:lang w:eastAsia="he-IL"/>
        </w:rPr>
      </w:pPr>
      <w:r w:rsidRPr="00854E50">
        <w:rPr>
          <w:rtl/>
          <w:lang w:eastAsia="he-IL"/>
        </w:rPr>
        <w:t xml:space="preserve">"המדובר בפרשה שכרוכים בה יסודות פליליים מורכבים, אשר משולבים בה, מבחינתו של המערער, ידיעה על גניבת הנשק מצה"ל, סחר בנשק גנוב, העברתו לידי גורמים פלשתינאים בשטחים, וכל זאת תמורת בצע כסף. העבירות בפרשה זו מסכנות את שלום הציבור ובטחונו באורח ישיר ומיידי מעצם העברתם של אמצעי הלחימה לגורמים פלשתינאים בשטחים, גם אם אין הוכחה לכך שהם עצמם גורמים עויינים פעילים, ועל כך אין צורך להכביר מילים. אולם מעבר לכך, יש בעבירות אלה גם סממן של הפניית עורף, עד כדי בגידה, בחובת האמונים המוטלת על כל אזרח כלפי מדינתו וכלפי החברה בה הוא חי, מכוחה חייב הוא לשקוד על טובתן ובטחונן. המערער הפר חובת אמונים זו בצורה קשה עבור בצע כסף, והחומרה המתלווה לכך אינה צריכה הדגשה." </w:t>
      </w:r>
    </w:p>
    <w:p w14:paraId="2CB20A96" w14:textId="77777777" w:rsidR="0003327B" w:rsidRPr="00854E50" w:rsidRDefault="0003327B" w:rsidP="0003327B">
      <w:pPr>
        <w:spacing w:line="360" w:lineRule="auto"/>
        <w:ind w:left="1440"/>
        <w:jc w:val="both"/>
        <w:rPr>
          <w:rtl/>
          <w:lang w:eastAsia="he-IL"/>
        </w:rPr>
      </w:pPr>
    </w:p>
    <w:p w14:paraId="454CF1E9" w14:textId="77777777" w:rsidR="0003327B" w:rsidRPr="00854E50" w:rsidRDefault="0003327B" w:rsidP="0003327B">
      <w:pPr>
        <w:spacing w:line="360" w:lineRule="auto"/>
        <w:ind w:left="720" w:hanging="720"/>
        <w:jc w:val="both"/>
        <w:rPr>
          <w:rtl/>
          <w:lang w:eastAsia="he-IL"/>
        </w:rPr>
      </w:pPr>
      <w:r w:rsidRPr="00854E50">
        <w:rPr>
          <w:rtl/>
          <w:lang w:eastAsia="he-IL"/>
        </w:rPr>
        <w:t>6.</w:t>
      </w:r>
      <w:r w:rsidRPr="00854E50">
        <w:rPr>
          <w:rtl/>
          <w:lang w:eastAsia="he-IL"/>
        </w:rPr>
        <w:tab/>
        <w:t xml:space="preserve">הנסיבות הקשורות בביצוע העבירות - </w:t>
      </w:r>
    </w:p>
    <w:p w14:paraId="33E9542F" w14:textId="77777777" w:rsidR="0003327B" w:rsidRPr="00854E50" w:rsidRDefault="0003327B" w:rsidP="0003327B">
      <w:pPr>
        <w:spacing w:line="360" w:lineRule="auto"/>
        <w:ind w:left="720"/>
        <w:jc w:val="both"/>
        <w:rPr>
          <w:rtl/>
          <w:lang w:eastAsia="he-IL"/>
        </w:rPr>
      </w:pPr>
      <w:r w:rsidRPr="00854E50">
        <w:rPr>
          <w:rtl/>
          <w:lang w:eastAsia="he-IL"/>
        </w:rPr>
        <w:t xml:space="preserve">לעבירות שביצע הנאשם </w:t>
      </w:r>
      <w:r w:rsidRPr="00854E50">
        <w:rPr>
          <w:b/>
          <w:bCs/>
          <w:rtl/>
          <w:lang w:eastAsia="he-IL"/>
        </w:rPr>
        <w:t>קדם תכנון</w:t>
      </w:r>
      <w:r w:rsidRPr="00854E50">
        <w:rPr>
          <w:rtl/>
          <w:lang w:eastAsia="he-IL"/>
        </w:rPr>
        <w:t xml:space="preserve">. מעשי הנאשם והחייל בוצעו במסגרת הקשר הפלילי שנרקם ביניהם; הפעולות שננקטו על ידם היו מתוכננות ומכוונות; והן חייבו, מטבע הדברים, הכנה ותיאום. </w:t>
      </w:r>
    </w:p>
    <w:p w14:paraId="194F4F11" w14:textId="77777777" w:rsidR="0003327B" w:rsidRPr="00854E50" w:rsidRDefault="0003327B" w:rsidP="0003327B">
      <w:pPr>
        <w:spacing w:line="360" w:lineRule="auto"/>
        <w:ind w:left="720"/>
        <w:jc w:val="both"/>
        <w:rPr>
          <w:rtl/>
          <w:lang w:eastAsia="he-IL"/>
        </w:rPr>
      </w:pPr>
      <w:r w:rsidRPr="00854E50">
        <w:rPr>
          <w:b/>
          <w:bCs/>
          <w:rtl/>
          <w:lang w:eastAsia="he-IL"/>
        </w:rPr>
        <w:t xml:space="preserve">חלקו היחסי של הנאשם בביצוע העבירות </w:t>
      </w:r>
      <w:r w:rsidRPr="00854E50">
        <w:rPr>
          <w:rtl/>
          <w:lang w:eastAsia="he-IL"/>
        </w:rPr>
        <w:t xml:space="preserve">היה משמעותי. הנאשם והחייל הם שיזמו את המעשים; לאחר שהחייל גנב את הרובה הראשון, הנאשם הגיע לבסיסו הצבאי של החייל, קיבל ממנו את הרובה והחזיקו ברשותו; והנאשם והחייל לקחו את הרובים וניסו למכור אותם. </w:t>
      </w:r>
    </w:p>
    <w:p w14:paraId="1298F74D" w14:textId="77777777" w:rsidR="0003327B" w:rsidRPr="00854E50" w:rsidRDefault="0003327B" w:rsidP="0003327B">
      <w:pPr>
        <w:spacing w:line="360" w:lineRule="auto"/>
        <w:ind w:left="720"/>
        <w:jc w:val="both"/>
        <w:rPr>
          <w:b/>
          <w:bCs/>
          <w:rtl/>
        </w:rPr>
      </w:pPr>
      <w:r w:rsidRPr="00854E50">
        <w:rPr>
          <w:b/>
          <w:bCs/>
          <w:rtl/>
          <w:lang w:eastAsia="he-IL"/>
        </w:rPr>
        <w:t xml:space="preserve">אשר לנזק שנגרם </w:t>
      </w:r>
      <w:r w:rsidRPr="00854E50">
        <w:rPr>
          <w:rtl/>
          <w:lang w:eastAsia="he-IL"/>
        </w:rPr>
        <w:t>ממעשי הנאשם, הרי שכלי הנשק הגנובים נתפסו והוחזרו לצבא, אולם,</w:t>
      </w:r>
      <w:r w:rsidRPr="00854E50">
        <w:rPr>
          <w:b/>
          <w:bCs/>
          <w:rtl/>
          <w:lang w:eastAsia="he-IL"/>
        </w:rPr>
        <w:t xml:space="preserve"> הנזק שיכל להיגרם </w:t>
      </w:r>
      <w:r w:rsidRPr="00854E50">
        <w:rPr>
          <w:rtl/>
          <w:lang w:eastAsia="he-IL"/>
        </w:rPr>
        <w:t xml:space="preserve">מהגעת הרובים לידיים עברייניות או עויינות את המדינה, גדול מאוד. </w:t>
      </w:r>
    </w:p>
    <w:p w14:paraId="1153FA53" w14:textId="77777777" w:rsidR="0003327B" w:rsidRPr="00854E50" w:rsidRDefault="0003327B" w:rsidP="0003327B">
      <w:pPr>
        <w:spacing w:line="360" w:lineRule="auto"/>
        <w:ind w:left="720"/>
        <w:jc w:val="both"/>
        <w:rPr>
          <w:rtl/>
          <w:lang w:eastAsia="he-IL"/>
        </w:rPr>
      </w:pPr>
      <w:r w:rsidRPr="00854E50">
        <w:rPr>
          <w:b/>
          <w:bCs/>
          <w:rtl/>
        </w:rPr>
        <w:t>באשר למניע של הנאשם לביצוע העבירות</w:t>
      </w:r>
      <w:r w:rsidRPr="00854E50">
        <w:rPr>
          <w:rtl/>
        </w:rPr>
        <w:t xml:space="preserve">, הדעת נותנת כי הוא נעוץ ברצון הנאשם להפיק רווח כספי. </w:t>
      </w:r>
    </w:p>
    <w:p w14:paraId="5DB70237" w14:textId="77777777" w:rsidR="0003327B" w:rsidRPr="00854E50" w:rsidRDefault="0003327B" w:rsidP="0003327B">
      <w:pPr>
        <w:spacing w:line="360" w:lineRule="auto"/>
        <w:ind w:left="720"/>
        <w:jc w:val="both"/>
        <w:rPr>
          <w:rtl/>
          <w:lang w:eastAsia="he-IL"/>
        </w:rPr>
      </w:pPr>
    </w:p>
    <w:p w14:paraId="50DCDD6F" w14:textId="77777777" w:rsidR="0003327B" w:rsidRPr="00854E50" w:rsidRDefault="0003327B" w:rsidP="0003327B">
      <w:pPr>
        <w:spacing w:line="360" w:lineRule="auto"/>
        <w:ind w:left="720" w:hanging="720"/>
        <w:jc w:val="both"/>
        <w:rPr>
          <w:rtl/>
        </w:rPr>
      </w:pPr>
      <w:r w:rsidRPr="00854E50">
        <w:rPr>
          <w:rtl/>
          <w:lang w:eastAsia="he-IL"/>
        </w:rPr>
        <w:t>7.</w:t>
      </w:r>
      <w:r w:rsidRPr="00854E50">
        <w:rPr>
          <w:rtl/>
          <w:lang w:eastAsia="he-IL"/>
        </w:rPr>
        <w:tab/>
      </w:r>
      <w:r w:rsidRPr="00854E50">
        <w:rPr>
          <w:rtl/>
        </w:rPr>
        <w:t xml:space="preserve">העונש הקבוע לעבירת החזקת הנשק הוא 7 שנות מאסר והעונש הקבוע לעבירת הסחר בנשק הוא 15 שנות מאסר. </w:t>
      </w:r>
    </w:p>
    <w:p w14:paraId="4427C2EA" w14:textId="77777777" w:rsidR="0003327B" w:rsidRPr="00854E50" w:rsidRDefault="0003327B" w:rsidP="0003327B">
      <w:pPr>
        <w:spacing w:line="360" w:lineRule="auto"/>
        <w:ind w:left="720" w:hanging="720"/>
        <w:jc w:val="both"/>
        <w:rPr>
          <w:rtl/>
        </w:rPr>
      </w:pPr>
    </w:p>
    <w:p w14:paraId="446D71CF" w14:textId="77777777" w:rsidR="0003327B" w:rsidRPr="00854E50" w:rsidRDefault="0003327B" w:rsidP="0003327B">
      <w:pPr>
        <w:spacing w:line="360" w:lineRule="auto"/>
        <w:ind w:left="720" w:hanging="720"/>
        <w:jc w:val="both"/>
        <w:rPr>
          <w:rtl/>
        </w:rPr>
      </w:pPr>
      <w:r w:rsidRPr="00854E50">
        <w:rPr>
          <w:rtl/>
        </w:rPr>
        <w:t>8.</w:t>
      </w:r>
      <w:r w:rsidRPr="00854E50">
        <w:rPr>
          <w:rtl/>
        </w:rPr>
        <w:tab/>
        <w:t>בהתחשב בחומרת מעשי העבירות שביצע הנאשם בנסיבותיהן, במידת אשמו של הנאשם, בערכים החברתיים שנפגעו ובמידת הפגיעה בהם, במדיניות הענישה הנהוגה ובנסיבות הקשורות בביצוע העבירות, וכן בהתחשב בעמדת התביעה באשר למתחם העונש ההולם, הרי שלמרות שלדעתי מתחם העונש ההולם למעשי הנאשם הוא גבוה מזה שהתביעה טענה לו, יש להעמידו כאן על 3 עד 6 שנות מאסר בפועל.</w:t>
      </w:r>
    </w:p>
    <w:p w14:paraId="35B3F422" w14:textId="77777777" w:rsidR="0003327B" w:rsidRPr="00854E50" w:rsidRDefault="0003327B" w:rsidP="0003327B">
      <w:pPr>
        <w:spacing w:line="360" w:lineRule="auto"/>
        <w:ind w:left="720" w:hanging="720"/>
        <w:jc w:val="both"/>
        <w:rPr>
          <w:rtl/>
        </w:rPr>
      </w:pPr>
    </w:p>
    <w:p w14:paraId="53A97F56" w14:textId="77777777" w:rsidR="0003327B" w:rsidRPr="00854E50" w:rsidRDefault="0003327B" w:rsidP="0003327B">
      <w:pPr>
        <w:spacing w:line="360" w:lineRule="auto"/>
        <w:ind w:left="720" w:hanging="720"/>
        <w:jc w:val="both"/>
        <w:rPr>
          <w:rtl/>
          <w:lang w:eastAsia="he-IL"/>
        </w:rPr>
      </w:pPr>
      <w:r w:rsidRPr="00854E50">
        <w:rPr>
          <w:rtl/>
        </w:rPr>
        <w:t>9.</w:t>
      </w:r>
      <w:r w:rsidRPr="00854E50">
        <w:rPr>
          <w:rtl/>
        </w:rPr>
        <w:tab/>
        <w:t xml:space="preserve">הפרשה בכללה חמורה מאוד. הנאשם חבר לחייל בשירות חובה בצה"ל וביחד הם תכננו שהחייל יגנוב כלי נשק מהבסיס הצבאי בו הוא משרת והם ימכרו אותו לאחרים תמורת 50,000 ₪. </w:t>
      </w:r>
      <w:r w:rsidRPr="00854E50">
        <w:rPr>
          <w:rtl/>
          <w:lang w:eastAsia="he-IL"/>
        </w:rPr>
        <w:t xml:space="preserve">בפועל, החייל גנב שני רובי סער מבסיסי צבא, הרובים הוצאו מרשות הצבא, והנאשם והחייל נעצרו כשהיו בעיצומו של ניסיון למכור את הרובים לאחרים. </w:t>
      </w:r>
    </w:p>
    <w:p w14:paraId="2886EEEB" w14:textId="77777777" w:rsidR="0003327B" w:rsidRPr="00854E50" w:rsidRDefault="0003327B" w:rsidP="0003327B">
      <w:pPr>
        <w:spacing w:line="360" w:lineRule="auto"/>
        <w:ind w:left="720"/>
        <w:jc w:val="both"/>
        <w:rPr>
          <w:rtl/>
          <w:lang w:eastAsia="he-IL"/>
        </w:rPr>
      </w:pPr>
      <w:r w:rsidRPr="00854E50">
        <w:rPr>
          <w:rtl/>
          <w:lang w:eastAsia="he-IL"/>
        </w:rPr>
        <w:t>בהתחשב בחומרת המעשים בנסיבותיהם ובנתוניו של הנאשם, העונש הראוי לנאשם – המושפע ממתחם העונש הנמוך יחסית לו טענה התביעה – הוא 5 שנות מאסר בפועל.</w:t>
      </w:r>
    </w:p>
    <w:p w14:paraId="5B887DB1" w14:textId="77777777" w:rsidR="0003327B" w:rsidRPr="00854E50" w:rsidRDefault="0003327B" w:rsidP="0003327B">
      <w:pPr>
        <w:spacing w:line="360" w:lineRule="auto"/>
        <w:jc w:val="both"/>
        <w:rPr>
          <w:rtl/>
          <w:lang w:eastAsia="he-IL"/>
        </w:rPr>
      </w:pPr>
    </w:p>
    <w:p w14:paraId="1E4AE4B7" w14:textId="77777777" w:rsidR="0003327B" w:rsidRPr="00854E50" w:rsidRDefault="0003327B" w:rsidP="0003327B">
      <w:pPr>
        <w:spacing w:line="360" w:lineRule="auto"/>
        <w:ind w:left="720" w:hanging="720"/>
        <w:jc w:val="both"/>
        <w:rPr>
          <w:rtl/>
          <w:lang w:eastAsia="he-IL"/>
        </w:rPr>
      </w:pPr>
      <w:r w:rsidRPr="00854E50">
        <w:rPr>
          <w:rtl/>
          <w:lang w:eastAsia="he-IL"/>
        </w:rPr>
        <w:t>10.</w:t>
      </w:r>
      <w:r w:rsidRPr="00854E50">
        <w:rPr>
          <w:rtl/>
          <w:lang w:eastAsia="he-IL"/>
        </w:rPr>
        <w:tab/>
        <w:t xml:space="preserve">אין חולק שהנאשם עבר תהליך טיפולי משמעותי, במסגרת קהילה טיפולית מוכרת, שארך כשנה וחצי, והוא שיתף פעולה באופן מלא עם התהליך, הצליח בו, נתרם ממנו, ונראה שהוא שינה את אורחותיו. </w:t>
      </w:r>
    </w:p>
    <w:p w14:paraId="3A350C29" w14:textId="77777777" w:rsidR="0003327B" w:rsidRPr="00854E50" w:rsidRDefault="0003327B" w:rsidP="0003327B">
      <w:pPr>
        <w:spacing w:line="360" w:lineRule="auto"/>
        <w:ind w:left="720" w:hanging="720"/>
        <w:jc w:val="both"/>
        <w:rPr>
          <w:rtl/>
          <w:lang w:eastAsia="he-IL"/>
        </w:rPr>
      </w:pPr>
      <w:r w:rsidRPr="00854E50">
        <w:rPr>
          <w:rtl/>
          <w:lang w:eastAsia="he-IL"/>
        </w:rPr>
        <w:tab/>
        <w:t xml:space="preserve">נסיוני השיפוטי מלמדני, כי הקושי של פרטים הנמנים על האוכלוסיה הבדואית להשתלב בתהליכי טיפול משמעותיים, מוסדיים, המחייבים מטבעם ריחוק מהסביבה המשפחתית והקהילתית, פתיחות ושיתוף זרים, גדול יותר מזה של האוכלוסיה הכללית. למרות זאת, הנאשם עמד במשימה בהצלחה רבה ובולטת, סיים את הטיפול בקהילה, אחר כך התגורר בהוסטל בעפולה, הקשור למסגרת הטיפולית, במשך ששה חודשים, וגם את התקופה הזו הוא עבר בהצלחה. הוא עובד כמסגר ומתכוון להמשיך לחיות בעפולה, הרחק ממקום מגוריו וסביבתו המקורית, מתוך רצון לייצב את חייו ולהתקדם. </w:t>
      </w:r>
    </w:p>
    <w:p w14:paraId="202045E8" w14:textId="77777777" w:rsidR="0003327B" w:rsidRPr="00854E50" w:rsidRDefault="0003327B" w:rsidP="0003327B">
      <w:pPr>
        <w:spacing w:line="360" w:lineRule="auto"/>
        <w:ind w:left="720" w:hanging="720"/>
        <w:jc w:val="both"/>
        <w:rPr>
          <w:rtl/>
          <w:lang w:eastAsia="he-IL"/>
        </w:rPr>
      </w:pPr>
    </w:p>
    <w:p w14:paraId="112693ED" w14:textId="77777777" w:rsidR="0003327B" w:rsidRPr="00854E50" w:rsidRDefault="0003327B" w:rsidP="0003327B">
      <w:pPr>
        <w:spacing w:line="360" w:lineRule="auto"/>
        <w:ind w:left="720" w:hanging="720"/>
        <w:jc w:val="both"/>
        <w:rPr>
          <w:rtl/>
          <w:lang w:eastAsia="he-IL"/>
        </w:rPr>
      </w:pPr>
      <w:r w:rsidRPr="00854E50">
        <w:rPr>
          <w:rtl/>
          <w:lang w:eastAsia="he-IL"/>
        </w:rPr>
        <w:t xml:space="preserve">11. </w:t>
      </w:r>
      <w:r w:rsidRPr="00854E50">
        <w:rPr>
          <w:rtl/>
          <w:lang w:eastAsia="he-IL"/>
        </w:rPr>
        <w:tab/>
        <w:t xml:space="preserve">נתוני הנאשם, טובים. הוא צעיר. אין לו עבר פלילי. הוא בוגר 12 שנות לימוד. ויש לו תכניות ללימודים אקדמיים. לאחר שנתפס בביצוע העבירות, הוא התעשת, הודה במעשיו, בחר בדרך השיקום, עשה כברת דרך ארוכה ומורכבת, והצליח. </w:t>
      </w:r>
    </w:p>
    <w:p w14:paraId="100598E2" w14:textId="77777777" w:rsidR="0003327B" w:rsidRPr="00854E50" w:rsidRDefault="0003327B" w:rsidP="0003327B">
      <w:pPr>
        <w:spacing w:line="360" w:lineRule="auto"/>
        <w:ind w:left="720"/>
        <w:jc w:val="both"/>
        <w:rPr>
          <w:rtl/>
        </w:rPr>
      </w:pPr>
    </w:p>
    <w:p w14:paraId="41C6C8E7" w14:textId="77777777" w:rsidR="0003327B" w:rsidRPr="00854E50" w:rsidRDefault="0003327B" w:rsidP="0003327B">
      <w:pPr>
        <w:spacing w:line="360" w:lineRule="auto"/>
        <w:ind w:left="720" w:hanging="720"/>
        <w:jc w:val="both"/>
        <w:rPr>
          <w:rtl/>
          <w:lang w:eastAsia="he-IL"/>
        </w:rPr>
      </w:pPr>
      <w:r w:rsidRPr="00854E50">
        <w:rPr>
          <w:rtl/>
        </w:rPr>
        <w:t>12.</w:t>
      </w:r>
      <w:r w:rsidRPr="00854E50">
        <w:rPr>
          <w:rtl/>
        </w:rPr>
        <w:tab/>
        <w:t>התנהלות הנאשם לאחר ביצוע העבירות; התייחסותו לעבירות – בפני שירות המבחן ובבית המשפט; בחירותיו; פעולתו במסגרת הטיפולית; הצלחתו בטיפול; שאיפותיו הנורמטיביות; ומעשי היומיום שלו הלכה למעשה; לצד נתוניו וכוחותיו; מכניסים אותו במובהק לגדר מי שהשתקם או לפחות יש סיכוי של ממש שישתקם, המאפשר עקרונית חריגה ממתחם העונש ההולם.</w:t>
      </w:r>
      <w:r w:rsidRPr="00854E50">
        <w:rPr>
          <w:rtl/>
          <w:lang w:eastAsia="he-IL"/>
        </w:rPr>
        <w:t xml:space="preserve"> </w:t>
      </w:r>
    </w:p>
    <w:p w14:paraId="0216259B" w14:textId="77777777" w:rsidR="0003327B" w:rsidRPr="00854E50" w:rsidRDefault="0003327B" w:rsidP="0003327B">
      <w:pPr>
        <w:spacing w:line="360" w:lineRule="auto"/>
        <w:jc w:val="both"/>
        <w:rPr>
          <w:rtl/>
          <w:lang w:eastAsia="he-IL"/>
        </w:rPr>
      </w:pPr>
    </w:p>
    <w:p w14:paraId="26AD5D10" w14:textId="77777777" w:rsidR="0003327B" w:rsidRPr="00854E50" w:rsidRDefault="0003327B" w:rsidP="0003327B">
      <w:pPr>
        <w:spacing w:line="360" w:lineRule="auto"/>
        <w:ind w:left="720" w:hanging="720"/>
        <w:jc w:val="both"/>
        <w:rPr>
          <w:rtl/>
          <w:lang w:eastAsia="he-IL"/>
        </w:rPr>
      </w:pPr>
      <w:r w:rsidRPr="00854E50">
        <w:rPr>
          <w:rtl/>
          <w:lang w:eastAsia="he-IL"/>
        </w:rPr>
        <w:t>13.</w:t>
      </w:r>
      <w:r w:rsidRPr="00854E50">
        <w:rPr>
          <w:rtl/>
          <w:lang w:eastAsia="he-IL"/>
        </w:rPr>
        <w:tab/>
        <w:t>השאלה היא האם וכיצד יש להביא לביטוי את ענין שיקום הנאשם בעונש שיוטל עליו.  האינטרסים של גמול והרתעה והאינטרס של שיקום הנאשם, ניצבים זה מול זה מלוא קומתם. מצד אחד, עבירות חמורות ביותר המצדיקות מיצוי חומרת הדין; וכן, נאשם אחר באותה פרשה, חייל בשירות חובה, שמעשיו אינם שונים מהותית מאלו של הנאשם, נדון ל- 7 שנות מאסר בפועל; ומנגד, נאשם צעיר, אשר עבר תהליך שיקומי ארוך ומשמעותי והצליח בו בצורה יוצאת דופן.</w:t>
      </w:r>
    </w:p>
    <w:p w14:paraId="63D7F9AB" w14:textId="77777777" w:rsidR="0003327B" w:rsidRPr="00854E50" w:rsidRDefault="0003327B" w:rsidP="0003327B">
      <w:pPr>
        <w:spacing w:line="360" w:lineRule="auto"/>
        <w:ind w:left="720" w:hanging="720"/>
        <w:jc w:val="both"/>
        <w:rPr>
          <w:rtl/>
          <w:lang w:eastAsia="he-IL"/>
        </w:rPr>
      </w:pPr>
    </w:p>
    <w:p w14:paraId="6F91F135" w14:textId="77777777" w:rsidR="0003327B" w:rsidRPr="00854E50" w:rsidRDefault="0003327B" w:rsidP="0003327B">
      <w:pPr>
        <w:spacing w:line="360" w:lineRule="auto"/>
        <w:ind w:left="720" w:hanging="720"/>
        <w:jc w:val="both"/>
        <w:rPr>
          <w:rtl/>
          <w:lang w:eastAsia="he-IL"/>
        </w:rPr>
      </w:pPr>
      <w:r w:rsidRPr="00854E50">
        <w:rPr>
          <w:rtl/>
          <w:lang w:eastAsia="he-IL"/>
        </w:rPr>
        <w:tab/>
        <w:t xml:space="preserve">הקול האחד אומר, שבכל הכבוד לתהליך השיקומי שעבר הנאשם, העבירות שהנאשם ביצע חמורות ומסוכנות ואין זה מתקבל על הדעת, מבחינת האינטרס הציבורי, שהנאשם יצא מהעניין ללא עונש מאסר משמעותי. והקול האחר אומר, שיש לבחור בדרך שתגדיל את הסיכוי שהנאשם יתמיד בהימנעות מהשימוש בסם ויבסס את המסלול הנורמטיבי עליו הוא צועד, בין היתר כדי לחסוך את פגיעתו הצפויה באחרים במידה והוא ישוב לסורו. ואומר, שאם במקרה מובהק של תהליך שיקום מוצלח, שנראה על פניו כבעל סיכוי לנטרל את הגורם שהביא את הנאשם לבצע את העבירות, לא תינתן עדיפות לאינטרס השיקום, שגם הוא "אינטרס ציבורי", מתי תינתן לו העדיפות, ולשם מה אם כן הושקעו המאמצים בנאשם. </w:t>
      </w:r>
    </w:p>
    <w:p w14:paraId="4CDF6129" w14:textId="77777777" w:rsidR="0003327B" w:rsidRPr="00854E50" w:rsidRDefault="0003327B" w:rsidP="0003327B">
      <w:pPr>
        <w:spacing w:line="360" w:lineRule="auto"/>
        <w:jc w:val="both"/>
        <w:rPr>
          <w:rtl/>
          <w:lang w:eastAsia="he-IL"/>
        </w:rPr>
      </w:pPr>
    </w:p>
    <w:p w14:paraId="309F32BE" w14:textId="77777777" w:rsidR="0003327B" w:rsidRPr="00854E50" w:rsidRDefault="0003327B" w:rsidP="0003327B">
      <w:pPr>
        <w:spacing w:line="360" w:lineRule="auto"/>
        <w:ind w:left="720" w:hanging="720"/>
        <w:jc w:val="both"/>
        <w:rPr>
          <w:rtl/>
          <w:lang w:eastAsia="he-IL"/>
        </w:rPr>
      </w:pPr>
      <w:r w:rsidRPr="00854E50">
        <w:rPr>
          <w:rtl/>
          <w:lang w:eastAsia="he-IL"/>
        </w:rPr>
        <w:tab/>
        <w:t>קול נוסף קורא שלא לנקוט עמדת קצה, של "אפס או מאה", דהיינו של הטלת מאסר ארוך או הימנעות ממאסר לחלוטין, אלא לבחור בדרך ביניים, בה המרכיב השיקומי ילקח בחשבון לעניין אורך המאסר שיוטל על הנאשם. כך שאם בנסיבות רגילות היה הנאשם נדון ל- 5 שנות מאסר בפועל, הרי שבהתחשב במרכיב השיקום תוטל עליו תקופת מאסר קצרה יותר.</w:t>
      </w:r>
    </w:p>
    <w:p w14:paraId="666A7C7C" w14:textId="77777777" w:rsidR="0003327B" w:rsidRPr="00854E50" w:rsidRDefault="0003327B" w:rsidP="0003327B">
      <w:pPr>
        <w:spacing w:line="360" w:lineRule="auto"/>
        <w:ind w:left="720" w:hanging="720"/>
        <w:jc w:val="both"/>
        <w:rPr>
          <w:rtl/>
          <w:lang w:eastAsia="he-IL"/>
        </w:rPr>
      </w:pPr>
      <w:r w:rsidRPr="00854E50">
        <w:rPr>
          <w:rtl/>
          <w:lang w:eastAsia="he-IL"/>
        </w:rPr>
        <w:tab/>
      </w:r>
    </w:p>
    <w:p w14:paraId="1E369C9B" w14:textId="77777777" w:rsidR="0003327B" w:rsidRPr="00854E50" w:rsidRDefault="0003327B" w:rsidP="0003327B">
      <w:pPr>
        <w:spacing w:line="360" w:lineRule="auto"/>
        <w:ind w:left="720" w:hanging="720"/>
        <w:jc w:val="both"/>
        <w:rPr>
          <w:rtl/>
          <w:lang w:eastAsia="he-IL"/>
        </w:rPr>
      </w:pPr>
      <w:r w:rsidRPr="00854E50">
        <w:rPr>
          <w:rtl/>
          <w:lang w:eastAsia="he-IL"/>
        </w:rPr>
        <w:t>14.</w:t>
      </w:r>
      <w:r w:rsidRPr="00854E50">
        <w:rPr>
          <w:rtl/>
          <w:lang w:eastAsia="he-IL"/>
        </w:rPr>
        <w:tab/>
        <w:t xml:space="preserve">לא אכחד. התחבטתי רבות. כאמור, המעשים חמורים ומחייבים ענישה הולמת ומרתיעה, ובנוסף, החייל המעורב בפרשה נידון בבית דין צבאי ל- 7 שנות מאסר בפועל. </w:t>
      </w:r>
    </w:p>
    <w:p w14:paraId="3022ADF1" w14:textId="77777777" w:rsidR="0003327B" w:rsidRPr="00854E50" w:rsidRDefault="0003327B" w:rsidP="0003327B">
      <w:pPr>
        <w:spacing w:line="360" w:lineRule="auto"/>
        <w:ind w:left="720"/>
        <w:jc w:val="both"/>
        <w:rPr>
          <w:rtl/>
          <w:lang w:eastAsia="he-IL"/>
        </w:rPr>
      </w:pPr>
      <w:r w:rsidRPr="00854E50">
        <w:rPr>
          <w:rtl/>
          <w:lang w:eastAsia="he-IL"/>
        </w:rPr>
        <w:t>בסופו של דבר החלטתי לדחות את דרך הביניים המתווה הטלת מאסר לתקופה קצרה יותר מהראוי לנאשם בהתאם לעקרון המנחה בענישה, ולקבוע את עונשו של הנאשם לפי שיקולי שיקומו.</w:t>
      </w:r>
    </w:p>
    <w:p w14:paraId="3D77C2E7" w14:textId="77777777" w:rsidR="0003327B" w:rsidRPr="00854E50" w:rsidRDefault="0003327B" w:rsidP="0003327B">
      <w:pPr>
        <w:spacing w:line="360" w:lineRule="auto"/>
        <w:ind w:left="720"/>
        <w:jc w:val="both"/>
        <w:rPr>
          <w:rtl/>
          <w:lang w:eastAsia="he-IL"/>
        </w:rPr>
      </w:pPr>
      <w:r w:rsidRPr="00854E50">
        <w:rPr>
          <w:rtl/>
          <w:lang w:eastAsia="he-IL"/>
        </w:rPr>
        <w:t xml:space="preserve"> </w:t>
      </w:r>
    </w:p>
    <w:p w14:paraId="367CF548" w14:textId="77777777" w:rsidR="0003327B" w:rsidRPr="00854E50" w:rsidRDefault="0003327B" w:rsidP="0003327B">
      <w:pPr>
        <w:spacing w:line="360" w:lineRule="auto"/>
        <w:ind w:left="720"/>
        <w:jc w:val="both"/>
        <w:rPr>
          <w:rtl/>
          <w:lang w:eastAsia="he-IL"/>
        </w:rPr>
      </w:pPr>
      <w:r w:rsidRPr="00854E50">
        <w:rPr>
          <w:rtl/>
          <w:lang w:eastAsia="he-IL"/>
        </w:rPr>
        <w:t xml:space="preserve">העניין שבשמו יש מקום לשקול להטיל על הנאשם עונש קל מהראוי למעשיו, הוא שמירת ההישג השיקומי שלו. מאז ביצוע העבירות חלפה תקופה של כשנתיים וחצי. הנאשם היה במעצר כ- 4 חודשים. לאחר מכן הוא היה במעצר בית תקופה של כ- 8 חודשים. ואחר כך הוא היה במסלול טיפולי-שיקומי תקופה של כ- 18 חודשים. שירות המבחן חיווה דעתו כי עונש מאסר בפועל בעיתוי זה – נוכח גילו הצעיר של הנאשם והשלב ההתפתחותי הרגיש המאפיין גיל זה – יפגע במאמצי השיקום הרבים שהנאשם השקיע והוא עלול לקטוע את התהליך הטיפולי בו מצוי הנאשם, לפגוע בתוצאותיו ולגרום לנסיגה במצבו של הנאשם. בנוסף, מאסר בפועל יחשוף את הנאשם להתמודדות עם דפוסי התנהגות כוחניים ועבריינים מהם הוא עושה מאמצים להתרחק והם מנוגדים למאמציו לשיקום. </w:t>
      </w:r>
    </w:p>
    <w:p w14:paraId="72DA8B11" w14:textId="77777777" w:rsidR="0003327B" w:rsidRPr="00854E50" w:rsidRDefault="0003327B" w:rsidP="0003327B">
      <w:pPr>
        <w:spacing w:line="360" w:lineRule="auto"/>
        <w:ind w:left="720"/>
        <w:jc w:val="both"/>
        <w:rPr>
          <w:rtl/>
          <w:lang w:eastAsia="he-IL"/>
        </w:rPr>
      </w:pPr>
    </w:p>
    <w:p w14:paraId="4516090E" w14:textId="77777777" w:rsidR="0003327B" w:rsidRPr="00854E50" w:rsidRDefault="0003327B" w:rsidP="0003327B">
      <w:pPr>
        <w:spacing w:line="360" w:lineRule="auto"/>
        <w:ind w:left="720"/>
        <w:jc w:val="both"/>
        <w:rPr>
          <w:rtl/>
          <w:lang w:eastAsia="he-IL"/>
        </w:rPr>
      </w:pPr>
      <w:r w:rsidRPr="00854E50">
        <w:rPr>
          <w:rtl/>
          <w:lang w:eastAsia="he-IL"/>
        </w:rPr>
        <w:t xml:space="preserve">בנסיבות אלה, בחירה בדרך הביניים משמעה - למרות נקודת האיזון השונה שלה - העדפה של אינטרס הגמול על פני אינטרס השיקום, שההתנגשות ביניהם היא היא השאלה המבקשת פתרון. </w:t>
      </w:r>
    </w:p>
    <w:p w14:paraId="79663DEB" w14:textId="77777777" w:rsidR="0003327B" w:rsidRPr="00854E50" w:rsidRDefault="0003327B" w:rsidP="0003327B">
      <w:pPr>
        <w:spacing w:line="360" w:lineRule="auto"/>
        <w:ind w:left="720" w:hanging="720"/>
        <w:jc w:val="both"/>
        <w:rPr>
          <w:rtl/>
          <w:lang w:eastAsia="he-IL"/>
        </w:rPr>
      </w:pPr>
    </w:p>
    <w:p w14:paraId="6262466C" w14:textId="77777777" w:rsidR="0003327B" w:rsidRPr="00854E50" w:rsidRDefault="0003327B" w:rsidP="0003327B">
      <w:pPr>
        <w:spacing w:line="360" w:lineRule="auto"/>
        <w:ind w:left="720" w:hanging="720"/>
        <w:jc w:val="both"/>
        <w:rPr>
          <w:rtl/>
          <w:lang w:eastAsia="he-IL"/>
        </w:rPr>
      </w:pPr>
      <w:r w:rsidRPr="00854E50">
        <w:rPr>
          <w:rtl/>
          <w:lang w:eastAsia="he-IL"/>
        </w:rPr>
        <w:t>15.</w:t>
      </w:r>
      <w:r w:rsidRPr="00854E50">
        <w:rPr>
          <w:rtl/>
          <w:lang w:eastAsia="he-IL"/>
        </w:rPr>
        <w:tab/>
        <w:t xml:space="preserve">על רקע הצלחת התהליך הטיפולי של הנאשם ובהתחשב בשינוי שחל בתפיסות הנאשם, בהתנהגותו ובשאיפותיו, הרי שבין האפשרות לשלוח אותו למאסר, כראוי למעשיו, תוך לקיחת הסיכון שהוא ידרדר חזרה לשימוש בסמים ולתפיסות עברייניות ובתום מאסרו ישוב ויפשע ויפגע באחרים, לאפשרות להטיל עליו מאסר בעבודות שירות ולהעמידו במבחן, תוך תקווה שהוא יתמיד ויתקדם במסלול בו הוא צועד, אני סבור שיש לבחור באפשרות השניה. </w:t>
      </w:r>
    </w:p>
    <w:p w14:paraId="6F34865B" w14:textId="77777777" w:rsidR="0003327B" w:rsidRPr="00854E50" w:rsidRDefault="0003327B" w:rsidP="0003327B">
      <w:pPr>
        <w:spacing w:line="360" w:lineRule="auto"/>
        <w:ind w:left="720" w:hanging="720"/>
        <w:jc w:val="both"/>
        <w:rPr>
          <w:rtl/>
          <w:lang w:eastAsia="he-IL"/>
        </w:rPr>
      </w:pPr>
    </w:p>
    <w:p w14:paraId="4D134B31" w14:textId="77777777" w:rsidR="0003327B" w:rsidRPr="00854E50" w:rsidRDefault="0003327B" w:rsidP="0003327B">
      <w:pPr>
        <w:spacing w:line="360" w:lineRule="auto"/>
        <w:ind w:left="720" w:hanging="720"/>
        <w:jc w:val="both"/>
        <w:rPr>
          <w:rtl/>
          <w:lang w:eastAsia="he-IL"/>
        </w:rPr>
      </w:pPr>
      <w:r w:rsidRPr="00854E50">
        <w:rPr>
          <w:rtl/>
          <w:lang w:eastAsia="he-IL"/>
        </w:rPr>
        <w:tab/>
        <w:t xml:space="preserve">יש לזכור שהנאשם נמצא בתהליך המשפטי מזה כשנתיים וחצי והוא צפוי עוד ל- 6 חודשי מאסר בעבודת שירות ולשנת מבחן. בסך הכל הוא יימצא בתהליך תקופה של כ-3.5 שנים. מתוכן, כמצוין, 4 חודשי מעצר, 8 חודשי מעצר בית, 18 חודשי טיפול ושיקום, 6 חודשי מאסר בעבודת שירות, ושנת מבחן (חופפת לתקופת המאסר בעבודת שירות). </w:t>
      </w:r>
    </w:p>
    <w:p w14:paraId="783873A2" w14:textId="77777777" w:rsidR="0003327B" w:rsidRPr="00854E50" w:rsidRDefault="0003327B" w:rsidP="0003327B">
      <w:pPr>
        <w:spacing w:line="360" w:lineRule="auto"/>
        <w:ind w:left="720" w:hanging="720"/>
        <w:jc w:val="both"/>
        <w:rPr>
          <w:rtl/>
          <w:lang w:eastAsia="he-IL"/>
        </w:rPr>
      </w:pPr>
    </w:p>
    <w:p w14:paraId="28B91014" w14:textId="77777777" w:rsidR="0003327B" w:rsidRPr="00854E50" w:rsidRDefault="0003327B" w:rsidP="0003327B">
      <w:pPr>
        <w:spacing w:line="360" w:lineRule="auto"/>
        <w:ind w:left="720" w:hanging="720"/>
        <w:jc w:val="both"/>
        <w:rPr>
          <w:rtl/>
          <w:lang w:eastAsia="he-IL"/>
        </w:rPr>
      </w:pPr>
      <w:r w:rsidRPr="00854E50">
        <w:rPr>
          <w:rtl/>
          <w:lang w:eastAsia="he-IL"/>
        </w:rPr>
        <w:t>16.</w:t>
      </w:r>
      <w:r w:rsidRPr="00854E50">
        <w:rPr>
          <w:rtl/>
          <w:lang w:eastAsia="he-IL"/>
        </w:rPr>
        <w:tab/>
        <w:t xml:space="preserve">תוצר לוואי, חשוב בפני עצמו, המתקבל מהעדפת בית המשפט את שיקולי השיקום על פני שיקול הגמול, הוא העצמת מסגרות השיקום המוסדיות. מקרים כאלה מעבירים מסר למטופלים ולמטפלים, מגבירים את המוטיבציה לטיפול ומפיחים רוח חיובית. </w:t>
      </w:r>
    </w:p>
    <w:p w14:paraId="5EAA9D6A" w14:textId="77777777" w:rsidR="0003327B" w:rsidRPr="00854E50" w:rsidRDefault="0003327B" w:rsidP="0003327B">
      <w:pPr>
        <w:spacing w:line="360" w:lineRule="auto"/>
        <w:ind w:left="720" w:hanging="720"/>
        <w:jc w:val="both"/>
        <w:rPr>
          <w:rtl/>
          <w:lang w:eastAsia="he-IL"/>
        </w:rPr>
      </w:pPr>
    </w:p>
    <w:p w14:paraId="5265D6A8" w14:textId="77777777" w:rsidR="0003327B" w:rsidRPr="00854E50" w:rsidRDefault="0003327B" w:rsidP="0003327B">
      <w:pPr>
        <w:spacing w:line="360" w:lineRule="auto"/>
        <w:ind w:left="720" w:hanging="720"/>
        <w:jc w:val="both"/>
        <w:rPr>
          <w:rtl/>
          <w:lang w:eastAsia="he-IL"/>
        </w:rPr>
      </w:pPr>
      <w:r w:rsidRPr="00854E50">
        <w:rPr>
          <w:rtl/>
          <w:lang w:eastAsia="he-IL"/>
        </w:rPr>
        <w:t>17.</w:t>
      </w:r>
      <w:r w:rsidRPr="00854E50">
        <w:rPr>
          <w:rtl/>
          <w:lang w:eastAsia="he-IL"/>
        </w:rPr>
        <w:tab/>
        <w:t>הפער בין עונשו של הנאשם לעונש שהוטל על שותפו החייל – 7 שנות מאסר בפועל, עצום, והוא גורם לאי נוחות אינטואיטיבית, שכן, הציפיה היא שעל המעורבים באותה פרשה, שחלקם בה דומה, יוטלו עונשים דומים. ואולם, אחד הפנים של אינדיבידואליות הענישה הינו, שנאשם שנסיבותיו מצדיקות זאת, ייענש בהתאם לשיקולי שיקומו, גם אם שותפו לעבירה – שנסיבותיו לא הצדיקו גישה דומה – נענש בחומרה רבה.</w:t>
      </w:r>
    </w:p>
    <w:p w14:paraId="27E8BB22" w14:textId="77777777" w:rsidR="0003327B" w:rsidRPr="00854E50" w:rsidRDefault="0003327B" w:rsidP="0003327B">
      <w:pPr>
        <w:spacing w:line="360" w:lineRule="auto"/>
        <w:ind w:left="720" w:hanging="720"/>
        <w:jc w:val="both"/>
        <w:rPr>
          <w:rtl/>
        </w:rPr>
      </w:pPr>
      <w:r w:rsidRPr="00854E50">
        <w:rPr>
          <w:rtl/>
        </w:rPr>
        <w:t xml:space="preserve">18. </w:t>
      </w:r>
      <w:r w:rsidRPr="00854E50">
        <w:rPr>
          <w:rtl/>
        </w:rPr>
        <w:tab/>
        <w:t>נוכח כל האמור, אני גוזר על הנאשמים את העונשים הבאים:</w:t>
      </w:r>
    </w:p>
    <w:p w14:paraId="265FC17F" w14:textId="77777777" w:rsidR="0003327B" w:rsidRPr="00854E50" w:rsidRDefault="0003327B" w:rsidP="0003327B">
      <w:pPr>
        <w:spacing w:line="360" w:lineRule="auto"/>
        <w:ind w:left="1440" w:hanging="720"/>
        <w:jc w:val="both"/>
        <w:rPr>
          <w:rtl/>
        </w:rPr>
      </w:pPr>
      <w:r w:rsidRPr="00854E50">
        <w:rPr>
          <w:rtl/>
        </w:rPr>
        <w:t>א.</w:t>
      </w:r>
      <w:r w:rsidRPr="00854E50">
        <w:rPr>
          <w:rtl/>
        </w:rPr>
        <w:tab/>
        <w:t>6 חודשי מאסר בפועל. אם הממונה על עבודות השירות יחווה דעתו כי הנאשם מתאים לביצוע עבודת שירות, הוא יוכל לשאת את המאסר שנגזר עליו בעבודת שירות.</w:t>
      </w:r>
    </w:p>
    <w:p w14:paraId="428EFD2D" w14:textId="77777777" w:rsidR="0003327B" w:rsidRPr="00854E50" w:rsidRDefault="0003327B" w:rsidP="0003327B">
      <w:pPr>
        <w:spacing w:line="360" w:lineRule="auto"/>
        <w:ind w:left="1440" w:hanging="720"/>
        <w:jc w:val="both"/>
        <w:rPr>
          <w:rtl/>
        </w:rPr>
      </w:pPr>
      <w:r w:rsidRPr="00854E50">
        <w:rPr>
          <w:rtl/>
        </w:rPr>
        <w:t>ב.</w:t>
      </w:r>
      <w:r w:rsidRPr="00854E50">
        <w:rPr>
          <w:rtl/>
        </w:rPr>
        <w:tab/>
        <w:t>12 חודשי מאסר על תנאי למשך שלוש שנים, מהיום, שלא יעבור עבירת נשק המסווגת כפשע.</w:t>
      </w:r>
    </w:p>
    <w:p w14:paraId="0293919A" w14:textId="77777777" w:rsidR="0003327B" w:rsidRPr="00854E50" w:rsidRDefault="0003327B" w:rsidP="0003327B">
      <w:pPr>
        <w:spacing w:line="360" w:lineRule="auto"/>
        <w:ind w:firstLine="720"/>
        <w:jc w:val="both"/>
        <w:rPr>
          <w:rtl/>
        </w:rPr>
      </w:pPr>
      <w:r w:rsidRPr="00854E50">
        <w:rPr>
          <w:rtl/>
        </w:rPr>
        <w:t>ג.</w:t>
      </w:r>
      <w:r w:rsidRPr="00854E50">
        <w:rPr>
          <w:rtl/>
        </w:rPr>
        <w:tab/>
        <w:t>קנס בסך 10,000 ₪ או 40 ימי מאסר תחתיו.</w:t>
      </w:r>
    </w:p>
    <w:p w14:paraId="724563C9" w14:textId="77777777" w:rsidR="0003327B" w:rsidRPr="00854E50" w:rsidRDefault="0003327B" w:rsidP="0003327B">
      <w:pPr>
        <w:spacing w:line="360" w:lineRule="auto"/>
        <w:jc w:val="both"/>
        <w:rPr>
          <w:rtl/>
        </w:rPr>
      </w:pPr>
      <w:r w:rsidRPr="00854E50">
        <w:rPr>
          <w:rtl/>
        </w:rPr>
        <w:tab/>
        <w:t>ד.</w:t>
      </w:r>
      <w:r w:rsidRPr="00854E50">
        <w:rPr>
          <w:rtl/>
        </w:rPr>
        <w:tab/>
        <w:t xml:space="preserve">מבחן למשך שנה. </w:t>
      </w:r>
    </w:p>
    <w:p w14:paraId="6B12019E" w14:textId="77777777" w:rsidR="0003327B" w:rsidRPr="00854E50" w:rsidRDefault="0003327B" w:rsidP="0003327B">
      <w:pPr>
        <w:spacing w:line="360" w:lineRule="auto"/>
        <w:jc w:val="both"/>
        <w:rPr>
          <w:rtl/>
        </w:rPr>
      </w:pPr>
    </w:p>
    <w:p w14:paraId="2CD4F506" w14:textId="77777777" w:rsidR="0003327B" w:rsidRPr="00854E50" w:rsidRDefault="0003327B" w:rsidP="0003327B">
      <w:pPr>
        <w:spacing w:line="360" w:lineRule="auto"/>
        <w:ind w:left="720" w:hanging="720"/>
        <w:jc w:val="both"/>
        <w:rPr>
          <w:rtl/>
        </w:rPr>
      </w:pPr>
      <w:r w:rsidRPr="00854E50">
        <w:rPr>
          <w:rtl/>
        </w:rPr>
        <w:t>19.</w:t>
      </w:r>
      <w:r w:rsidRPr="00854E50">
        <w:rPr>
          <w:rtl/>
        </w:rPr>
        <w:tab/>
        <w:t xml:space="preserve">אמנם הנאשם השתמש ברכבו במסגרת ביצוע העבירות שעבר, אולם השימוש ברכב לא היה מהותי בביצוע העבירות. בהקשר זה יצוין, שהתביעה לא ביקשה לחלט את רכבו של הנאשם 2, שגם הוא נסע ברכבו אל החייל שגנב את הרובה וגם הוא הוביל את הנשק ברכבו. בנסיבות אלה, אינני מוצא מקום להורות על חילוט רכבו של הנאשם. </w:t>
      </w:r>
    </w:p>
    <w:p w14:paraId="00C8ACF1" w14:textId="77777777" w:rsidR="0003327B" w:rsidRPr="00854E50" w:rsidRDefault="0003327B" w:rsidP="0003327B">
      <w:pPr>
        <w:spacing w:line="360" w:lineRule="auto"/>
        <w:ind w:left="720" w:hanging="720"/>
        <w:jc w:val="both"/>
        <w:rPr>
          <w:rtl/>
        </w:rPr>
      </w:pPr>
      <w:r w:rsidRPr="00854E50">
        <w:rPr>
          <w:rtl/>
        </w:rPr>
        <w:t xml:space="preserve">  </w:t>
      </w:r>
    </w:p>
    <w:p w14:paraId="2D9F5126" w14:textId="77777777" w:rsidR="0003327B" w:rsidRPr="00854E50" w:rsidRDefault="0003327B" w:rsidP="0003327B">
      <w:pPr>
        <w:spacing w:line="360" w:lineRule="auto"/>
        <w:jc w:val="both"/>
        <w:rPr>
          <w:rtl/>
        </w:rPr>
      </w:pPr>
      <w:r w:rsidRPr="00854E50">
        <w:rPr>
          <w:rtl/>
        </w:rPr>
        <w:t xml:space="preserve">זכות ערעור תוך 45 יום. </w:t>
      </w:r>
    </w:p>
    <w:p w14:paraId="53F8F01A" w14:textId="77777777" w:rsidR="0003327B" w:rsidRPr="00A902D2" w:rsidRDefault="00A902D2" w:rsidP="0003327B">
      <w:pPr>
        <w:jc w:val="both"/>
        <w:rPr>
          <w:color w:val="FFFFFF"/>
          <w:sz w:val="2"/>
          <w:szCs w:val="2"/>
          <w:rtl/>
        </w:rPr>
      </w:pPr>
      <w:r w:rsidRPr="00A902D2">
        <w:rPr>
          <w:color w:val="FFFFFF"/>
          <w:sz w:val="2"/>
          <w:szCs w:val="2"/>
          <w:rtl/>
        </w:rPr>
        <w:t>5129371</w:t>
      </w:r>
    </w:p>
    <w:p w14:paraId="101FFDDC" w14:textId="77777777" w:rsidR="0003327B" w:rsidRPr="00B233FE" w:rsidRDefault="00A902D2" w:rsidP="0003327B">
      <w:pPr>
        <w:jc w:val="both"/>
        <w:rPr>
          <w:rtl/>
        </w:rPr>
      </w:pPr>
      <w:r w:rsidRPr="00A902D2">
        <w:rPr>
          <w:rFonts w:ascii="Arial" w:hAnsi="Arial"/>
          <w:color w:val="FFFFFF"/>
          <w:sz w:val="2"/>
          <w:szCs w:val="2"/>
          <w:rtl/>
        </w:rPr>
        <w:t>54678313</w:t>
      </w:r>
      <w:r>
        <w:rPr>
          <w:rFonts w:ascii="Arial" w:hAnsi="Arial"/>
          <w:rtl/>
        </w:rPr>
        <w:t xml:space="preserve">ניתן היום,  ג' ניסן תשע"ז, 30 מרץ 2017, בהעדר הצדדים. </w:t>
      </w:r>
    </w:p>
    <w:p w14:paraId="365AAC00" w14:textId="77777777" w:rsidR="0003327B" w:rsidRPr="00854E50" w:rsidRDefault="0003327B" w:rsidP="0003327B">
      <w:pPr>
        <w:jc w:val="both"/>
      </w:pPr>
      <w:r w:rsidRPr="00854E50">
        <w:rPr>
          <w:rFonts w:hint="cs"/>
          <w:rtl/>
        </w:rPr>
        <w:t xml:space="preserve">   </w:t>
      </w:r>
      <w:r w:rsidRPr="00854E50">
        <w:rPr>
          <w:rFonts w:hint="cs"/>
          <w:rtl/>
        </w:rPr>
        <w:tab/>
      </w:r>
      <w:r w:rsidRPr="00854E50">
        <w:rPr>
          <w:rFonts w:hint="cs"/>
          <w:rtl/>
        </w:rPr>
        <w:tab/>
      </w:r>
      <w:r w:rsidRPr="00854E50">
        <w:rPr>
          <w:rFonts w:hint="cs"/>
          <w:rtl/>
        </w:rPr>
        <w:tab/>
      </w:r>
      <w:r w:rsidRPr="00854E50">
        <w:rPr>
          <w:rFonts w:hint="cs"/>
          <w:rtl/>
        </w:rPr>
        <w:tab/>
      </w:r>
      <w:r w:rsidRPr="00854E50">
        <w:rPr>
          <w:rFonts w:hint="cs"/>
          <w:rtl/>
        </w:rPr>
        <w:tab/>
      </w:r>
    </w:p>
    <w:p w14:paraId="4F8555FD" w14:textId="77777777" w:rsidR="0003327B" w:rsidRPr="00854E50" w:rsidRDefault="0003327B" w:rsidP="0003327B">
      <w:pPr>
        <w:jc w:val="both"/>
        <w:rPr>
          <w:rFonts w:ascii="Arial" w:hAnsi="Arial"/>
          <w:rtl/>
        </w:rPr>
      </w:pPr>
    </w:p>
    <w:p w14:paraId="4940AA85" w14:textId="77777777" w:rsidR="0003327B" w:rsidRPr="00854E50" w:rsidRDefault="0003327B" w:rsidP="0003327B">
      <w:pPr>
        <w:jc w:val="both"/>
        <w:rPr>
          <w:rtl/>
        </w:rPr>
      </w:pPr>
    </w:p>
    <w:p w14:paraId="50DA8177" w14:textId="77777777" w:rsidR="0003327B" w:rsidRPr="00854E50" w:rsidRDefault="0003327B" w:rsidP="0003327B">
      <w:pPr>
        <w:pStyle w:val="a3"/>
        <w:jc w:val="both"/>
        <w:rPr>
          <w:rtl/>
        </w:rPr>
      </w:pPr>
    </w:p>
    <w:p w14:paraId="69A58134" w14:textId="77777777" w:rsidR="00A902D2" w:rsidRPr="00A902D2" w:rsidRDefault="00A902D2" w:rsidP="00A902D2">
      <w:pPr>
        <w:keepNext/>
        <w:rPr>
          <w:rFonts w:ascii="David" w:hAnsi="David"/>
          <w:color w:val="000000"/>
          <w:sz w:val="22"/>
          <w:szCs w:val="22"/>
          <w:rtl/>
        </w:rPr>
      </w:pPr>
    </w:p>
    <w:p w14:paraId="0D5A92F7" w14:textId="77777777" w:rsidR="00A902D2" w:rsidRPr="00A902D2" w:rsidRDefault="00A902D2" w:rsidP="00A902D2">
      <w:pPr>
        <w:keepNext/>
        <w:rPr>
          <w:rFonts w:ascii="David" w:hAnsi="David"/>
          <w:color w:val="000000"/>
          <w:sz w:val="22"/>
          <w:szCs w:val="22"/>
          <w:rtl/>
        </w:rPr>
      </w:pPr>
      <w:r w:rsidRPr="00A902D2">
        <w:rPr>
          <w:rFonts w:ascii="David" w:hAnsi="David"/>
          <w:color w:val="000000"/>
          <w:sz w:val="22"/>
          <w:szCs w:val="22"/>
          <w:rtl/>
        </w:rPr>
        <w:t>אליהו ביתן 54678313</w:t>
      </w:r>
    </w:p>
    <w:p w14:paraId="66C4D6DC" w14:textId="77777777" w:rsidR="00A902D2" w:rsidRDefault="00A902D2" w:rsidP="00A902D2">
      <w:r w:rsidRPr="00A902D2">
        <w:rPr>
          <w:color w:val="000000"/>
          <w:rtl/>
        </w:rPr>
        <w:t>נוסח מסמך זה כפוף לשינויי ניסוח ועריכה</w:t>
      </w:r>
    </w:p>
    <w:p w14:paraId="28739A8D" w14:textId="77777777" w:rsidR="00A902D2" w:rsidRDefault="00A902D2" w:rsidP="00A902D2">
      <w:pPr>
        <w:rPr>
          <w:rtl/>
        </w:rPr>
      </w:pPr>
    </w:p>
    <w:p w14:paraId="75FCEAE3" w14:textId="77777777" w:rsidR="00A902D2" w:rsidRDefault="00A902D2" w:rsidP="00A902D2">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2CBF43D" w14:textId="77777777" w:rsidR="00DF27D7" w:rsidRPr="00A902D2" w:rsidRDefault="00DF27D7" w:rsidP="00A902D2">
      <w:pPr>
        <w:jc w:val="center"/>
        <w:rPr>
          <w:color w:val="0000FF"/>
          <w:u w:val="single"/>
        </w:rPr>
      </w:pPr>
    </w:p>
    <w:sectPr w:rsidR="00DF27D7" w:rsidRPr="00A902D2" w:rsidSect="00A902D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E266" w14:textId="77777777" w:rsidR="008A7FF0" w:rsidRDefault="008A7FF0">
      <w:r>
        <w:separator/>
      </w:r>
    </w:p>
  </w:endnote>
  <w:endnote w:type="continuationSeparator" w:id="0">
    <w:p w14:paraId="056542F9" w14:textId="77777777" w:rsidR="008A7FF0" w:rsidRDefault="008A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415B" w14:textId="77777777" w:rsidR="00A902D2" w:rsidRDefault="00A902D2" w:rsidP="00A902D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18E85F" w14:textId="77777777" w:rsidR="00A902D2" w:rsidRPr="00A902D2" w:rsidRDefault="00A902D2" w:rsidP="00A902D2">
    <w:pPr>
      <w:pStyle w:val="a4"/>
      <w:pBdr>
        <w:top w:val="single" w:sz="4" w:space="1" w:color="auto"/>
        <w:between w:val="single" w:sz="4" w:space="0" w:color="auto"/>
      </w:pBdr>
      <w:spacing w:after="60"/>
      <w:jc w:val="center"/>
      <w:rPr>
        <w:rFonts w:ascii="FrankRuehl" w:hAnsi="FrankRuehl" w:cs="FrankRuehl"/>
        <w:color w:val="000000"/>
      </w:rPr>
    </w:pPr>
    <w:r w:rsidRPr="00A902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46BB" w14:textId="77777777" w:rsidR="00A902D2" w:rsidRDefault="00A902D2" w:rsidP="00A902D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1A81">
      <w:rPr>
        <w:rFonts w:ascii="FrankRuehl" w:hAnsi="FrankRuehl" w:cs="FrankRuehl"/>
        <w:noProof/>
        <w:rtl/>
      </w:rPr>
      <w:t>1</w:t>
    </w:r>
    <w:r>
      <w:rPr>
        <w:rFonts w:ascii="FrankRuehl" w:hAnsi="FrankRuehl" w:cs="FrankRuehl"/>
        <w:rtl/>
      </w:rPr>
      <w:fldChar w:fldCharType="end"/>
    </w:r>
  </w:p>
  <w:p w14:paraId="346D5711" w14:textId="77777777" w:rsidR="00A902D2" w:rsidRPr="00A902D2" w:rsidRDefault="00A902D2" w:rsidP="00A902D2">
    <w:pPr>
      <w:pStyle w:val="a4"/>
      <w:pBdr>
        <w:top w:val="single" w:sz="4" w:space="1" w:color="auto"/>
        <w:between w:val="single" w:sz="4" w:space="0" w:color="auto"/>
      </w:pBdr>
      <w:spacing w:after="60"/>
      <w:jc w:val="center"/>
      <w:rPr>
        <w:rFonts w:ascii="FrankRuehl" w:hAnsi="FrankRuehl" w:cs="FrankRuehl"/>
        <w:color w:val="000000"/>
      </w:rPr>
    </w:pPr>
    <w:r w:rsidRPr="00A902D2">
      <w:rPr>
        <w:rFonts w:ascii="FrankRuehl" w:hAnsi="FrankRuehl" w:cs="FrankRuehl"/>
        <w:color w:val="000000"/>
      </w:rPr>
      <w:pict w14:anchorId="2A81B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26E9" w14:textId="77777777" w:rsidR="008A7FF0" w:rsidRDefault="008A7FF0">
      <w:r>
        <w:separator/>
      </w:r>
    </w:p>
  </w:footnote>
  <w:footnote w:type="continuationSeparator" w:id="0">
    <w:p w14:paraId="5AA46108" w14:textId="77777777" w:rsidR="008A7FF0" w:rsidRDefault="008A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42E8" w14:textId="77777777" w:rsidR="00A902D2" w:rsidRPr="00A902D2" w:rsidRDefault="00A902D2" w:rsidP="00A902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7498-11-14</w:t>
    </w:r>
    <w:r>
      <w:rPr>
        <w:rFonts w:ascii="David" w:hAnsi="David"/>
        <w:color w:val="000000"/>
        <w:sz w:val="22"/>
        <w:szCs w:val="22"/>
        <w:rtl/>
      </w:rPr>
      <w:tab/>
      <w:t xml:space="preserve"> מדינת ישראל נ' עאקף אלצראיעה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3491" w14:textId="77777777" w:rsidR="00A902D2" w:rsidRPr="00A902D2" w:rsidRDefault="00A902D2" w:rsidP="00A902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7498-11-14</w:t>
    </w:r>
    <w:r>
      <w:rPr>
        <w:rFonts w:ascii="David" w:hAnsi="David"/>
        <w:color w:val="000000"/>
        <w:sz w:val="22"/>
        <w:szCs w:val="22"/>
        <w:rtl/>
      </w:rPr>
      <w:tab/>
      <w:t xml:space="preserve"> מדינת ישראל נ' עאקף אלצראיעה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327B"/>
    <w:rsid w:val="0003327B"/>
    <w:rsid w:val="000629B6"/>
    <w:rsid w:val="00250C7A"/>
    <w:rsid w:val="002A1A81"/>
    <w:rsid w:val="008A7FF0"/>
    <w:rsid w:val="00A902D2"/>
    <w:rsid w:val="00BC074C"/>
    <w:rsid w:val="00DF27D7"/>
    <w:rsid w:val="00F26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67A894"/>
  <w15:chartTrackingRefBased/>
  <w15:docId w15:val="{74F8EB1C-2F90-45B9-B5D1-5AD8D51C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327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3327B"/>
    <w:pPr>
      <w:tabs>
        <w:tab w:val="center" w:pos="4153"/>
        <w:tab w:val="right" w:pos="8306"/>
      </w:tabs>
    </w:pPr>
  </w:style>
  <w:style w:type="paragraph" w:styleId="a4">
    <w:name w:val="footer"/>
    <w:basedOn w:val="a"/>
    <w:rsid w:val="0003327B"/>
    <w:pPr>
      <w:tabs>
        <w:tab w:val="center" w:pos="4153"/>
        <w:tab w:val="right" w:pos="8306"/>
      </w:tabs>
    </w:pPr>
  </w:style>
  <w:style w:type="character" w:styleId="a5">
    <w:name w:val="page number"/>
    <w:basedOn w:val="a0"/>
    <w:rsid w:val="0003327B"/>
  </w:style>
  <w:style w:type="character" w:styleId="Hyperlink">
    <w:name w:val="Hyperlink"/>
    <w:basedOn w:val="a0"/>
    <w:rsid w:val="00A90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729" TargetMode="External"/><Relationship Id="rId18" Type="http://schemas.openxmlformats.org/officeDocument/2006/relationships/hyperlink" Target="http://www.nevo.co.il/law/70301/384" TargetMode="External"/><Relationship Id="rId26" Type="http://schemas.openxmlformats.org/officeDocument/2006/relationships/hyperlink" Target="http://www.nevo.co.il/case/5852404" TargetMode="External"/><Relationship Id="rId39" Type="http://schemas.openxmlformats.org/officeDocument/2006/relationships/footer" Target="footer2.xml"/><Relationship Id="rId21" Type="http://schemas.openxmlformats.org/officeDocument/2006/relationships/hyperlink" Target="http://www.nevo.co.il/law/4729" TargetMode="External"/><Relationship Id="rId34" Type="http://schemas.openxmlformats.org/officeDocument/2006/relationships/hyperlink" Target="http://www.nevo.co.il/case/6006233"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law/70301/25" TargetMode="External"/><Relationship Id="rId29" Type="http://schemas.openxmlformats.org/officeDocument/2006/relationships/hyperlink" Target="http://www.nevo.co.il/case/5703734"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4" TargetMode="External"/><Relationship Id="rId24" Type="http://schemas.openxmlformats.org/officeDocument/2006/relationships/hyperlink" Target="http://www.nevo.co.il/case/6473037" TargetMode="External"/><Relationship Id="rId32" Type="http://schemas.openxmlformats.org/officeDocument/2006/relationships/hyperlink" Target="http://www.nevo.co.il/case/570373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78120" TargetMode="External"/><Relationship Id="rId28" Type="http://schemas.openxmlformats.org/officeDocument/2006/relationships/hyperlink" Target="http://www.nevo.co.il/case/5821327" TargetMode="External"/><Relationship Id="rId36" Type="http://schemas.openxmlformats.org/officeDocument/2006/relationships/header" Target="header1.xml"/><Relationship Id="rId10" Type="http://schemas.openxmlformats.org/officeDocument/2006/relationships/hyperlink" Target="http://www.nevo.co.il/law/70301/144.b2"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case/5878120"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5707014" TargetMode="External"/><Relationship Id="rId27" Type="http://schemas.openxmlformats.org/officeDocument/2006/relationships/hyperlink" Target="http://www.nevo.co.il/case/6034921" TargetMode="External"/><Relationship Id="rId30" Type="http://schemas.openxmlformats.org/officeDocument/2006/relationships/hyperlink" Target="http://www.nevo.co.il/case/647303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878682" TargetMode="External"/><Relationship Id="rId33" Type="http://schemas.openxmlformats.org/officeDocument/2006/relationships/hyperlink" Target="http://www.nevo.co.il/case/578673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4459</Words>
  <Characters>22297</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26703</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3604593</vt:i4>
      </vt:variant>
      <vt:variant>
        <vt:i4>84</vt:i4>
      </vt:variant>
      <vt:variant>
        <vt:i4>0</vt:i4>
      </vt:variant>
      <vt:variant>
        <vt:i4>5</vt:i4>
      </vt:variant>
      <vt:variant>
        <vt:lpwstr>http://www.nevo.co.il/case/6006233</vt:lpwstr>
      </vt:variant>
      <vt:variant>
        <vt:lpwstr/>
      </vt:variant>
      <vt:variant>
        <vt:i4>3801206</vt:i4>
      </vt:variant>
      <vt:variant>
        <vt:i4>81</vt:i4>
      </vt:variant>
      <vt:variant>
        <vt:i4>0</vt:i4>
      </vt:variant>
      <vt:variant>
        <vt:i4>5</vt:i4>
      </vt:variant>
      <vt:variant>
        <vt:lpwstr>http://www.nevo.co.il/case/5786730</vt:lpwstr>
      </vt:variant>
      <vt:variant>
        <vt:lpwstr/>
      </vt:variant>
      <vt:variant>
        <vt:i4>3604595</vt:i4>
      </vt:variant>
      <vt:variant>
        <vt:i4>78</vt:i4>
      </vt:variant>
      <vt:variant>
        <vt:i4>0</vt:i4>
      </vt:variant>
      <vt:variant>
        <vt:i4>5</vt:i4>
      </vt:variant>
      <vt:variant>
        <vt:lpwstr>http://www.nevo.co.il/case/5703735</vt:lpwstr>
      </vt:variant>
      <vt:variant>
        <vt:lpwstr/>
      </vt:variant>
      <vt:variant>
        <vt:i4>3342454</vt:i4>
      </vt:variant>
      <vt:variant>
        <vt:i4>75</vt:i4>
      </vt:variant>
      <vt:variant>
        <vt:i4>0</vt:i4>
      </vt:variant>
      <vt:variant>
        <vt:i4>5</vt:i4>
      </vt:variant>
      <vt:variant>
        <vt:lpwstr>http://www.nevo.co.il/case/5878120</vt:lpwstr>
      </vt:variant>
      <vt:variant>
        <vt:lpwstr/>
      </vt:variant>
      <vt:variant>
        <vt:i4>3539056</vt:i4>
      </vt:variant>
      <vt:variant>
        <vt:i4>72</vt:i4>
      </vt:variant>
      <vt:variant>
        <vt:i4>0</vt:i4>
      </vt:variant>
      <vt:variant>
        <vt:i4>5</vt:i4>
      </vt:variant>
      <vt:variant>
        <vt:lpwstr>http://www.nevo.co.il/case/6473037</vt:lpwstr>
      </vt:variant>
      <vt:variant>
        <vt:lpwstr/>
      </vt:variant>
      <vt:variant>
        <vt:i4>3539059</vt:i4>
      </vt:variant>
      <vt:variant>
        <vt:i4>69</vt:i4>
      </vt:variant>
      <vt:variant>
        <vt:i4>0</vt:i4>
      </vt:variant>
      <vt:variant>
        <vt:i4>5</vt:i4>
      </vt:variant>
      <vt:variant>
        <vt:lpwstr>http://www.nevo.co.il/case/5703734</vt:lpwstr>
      </vt:variant>
      <vt:variant>
        <vt:lpwstr/>
      </vt:variant>
      <vt:variant>
        <vt:i4>3342463</vt:i4>
      </vt:variant>
      <vt:variant>
        <vt:i4>66</vt:i4>
      </vt:variant>
      <vt:variant>
        <vt:i4>0</vt:i4>
      </vt:variant>
      <vt:variant>
        <vt:i4>5</vt:i4>
      </vt:variant>
      <vt:variant>
        <vt:lpwstr>http://www.nevo.co.il/case/5821327</vt:lpwstr>
      </vt:variant>
      <vt:variant>
        <vt:lpwstr/>
      </vt:variant>
      <vt:variant>
        <vt:i4>3997810</vt:i4>
      </vt:variant>
      <vt:variant>
        <vt:i4>63</vt:i4>
      </vt:variant>
      <vt:variant>
        <vt:i4>0</vt:i4>
      </vt:variant>
      <vt:variant>
        <vt:i4>5</vt:i4>
      </vt:variant>
      <vt:variant>
        <vt:lpwstr>http://www.nevo.co.il/case/6034921</vt:lpwstr>
      </vt:variant>
      <vt:variant>
        <vt:lpwstr/>
      </vt:variant>
      <vt:variant>
        <vt:i4>3145854</vt:i4>
      </vt:variant>
      <vt:variant>
        <vt:i4>60</vt:i4>
      </vt:variant>
      <vt:variant>
        <vt:i4>0</vt:i4>
      </vt:variant>
      <vt:variant>
        <vt:i4>5</vt:i4>
      </vt:variant>
      <vt:variant>
        <vt:lpwstr>http://www.nevo.co.il/case/5852404</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3342454</vt:i4>
      </vt:variant>
      <vt:variant>
        <vt:i4>51</vt:i4>
      </vt:variant>
      <vt:variant>
        <vt:i4>0</vt:i4>
      </vt:variant>
      <vt:variant>
        <vt:i4>5</vt:i4>
      </vt:variant>
      <vt:variant>
        <vt:lpwstr>http://www.nevo.co.il/case/5878120</vt:lpwstr>
      </vt:variant>
      <vt:variant>
        <vt:lpwstr/>
      </vt:variant>
      <vt:variant>
        <vt:i4>3211381</vt:i4>
      </vt:variant>
      <vt:variant>
        <vt:i4>48</vt:i4>
      </vt:variant>
      <vt:variant>
        <vt:i4>0</vt:i4>
      </vt:variant>
      <vt:variant>
        <vt:i4>5</vt:i4>
      </vt:variant>
      <vt:variant>
        <vt:lpwstr>http://www.nevo.co.il/case/5707014</vt:lpwstr>
      </vt:variant>
      <vt:variant>
        <vt:lpwstr/>
      </vt:variant>
      <vt:variant>
        <vt:i4>7602278</vt:i4>
      </vt:variant>
      <vt:variant>
        <vt:i4>45</vt:i4>
      </vt:variant>
      <vt:variant>
        <vt:i4>0</vt:i4>
      </vt:variant>
      <vt:variant>
        <vt:i4>5</vt:i4>
      </vt:variant>
      <vt:variant>
        <vt:lpwstr>http://www.nevo.co.il/law/4729</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7602278</vt:i4>
      </vt:variant>
      <vt:variant>
        <vt:i4>21</vt:i4>
      </vt:variant>
      <vt:variant>
        <vt:i4>0</vt:i4>
      </vt:variant>
      <vt:variant>
        <vt:i4>5</vt:i4>
      </vt:variant>
      <vt:variant>
        <vt:lpwstr>http://www.nevo.co.il/law/4729</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2024-01-07T12:16:00Z</dcterms:created>
  <dcterms:modified xsi:type="dcterms:W3CDTF">2024-01-07T12:16:00Z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7498</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עאקף אלצראיעה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20170330</vt:lpwstr>
  </property>
  <property fmtid="{D5CDD505-2E9C-101B-9397-08002B2CF9AE}" pid="13" name="TYPE_N_DATE">
    <vt:lpwstr>39020170330</vt:lpwstr>
  </property>
  <property fmtid="{D5CDD505-2E9C-101B-9397-08002B2CF9AE}" pid="14" name="CASESLISTTMP1">
    <vt:lpwstr>5707014;5878120:2;6473037:2;5878682;5852404;6034921;5821327;5703734;5703735;5786730;6006233</vt:lpwstr>
  </property>
  <property fmtid="{D5CDD505-2E9C-101B-9397-08002B2CF9AE}" pid="15" name="WORDNUMPAGES">
    <vt:lpwstr>14</vt:lpwstr>
  </property>
  <property fmtid="{D5CDD505-2E9C-101B-9397-08002B2CF9AE}" pid="16" name="TYPE_ABS_DATE">
    <vt:lpwstr>390020170330</vt:lpwstr>
  </property>
  <property fmtid="{D5CDD505-2E9C-101B-9397-08002B2CF9AE}" pid="17" name="ISABSTRACT">
    <vt:lpwstr>Y</vt:lpwstr>
  </property>
  <property fmtid="{D5CDD505-2E9C-101B-9397-08002B2CF9AE}" pid="18" name="LAWLISTTMP1">
    <vt:lpwstr>70301/499.a.1;144.b;144.a;384;144.b2;025</vt:lpwstr>
  </property>
  <property fmtid="{D5CDD505-2E9C-101B-9397-08002B2CF9AE}" pid="19" name="LAWLISTTMP2">
    <vt:lpwstr>4729</vt:lpwstr>
  </property>
</Properties>
</file>