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4473"/>
        <w:gridCol w:w="4248"/>
      </w:tblGrid>
      <w:tr w:rsidR="00CA7CF6" w:rsidRPr="001E3053" w14:paraId="778058AD" w14:textId="77777777" w:rsidTr="001E3053">
        <w:trPr>
          <w:trHeight w:hRule="exact" w:val="418"/>
          <w:jc w:val="center"/>
        </w:trPr>
        <w:tc>
          <w:tcPr>
            <w:tcW w:w="8721" w:type="dxa"/>
            <w:gridSpan w:val="2"/>
          </w:tcPr>
          <w:p w14:paraId="781FD020" w14:textId="77777777" w:rsidR="00CA7CF6" w:rsidRPr="001E3053" w:rsidRDefault="00CA7CF6" w:rsidP="001E3053">
            <w:pPr>
              <w:pStyle w:val="a4"/>
              <w:jc w:val="center"/>
              <w:rPr>
                <w:rFonts w:ascii="Tahoma" w:hAnsi="Tahoma" w:cs="Tahoma"/>
                <w:noProof w:val="0"/>
                <w:color w:val="000080"/>
                <w:rtl/>
              </w:rPr>
            </w:pPr>
            <w:r w:rsidRPr="001E3053">
              <w:rPr>
                <w:rFonts w:ascii="Tahoma" w:hAnsi="Tahoma" w:cs="Tahoma"/>
                <w:b/>
                <w:bCs/>
                <w:noProof w:val="0"/>
                <w:color w:val="000080"/>
                <w:rtl/>
              </w:rPr>
              <w:t>בית המשפט המחוזי בירושלים</w:t>
            </w:r>
          </w:p>
        </w:tc>
      </w:tr>
      <w:tr w:rsidR="00CA7CF6" w:rsidRPr="001E3053" w14:paraId="74C0F75E" w14:textId="77777777" w:rsidTr="001E3053">
        <w:trPr>
          <w:trHeight w:val="337"/>
          <w:jc w:val="center"/>
        </w:trPr>
        <w:tc>
          <w:tcPr>
            <w:tcW w:w="4473" w:type="dxa"/>
          </w:tcPr>
          <w:p w14:paraId="11D6EB32" w14:textId="77777777" w:rsidR="00CA7CF6" w:rsidRPr="001E3053" w:rsidRDefault="00CA7CF6" w:rsidP="001E3053">
            <w:pPr>
              <w:rPr>
                <w:b/>
                <w:bCs/>
                <w:noProof w:val="0"/>
                <w:sz w:val="28"/>
                <w:szCs w:val="28"/>
                <w:rtl/>
              </w:rPr>
            </w:pPr>
            <w:r w:rsidRPr="001E3053">
              <w:rPr>
                <w:rFonts w:hint="cs"/>
                <w:b/>
                <w:bCs/>
                <w:noProof w:val="0"/>
                <w:sz w:val="28"/>
                <w:szCs w:val="28"/>
                <w:rtl/>
              </w:rPr>
              <w:t>לפני כב' השופט אהרן פרקש, נשיא</w:t>
            </w:r>
          </w:p>
        </w:tc>
        <w:tc>
          <w:tcPr>
            <w:tcW w:w="4248" w:type="dxa"/>
          </w:tcPr>
          <w:p w14:paraId="7D09AADC" w14:textId="77777777" w:rsidR="00CA7CF6" w:rsidRPr="001E3053" w:rsidRDefault="00CA7CF6" w:rsidP="001E3053">
            <w:pPr>
              <w:jc w:val="right"/>
              <w:rPr>
                <w:b/>
                <w:bCs/>
                <w:sz w:val="26"/>
                <w:szCs w:val="26"/>
                <w:rtl/>
              </w:rPr>
            </w:pPr>
            <w:r w:rsidRPr="001E3053">
              <w:rPr>
                <w:b/>
                <w:bCs/>
                <w:sz w:val="26"/>
                <w:szCs w:val="26"/>
                <w:rtl/>
              </w:rPr>
              <w:t>ת"פ</w:t>
            </w:r>
            <w:r w:rsidRPr="001E3053">
              <w:rPr>
                <w:rFonts w:hint="cs"/>
                <w:b/>
                <w:bCs/>
                <w:sz w:val="26"/>
                <w:szCs w:val="26"/>
                <w:rtl/>
              </w:rPr>
              <w:t xml:space="preserve"> </w:t>
            </w:r>
            <w:r w:rsidRPr="001E3053">
              <w:rPr>
                <w:b/>
                <w:bCs/>
                <w:sz w:val="26"/>
                <w:szCs w:val="26"/>
                <w:rtl/>
              </w:rPr>
              <w:t>39071-12-15</w:t>
            </w:r>
            <w:r w:rsidRPr="001E3053">
              <w:rPr>
                <w:rFonts w:hint="cs"/>
                <w:b/>
                <w:bCs/>
                <w:sz w:val="26"/>
                <w:szCs w:val="26"/>
                <w:rtl/>
              </w:rPr>
              <w:t xml:space="preserve"> </w:t>
            </w:r>
          </w:p>
          <w:p w14:paraId="76ECC7FC" w14:textId="77777777" w:rsidR="00CA7CF6" w:rsidRPr="001E3053" w:rsidRDefault="00CA7CF6" w:rsidP="001E3053">
            <w:pPr>
              <w:jc w:val="right"/>
              <w:rPr>
                <w:b/>
                <w:bCs/>
                <w:sz w:val="26"/>
                <w:szCs w:val="26"/>
                <w:rtl/>
              </w:rPr>
            </w:pPr>
            <w:r w:rsidRPr="001E3053">
              <w:rPr>
                <w:b/>
                <w:bCs/>
                <w:sz w:val="26"/>
                <w:szCs w:val="26"/>
                <w:rtl/>
              </w:rPr>
              <w:t>מדינת ישראל נ' מצרי</w:t>
            </w:r>
          </w:p>
        </w:tc>
      </w:tr>
    </w:tbl>
    <w:p w14:paraId="29DED5D9" w14:textId="77777777" w:rsidR="00CA7CF6" w:rsidRPr="001E3053" w:rsidRDefault="00CA7CF6" w:rsidP="00CA7CF6">
      <w:pPr>
        <w:pStyle w:val="a4"/>
        <w:rPr>
          <w:noProof w:val="0"/>
          <w:rtl/>
        </w:rPr>
      </w:pPr>
      <w:bookmarkStart w:id="0" w:name="LastJudge"/>
      <w:bookmarkEnd w:id="0"/>
      <w:r w:rsidRPr="001E3053">
        <w:rPr>
          <w:noProof w:val="0"/>
          <w:rtl/>
        </w:rPr>
        <w:t xml:space="preserve"> </w:t>
      </w:r>
    </w:p>
    <w:p w14:paraId="64BEB3AE" w14:textId="77777777" w:rsidR="00CA7CF6" w:rsidRPr="001E3053" w:rsidRDefault="00CA7CF6" w:rsidP="00CA7CF6">
      <w:pPr>
        <w:rPr>
          <w:rtl/>
        </w:rPr>
      </w:pPr>
    </w:p>
    <w:tbl>
      <w:tblPr>
        <w:bidiVisual/>
        <w:tblW w:w="8928" w:type="dxa"/>
        <w:jc w:val="center"/>
        <w:tblLook w:val="01E0" w:firstRow="1" w:lastRow="1" w:firstColumn="1" w:lastColumn="1" w:noHBand="0" w:noVBand="0"/>
      </w:tblPr>
      <w:tblGrid>
        <w:gridCol w:w="3121"/>
        <w:gridCol w:w="5807"/>
      </w:tblGrid>
      <w:tr w:rsidR="00CA7CF6" w:rsidRPr="001E3053" w14:paraId="6D265E81" w14:textId="77777777" w:rsidTr="001E3053">
        <w:trPr>
          <w:jc w:val="center"/>
        </w:trPr>
        <w:tc>
          <w:tcPr>
            <w:tcW w:w="3083" w:type="dxa"/>
            <w:shd w:val="clear" w:color="auto" w:fill="auto"/>
          </w:tcPr>
          <w:p w14:paraId="03000FDA" w14:textId="77777777" w:rsidR="00CA7CF6" w:rsidRPr="001E3053" w:rsidRDefault="00CA7CF6" w:rsidP="001E3053">
            <w:pPr>
              <w:spacing w:line="360" w:lineRule="auto"/>
              <w:jc w:val="both"/>
              <w:rPr>
                <w:rFonts w:ascii="Arial" w:hAnsi="Arial"/>
                <w:b/>
                <w:bCs/>
                <w:sz w:val="26"/>
                <w:szCs w:val="26"/>
              </w:rPr>
            </w:pPr>
            <w:bookmarkStart w:id="1" w:name="FirstAppellant"/>
            <w:r w:rsidRPr="001E3053">
              <w:rPr>
                <w:rFonts w:ascii="Arial" w:hAnsi="Arial"/>
                <w:b/>
                <w:bCs/>
                <w:sz w:val="26"/>
                <w:szCs w:val="26"/>
                <w:rtl/>
              </w:rPr>
              <w:t>ה</w:t>
            </w:r>
            <w:r w:rsidRPr="001E3053">
              <w:rPr>
                <w:rFonts w:hint="cs"/>
                <w:rtl/>
              </w:rPr>
              <w:t>מאשימה</w:t>
            </w:r>
          </w:p>
        </w:tc>
        <w:tc>
          <w:tcPr>
            <w:tcW w:w="5737" w:type="dxa"/>
            <w:shd w:val="clear" w:color="auto" w:fill="auto"/>
          </w:tcPr>
          <w:p w14:paraId="346CD86A" w14:textId="77777777" w:rsidR="00CA7CF6" w:rsidRPr="001E3053" w:rsidRDefault="00CA7CF6" w:rsidP="001E3053">
            <w:pPr>
              <w:jc w:val="both"/>
              <w:rPr>
                <w:b/>
                <w:bCs/>
                <w:sz w:val="26"/>
                <w:szCs w:val="26"/>
              </w:rPr>
            </w:pPr>
            <w:r w:rsidRPr="001E3053">
              <w:rPr>
                <w:rFonts w:hint="cs"/>
                <w:rtl/>
              </w:rPr>
              <w:t>מדינת ישראל</w:t>
            </w:r>
          </w:p>
          <w:p w14:paraId="4EB73985" w14:textId="77777777" w:rsidR="00CA7CF6" w:rsidRPr="001E3053" w:rsidRDefault="00CA7CF6" w:rsidP="001E3053">
            <w:pPr>
              <w:jc w:val="both"/>
              <w:rPr>
                <w:sz w:val="26"/>
                <w:szCs w:val="26"/>
                <w:rtl/>
              </w:rPr>
            </w:pPr>
            <w:r w:rsidRPr="001E3053">
              <w:rPr>
                <w:sz w:val="26"/>
                <w:szCs w:val="26"/>
                <w:rtl/>
              </w:rPr>
              <w:t>ע"י פרקליטות מחוז ירושלים (פלילי)</w:t>
            </w:r>
          </w:p>
          <w:p w14:paraId="66267A15" w14:textId="77777777" w:rsidR="00CA7CF6" w:rsidRPr="001E3053" w:rsidRDefault="00CA7CF6" w:rsidP="001E3053">
            <w:pPr>
              <w:jc w:val="both"/>
              <w:rPr>
                <w:sz w:val="26"/>
                <w:szCs w:val="26"/>
                <w:rtl/>
              </w:rPr>
            </w:pPr>
            <w:r w:rsidRPr="001E3053">
              <w:rPr>
                <w:rFonts w:hint="cs"/>
                <w:sz w:val="26"/>
                <w:szCs w:val="26"/>
                <w:rtl/>
              </w:rPr>
              <w:t>באמצעות עו"ד טל מושקוביץ'</w:t>
            </w:r>
          </w:p>
        </w:tc>
      </w:tr>
      <w:bookmarkEnd w:id="1"/>
      <w:tr w:rsidR="00CA7CF6" w:rsidRPr="001E3053" w14:paraId="53B95BBE" w14:textId="77777777" w:rsidTr="001E3053">
        <w:trPr>
          <w:jc w:val="center"/>
        </w:trPr>
        <w:tc>
          <w:tcPr>
            <w:tcW w:w="8820" w:type="dxa"/>
            <w:gridSpan w:val="2"/>
            <w:shd w:val="clear" w:color="auto" w:fill="auto"/>
          </w:tcPr>
          <w:p w14:paraId="740463C3" w14:textId="77777777" w:rsidR="00CA7CF6" w:rsidRPr="001E3053" w:rsidRDefault="00CA7CF6" w:rsidP="001E3053">
            <w:pPr>
              <w:jc w:val="both"/>
              <w:rPr>
                <w:rFonts w:ascii="Arial" w:hAnsi="Arial"/>
                <w:b/>
                <w:bCs/>
                <w:sz w:val="26"/>
                <w:szCs w:val="26"/>
                <w:rtl/>
              </w:rPr>
            </w:pPr>
          </w:p>
          <w:p w14:paraId="67741511" w14:textId="77777777" w:rsidR="00CA7CF6" w:rsidRPr="001E3053" w:rsidRDefault="00CA7CF6" w:rsidP="001E3053">
            <w:pPr>
              <w:jc w:val="center"/>
              <w:rPr>
                <w:rFonts w:ascii="Arial" w:hAnsi="Arial"/>
                <w:b/>
                <w:bCs/>
                <w:sz w:val="26"/>
                <w:szCs w:val="26"/>
              </w:rPr>
            </w:pPr>
            <w:r w:rsidRPr="001E3053">
              <w:rPr>
                <w:rFonts w:ascii="Arial" w:hAnsi="Arial"/>
                <w:b/>
                <w:bCs/>
                <w:sz w:val="26"/>
                <w:szCs w:val="26"/>
                <w:rtl/>
              </w:rPr>
              <w:t>נ ג ד</w:t>
            </w:r>
          </w:p>
          <w:p w14:paraId="6B59164C" w14:textId="77777777" w:rsidR="00CA7CF6" w:rsidRPr="001E3053" w:rsidRDefault="00CA7CF6" w:rsidP="001E3053">
            <w:pPr>
              <w:jc w:val="both"/>
              <w:rPr>
                <w:rFonts w:ascii="Arial" w:hAnsi="Arial"/>
                <w:b/>
                <w:bCs/>
                <w:sz w:val="26"/>
                <w:szCs w:val="26"/>
                <w:rtl/>
              </w:rPr>
            </w:pPr>
          </w:p>
        </w:tc>
      </w:tr>
      <w:tr w:rsidR="00CA7CF6" w:rsidRPr="001E3053" w14:paraId="20BC5508" w14:textId="77777777" w:rsidTr="001E3053">
        <w:trPr>
          <w:jc w:val="center"/>
        </w:trPr>
        <w:tc>
          <w:tcPr>
            <w:tcW w:w="3083" w:type="dxa"/>
            <w:shd w:val="clear" w:color="auto" w:fill="auto"/>
          </w:tcPr>
          <w:p w14:paraId="090164DD" w14:textId="77777777" w:rsidR="00CA7CF6" w:rsidRPr="001E3053" w:rsidRDefault="00CA7CF6" w:rsidP="001E3053">
            <w:pPr>
              <w:jc w:val="both"/>
              <w:rPr>
                <w:rFonts w:ascii="Arial" w:hAnsi="Arial"/>
                <w:b/>
                <w:bCs/>
                <w:sz w:val="26"/>
                <w:szCs w:val="26"/>
                <w:rtl/>
              </w:rPr>
            </w:pPr>
            <w:bookmarkStart w:id="2" w:name="FirstLawyer"/>
            <w:r w:rsidRPr="001E3053">
              <w:rPr>
                <w:rFonts w:ascii="Arial" w:hAnsi="Arial"/>
                <w:b/>
                <w:bCs/>
                <w:sz w:val="26"/>
                <w:szCs w:val="26"/>
                <w:rtl/>
              </w:rPr>
              <w:t>ה</w:t>
            </w:r>
            <w:r w:rsidRPr="001E3053">
              <w:rPr>
                <w:rFonts w:hint="cs"/>
                <w:rtl/>
              </w:rPr>
              <w:t>נאשם</w:t>
            </w:r>
          </w:p>
        </w:tc>
        <w:tc>
          <w:tcPr>
            <w:tcW w:w="5737" w:type="dxa"/>
            <w:shd w:val="clear" w:color="auto" w:fill="auto"/>
          </w:tcPr>
          <w:p w14:paraId="158727C9" w14:textId="77777777" w:rsidR="00CA7CF6" w:rsidRPr="001E3053" w:rsidRDefault="00CA7CF6" w:rsidP="001E3053">
            <w:pPr>
              <w:jc w:val="both"/>
              <w:rPr>
                <w:b/>
                <w:bCs/>
                <w:sz w:val="26"/>
                <w:szCs w:val="26"/>
              </w:rPr>
            </w:pPr>
            <w:r w:rsidRPr="001E3053">
              <w:rPr>
                <w:rFonts w:hint="cs"/>
                <w:rtl/>
              </w:rPr>
              <w:t>עמאר מצרי</w:t>
            </w:r>
            <w:r w:rsidRPr="001E3053">
              <w:rPr>
                <w:b/>
                <w:bCs/>
                <w:sz w:val="26"/>
                <w:szCs w:val="26"/>
                <w:rtl/>
              </w:rPr>
              <w:t xml:space="preserve"> ת.ז. </w:t>
            </w:r>
            <w:r w:rsidR="001E3053">
              <w:rPr>
                <w:b/>
                <w:bCs/>
                <w:sz w:val="26"/>
                <w:szCs w:val="26"/>
              </w:rPr>
              <w:t>xxxxxxxxx</w:t>
            </w:r>
          </w:p>
          <w:p w14:paraId="7D0E1804" w14:textId="77777777" w:rsidR="00CA7CF6" w:rsidRPr="001E3053" w:rsidRDefault="00CA7CF6" w:rsidP="001E3053">
            <w:pPr>
              <w:jc w:val="both"/>
              <w:rPr>
                <w:sz w:val="26"/>
                <w:szCs w:val="26"/>
              </w:rPr>
            </w:pPr>
            <w:r w:rsidRPr="001E3053">
              <w:rPr>
                <w:sz w:val="26"/>
                <w:szCs w:val="26"/>
                <w:rtl/>
              </w:rPr>
              <w:t xml:space="preserve">ע"י ב"כ עו"ד נס בן נתן </w:t>
            </w:r>
          </w:p>
        </w:tc>
      </w:tr>
    </w:tbl>
    <w:p w14:paraId="7416C5E1" w14:textId="77777777" w:rsidR="00E23D8B" w:rsidRDefault="00E23D8B" w:rsidP="00CA7CF6">
      <w:pPr>
        <w:rPr>
          <w:rtl/>
        </w:rPr>
      </w:pPr>
      <w:bookmarkStart w:id="3" w:name="LawTable"/>
      <w:bookmarkEnd w:id="2"/>
      <w:bookmarkEnd w:id="3"/>
    </w:p>
    <w:p w14:paraId="28B24EDD" w14:textId="77777777" w:rsidR="00E23D8B" w:rsidRPr="00E23D8B" w:rsidRDefault="00E23D8B" w:rsidP="00E23D8B">
      <w:pPr>
        <w:spacing w:after="120" w:line="240" w:lineRule="exact"/>
        <w:ind w:left="283" w:hanging="283"/>
        <w:jc w:val="both"/>
        <w:rPr>
          <w:rFonts w:ascii="FrankRuehl" w:hAnsi="FrankRuehl" w:cs="FrankRuehl"/>
          <w:rtl/>
        </w:rPr>
      </w:pPr>
    </w:p>
    <w:p w14:paraId="5B882D28" w14:textId="77777777" w:rsidR="00E23D8B" w:rsidRPr="00E23D8B" w:rsidRDefault="00E23D8B" w:rsidP="00E23D8B">
      <w:pPr>
        <w:spacing w:after="120" w:line="240" w:lineRule="exact"/>
        <w:ind w:left="283" w:hanging="283"/>
        <w:jc w:val="both"/>
        <w:rPr>
          <w:rFonts w:ascii="FrankRuehl" w:hAnsi="FrankRuehl" w:cs="FrankRuehl"/>
          <w:rtl/>
        </w:rPr>
      </w:pPr>
      <w:r w:rsidRPr="00E23D8B">
        <w:rPr>
          <w:rFonts w:ascii="FrankRuehl" w:hAnsi="FrankRuehl" w:cs="FrankRuehl"/>
          <w:rtl/>
        </w:rPr>
        <w:t xml:space="preserve">חקיקה שאוזכרה: </w:t>
      </w:r>
    </w:p>
    <w:p w14:paraId="12392C34" w14:textId="77777777" w:rsidR="00E23D8B" w:rsidRPr="00E23D8B" w:rsidRDefault="00E23D8B" w:rsidP="00E23D8B">
      <w:pPr>
        <w:spacing w:after="120" w:line="240" w:lineRule="exact"/>
        <w:ind w:left="283" w:hanging="283"/>
        <w:jc w:val="both"/>
        <w:rPr>
          <w:rFonts w:ascii="FrankRuehl" w:hAnsi="FrankRuehl" w:cs="FrankRuehl"/>
          <w:rtl/>
        </w:rPr>
      </w:pPr>
      <w:hyperlink r:id="rId7" w:history="1">
        <w:r w:rsidRPr="00E23D8B">
          <w:rPr>
            <w:rFonts w:ascii="FrankRuehl" w:hAnsi="FrankRuehl" w:cs="FrankRuehl"/>
            <w:color w:val="0000FF"/>
            <w:u w:val="single"/>
            <w:rtl/>
          </w:rPr>
          <w:t>חוק העונשין, תשל"ז-1977</w:t>
        </w:r>
      </w:hyperlink>
      <w:r w:rsidRPr="00E23D8B">
        <w:rPr>
          <w:rFonts w:ascii="FrankRuehl" w:hAnsi="FrankRuehl" w:cs="FrankRuehl"/>
          <w:rtl/>
        </w:rPr>
        <w:t xml:space="preserve">: סע'  </w:t>
      </w:r>
      <w:hyperlink r:id="rId8" w:history="1">
        <w:r w:rsidRPr="00E23D8B">
          <w:rPr>
            <w:rFonts w:ascii="FrankRuehl" w:hAnsi="FrankRuehl" w:cs="FrankRuehl"/>
            <w:color w:val="0000FF"/>
            <w:u w:val="single"/>
            <w:rtl/>
          </w:rPr>
          <w:t>40ג(א)</w:t>
        </w:r>
      </w:hyperlink>
      <w:r w:rsidRPr="00E23D8B">
        <w:rPr>
          <w:rFonts w:ascii="FrankRuehl" w:hAnsi="FrankRuehl" w:cs="FrankRuehl"/>
          <w:rtl/>
        </w:rPr>
        <w:t xml:space="preserve">, </w:t>
      </w:r>
      <w:hyperlink r:id="rId9" w:history="1">
        <w:r w:rsidRPr="00E23D8B">
          <w:rPr>
            <w:rFonts w:ascii="FrankRuehl" w:hAnsi="FrankRuehl" w:cs="FrankRuehl"/>
            <w:color w:val="0000FF"/>
            <w:u w:val="single"/>
            <w:rtl/>
          </w:rPr>
          <w:t>40ט</w:t>
        </w:r>
      </w:hyperlink>
      <w:r w:rsidRPr="00E23D8B">
        <w:rPr>
          <w:rFonts w:ascii="FrankRuehl" w:hAnsi="FrankRuehl" w:cs="FrankRuehl"/>
          <w:rtl/>
        </w:rPr>
        <w:t xml:space="preserve">, </w:t>
      </w:r>
      <w:hyperlink r:id="rId10" w:history="1">
        <w:r w:rsidRPr="00E23D8B">
          <w:rPr>
            <w:rFonts w:ascii="FrankRuehl" w:hAnsi="FrankRuehl" w:cs="FrankRuehl"/>
            <w:color w:val="0000FF"/>
            <w:u w:val="single"/>
            <w:rtl/>
          </w:rPr>
          <w:t>51ב(ב1)(1)</w:t>
        </w:r>
      </w:hyperlink>
      <w:r w:rsidRPr="00E23D8B">
        <w:rPr>
          <w:rFonts w:ascii="FrankRuehl" w:hAnsi="FrankRuehl" w:cs="FrankRuehl"/>
          <w:rtl/>
        </w:rPr>
        <w:t xml:space="preserve">, </w:t>
      </w:r>
      <w:hyperlink r:id="rId11" w:history="1">
        <w:r w:rsidRPr="00E23D8B">
          <w:rPr>
            <w:rFonts w:ascii="FrankRuehl" w:hAnsi="FrankRuehl" w:cs="FrankRuehl"/>
            <w:color w:val="0000FF"/>
            <w:u w:val="single"/>
            <w:rtl/>
          </w:rPr>
          <w:t>144</w:t>
        </w:r>
      </w:hyperlink>
      <w:r w:rsidRPr="00E23D8B">
        <w:rPr>
          <w:rFonts w:ascii="FrankRuehl" w:hAnsi="FrankRuehl" w:cs="FrankRuehl"/>
          <w:rtl/>
        </w:rPr>
        <w:t xml:space="preserve">, </w:t>
      </w:r>
      <w:hyperlink r:id="rId12" w:history="1">
        <w:r w:rsidRPr="00E23D8B">
          <w:rPr>
            <w:rFonts w:ascii="FrankRuehl" w:hAnsi="FrankRuehl" w:cs="FrankRuehl"/>
            <w:color w:val="0000FF"/>
            <w:u w:val="single"/>
            <w:rtl/>
          </w:rPr>
          <w:t>144(א)</w:t>
        </w:r>
      </w:hyperlink>
      <w:r w:rsidRPr="00E23D8B">
        <w:rPr>
          <w:rFonts w:ascii="FrankRuehl" w:hAnsi="FrankRuehl" w:cs="FrankRuehl"/>
          <w:rtl/>
        </w:rPr>
        <w:t xml:space="preserve">, </w:t>
      </w:r>
      <w:hyperlink r:id="rId13" w:history="1">
        <w:r w:rsidRPr="00E23D8B">
          <w:rPr>
            <w:rFonts w:ascii="FrankRuehl" w:hAnsi="FrankRuehl" w:cs="FrankRuehl"/>
            <w:color w:val="0000FF"/>
            <w:u w:val="single"/>
            <w:rtl/>
          </w:rPr>
          <w:t>144(ב)</w:t>
        </w:r>
      </w:hyperlink>
      <w:r w:rsidRPr="00E23D8B">
        <w:rPr>
          <w:rFonts w:ascii="FrankRuehl" w:hAnsi="FrankRuehl" w:cs="FrankRuehl"/>
          <w:rtl/>
        </w:rPr>
        <w:t xml:space="preserve">, </w:t>
      </w:r>
      <w:hyperlink r:id="rId14" w:history="1">
        <w:r w:rsidRPr="00E23D8B">
          <w:rPr>
            <w:rFonts w:ascii="FrankRuehl" w:hAnsi="FrankRuehl" w:cs="FrankRuehl"/>
            <w:color w:val="0000FF"/>
            <w:u w:val="single"/>
            <w:rtl/>
          </w:rPr>
          <w:t>144(ג)</w:t>
        </w:r>
      </w:hyperlink>
      <w:r w:rsidRPr="00E23D8B">
        <w:rPr>
          <w:rFonts w:ascii="FrankRuehl" w:hAnsi="FrankRuehl" w:cs="FrankRuehl"/>
          <w:rtl/>
        </w:rPr>
        <w:t xml:space="preserve">, </w:t>
      </w:r>
      <w:hyperlink r:id="rId15" w:history="1">
        <w:r w:rsidRPr="00E23D8B">
          <w:rPr>
            <w:rFonts w:ascii="FrankRuehl" w:hAnsi="FrankRuehl" w:cs="FrankRuehl"/>
            <w:color w:val="0000FF"/>
            <w:u w:val="single"/>
            <w:rtl/>
          </w:rPr>
          <w:t>40יא</w:t>
        </w:r>
      </w:hyperlink>
      <w:r w:rsidRPr="00E23D8B">
        <w:rPr>
          <w:rFonts w:ascii="FrankRuehl" w:hAnsi="FrankRuehl" w:cs="FrankRuehl"/>
          <w:rtl/>
        </w:rPr>
        <w:t xml:space="preserve">, </w:t>
      </w:r>
      <w:hyperlink r:id="rId16" w:history="1">
        <w:r w:rsidRPr="00E23D8B">
          <w:rPr>
            <w:rFonts w:ascii="FrankRuehl" w:hAnsi="FrankRuehl" w:cs="FrankRuehl"/>
            <w:color w:val="0000FF"/>
            <w:u w:val="single"/>
            <w:rtl/>
          </w:rPr>
          <w:t>40יב</w:t>
        </w:r>
      </w:hyperlink>
      <w:r w:rsidRPr="00E23D8B">
        <w:rPr>
          <w:rFonts w:ascii="FrankRuehl" w:hAnsi="FrankRuehl" w:cs="FrankRuehl"/>
          <w:rtl/>
        </w:rPr>
        <w:t xml:space="preserve">, </w:t>
      </w:r>
      <w:hyperlink r:id="rId17" w:history="1">
        <w:r w:rsidRPr="00E23D8B">
          <w:rPr>
            <w:rFonts w:ascii="FrankRuehl" w:hAnsi="FrankRuehl" w:cs="FrankRuehl"/>
            <w:color w:val="0000FF"/>
            <w:u w:val="single"/>
            <w:rtl/>
          </w:rPr>
          <w:t>א'1 בפרק ו'</w:t>
        </w:r>
      </w:hyperlink>
    </w:p>
    <w:p w14:paraId="3661841C" w14:textId="77777777" w:rsidR="00E23D8B" w:rsidRPr="00E23D8B" w:rsidRDefault="00E23D8B" w:rsidP="00E23D8B">
      <w:pPr>
        <w:spacing w:after="120" w:line="240" w:lineRule="exact"/>
        <w:ind w:left="283" w:hanging="283"/>
        <w:jc w:val="both"/>
        <w:rPr>
          <w:rFonts w:ascii="FrankRuehl" w:hAnsi="FrankRuehl" w:cs="FrankRuehl"/>
          <w:rtl/>
        </w:rPr>
      </w:pPr>
    </w:p>
    <w:p w14:paraId="5615E902" w14:textId="77777777" w:rsidR="00E23D8B" w:rsidRPr="00E23D8B" w:rsidRDefault="00E23D8B" w:rsidP="00CA7CF6">
      <w:pPr>
        <w:rPr>
          <w:rtl/>
        </w:rPr>
      </w:pPr>
      <w:bookmarkStart w:id="4" w:name="LawTable_End"/>
      <w:bookmarkEnd w:id="4"/>
    </w:p>
    <w:p w14:paraId="2198CC78" w14:textId="77777777" w:rsidR="00E23D8B" w:rsidRPr="00E23D8B" w:rsidRDefault="00E23D8B" w:rsidP="00CA7CF6">
      <w:pPr>
        <w:rPr>
          <w:rtl/>
        </w:rPr>
      </w:pPr>
    </w:p>
    <w:p w14:paraId="7DE8C9CB" w14:textId="77777777" w:rsidR="00CA7CF6" w:rsidRPr="00E23D8B" w:rsidRDefault="00CA7CF6" w:rsidP="00CA7CF6">
      <w:pPr>
        <w:rPr>
          <w:rtl/>
        </w:rPr>
      </w:pPr>
    </w:p>
    <w:tbl>
      <w:tblPr>
        <w:bidiVisual/>
        <w:tblW w:w="8820" w:type="dxa"/>
        <w:jc w:val="center"/>
        <w:tblLook w:val="01E0" w:firstRow="1" w:lastRow="1" w:firstColumn="1" w:lastColumn="1" w:noHBand="0" w:noVBand="0"/>
      </w:tblPr>
      <w:tblGrid>
        <w:gridCol w:w="8820"/>
      </w:tblGrid>
      <w:tr w:rsidR="00CA7CF6" w14:paraId="2A26CF61" w14:textId="77777777" w:rsidTr="001E3053">
        <w:trPr>
          <w:jc w:val="center"/>
        </w:trPr>
        <w:tc>
          <w:tcPr>
            <w:tcW w:w="8820" w:type="dxa"/>
            <w:shd w:val="clear" w:color="auto" w:fill="auto"/>
          </w:tcPr>
          <w:p w14:paraId="66926568" w14:textId="77777777" w:rsidR="001E3053" w:rsidRPr="001E3053" w:rsidRDefault="001E3053" w:rsidP="001E3053">
            <w:pPr>
              <w:bidi w:val="0"/>
              <w:spacing w:line="360" w:lineRule="auto"/>
              <w:jc w:val="center"/>
              <w:rPr>
                <w:rFonts w:ascii="Arial" w:hAnsi="Arial"/>
                <w:b/>
                <w:bCs/>
                <w:noProof w:val="0"/>
                <w:sz w:val="28"/>
                <w:szCs w:val="28"/>
                <w:u w:val="single"/>
                <w:rtl/>
              </w:rPr>
            </w:pPr>
            <w:bookmarkStart w:id="5" w:name="PsakDin" w:colFirst="0" w:colLast="0"/>
            <w:r w:rsidRPr="001E3053">
              <w:rPr>
                <w:rFonts w:ascii="Arial" w:hAnsi="Arial"/>
                <w:b/>
                <w:bCs/>
                <w:noProof w:val="0"/>
                <w:sz w:val="28"/>
                <w:szCs w:val="28"/>
                <w:u w:val="single"/>
                <w:rtl/>
              </w:rPr>
              <w:t>גזר דין</w:t>
            </w:r>
          </w:p>
          <w:p w14:paraId="19493FF1" w14:textId="77777777" w:rsidR="00CA7CF6" w:rsidRPr="001E3053" w:rsidRDefault="00CA7CF6" w:rsidP="001E3053">
            <w:pPr>
              <w:bidi w:val="0"/>
              <w:spacing w:line="360" w:lineRule="auto"/>
              <w:jc w:val="center"/>
              <w:rPr>
                <w:rFonts w:ascii="Arial" w:hAnsi="Arial"/>
                <w:b/>
                <w:bCs/>
                <w:noProof w:val="0"/>
                <w:sz w:val="28"/>
                <w:szCs w:val="28"/>
                <w:u w:val="single"/>
              </w:rPr>
            </w:pPr>
          </w:p>
        </w:tc>
      </w:tr>
      <w:bookmarkEnd w:id="5"/>
    </w:tbl>
    <w:p w14:paraId="2DEE7303" w14:textId="77777777" w:rsidR="00CA7CF6" w:rsidRDefault="00CA7CF6" w:rsidP="00CA7CF6">
      <w:pPr>
        <w:spacing w:after="160" w:line="360" w:lineRule="auto"/>
        <w:jc w:val="both"/>
        <w:rPr>
          <w:sz w:val="26"/>
          <w:szCs w:val="26"/>
          <w:rtl/>
        </w:rPr>
      </w:pPr>
    </w:p>
    <w:p w14:paraId="2FBF0B77" w14:textId="77777777" w:rsidR="00CA7CF6" w:rsidRPr="00027308" w:rsidRDefault="00CA7CF6" w:rsidP="00CA7CF6">
      <w:pPr>
        <w:spacing w:after="160" w:line="360" w:lineRule="auto"/>
        <w:jc w:val="both"/>
        <w:rPr>
          <w:rFonts w:ascii="Arial" w:hAnsi="Arial"/>
          <w:noProof w:val="0"/>
          <w:sz w:val="26"/>
          <w:szCs w:val="26"/>
          <w:rtl/>
        </w:rPr>
      </w:pPr>
      <w:bookmarkStart w:id="6" w:name="ABSTRACT_START"/>
      <w:bookmarkEnd w:id="6"/>
      <w:r w:rsidRPr="00027308">
        <w:rPr>
          <w:rFonts w:hint="cs"/>
          <w:sz w:val="26"/>
          <w:szCs w:val="26"/>
          <w:rtl/>
        </w:rPr>
        <w:t>ביום 22.9.16 הוגש הסדר טיעון</w:t>
      </w:r>
      <w:r w:rsidRPr="00027308">
        <w:rPr>
          <w:rFonts w:ascii="Arial" w:hAnsi="Arial" w:hint="cs"/>
          <w:noProof w:val="0"/>
          <w:sz w:val="26"/>
          <w:szCs w:val="26"/>
          <w:rtl/>
        </w:rPr>
        <w:t xml:space="preserve"> בעניינו של הנאשם ועמו כתב אישום מתוקן (אלו נקלטו בנט-המשפט </w:t>
      </w:r>
      <w:r w:rsidRPr="00027308">
        <w:rPr>
          <w:rFonts w:hint="cs"/>
          <w:sz w:val="26"/>
          <w:szCs w:val="26"/>
          <w:rtl/>
        </w:rPr>
        <w:t>ביום 23.9.16)</w:t>
      </w:r>
      <w:r w:rsidRPr="00027308">
        <w:rPr>
          <w:rFonts w:ascii="Arial" w:hAnsi="Arial" w:hint="cs"/>
          <w:noProof w:val="0"/>
          <w:sz w:val="26"/>
          <w:szCs w:val="26"/>
          <w:rtl/>
        </w:rPr>
        <w:t xml:space="preserve">. באותו המועד הורשע הנאשם על סמך הודאתו באחזקת נשק, עבירה לפי </w:t>
      </w:r>
      <w:hyperlink r:id="rId18" w:history="1">
        <w:r w:rsidR="00B127F9" w:rsidRPr="00B127F9">
          <w:rPr>
            <w:rFonts w:ascii="Arial" w:hAnsi="Arial"/>
            <w:noProof w:val="0"/>
            <w:color w:val="0000FF"/>
            <w:sz w:val="26"/>
            <w:szCs w:val="26"/>
            <w:u w:val="single"/>
            <w:rtl/>
          </w:rPr>
          <w:t>סעיף 144(א)</w:t>
        </w:r>
      </w:hyperlink>
      <w:r>
        <w:rPr>
          <w:rFonts w:ascii="Arial" w:hAnsi="Arial" w:hint="cs"/>
          <w:noProof w:val="0"/>
          <w:sz w:val="26"/>
          <w:szCs w:val="26"/>
          <w:rtl/>
        </w:rPr>
        <w:t xml:space="preserve"> רישא</w:t>
      </w:r>
      <w:r w:rsidRPr="00027308">
        <w:rPr>
          <w:rFonts w:ascii="Arial" w:hAnsi="Arial" w:hint="cs"/>
          <w:noProof w:val="0"/>
          <w:sz w:val="26"/>
          <w:szCs w:val="26"/>
          <w:rtl/>
        </w:rPr>
        <w:t>, ב</w:t>
      </w:r>
      <w:hyperlink r:id="rId19" w:history="1">
        <w:r w:rsidR="001E3053" w:rsidRPr="001E3053">
          <w:rPr>
            <w:rFonts w:ascii="Arial" w:hAnsi="Arial"/>
            <w:noProof w:val="0"/>
            <w:color w:val="0000FF"/>
            <w:sz w:val="26"/>
            <w:szCs w:val="26"/>
            <w:u w:val="single"/>
            <w:rtl/>
          </w:rPr>
          <w:t>חוק העונשין</w:t>
        </w:r>
      </w:hyperlink>
      <w:r w:rsidRPr="00027308">
        <w:rPr>
          <w:rFonts w:ascii="Arial" w:hAnsi="Arial" w:hint="cs"/>
          <w:noProof w:val="0"/>
          <w:sz w:val="26"/>
          <w:szCs w:val="26"/>
          <w:rtl/>
        </w:rPr>
        <w:t>, תשל"ז-1977 (להלן: "</w:t>
      </w:r>
      <w:r w:rsidRPr="00027308">
        <w:rPr>
          <w:rFonts w:ascii="Arial" w:hAnsi="Arial" w:hint="cs"/>
          <w:b/>
          <w:bCs/>
          <w:noProof w:val="0"/>
          <w:sz w:val="26"/>
          <w:szCs w:val="26"/>
          <w:rtl/>
        </w:rPr>
        <w:t>החוק</w:t>
      </w:r>
      <w:r w:rsidRPr="00027308">
        <w:rPr>
          <w:rFonts w:ascii="Arial" w:hAnsi="Arial" w:hint="cs"/>
          <w:noProof w:val="0"/>
          <w:sz w:val="26"/>
          <w:szCs w:val="26"/>
          <w:rtl/>
        </w:rPr>
        <w:t>"</w:t>
      </w:r>
      <w:r>
        <w:rPr>
          <w:rFonts w:ascii="Arial" w:hAnsi="Arial" w:hint="cs"/>
          <w:noProof w:val="0"/>
          <w:sz w:val="26"/>
          <w:szCs w:val="26"/>
          <w:rtl/>
        </w:rPr>
        <w:t xml:space="preserve"> או "</w:t>
      </w:r>
      <w:r w:rsidRPr="00D109A2">
        <w:rPr>
          <w:rFonts w:ascii="Arial" w:hAnsi="Arial" w:hint="cs"/>
          <w:b/>
          <w:bCs/>
          <w:noProof w:val="0"/>
          <w:sz w:val="26"/>
          <w:szCs w:val="26"/>
          <w:rtl/>
        </w:rPr>
        <w:t>חוק העונשין</w:t>
      </w:r>
      <w:r>
        <w:rPr>
          <w:rFonts w:ascii="Arial" w:hAnsi="Arial" w:hint="cs"/>
          <w:noProof w:val="0"/>
          <w:sz w:val="26"/>
          <w:szCs w:val="26"/>
          <w:rtl/>
        </w:rPr>
        <w:t>"</w:t>
      </w:r>
      <w:r w:rsidRPr="00027308">
        <w:rPr>
          <w:rFonts w:ascii="Arial" w:hAnsi="Arial" w:hint="cs"/>
          <w:noProof w:val="0"/>
          <w:sz w:val="26"/>
          <w:szCs w:val="26"/>
          <w:rtl/>
        </w:rPr>
        <w:t>)</w:t>
      </w:r>
      <w:r>
        <w:rPr>
          <w:rFonts w:ascii="Arial" w:hAnsi="Arial" w:hint="cs"/>
          <w:noProof w:val="0"/>
          <w:sz w:val="26"/>
          <w:szCs w:val="26"/>
          <w:rtl/>
        </w:rPr>
        <w:t>.</w:t>
      </w:r>
    </w:p>
    <w:p w14:paraId="4F2791BF" w14:textId="77777777" w:rsidR="00CA7CF6" w:rsidRPr="00ED16BD" w:rsidRDefault="00CA7CF6" w:rsidP="00CA7CF6">
      <w:pPr>
        <w:pStyle w:val="ListParagraph"/>
        <w:numPr>
          <w:ilvl w:val="0"/>
          <w:numId w:val="1"/>
        </w:numPr>
        <w:spacing w:after="160" w:line="360" w:lineRule="auto"/>
        <w:ind w:left="425"/>
        <w:contextualSpacing w:val="0"/>
        <w:jc w:val="both"/>
        <w:rPr>
          <w:rFonts w:ascii="Arial" w:hAnsi="Arial"/>
          <w:sz w:val="26"/>
          <w:szCs w:val="26"/>
          <w:rtl/>
        </w:rPr>
      </w:pPr>
      <w:r w:rsidRPr="001F2BA2">
        <w:rPr>
          <w:rFonts w:ascii="Arial" w:hAnsi="Arial"/>
          <w:sz w:val="26"/>
          <w:szCs w:val="26"/>
          <w:rtl/>
        </w:rPr>
        <w:t>המ</w:t>
      </w:r>
      <w:r>
        <w:rPr>
          <w:rFonts w:ascii="Arial" w:hAnsi="Arial"/>
          <w:sz w:val="26"/>
          <w:szCs w:val="26"/>
          <w:rtl/>
        </w:rPr>
        <w:t>סכת העובדתית שביסוד הרשעת הנאש</w:t>
      </w:r>
      <w:r w:rsidRPr="001F2BA2">
        <w:rPr>
          <w:rFonts w:ascii="Arial" w:hAnsi="Arial"/>
          <w:sz w:val="26"/>
          <w:szCs w:val="26"/>
          <w:rtl/>
        </w:rPr>
        <w:t>ם, כפי שפורטה בכתב האישום המתוק</w:t>
      </w:r>
      <w:r w:rsidRPr="001F2BA2">
        <w:rPr>
          <w:rFonts w:ascii="Arial" w:hAnsi="Arial" w:hint="cs"/>
          <w:sz w:val="26"/>
          <w:szCs w:val="26"/>
          <w:rtl/>
        </w:rPr>
        <w:t>ן</w:t>
      </w:r>
      <w:r w:rsidRPr="001F2BA2">
        <w:rPr>
          <w:rFonts w:ascii="Arial" w:hAnsi="Arial"/>
          <w:sz w:val="26"/>
          <w:szCs w:val="26"/>
          <w:rtl/>
        </w:rPr>
        <w:t xml:space="preserve"> הינה כלהלן: </w:t>
      </w:r>
      <w:r w:rsidRPr="001F2BA2">
        <w:rPr>
          <w:rFonts w:ascii="Arial" w:hAnsi="Arial" w:hint="cs"/>
          <w:sz w:val="26"/>
          <w:szCs w:val="26"/>
          <w:rtl/>
        </w:rPr>
        <w:t>ביום 12.10.13, בשעה 22:30 או בסמוך לכך, נסע הנאשם ברכב אשר היה בשימושו באותה העת</w:t>
      </w:r>
      <w:r>
        <w:rPr>
          <w:rFonts w:ascii="Arial" w:hAnsi="Arial" w:hint="cs"/>
          <w:sz w:val="26"/>
          <w:szCs w:val="26"/>
          <w:rtl/>
        </w:rPr>
        <w:t>,</w:t>
      </w:r>
      <w:r w:rsidRPr="001F2BA2">
        <w:rPr>
          <w:rFonts w:ascii="Arial" w:hAnsi="Arial" w:hint="cs"/>
          <w:sz w:val="26"/>
          <w:szCs w:val="26"/>
          <w:rtl/>
        </w:rPr>
        <w:t xml:space="preserve"> מסוג מזדה 3, מס' רישיון 71-098-16</w:t>
      </w:r>
      <w:r>
        <w:rPr>
          <w:rFonts w:ascii="Arial" w:hAnsi="Arial" w:hint="cs"/>
          <w:sz w:val="26"/>
          <w:szCs w:val="26"/>
          <w:rtl/>
        </w:rPr>
        <w:t>,</w:t>
      </w:r>
      <w:r w:rsidRPr="001F2BA2">
        <w:rPr>
          <w:rFonts w:ascii="Arial" w:hAnsi="Arial" w:hint="cs"/>
          <w:sz w:val="26"/>
          <w:szCs w:val="26"/>
          <w:rtl/>
        </w:rPr>
        <w:t xml:space="preserve"> בכביש מספר 1</w:t>
      </w:r>
      <w:r>
        <w:rPr>
          <w:rFonts w:ascii="Arial" w:hAnsi="Arial" w:hint="cs"/>
          <w:sz w:val="26"/>
          <w:szCs w:val="26"/>
          <w:rtl/>
        </w:rPr>
        <w:t>,</w:t>
      </w:r>
      <w:r w:rsidRPr="001F2BA2">
        <w:rPr>
          <w:rFonts w:ascii="Arial" w:hAnsi="Arial" w:hint="cs"/>
          <w:sz w:val="26"/>
          <w:szCs w:val="26"/>
          <w:rtl/>
        </w:rPr>
        <w:t xml:space="preserve"> בסמוך למחלף </w:t>
      </w:r>
      <w:r w:rsidRPr="00ED16BD">
        <w:rPr>
          <w:rFonts w:ascii="Arial" w:hAnsi="Arial" w:hint="cs"/>
          <w:sz w:val="26"/>
          <w:szCs w:val="26"/>
          <w:rtl/>
        </w:rPr>
        <w:t>הראל</w:t>
      </w:r>
      <w:r>
        <w:rPr>
          <w:rFonts w:ascii="Arial" w:hAnsi="Arial" w:hint="cs"/>
          <w:sz w:val="26"/>
          <w:szCs w:val="26"/>
          <w:rtl/>
        </w:rPr>
        <w:t>. במהלך הנסיעה ישב הנאשם במושב ה</w:t>
      </w:r>
      <w:r w:rsidRPr="00ED16BD">
        <w:rPr>
          <w:rFonts w:ascii="Arial" w:hAnsi="Arial" w:hint="cs"/>
          <w:sz w:val="26"/>
          <w:szCs w:val="26"/>
          <w:rtl/>
        </w:rPr>
        <w:t xml:space="preserve">סמוך לנהג. באותה העת החזיק הנאשם מתחת לשטיח שמתחת למושב אקדח חצי אוטומטי מסוג סטאר, וזאת כאשר הנאשם לא היה בעל רישיון להחזיק את הנשק. </w:t>
      </w:r>
    </w:p>
    <w:p w14:paraId="3C0F2B19" w14:textId="77777777" w:rsidR="00CA7CF6" w:rsidRPr="00ED16BD" w:rsidRDefault="00CA7CF6" w:rsidP="00CA7CF6">
      <w:pPr>
        <w:spacing w:after="160" w:line="360" w:lineRule="auto"/>
        <w:ind w:left="425"/>
        <w:jc w:val="both"/>
        <w:rPr>
          <w:noProof w:val="0"/>
          <w:sz w:val="26"/>
          <w:szCs w:val="26"/>
          <w:rtl/>
        </w:rPr>
      </w:pPr>
      <w:bookmarkStart w:id="7" w:name="ABSTRACT_END"/>
      <w:bookmarkEnd w:id="7"/>
      <w:r>
        <w:rPr>
          <w:rFonts w:ascii="Arial" w:hAnsi="Arial" w:hint="cs"/>
          <w:noProof w:val="0"/>
          <w:sz w:val="26"/>
          <w:szCs w:val="26"/>
          <w:rtl/>
        </w:rPr>
        <w:t xml:space="preserve">על פי האישום, </w:t>
      </w:r>
      <w:r w:rsidRPr="00ED16BD">
        <w:rPr>
          <w:rFonts w:ascii="Arial" w:hAnsi="Arial" w:hint="cs"/>
          <w:noProof w:val="0"/>
          <w:sz w:val="26"/>
          <w:szCs w:val="26"/>
          <w:rtl/>
        </w:rPr>
        <w:t>במעשיו המתוארים לעיל החזיק הנאשם נשק בלא רשות על פי דין להחזקתו.</w:t>
      </w:r>
    </w:p>
    <w:p w14:paraId="2CF52856" w14:textId="77777777" w:rsidR="00CA7CF6" w:rsidRPr="00ED16BD" w:rsidRDefault="00CA7CF6" w:rsidP="00CA7CF6">
      <w:pPr>
        <w:spacing w:line="360" w:lineRule="auto"/>
        <w:jc w:val="both"/>
        <w:rPr>
          <w:rFonts w:ascii="Arial" w:hAnsi="Arial"/>
          <w:b/>
          <w:bCs/>
          <w:noProof w:val="0"/>
          <w:sz w:val="26"/>
          <w:szCs w:val="26"/>
          <w:u w:val="single"/>
          <w:rtl/>
        </w:rPr>
      </w:pPr>
      <w:r>
        <w:rPr>
          <w:rFonts w:ascii="Arial" w:hAnsi="Arial"/>
          <w:b/>
          <w:bCs/>
          <w:noProof w:val="0"/>
          <w:sz w:val="26"/>
          <w:szCs w:val="26"/>
          <w:u w:val="single"/>
          <w:rtl/>
        </w:rPr>
        <w:t>תסקיר</w:t>
      </w:r>
      <w:r w:rsidRPr="00ED16BD">
        <w:rPr>
          <w:rFonts w:ascii="Arial" w:hAnsi="Arial"/>
          <w:b/>
          <w:bCs/>
          <w:noProof w:val="0"/>
          <w:sz w:val="26"/>
          <w:szCs w:val="26"/>
          <w:u w:val="single"/>
          <w:rtl/>
        </w:rPr>
        <w:t xml:space="preserve"> שירות המבחן</w:t>
      </w:r>
      <w:r>
        <w:rPr>
          <w:rFonts w:ascii="Arial" w:hAnsi="Arial" w:hint="cs"/>
          <w:b/>
          <w:bCs/>
          <w:noProof w:val="0"/>
          <w:sz w:val="26"/>
          <w:szCs w:val="26"/>
          <w:u w:val="single"/>
          <w:rtl/>
        </w:rPr>
        <w:t xml:space="preserve"> וחוות דעת הממונה על עבודות שירות</w:t>
      </w:r>
    </w:p>
    <w:p w14:paraId="5419454E" w14:textId="77777777" w:rsidR="00CA7CF6" w:rsidRPr="00ED16BD" w:rsidRDefault="00CA7CF6" w:rsidP="00CA7CF6">
      <w:pPr>
        <w:pStyle w:val="ListParagraph"/>
        <w:numPr>
          <w:ilvl w:val="0"/>
          <w:numId w:val="1"/>
        </w:numPr>
        <w:spacing w:after="160" w:line="360" w:lineRule="auto"/>
        <w:ind w:left="425"/>
        <w:contextualSpacing w:val="0"/>
        <w:jc w:val="both"/>
        <w:rPr>
          <w:rFonts w:ascii="Arial" w:hAnsi="Arial"/>
          <w:sz w:val="26"/>
          <w:szCs w:val="26"/>
        </w:rPr>
      </w:pPr>
      <w:r>
        <w:rPr>
          <w:rFonts w:ascii="Arial" w:hAnsi="Arial" w:hint="cs"/>
          <w:sz w:val="26"/>
          <w:szCs w:val="26"/>
          <w:rtl/>
        </w:rPr>
        <w:lastRenderedPageBreak/>
        <w:t xml:space="preserve">הנאשם, בן 39, </w:t>
      </w:r>
      <w:r w:rsidRPr="00ED16BD">
        <w:rPr>
          <w:rFonts w:ascii="Arial" w:hAnsi="Arial" w:hint="cs"/>
          <w:sz w:val="26"/>
          <w:szCs w:val="26"/>
          <w:rtl/>
        </w:rPr>
        <w:t xml:space="preserve">יליד עזה, עבר להתגורר בישראל עם משפחת מוצאו בהיותו בן 12, נשוי בפעם הרביעית ואב לשלושה ילדים עמם הוא מתגורר ברמלה. בתסקיר תואר כי אשתו הנוכחית בהיריון </w:t>
      </w:r>
      <w:r>
        <w:rPr>
          <w:rFonts w:ascii="Arial" w:hAnsi="Arial" w:hint="cs"/>
          <w:sz w:val="26"/>
          <w:szCs w:val="26"/>
          <w:rtl/>
        </w:rPr>
        <w:t>(אציין כי</w:t>
      </w:r>
      <w:r w:rsidRPr="00ED16BD">
        <w:rPr>
          <w:rFonts w:ascii="Arial" w:hAnsi="Arial" w:hint="cs"/>
          <w:sz w:val="26"/>
          <w:szCs w:val="26"/>
          <w:rtl/>
        </w:rPr>
        <w:t xml:space="preserve"> בדיון לפניי נודע </w:t>
      </w:r>
      <w:r>
        <w:rPr>
          <w:rFonts w:ascii="Arial" w:hAnsi="Arial" w:hint="cs"/>
          <w:sz w:val="26"/>
          <w:szCs w:val="26"/>
          <w:rtl/>
        </w:rPr>
        <w:t>ש</w:t>
      </w:r>
      <w:r w:rsidRPr="00ED16BD">
        <w:rPr>
          <w:rFonts w:ascii="Arial" w:hAnsi="Arial" w:hint="cs"/>
          <w:sz w:val="26"/>
          <w:szCs w:val="26"/>
          <w:rtl/>
        </w:rPr>
        <w:t>ילדה</w:t>
      </w:r>
      <w:r>
        <w:rPr>
          <w:rFonts w:ascii="Arial" w:hAnsi="Arial" w:hint="cs"/>
          <w:sz w:val="26"/>
          <w:szCs w:val="26"/>
          <w:rtl/>
        </w:rPr>
        <w:t>,</w:t>
      </w:r>
      <w:r w:rsidRPr="00ED16BD">
        <w:rPr>
          <w:rFonts w:ascii="Arial" w:hAnsi="Arial" w:hint="cs"/>
          <w:sz w:val="26"/>
          <w:szCs w:val="26"/>
          <w:rtl/>
        </w:rPr>
        <w:t xml:space="preserve"> ולה ולנאשם תאומות</w:t>
      </w:r>
      <w:r>
        <w:rPr>
          <w:rFonts w:ascii="Arial" w:hAnsi="Arial" w:hint="cs"/>
          <w:sz w:val="26"/>
          <w:szCs w:val="26"/>
          <w:rtl/>
        </w:rPr>
        <w:t>)</w:t>
      </w:r>
      <w:r w:rsidRPr="00ED16BD">
        <w:rPr>
          <w:rFonts w:ascii="Arial" w:hAnsi="Arial" w:hint="cs"/>
          <w:sz w:val="26"/>
          <w:szCs w:val="26"/>
          <w:rtl/>
        </w:rPr>
        <w:t>. הנאשם הוא שותף ובעלים של מספר עסקים: קצביה, עבודות גמר, וחברה לניהול כ</w:t>
      </w:r>
      <w:r>
        <w:rPr>
          <w:rFonts w:ascii="Arial" w:hAnsi="Arial" w:hint="cs"/>
          <w:sz w:val="26"/>
          <w:szCs w:val="26"/>
          <w:rtl/>
        </w:rPr>
        <w:t>ו</w:t>
      </w:r>
      <w:r w:rsidRPr="00ED16BD">
        <w:rPr>
          <w:rFonts w:ascii="Arial" w:hAnsi="Arial" w:hint="cs"/>
          <w:sz w:val="26"/>
          <w:szCs w:val="26"/>
          <w:rtl/>
        </w:rPr>
        <w:t>ח אדם.</w:t>
      </w:r>
    </w:p>
    <w:p w14:paraId="6884A7E9" w14:textId="77777777" w:rsidR="00CA7CF6" w:rsidRPr="00ED16BD" w:rsidRDefault="00CA7CF6" w:rsidP="00CA7CF6">
      <w:pPr>
        <w:pStyle w:val="ListParagraph"/>
        <w:numPr>
          <w:ilvl w:val="0"/>
          <w:numId w:val="1"/>
        </w:numPr>
        <w:spacing w:after="160" w:line="360" w:lineRule="auto"/>
        <w:ind w:left="425"/>
        <w:contextualSpacing w:val="0"/>
        <w:jc w:val="both"/>
        <w:rPr>
          <w:rFonts w:ascii="Arial" w:hAnsi="Arial"/>
          <w:sz w:val="26"/>
          <w:szCs w:val="26"/>
        </w:rPr>
      </w:pPr>
      <w:r w:rsidRPr="00ED16BD">
        <w:rPr>
          <w:rFonts w:ascii="Arial" w:hAnsi="Arial" w:hint="cs"/>
          <w:sz w:val="26"/>
          <w:szCs w:val="26"/>
          <w:rtl/>
        </w:rPr>
        <w:t>הוריו של הנאשם מתגוררים בלוד, והנאשם תיאר בפני שירות המבחן כי המעבר ללוד טמן בחובו קשיים משפחתיים, חברתיים וכלכליים, כאשר הוריו התקשו לספק לו ולתשעת אחיו הקטנים ממנו, מענים חומריים ורגשיים או להציב עבורם גבולות. לדבריו, מגוריהם בסביבה שולית ועבריינית השפיעה עליו ועל שניים מאחיו.</w:t>
      </w:r>
    </w:p>
    <w:p w14:paraId="442A8909"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sidRPr="00B848C9">
        <w:rPr>
          <w:rFonts w:ascii="Arial" w:hAnsi="Arial" w:hint="cs"/>
          <w:sz w:val="26"/>
          <w:szCs w:val="26"/>
          <w:rtl/>
        </w:rPr>
        <w:t xml:space="preserve">הנאשם סיים חמש שנות לימוד בעזה ולאחר המעבר ללוד החל לעבוד בקצביה כדי לסייע לפרנסת משפחתו. כן מסר, שבגיל 17 חבר לחברה שולית והחל לבצע עבירות פליליות בתחום של סחר ותיווך סמים. הנאשם ריצה שלוש תקופות מאסר. האחרונה מביניהם בין 2007 לבין 2010. הנאשם מסר, כי בתקופה זו עבר תהליך של שיקום אותו המשיך לאחר שחרורו ממאסר במסגרת המחלקה לשיקום האסיר, בלוד. </w:t>
      </w:r>
    </w:p>
    <w:p w14:paraId="2ED7ED9F" w14:textId="77777777" w:rsidR="00CA7CF6" w:rsidRPr="00B848C9" w:rsidRDefault="00CA7CF6" w:rsidP="00CA7CF6">
      <w:pPr>
        <w:pStyle w:val="ListParagraph"/>
        <w:spacing w:after="160" w:line="360" w:lineRule="auto"/>
        <w:ind w:left="425"/>
        <w:contextualSpacing w:val="0"/>
        <w:jc w:val="both"/>
        <w:rPr>
          <w:rFonts w:ascii="Arial" w:hAnsi="Arial"/>
          <w:sz w:val="26"/>
          <w:szCs w:val="26"/>
        </w:rPr>
      </w:pPr>
      <w:r w:rsidRPr="00B848C9">
        <w:rPr>
          <w:rFonts w:ascii="Arial" w:hAnsi="Arial" w:hint="cs"/>
          <w:sz w:val="26"/>
          <w:szCs w:val="26"/>
          <w:rtl/>
        </w:rPr>
        <w:t>לאחר שחרורו עבד הנאשם כשכיר ובשש השנים האחרונות הקים עם אחיו את העסקים המצוינים לעיל. הנאשם מסר לשירות המבחן, כי לצורך הרחבת העסקים לווה כספים והביע חשש כי אם ייאסר לא יוכל לעמוד בתשלומי הלוואותיו.</w:t>
      </w:r>
    </w:p>
    <w:p w14:paraId="2CC3ADF3" w14:textId="77777777" w:rsidR="00CA7CF6" w:rsidRPr="00ED16BD" w:rsidRDefault="00CA7CF6" w:rsidP="00CA7CF6">
      <w:pPr>
        <w:pStyle w:val="ListParagraph"/>
        <w:numPr>
          <w:ilvl w:val="0"/>
          <w:numId w:val="1"/>
        </w:numPr>
        <w:spacing w:after="160" w:line="360" w:lineRule="auto"/>
        <w:ind w:left="425"/>
        <w:contextualSpacing w:val="0"/>
        <w:jc w:val="both"/>
        <w:rPr>
          <w:rFonts w:ascii="Arial" w:hAnsi="Arial"/>
          <w:sz w:val="26"/>
          <w:szCs w:val="26"/>
        </w:rPr>
      </w:pPr>
      <w:r w:rsidRPr="00ED16BD">
        <w:rPr>
          <w:rFonts w:ascii="Arial" w:hAnsi="Arial" w:hint="cs"/>
          <w:sz w:val="26"/>
          <w:szCs w:val="26"/>
          <w:rtl/>
        </w:rPr>
        <w:t>הנאשם תיאר, כי בשונה ממערכות היחסים הקודמות שלו, זוגיותו עם אשתו הנוכחית קרובה ותקינה.</w:t>
      </w:r>
    </w:p>
    <w:p w14:paraId="69F51E2A"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sidRPr="00103963">
        <w:rPr>
          <w:rFonts w:ascii="Arial" w:hAnsi="Arial" w:hint="cs"/>
          <w:sz w:val="26"/>
          <w:szCs w:val="26"/>
          <w:rtl/>
        </w:rPr>
        <w:t xml:space="preserve">לנאשם שש הרשעות קודמות, בין השנים 1999 </w:t>
      </w:r>
      <w:r w:rsidRPr="00103963">
        <w:rPr>
          <w:rFonts w:ascii="Arial" w:hAnsi="Arial"/>
          <w:sz w:val="26"/>
          <w:szCs w:val="26"/>
          <w:rtl/>
        </w:rPr>
        <w:t>–</w:t>
      </w:r>
      <w:r w:rsidRPr="00103963">
        <w:rPr>
          <w:rFonts w:ascii="Arial" w:hAnsi="Arial" w:hint="cs"/>
          <w:sz w:val="26"/>
          <w:szCs w:val="26"/>
          <w:rtl/>
        </w:rPr>
        <w:t xml:space="preserve"> 2007 בגין ביצוע עבירות מתחום הסמים, פקודת זכויות יוצרים, מרמה והפרעה לשוטר המילוי תפקידו. בנוסף קיים נגדו תיק מב"ד מיוני 2013 (274217-2013) </w:t>
      </w:r>
      <w:r>
        <w:rPr>
          <w:rFonts w:ascii="Arial" w:hAnsi="Arial" w:hint="cs"/>
          <w:sz w:val="26"/>
          <w:szCs w:val="26"/>
          <w:rtl/>
        </w:rPr>
        <w:t>בגין חשד לביצוע עבירות של גרימת מוות בכוונה תחילה, קשירת קשר לעשות פשע, וירי מנשק חם באזור מגורים. טרם הוגש כתב אישום בגין כך.</w:t>
      </w:r>
    </w:p>
    <w:p w14:paraId="7B9317C2"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Pr>
          <w:rFonts w:ascii="Arial" w:hAnsi="Arial" w:hint="cs"/>
          <w:sz w:val="26"/>
          <w:szCs w:val="26"/>
          <w:rtl/>
        </w:rPr>
        <w:t>על פי שירות המבחן, עת התייחס הנאשם לעבירה הנוכחית, הוא לקח אחריות על מעשיו והסביר כי נשא ברכבו אקדח, לא טעון וללא רישיון, נוכח תחושת איום ממשית לחייו ולחיי משפחתו, על רקע סכסוך עם אחרים שחשדו כי היה מעורב ברצח של מקורב אליהם. לדבריו, תיק המשטרה הפתוח נגדו מתייחס לחשדות אלה. עוד אמר, כי מספר ימים לפני ביצוע העבירה נרצח גיסו, על רקע הסכסוך המתואר, מה שחידד והעצים את תחושת האיום שחווה והמצוקה בה היה נתון. כיום, הוסיף, האיומים על חייו וחיי משפחתו פסקו. בפני שירות המבחן הביע הנאשם חרטה ואת ההבנה שמעשיו היו פסולים וכי היה עליו לפנות למשטרה לצורך הגנה.</w:t>
      </w:r>
    </w:p>
    <w:p w14:paraId="550359E6"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Pr>
          <w:rFonts w:ascii="Arial" w:hAnsi="Arial" w:hint="cs"/>
          <w:sz w:val="26"/>
          <w:szCs w:val="26"/>
          <w:rtl/>
        </w:rPr>
        <w:lastRenderedPageBreak/>
        <w:t>הנאשם הופנה לאבחון השירות מספר פעמים, ובעבר (בשנת 2007) התרשם שירות המבחן מאדם אשר מנהל אורח חיים שולי ומתקשה לקחת אחריות על הדרך הבעייתית בה ניהל את חייו. על פי הנאשם, החל להשתמש בסמים מסוג קנאביס בגיל 18 והפסיק זאת לאחר 10 שנים לאחר שהבין את הנזק שהדבר גורם לו ולסביבתו. בשיחה עם שירות המבחן שלל צורך בטיפול בתחום. כן מסר שלוש בדיקות שתן שנמצאו נקיות מסמים.</w:t>
      </w:r>
    </w:p>
    <w:p w14:paraId="7C9CA019"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Pr>
          <w:rFonts w:ascii="Arial" w:hAnsi="Arial" w:hint="cs"/>
          <w:sz w:val="26"/>
          <w:szCs w:val="26"/>
          <w:rtl/>
        </w:rPr>
        <w:t xml:space="preserve">הערכת שירות המבחן היתה, כי מעת שחרורו ממאסרו האחרון ועד לביצוע העבירה הנוכחית, הנאשם השקיע מאמצים רבים לתפקד באופן תקין ולהימנע ממעורבות שולית. שירות המבחן הבין את ביצוע העבירה על רקע מצוקה, חשש ואיום שחש לחייו וחיי משפחתו, תוך חזרה לדפוסי חשיבה והתנהגות שוליים המוכרים לו מהעבר, וכן שהתקשה לשקול את חומרת התנהגותו והשלכותיה. </w:t>
      </w:r>
    </w:p>
    <w:p w14:paraId="1FB6CD3B"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Pr>
          <w:rFonts w:ascii="Arial" w:hAnsi="Arial" w:hint="cs"/>
          <w:sz w:val="26"/>
          <w:szCs w:val="26"/>
          <w:rtl/>
        </w:rPr>
        <w:t xml:space="preserve">שירות המבחן בחן את האפשרות לשלב את הנאשם במסגרת טיפול בשירות, אך תחילה הנאשם שלל אפשרות זאת, תוך שהדגיש את תפקודו התקין, השקעת משאביו במסגרת עבודתו ובמסגרת המשפחתית. משום זאת, בתסקירו הראשון, לא היה בידי שירות המבחן לבוא בהמלצה טיפולית בעניינו. </w:t>
      </w:r>
    </w:p>
    <w:p w14:paraId="42EC0482" w14:textId="77777777" w:rsidR="00CA7CF6" w:rsidRPr="001C16E1" w:rsidRDefault="00CA7CF6" w:rsidP="00CA7CF6">
      <w:pPr>
        <w:spacing w:after="160" w:line="360" w:lineRule="auto"/>
        <w:ind w:left="360"/>
        <w:jc w:val="both"/>
        <w:rPr>
          <w:rFonts w:ascii="Arial" w:hAnsi="Arial"/>
          <w:sz w:val="26"/>
          <w:szCs w:val="26"/>
        </w:rPr>
      </w:pPr>
      <w:r>
        <w:rPr>
          <w:rFonts w:ascii="Arial" w:hAnsi="Arial" w:hint="cs"/>
          <w:sz w:val="26"/>
          <w:szCs w:val="26"/>
          <w:rtl/>
        </w:rPr>
        <w:t xml:space="preserve">עם זאת, </w:t>
      </w:r>
      <w:r w:rsidRPr="001C16E1">
        <w:rPr>
          <w:rFonts w:ascii="Arial" w:hAnsi="Arial" w:hint="cs"/>
          <w:sz w:val="26"/>
          <w:szCs w:val="26"/>
          <w:rtl/>
        </w:rPr>
        <w:t>שירות המבחן התרשם ממא</w:t>
      </w:r>
      <w:r>
        <w:rPr>
          <w:rFonts w:ascii="Arial" w:hAnsi="Arial" w:hint="cs"/>
          <w:sz w:val="26"/>
          <w:szCs w:val="26"/>
          <w:rtl/>
        </w:rPr>
        <w:t>מ</w:t>
      </w:r>
      <w:r w:rsidRPr="001C16E1">
        <w:rPr>
          <w:rFonts w:ascii="Arial" w:hAnsi="Arial" w:hint="cs"/>
          <w:sz w:val="26"/>
          <w:szCs w:val="26"/>
          <w:rtl/>
        </w:rPr>
        <w:t>ציו של הנאשם לנהל אורח חיים תקין בשנים האחרונות</w:t>
      </w:r>
      <w:r>
        <w:rPr>
          <w:rFonts w:ascii="Arial" w:hAnsi="Arial" w:hint="cs"/>
          <w:sz w:val="26"/>
          <w:szCs w:val="26"/>
          <w:rtl/>
        </w:rPr>
        <w:t>,</w:t>
      </w:r>
      <w:r w:rsidRPr="001C16E1">
        <w:rPr>
          <w:rFonts w:ascii="Arial" w:hAnsi="Arial" w:hint="cs"/>
          <w:sz w:val="26"/>
          <w:szCs w:val="26"/>
          <w:rtl/>
        </w:rPr>
        <w:t xml:space="preserve"> ועל מנת שלא לפגוע בתפקודו התעסוקתי</w:t>
      </w:r>
      <w:r>
        <w:rPr>
          <w:rFonts w:ascii="Arial" w:hAnsi="Arial" w:hint="cs"/>
          <w:sz w:val="26"/>
          <w:szCs w:val="26"/>
          <w:rtl/>
        </w:rPr>
        <w:t>,</w:t>
      </w:r>
      <w:r w:rsidRPr="001C16E1">
        <w:rPr>
          <w:rFonts w:ascii="Arial" w:hAnsi="Arial" w:hint="cs"/>
          <w:sz w:val="26"/>
          <w:szCs w:val="26"/>
          <w:rtl/>
        </w:rPr>
        <w:t xml:space="preserve"> הוא המליץ על ענישה קונקרטית של מאסר בעבודות שירות, שיבהיר לנאשם את חומרת מעשיו והשלכותיהם</w:t>
      </w:r>
      <w:r>
        <w:rPr>
          <w:rFonts w:ascii="Arial" w:hAnsi="Arial" w:hint="cs"/>
          <w:sz w:val="26"/>
          <w:szCs w:val="26"/>
          <w:rtl/>
        </w:rPr>
        <w:t>,</w:t>
      </w:r>
      <w:r w:rsidRPr="001C16E1">
        <w:rPr>
          <w:rFonts w:ascii="Arial" w:hAnsi="Arial" w:hint="cs"/>
          <w:sz w:val="26"/>
          <w:szCs w:val="26"/>
          <w:rtl/>
        </w:rPr>
        <w:t xml:space="preserve"> אך תאפשר לו להמשיך לפרנס את משפחתו ולעמוד במחויבו</w:t>
      </w:r>
      <w:r>
        <w:rPr>
          <w:rFonts w:ascii="Arial" w:hAnsi="Arial" w:hint="cs"/>
          <w:sz w:val="26"/>
          <w:szCs w:val="26"/>
          <w:rtl/>
        </w:rPr>
        <w:t>יו</w:t>
      </w:r>
      <w:r w:rsidRPr="001C16E1">
        <w:rPr>
          <w:rFonts w:ascii="Arial" w:hAnsi="Arial" w:hint="cs"/>
          <w:sz w:val="26"/>
          <w:szCs w:val="26"/>
          <w:rtl/>
        </w:rPr>
        <w:t xml:space="preserve">תיו הכספיות. כן המליץ שירות המבחן </w:t>
      </w:r>
      <w:r>
        <w:rPr>
          <w:rFonts w:ascii="Arial" w:hAnsi="Arial" w:hint="cs"/>
          <w:sz w:val="26"/>
          <w:szCs w:val="26"/>
          <w:rtl/>
        </w:rPr>
        <w:t>ש</w:t>
      </w:r>
      <w:r w:rsidRPr="001C16E1">
        <w:rPr>
          <w:rFonts w:ascii="Arial" w:hAnsi="Arial" w:hint="cs"/>
          <w:sz w:val="26"/>
          <w:szCs w:val="26"/>
          <w:rtl/>
        </w:rPr>
        <w:t>מצבו המתואר יילקח גם בעת קביעת תקופת ביצוע עבודות השירות.</w:t>
      </w:r>
    </w:p>
    <w:p w14:paraId="7375D247"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Pr>
          <w:rFonts w:ascii="Arial" w:hAnsi="Arial" w:hint="cs"/>
          <w:sz w:val="26"/>
          <w:szCs w:val="26"/>
          <w:rtl/>
        </w:rPr>
        <w:t>בעדכון מאת שירות המבחן (מיום 31.1.17) נכתב, כי הנאשם יצר קשר עם שירות המבחן וביקש להיעזר בשירותו לצורך הליך טיפולי. בפגישה עמו, התרשם שירות המבחן, שהנאשם גילה הבנה ראשונית באשר לבעייתיות סביב אורח החיים שניהל לאורך תקופה ארוכה מחייו, לצד ההשפעה של המשך מגוריו בסביבה שולית, זאת אל מול המאמצים שעשה בשנים האחרונות לנהל אורח חיים תקין. הנאשם ביטא בפני שירות המבחן רצון וצורך להירתם להליך הטיפולי, במטרה להעמיק ולבחון השפעתם של דפוסי החשיבה וההתנהגות הבעייתיים שפיתח ואימץ לאורך השנים על חייו כיום, כפי שהדבר בא לידי ביטוי אף במעורבותו נושא הדיון. שירות המבחן מצא, כי נוכח השינוי בעמדתו ותפיסתו הקודמת את מצבו, הנאשם מתאים להשתלב בקבוצה טיפולית לעוברי חוק המתקיימת בשירות, שמטרתה לסייע למשתתפים בה בבדיקה ושינוי של דפוסי חשיבה והתנהגות בעייתיים, תוך זיהוי מצבי סיכון ורכישת כלים להתמודדות אפקטיבית עם משברים, ללא התנהגות שולים. משכך, חזר שירות המבחן על המלצתו שלעיל, לריצוי מאסר בעבודות שירות והוסיף המלצה להטיל צו מבחן למשך שנה.</w:t>
      </w:r>
    </w:p>
    <w:p w14:paraId="0A10F2F2"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Pr>
          <w:rFonts w:ascii="Arial" w:hAnsi="Arial" w:hint="cs"/>
          <w:sz w:val="26"/>
          <w:szCs w:val="26"/>
          <w:rtl/>
        </w:rPr>
        <w:t xml:space="preserve">בחוות הדעת של הממונה על עבודות שירות נמצא, כי הנאשם אינו יכול לבצע עבודות שירות נוכח קיומו של יסוד סביר לחשש לפגיעה בגופו או בחייו של אדם לרבות הנאשם, וזאת בהתבסס על חוות דעת שניתנה על ידי משטרת ישראל. זו לא המליצה על העסקתו כעובד שירות לאור סכסוך הדמים אשר בו היה מעורב. לדידה, הסכסוך עדיין פתוח ולכן קיימת סכנה לנאשם ומהנאשם. כן נרשם בחוות הדעת, כי המעסיקים השונים אינם מוכנים, בשום פנים ואופן, להעסיק עובד שירות אשר יביא לסיכונם וסיכון הבאים בשעריהם. </w:t>
      </w:r>
    </w:p>
    <w:p w14:paraId="4744D8D9" w14:textId="77777777" w:rsidR="00CA7CF6" w:rsidRDefault="00CA7CF6" w:rsidP="00CA7CF6">
      <w:pPr>
        <w:pStyle w:val="ListParagraph"/>
        <w:spacing w:after="160" w:line="360" w:lineRule="auto"/>
        <w:ind w:left="425"/>
        <w:contextualSpacing w:val="0"/>
        <w:jc w:val="both"/>
        <w:rPr>
          <w:rFonts w:ascii="Arial" w:hAnsi="Arial"/>
          <w:sz w:val="26"/>
          <w:szCs w:val="26"/>
          <w:rtl/>
        </w:rPr>
      </w:pPr>
    </w:p>
    <w:p w14:paraId="373FD9BE" w14:textId="77777777" w:rsidR="00CA7CF6" w:rsidRPr="00103963" w:rsidRDefault="00CA7CF6" w:rsidP="00CA7CF6">
      <w:pPr>
        <w:pStyle w:val="ListParagraph"/>
        <w:spacing w:after="160" w:line="360" w:lineRule="auto"/>
        <w:ind w:left="425"/>
        <w:contextualSpacing w:val="0"/>
        <w:jc w:val="both"/>
        <w:rPr>
          <w:rFonts w:ascii="Arial" w:hAnsi="Arial"/>
          <w:sz w:val="26"/>
          <w:szCs w:val="26"/>
          <w:rtl/>
        </w:rPr>
      </w:pPr>
    </w:p>
    <w:p w14:paraId="279130DB" w14:textId="77777777" w:rsidR="00CA7CF6" w:rsidRDefault="00CA7CF6" w:rsidP="00CA7CF6">
      <w:pPr>
        <w:spacing w:line="360" w:lineRule="auto"/>
        <w:jc w:val="both"/>
        <w:rPr>
          <w:rFonts w:ascii="Arial" w:hAnsi="Arial"/>
          <w:b/>
          <w:bCs/>
          <w:noProof w:val="0"/>
          <w:sz w:val="26"/>
          <w:szCs w:val="26"/>
          <w:u w:val="single"/>
          <w:rtl/>
        </w:rPr>
      </w:pPr>
      <w:r w:rsidRPr="009F1DC2">
        <w:rPr>
          <w:rFonts w:ascii="Arial" w:hAnsi="Arial"/>
          <w:b/>
          <w:bCs/>
          <w:noProof w:val="0"/>
          <w:sz w:val="26"/>
          <w:szCs w:val="26"/>
          <w:u w:val="single"/>
          <w:rtl/>
        </w:rPr>
        <w:t xml:space="preserve">הראיות והטיעונים לעונש </w:t>
      </w:r>
    </w:p>
    <w:p w14:paraId="080C0B71"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Pr>
          <w:rFonts w:ascii="Arial" w:hAnsi="Arial" w:hint="cs"/>
          <w:sz w:val="26"/>
          <w:szCs w:val="26"/>
          <w:rtl/>
        </w:rPr>
        <w:t>על פי הסדר הטיעון היה על המאשימה להגביל עצמה בטיעוניה לעונש מאסר בפועל בן שבעה חודשים, מאסר על תנאי וקנס.</w:t>
      </w:r>
    </w:p>
    <w:p w14:paraId="511FA546"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Pr>
          <w:rFonts w:ascii="Arial" w:hAnsi="Arial" w:hint="cs"/>
          <w:sz w:val="26"/>
          <w:szCs w:val="26"/>
          <w:rtl/>
        </w:rPr>
        <w:t xml:space="preserve">ב"כ המאשימה הגישה את הרישום הפלילי של הנאשם (ת/1) וקובץ פסיקה (ת/2). לדבריה, המדיניות השיפוטית היא להחמיר בענישה של מבצעי עבירות נשק ולתת ביטוי לערך הציבורי שנפגע: ביטחון ושלום הציבור. עוד טענה, כי החזקה של אקדח שלא כדין, מתקשרת לביצוע מעשי אלימות ולא נעשית למטרות שלום. לדידה, מתחם הענישה נע בין שבעה חודשים לבין 18 חודשי מאסר בפועל. בנוסף טענה, כי הגם שקיימים מקרים בהם הרף התחתון של המתחם צריך להיות ביצוע עבודות שירות, זה אינו המקרה כאן. עם זאת, בתוך המתחם, לטעם ב"כ המאשימה, מצוי הנאשם ברף התחתון, משום שהאקדח לא היה טעון כאשר נמצא, לנאשם אין עבר רלוונטי, וחלף זמן מאז בוצעה העבירה. </w:t>
      </w:r>
    </w:p>
    <w:p w14:paraId="46144340"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Pr>
          <w:rFonts w:ascii="Arial" w:hAnsi="Arial" w:hint="cs"/>
          <w:sz w:val="26"/>
          <w:szCs w:val="26"/>
          <w:rtl/>
        </w:rPr>
        <w:t>הפרקליטה הטילה ספק בנימוק הנאשם, מדוע החזיק באקדח, משום שלדידה מדובר בגרסה כבושה. היא גם הטילה ספק בכנות כוונתו לקחת חלק בטיפול, ושיערה שאף זאת נעשה לצורך הורדת רף הענישה. משכך ביקשה ב"כ המאשימה, כי ייגזרו על הנאשם שבעה חודשי מאסר לריצוי בפועל. לדבריה, לטעם המדינה זה הוא העונש הראוי גם במקרה בו חוות דעת הממונה על עבודות שירות היתה חיובית, ואדרבא שיש לקבל את עמדת המדינה עכשיו, כאשר נמצא שלא ניתן להורות על ביצוע עבודות שירות, שכן יש בכך לסכן את הנאשם או אחרים.</w:t>
      </w:r>
    </w:p>
    <w:p w14:paraId="1264B968"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Pr>
          <w:rFonts w:ascii="Arial" w:hAnsi="Arial" w:hint="cs"/>
          <w:sz w:val="26"/>
          <w:szCs w:val="26"/>
          <w:rtl/>
        </w:rPr>
        <w:t>לשאלתי, השיבה ב"כ המשיבה כי התיק הפתוח (המב"ד) הוא "תיק שבארכיון", אך הוא לא סגור, וגם לא הועבר מהמשטרה לפרקליטות. גם ב"כ הנאשם התייחס לשאלתי, וגולל את סיפור סכסוך הדמים, בו כביכול מעורב הנאשם ושלדידו כבר אינו רלוונטי. לפיו, לקוחו נחשד בשנת 2013 "בעבירה שהוא לא קשור אליה", הדבר נודע למשפחת הקורבן של אותה העבירה, וחודשים ספורים לאחר זאת נרצח גיס הנאשם. מאז, המשיך, לא קרה דבר, כאשר מדובר בתקופה של שלוש שנים וחצי בה הנאשם ומשפחתו מתגוררים באותה העיר, והוא עובד ומעסיק עובדים.</w:t>
      </w:r>
    </w:p>
    <w:p w14:paraId="3D298560"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Pr>
          <w:rFonts w:ascii="Arial" w:hAnsi="Arial" w:hint="cs"/>
          <w:sz w:val="26"/>
          <w:szCs w:val="26"/>
          <w:rtl/>
        </w:rPr>
        <w:t xml:space="preserve">ב"כ הנאשם ביקש, כי בית המשפט יאפשר לנאשם לבצע עבודות שירות, על אף חוות הדעת של הממונה על עבודות שירות, כאשר הציע שיתאפשר לו לבצע אותן בבית כלא או בתחנת משטרה. הסניגור טען, כי יש להתחשב בתקופה הארוכה שעברה מיום מעצר הנאשם בגין העבירה בה הורשע כאן, ליום הגשת כתב האישום </w:t>
      </w:r>
      <w:r>
        <w:rPr>
          <w:rFonts w:ascii="Arial" w:hAnsi="Arial"/>
          <w:sz w:val="26"/>
          <w:szCs w:val="26"/>
          <w:rtl/>
        </w:rPr>
        <w:t>–</w:t>
      </w:r>
      <w:r>
        <w:rPr>
          <w:rFonts w:ascii="Arial" w:hAnsi="Arial" w:hint="cs"/>
          <w:sz w:val="26"/>
          <w:szCs w:val="26"/>
          <w:rtl/>
        </w:rPr>
        <w:t xml:space="preserve"> חייו של הנאשם לא נעצרו ואף נולדו לו ולאשתו </w:t>
      </w:r>
      <w:r w:rsidRPr="005F20CB">
        <w:rPr>
          <w:rFonts w:ascii="Arial" w:hAnsi="Arial" w:hint="cs"/>
          <w:sz w:val="26"/>
          <w:szCs w:val="26"/>
          <w:rtl/>
        </w:rPr>
        <w:t>תאומות</w:t>
      </w:r>
      <w:r>
        <w:rPr>
          <w:rFonts w:ascii="Arial" w:hAnsi="Arial" w:hint="cs"/>
          <w:sz w:val="26"/>
          <w:szCs w:val="26"/>
          <w:rtl/>
        </w:rPr>
        <w:t>, כאמור</w:t>
      </w:r>
      <w:r w:rsidRPr="005F20CB">
        <w:rPr>
          <w:rFonts w:ascii="Arial" w:hAnsi="Arial" w:hint="cs"/>
          <w:sz w:val="26"/>
          <w:szCs w:val="26"/>
          <w:rtl/>
        </w:rPr>
        <w:t>. ב"כ</w:t>
      </w:r>
      <w:r>
        <w:rPr>
          <w:rFonts w:ascii="Arial" w:hAnsi="Arial" w:hint="cs"/>
          <w:sz w:val="26"/>
          <w:szCs w:val="26"/>
          <w:rtl/>
        </w:rPr>
        <w:t xml:space="preserve"> הנאשם גם הדגיש, את המהפך שמרשו ביצע בחייו, העובדה כי בעבר היו בעניינו תסקירים שליליים, בעוד שהתסקיר האחרון היה חיובי, וכי היה זה שירות המבחן שעדכן מיוזמתו את בית המשפט בנכונות הנאשם להיכנס להליך טיפולי. ב"כ הנאשם גם הגיב לתהיית ב"כ המאשימה, באשר לכוונותיו האמיתיות של הנאשם באומרו, ששירות המבחן הוא בעל הידע המקצועי להעריך האם הדברים נאמרים מן השפה אל החוץ וזו לא היתה התרשמותו. לטעם ב"כ הנאשם על מתחם העונש להתחיל ברף של עבודות שירות. כן טען, כי אל לו לבית המשפט לקבל את חוות דעת הממונה על עבודות שירות כסוף פסוק. כן הגיש פסיקה (נ/1 ונ/3). </w:t>
      </w:r>
    </w:p>
    <w:p w14:paraId="7CEE8F5C" w14:textId="77777777" w:rsidR="00CA7CF6" w:rsidRDefault="00CA7CF6" w:rsidP="00CA7CF6">
      <w:pPr>
        <w:pStyle w:val="ListParagraph"/>
        <w:spacing w:after="160" w:line="360" w:lineRule="auto"/>
        <w:ind w:left="425"/>
        <w:contextualSpacing w:val="0"/>
        <w:jc w:val="both"/>
        <w:rPr>
          <w:rFonts w:ascii="Arial" w:hAnsi="Arial"/>
          <w:sz w:val="26"/>
          <w:szCs w:val="26"/>
        </w:rPr>
      </w:pPr>
      <w:r>
        <w:rPr>
          <w:rFonts w:ascii="Arial" w:hAnsi="Arial" w:hint="cs"/>
          <w:sz w:val="26"/>
          <w:szCs w:val="26"/>
          <w:rtl/>
        </w:rPr>
        <w:t>עוד טען, שהנאשם לקח הלוואה לצורך עסקיו, והוא בעל משכנתא, ולכן ביקש שהנאשם לא ינותק מעבודתו, כפי שגם המליץ שירות המבחן (נ/2). עוד הוגש מכתב השחרור של אשת הנאשם מבית החולים, עקב לידתה זמן קצר לפני הדיון (נ/4). ב"כ הנאשם גם הוסיף, שאם יש צורך ברכיב כספי מוגדל על חשבון בסיס אחר, הדבר מקובל על הנאשם.</w:t>
      </w:r>
    </w:p>
    <w:p w14:paraId="66FEB44E"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Pr>
          <w:rFonts w:ascii="Arial" w:hAnsi="Arial" w:hint="cs"/>
          <w:sz w:val="26"/>
          <w:szCs w:val="26"/>
          <w:rtl/>
        </w:rPr>
        <w:t>הנאשם הביע חרטה על מעשיו ולקח עליהם אחריות. הוא סיפר שהחל משנת 2008 עבר הליך שיקומי ומשנת 2010 לא עבר כל עבירה, למעט זו עליה הורשע כאן. עוד סיפר, כי לא היה נוכח בלידתם של שלושת ילדיו הראשונים, וזו הפעם הראשונה שהוא חווה יחד עם אשתו את ההיריון והלידה. לדבריו, הוא עמוד השדרה של עסקיו, בהם עובדים 50 איש, המפרנסים 50 משפחות. כן הביע פחד ולחץ מהאפשרות שיישלח לכלא, ואמר כי אמנם בעבר לא חשש להישלח לכלא, אך כיום מצבו שונה. הוא שב וביקש מבית המשפט שיתחשב במצבו האישי ובמצב משפחתו.</w:t>
      </w:r>
    </w:p>
    <w:p w14:paraId="54580627"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Pr>
          <w:rFonts w:ascii="Arial" w:hAnsi="Arial" w:hint="cs"/>
          <w:sz w:val="26"/>
          <w:szCs w:val="26"/>
          <w:rtl/>
        </w:rPr>
        <w:t>לאחר ששמעתי ושקלתי את טענות הצדדים והפסיקה שהציגו, הוריתי לנציג הממונה על עבודות שירות לבוא בפניי עם החומר המודיעיני שבבסיס חוות דעתו, על מנת שאוכל להעריכם. בדיון המשלים (30.3.17) שמעתי את טיעוני הצדדים באשר לתחולת חוות דעת הממונה וסמכות בית המשפט בהתייחס להטלת עונש של מאסר בדרך ביצוע עבודות שירות. כמו כן, במעמד צד אחד, הוצג לי החומר המודיעיני האמור ושמעתי הסברים נוספים בענין מקצין מודיעין פקד יוסי גואטה. לאחר זאת, שמעתי את קצינת המיון בעבודות שירות מחוז מרכז, רחל מאירי, אשר סקרה את אפשרויות מקומות עבודות השירות באזור.</w:t>
      </w:r>
    </w:p>
    <w:p w14:paraId="4FF0DCA2" w14:textId="77777777" w:rsidR="00CA7CF6" w:rsidRPr="009F1DC2" w:rsidRDefault="00CA7CF6" w:rsidP="00CA7CF6">
      <w:pPr>
        <w:spacing w:line="360" w:lineRule="auto"/>
        <w:jc w:val="both"/>
        <w:rPr>
          <w:rFonts w:ascii="Arial" w:hAnsi="Arial"/>
          <w:b/>
          <w:bCs/>
          <w:noProof w:val="0"/>
          <w:sz w:val="26"/>
          <w:szCs w:val="26"/>
          <w:u w:val="single"/>
          <w:rtl/>
        </w:rPr>
      </w:pPr>
      <w:r w:rsidRPr="009F1DC2">
        <w:rPr>
          <w:rFonts w:ascii="Arial" w:hAnsi="Arial"/>
          <w:b/>
          <w:bCs/>
          <w:noProof w:val="0"/>
          <w:sz w:val="26"/>
          <w:szCs w:val="26"/>
          <w:u w:val="single"/>
          <w:rtl/>
        </w:rPr>
        <w:t xml:space="preserve">דיון לפי </w:t>
      </w:r>
      <w:hyperlink r:id="rId20" w:history="1">
        <w:r w:rsidR="00B127F9" w:rsidRPr="00B127F9">
          <w:rPr>
            <w:rStyle w:val="Hyperlink"/>
            <w:rFonts w:ascii="Arial" w:hAnsi="Arial"/>
            <w:b/>
            <w:bCs/>
            <w:noProof w:val="0"/>
            <w:sz w:val="26"/>
            <w:szCs w:val="26"/>
            <w:rtl/>
          </w:rPr>
          <w:t>סימן א'1 בפרק ו'</w:t>
        </w:r>
      </w:hyperlink>
      <w:r w:rsidRPr="009F1DC2">
        <w:rPr>
          <w:rFonts w:ascii="Arial" w:hAnsi="Arial"/>
          <w:b/>
          <w:bCs/>
          <w:noProof w:val="0"/>
          <w:sz w:val="26"/>
          <w:szCs w:val="26"/>
          <w:u w:val="single"/>
          <w:rtl/>
        </w:rPr>
        <w:t xml:space="preserve"> בחוק (הבניית שיקול הדעת השיפוטי בענישה) – תיקון 113 לחוק</w:t>
      </w:r>
    </w:p>
    <w:p w14:paraId="664D2437" w14:textId="77777777" w:rsidR="00CA7CF6" w:rsidRPr="00DA79FD" w:rsidRDefault="00CA7CF6" w:rsidP="00CA7CF6">
      <w:pPr>
        <w:spacing w:line="360" w:lineRule="auto"/>
        <w:jc w:val="both"/>
        <w:rPr>
          <w:rFonts w:ascii="Arial" w:hAnsi="Arial"/>
          <w:b/>
          <w:bCs/>
          <w:noProof w:val="0"/>
          <w:sz w:val="26"/>
          <w:szCs w:val="26"/>
        </w:rPr>
      </w:pPr>
      <w:r w:rsidRPr="00DA79FD">
        <w:rPr>
          <w:rFonts w:ascii="Arial" w:hAnsi="Arial"/>
          <w:b/>
          <w:bCs/>
          <w:noProof w:val="0"/>
          <w:sz w:val="26"/>
          <w:szCs w:val="26"/>
          <w:rtl/>
        </w:rPr>
        <w:t>מתחם העונש</w:t>
      </w:r>
    </w:p>
    <w:p w14:paraId="38734B5D" w14:textId="77777777" w:rsidR="00CA7CF6" w:rsidRDefault="00B127F9" w:rsidP="00CA7CF6">
      <w:pPr>
        <w:pStyle w:val="ListParagraph"/>
        <w:numPr>
          <w:ilvl w:val="0"/>
          <w:numId w:val="1"/>
        </w:numPr>
        <w:spacing w:after="160" w:line="360" w:lineRule="auto"/>
        <w:ind w:left="425"/>
        <w:contextualSpacing w:val="0"/>
        <w:jc w:val="both"/>
        <w:rPr>
          <w:rFonts w:ascii="Arial" w:hAnsi="Arial"/>
          <w:sz w:val="26"/>
          <w:szCs w:val="26"/>
        </w:rPr>
      </w:pPr>
      <w:hyperlink r:id="rId21" w:history="1">
        <w:r w:rsidRPr="00B127F9">
          <w:rPr>
            <w:rStyle w:val="Hyperlink"/>
            <w:rFonts w:ascii="Arial" w:hAnsi="Arial"/>
            <w:sz w:val="26"/>
            <w:szCs w:val="26"/>
            <w:rtl/>
          </w:rPr>
          <w:t>בסעיף 40ג(א)</w:t>
        </w:r>
      </w:hyperlink>
      <w:r w:rsidR="00CA7CF6" w:rsidRPr="001863E1">
        <w:rPr>
          <w:rFonts w:ascii="Arial" w:hAnsi="Arial"/>
          <w:sz w:val="26"/>
          <w:szCs w:val="26"/>
          <w:rtl/>
        </w:rPr>
        <w:t xml:space="preserve"> בחוק נאמר, כי "</w:t>
      </w:r>
      <w:r w:rsidR="00CA7CF6" w:rsidRPr="001863E1">
        <w:rPr>
          <w:rFonts w:ascii="Arial" w:hAnsi="Arial"/>
          <w:b/>
          <w:bCs/>
          <w:sz w:val="26"/>
          <w:szCs w:val="26"/>
          <w:rtl/>
        </w:rPr>
        <w:t>בית המשפט יקבע מתחם עונש הולם למעשה העבירה שביצע הנאשם בהתאם לעיקרון המנחה, ולשם כך יתחשב בערך החברתי שנפגע מביצוע העבירה, במידת הפגיעה בו, במדיניות הענישה הנהוגה ובנסיבות הקשורות בביצוע העבירה כאמור בסעיף 40ט</w:t>
      </w:r>
      <w:r w:rsidR="00CA7CF6" w:rsidRPr="001863E1">
        <w:rPr>
          <w:rFonts w:ascii="Arial" w:hAnsi="Arial"/>
          <w:sz w:val="26"/>
          <w:szCs w:val="26"/>
          <w:rtl/>
        </w:rPr>
        <w:t>". בסעיף 40ב בחוק נאמר, כי "</w:t>
      </w:r>
      <w:r w:rsidR="00CA7CF6" w:rsidRPr="001863E1">
        <w:rPr>
          <w:rFonts w:ascii="Arial" w:hAnsi="Arial"/>
          <w:b/>
          <w:bCs/>
          <w:sz w:val="26"/>
          <w:szCs w:val="26"/>
          <w:rtl/>
        </w:rPr>
        <w:t>העיקרון המנחה בענישה הוא קיומו של יחס הולם בין חומרת מעשה העבירה בנסיבותיו ומידת אשמו של הנאשם ובין סוג ומידת העונש המוטל עליו</w:t>
      </w:r>
      <w:r w:rsidR="00CA7CF6" w:rsidRPr="001863E1">
        <w:rPr>
          <w:rFonts w:ascii="Arial" w:hAnsi="Arial"/>
          <w:sz w:val="26"/>
          <w:szCs w:val="26"/>
          <w:rtl/>
        </w:rPr>
        <w:t>".</w:t>
      </w:r>
    </w:p>
    <w:p w14:paraId="3A1F1284"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sidRPr="001863E1">
        <w:rPr>
          <w:rFonts w:ascii="Arial" w:hAnsi="Arial"/>
          <w:sz w:val="26"/>
          <w:szCs w:val="26"/>
          <w:rtl/>
        </w:rPr>
        <w:t>בית המשפט העליון מצא לנכון להדגיש, כי עקרון ההלימה מביא בחשבון את חומרת מעשה העבירה בנסיבותיו ואת מידת אשמו של הנאשם. קרי, יש להתחשב לא רק בסוג העבירה שבוצעה, אלא גם בנסיבות שבהן בוצעה ובמידת אשמו של הנאשם בביצועה. בקביעת המתחם יובאו רק השיקולים הקשורים בעבירה, בעוד שנסיבותיו האישיות של הנאשם מובאות בחשבון אך במניין השיקולים בקביעת העונש המתאים בתוך מתחם הענישה. עוד ציין בית המשפט, כי אומנם המחוקק לא התייחס להיקפו הרצוי של מתחם הענישה, אך ברור כי מתחם רחב מאוד לא ישרת את תכליתו של תיקון 113 (</w:t>
      </w:r>
      <w:hyperlink r:id="rId22" w:history="1">
        <w:r w:rsidR="001E3053" w:rsidRPr="001E3053">
          <w:rPr>
            <w:rFonts w:ascii="Arial" w:hAnsi="Arial"/>
            <w:color w:val="0000FF"/>
            <w:sz w:val="26"/>
            <w:szCs w:val="26"/>
            <w:u w:val="single"/>
            <w:rtl/>
          </w:rPr>
          <w:t>ע"פ 8641/12</w:t>
        </w:r>
      </w:hyperlink>
      <w:r w:rsidRPr="001863E1">
        <w:rPr>
          <w:rFonts w:ascii="Arial" w:hAnsi="Arial"/>
          <w:b/>
          <w:bCs/>
          <w:sz w:val="26"/>
          <w:szCs w:val="26"/>
          <w:rtl/>
        </w:rPr>
        <w:t xml:space="preserve"> סעד נ' מדינת ישראל</w:t>
      </w:r>
      <w:r w:rsidRPr="001863E1">
        <w:rPr>
          <w:rFonts w:ascii="Arial" w:hAnsi="Arial"/>
          <w:sz w:val="26"/>
          <w:szCs w:val="26"/>
          <w:rtl/>
        </w:rPr>
        <w:t xml:space="preserve"> (5.8.13), פסקאות 23 – 24). כן הדגיש בית המשפט, כי הנסיבות הקשורות לביצוע העבירה הנבחנות בעת קביעת</w:t>
      </w:r>
      <w:r>
        <w:rPr>
          <w:rFonts w:ascii="Arial" w:hAnsi="Arial"/>
          <w:sz w:val="26"/>
          <w:szCs w:val="26"/>
          <w:rtl/>
        </w:rPr>
        <w:t xml:space="preserve"> מתחם הענישה (כמפורט </w:t>
      </w:r>
      <w:hyperlink r:id="rId23" w:history="1">
        <w:r w:rsidR="00B127F9" w:rsidRPr="00B127F9">
          <w:rPr>
            <w:rStyle w:val="Hyperlink"/>
            <w:rFonts w:ascii="Arial" w:hAnsi="Arial"/>
            <w:sz w:val="26"/>
            <w:szCs w:val="26"/>
            <w:rtl/>
          </w:rPr>
          <w:t>בסעיף 40ט</w:t>
        </w:r>
      </w:hyperlink>
      <w:r>
        <w:rPr>
          <w:rFonts w:ascii="Arial" w:hAnsi="Arial"/>
          <w:sz w:val="26"/>
          <w:szCs w:val="26"/>
          <w:rtl/>
        </w:rPr>
        <w:t xml:space="preserve"> </w:t>
      </w:r>
      <w:r>
        <w:rPr>
          <w:rFonts w:ascii="Arial" w:hAnsi="Arial" w:hint="cs"/>
          <w:sz w:val="26"/>
          <w:szCs w:val="26"/>
          <w:rtl/>
        </w:rPr>
        <w:t>ב</w:t>
      </w:r>
      <w:r w:rsidRPr="001863E1">
        <w:rPr>
          <w:rFonts w:ascii="Arial" w:hAnsi="Arial"/>
          <w:sz w:val="26"/>
          <w:szCs w:val="26"/>
          <w:rtl/>
        </w:rPr>
        <w:t>חוק) והנסיבות שאינן קשורות לביצוע העבירה, הנבחנות ב</w:t>
      </w:r>
      <w:r>
        <w:rPr>
          <w:rFonts w:ascii="Arial" w:hAnsi="Arial"/>
          <w:sz w:val="26"/>
          <w:szCs w:val="26"/>
          <w:rtl/>
        </w:rPr>
        <w:t xml:space="preserve">גזירת העונש (כמפורט </w:t>
      </w:r>
      <w:hyperlink r:id="rId24" w:history="1">
        <w:r w:rsidR="00B127F9" w:rsidRPr="00B127F9">
          <w:rPr>
            <w:rStyle w:val="Hyperlink"/>
            <w:rFonts w:ascii="Arial" w:hAnsi="Arial"/>
            <w:sz w:val="26"/>
            <w:szCs w:val="26"/>
            <w:rtl/>
          </w:rPr>
          <w:t>בסעיף 40יא</w:t>
        </w:r>
      </w:hyperlink>
      <w:r>
        <w:rPr>
          <w:rFonts w:ascii="Arial" w:hAnsi="Arial"/>
          <w:sz w:val="26"/>
          <w:szCs w:val="26"/>
          <w:rtl/>
        </w:rPr>
        <w:t xml:space="preserve"> </w:t>
      </w:r>
      <w:r>
        <w:rPr>
          <w:rFonts w:ascii="Arial" w:hAnsi="Arial" w:hint="cs"/>
          <w:sz w:val="26"/>
          <w:szCs w:val="26"/>
          <w:rtl/>
        </w:rPr>
        <w:t>ב</w:t>
      </w:r>
      <w:r w:rsidRPr="001863E1">
        <w:rPr>
          <w:rFonts w:ascii="Arial" w:hAnsi="Arial"/>
          <w:sz w:val="26"/>
          <w:szCs w:val="26"/>
          <w:rtl/>
        </w:rPr>
        <w:t xml:space="preserve">חוק), אינן רשימה סגורה, ואין בנסיבות שציין המחוקק שאותן פרט במפורש כדי לגרוע מסמכותו של בית המשפט </w:t>
      </w:r>
      <w:r>
        <w:rPr>
          <w:rFonts w:ascii="Arial" w:hAnsi="Arial"/>
          <w:sz w:val="26"/>
          <w:szCs w:val="26"/>
          <w:rtl/>
        </w:rPr>
        <w:t>לשקול נסיבות נוספות (</w:t>
      </w:r>
      <w:hyperlink r:id="rId25" w:history="1">
        <w:r w:rsidR="00B127F9" w:rsidRPr="00B127F9">
          <w:rPr>
            <w:rStyle w:val="Hyperlink"/>
            <w:rFonts w:ascii="Arial" w:hAnsi="Arial"/>
            <w:sz w:val="26"/>
            <w:szCs w:val="26"/>
            <w:rtl/>
          </w:rPr>
          <w:t>סעיף 40יב</w:t>
        </w:r>
      </w:hyperlink>
      <w:r>
        <w:rPr>
          <w:rFonts w:ascii="Arial" w:hAnsi="Arial"/>
          <w:sz w:val="26"/>
          <w:szCs w:val="26"/>
          <w:rtl/>
        </w:rPr>
        <w:t xml:space="preserve"> </w:t>
      </w:r>
      <w:r>
        <w:rPr>
          <w:rFonts w:ascii="Arial" w:hAnsi="Arial" w:hint="cs"/>
          <w:sz w:val="26"/>
          <w:szCs w:val="26"/>
          <w:rtl/>
        </w:rPr>
        <w:t>ב</w:t>
      </w:r>
      <w:r w:rsidRPr="001863E1">
        <w:rPr>
          <w:rFonts w:ascii="Arial" w:hAnsi="Arial"/>
          <w:sz w:val="26"/>
          <w:szCs w:val="26"/>
          <w:rtl/>
        </w:rPr>
        <w:t xml:space="preserve">חוק) (שם, שם). </w:t>
      </w:r>
    </w:p>
    <w:p w14:paraId="551622BA"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sidRPr="001863E1">
        <w:rPr>
          <w:rFonts w:ascii="Arial" w:hAnsi="Arial"/>
          <w:sz w:val="26"/>
          <w:szCs w:val="26"/>
          <w:rtl/>
        </w:rPr>
        <w:t>הווה אומר, ועל פי ההלכה הנוהגת, עתה עליי להידרש לשלוש אמות מידה: (1) הערך החברתי שנפגע מביצוע העבירה ומידת הפגיעה בו; (2) מדיניות הענישה הנהוגה; ו-(3) הנסיבות הקשורות בביצוע העבירה (</w:t>
      </w:r>
      <w:hyperlink r:id="rId26" w:history="1">
        <w:r w:rsidR="001E3053" w:rsidRPr="001E3053">
          <w:rPr>
            <w:color w:val="0000FF"/>
            <w:sz w:val="26"/>
            <w:szCs w:val="26"/>
            <w:u w:val="single"/>
            <w:rtl/>
          </w:rPr>
          <w:t>ע"פ 5668/13</w:t>
        </w:r>
      </w:hyperlink>
      <w:r w:rsidRPr="001863E1">
        <w:rPr>
          <w:b/>
          <w:bCs/>
          <w:sz w:val="26"/>
          <w:szCs w:val="26"/>
          <w:rtl/>
        </w:rPr>
        <w:t xml:space="preserve"> מזרחי נ' מדינת ישראל</w:t>
      </w:r>
      <w:r w:rsidRPr="001863E1">
        <w:rPr>
          <w:sz w:val="26"/>
          <w:szCs w:val="26"/>
          <w:rtl/>
        </w:rPr>
        <w:t xml:space="preserve"> (17.3.16)</w:t>
      </w:r>
      <w:r w:rsidRPr="001863E1">
        <w:rPr>
          <w:rFonts w:ascii="Arial" w:hAnsi="Arial"/>
          <w:sz w:val="26"/>
          <w:szCs w:val="26"/>
          <w:rtl/>
        </w:rPr>
        <w:t>, פסקה 32 בפסק דינו של כב' השופט נ' סולברג).</w:t>
      </w:r>
    </w:p>
    <w:p w14:paraId="4D3F0C11"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sidRPr="001863E1">
        <w:rPr>
          <w:rFonts w:ascii="Arial" w:hAnsi="Arial"/>
          <w:sz w:val="26"/>
          <w:szCs w:val="26"/>
          <w:rtl/>
        </w:rPr>
        <w:t>אשר ל</w:t>
      </w:r>
      <w:r w:rsidRPr="001863E1">
        <w:rPr>
          <w:rFonts w:ascii="Arial" w:hAnsi="Arial"/>
          <w:b/>
          <w:bCs/>
          <w:sz w:val="26"/>
          <w:szCs w:val="26"/>
          <w:rtl/>
        </w:rPr>
        <w:t>ערכים המוגנים</w:t>
      </w:r>
      <w:r w:rsidRPr="001863E1">
        <w:rPr>
          <w:rFonts w:ascii="Arial" w:hAnsi="Arial"/>
          <w:sz w:val="26"/>
          <w:szCs w:val="26"/>
          <w:rtl/>
        </w:rPr>
        <w:t xml:space="preserve"> בבסיס העבירות בהן עסקינן – </w:t>
      </w:r>
      <w:r w:rsidRPr="001863E1">
        <w:rPr>
          <w:rFonts w:ascii="Arial" w:hAnsi="Arial" w:hint="cs"/>
          <w:sz w:val="26"/>
          <w:szCs w:val="26"/>
          <w:rtl/>
        </w:rPr>
        <w:t xml:space="preserve">האיסור בהחזקת נשק ללא רישיון נועדה לשמור על בטחון ושלום הציבור, ולהבטיח כי זה לא יתגלגל לידי אלו המבקשים לעשות בו שימוש שלא כדין. כדבריו של המשנה לנשיאה, </w:t>
      </w:r>
      <w:r>
        <w:rPr>
          <w:rFonts w:ascii="Arial" w:hAnsi="Arial" w:hint="cs"/>
          <w:sz w:val="26"/>
          <w:szCs w:val="26"/>
          <w:rtl/>
        </w:rPr>
        <w:t xml:space="preserve">כב' </w:t>
      </w:r>
      <w:r w:rsidRPr="001863E1">
        <w:rPr>
          <w:rFonts w:ascii="Arial" w:hAnsi="Arial" w:hint="cs"/>
          <w:sz w:val="26"/>
          <w:szCs w:val="26"/>
          <w:rtl/>
        </w:rPr>
        <w:t>השופט א' רובינשטיין: "</w:t>
      </w:r>
      <w:r w:rsidRPr="001863E1">
        <w:rPr>
          <w:rFonts w:ascii="Arial" w:hAnsi="Arial" w:hint="cs"/>
          <w:b/>
          <w:bCs/>
          <w:sz w:val="26"/>
          <w:szCs w:val="26"/>
          <w:rtl/>
        </w:rPr>
        <w:t>... נשק הוא נשק הוא נשק, ובנסיבות הישראליות נשק בידיים לא מורשות עלול להתגלגל למקום לא טוב וכדברי האומר 'מחזה שבמערכתו הראשונה נראה אקדח, עשוי האקדח לירות במערכה האחרונה'...</w:t>
      </w:r>
      <w:r w:rsidRPr="001863E1">
        <w:rPr>
          <w:rFonts w:ascii="Arial" w:hAnsi="Arial" w:hint="cs"/>
          <w:sz w:val="26"/>
          <w:szCs w:val="26"/>
          <w:rtl/>
        </w:rPr>
        <w:t>" (</w:t>
      </w:r>
      <w:hyperlink r:id="rId27" w:history="1">
        <w:r w:rsidR="001E3053" w:rsidRPr="001E3053">
          <w:rPr>
            <w:rFonts w:ascii="Arial" w:hAnsi="Arial"/>
            <w:color w:val="0000FF"/>
            <w:sz w:val="26"/>
            <w:szCs w:val="26"/>
            <w:u w:val="single"/>
            <w:rtl/>
          </w:rPr>
          <w:t>ע"פ 5220/09</w:t>
        </w:r>
      </w:hyperlink>
      <w:r w:rsidRPr="001863E1">
        <w:rPr>
          <w:rFonts w:ascii="Arial" w:hAnsi="Arial" w:hint="cs"/>
          <w:sz w:val="26"/>
          <w:szCs w:val="26"/>
          <w:rtl/>
        </w:rPr>
        <w:t xml:space="preserve"> </w:t>
      </w:r>
      <w:r w:rsidRPr="001863E1">
        <w:rPr>
          <w:rFonts w:ascii="Arial" w:hAnsi="Arial" w:hint="cs"/>
          <w:b/>
          <w:bCs/>
          <w:sz w:val="26"/>
          <w:szCs w:val="26"/>
          <w:rtl/>
        </w:rPr>
        <w:t xml:space="preserve">עוואודה נ' מדינת ישראל </w:t>
      </w:r>
      <w:r w:rsidRPr="001863E1">
        <w:rPr>
          <w:rFonts w:ascii="Arial" w:hAnsi="Arial" w:hint="cs"/>
          <w:sz w:val="26"/>
          <w:szCs w:val="26"/>
          <w:rtl/>
        </w:rPr>
        <w:t>(31.12.09) (להלן: "</w:t>
      </w:r>
      <w:r w:rsidRPr="001863E1">
        <w:rPr>
          <w:rFonts w:ascii="Arial" w:hAnsi="Arial" w:hint="cs"/>
          <w:b/>
          <w:bCs/>
          <w:sz w:val="26"/>
          <w:szCs w:val="26"/>
          <w:rtl/>
        </w:rPr>
        <w:t>עניין עוואודה</w:t>
      </w:r>
      <w:r w:rsidRPr="001863E1">
        <w:rPr>
          <w:rFonts w:ascii="Arial" w:hAnsi="Arial" w:hint="cs"/>
          <w:sz w:val="26"/>
          <w:szCs w:val="26"/>
          <w:rtl/>
        </w:rPr>
        <w:t xml:space="preserve">"), פסקה י'). משכך, </w:t>
      </w:r>
      <w:hyperlink r:id="rId28" w:history="1">
        <w:r w:rsidR="00B127F9" w:rsidRPr="00B127F9">
          <w:rPr>
            <w:rStyle w:val="Hyperlink"/>
            <w:rFonts w:ascii="Arial" w:hAnsi="Arial" w:hint="eastAsia"/>
            <w:sz w:val="26"/>
            <w:szCs w:val="26"/>
            <w:rtl/>
          </w:rPr>
          <w:t>סעיף</w:t>
        </w:r>
        <w:r w:rsidR="00B127F9" w:rsidRPr="00B127F9">
          <w:rPr>
            <w:rStyle w:val="Hyperlink"/>
            <w:rFonts w:ascii="Arial" w:hAnsi="Arial"/>
            <w:sz w:val="26"/>
            <w:szCs w:val="26"/>
            <w:rtl/>
          </w:rPr>
          <w:t xml:space="preserve"> 144(א)</w:t>
        </w:r>
      </w:hyperlink>
      <w:r w:rsidRPr="001863E1">
        <w:rPr>
          <w:rFonts w:ascii="Arial" w:hAnsi="Arial" w:hint="cs"/>
          <w:sz w:val="26"/>
          <w:szCs w:val="26"/>
          <w:rtl/>
        </w:rPr>
        <w:t xml:space="preserve"> רישא ב</w:t>
      </w:r>
      <w:hyperlink r:id="rId29" w:history="1">
        <w:r w:rsidR="001E3053" w:rsidRPr="001E3053">
          <w:rPr>
            <w:rFonts w:ascii="Arial" w:hAnsi="Arial"/>
            <w:color w:val="0000FF"/>
            <w:sz w:val="26"/>
            <w:szCs w:val="26"/>
            <w:u w:val="single"/>
            <w:rtl/>
          </w:rPr>
          <w:t>חוק העונשין</w:t>
        </w:r>
      </w:hyperlink>
      <w:r w:rsidRPr="001863E1">
        <w:rPr>
          <w:rFonts w:ascii="Arial" w:hAnsi="Arial" w:hint="cs"/>
          <w:sz w:val="26"/>
          <w:szCs w:val="26"/>
          <w:rtl/>
        </w:rPr>
        <w:t xml:space="preserve"> קובע כי </w:t>
      </w:r>
      <w:r w:rsidRPr="001863E1">
        <w:rPr>
          <w:rFonts w:ascii="Arial" w:hAnsi="Arial"/>
          <w:sz w:val="26"/>
          <w:szCs w:val="26"/>
          <w:rtl/>
        </w:rPr>
        <w:t>הרוכש או המחזיק נשק בלא רשות על פי דין להחזקתו, דינו - מאסר שבע שנים.</w:t>
      </w:r>
    </w:p>
    <w:p w14:paraId="06BEC17E"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sidRPr="001863E1">
        <w:rPr>
          <w:rFonts w:ascii="Arial" w:hAnsi="Arial"/>
          <w:sz w:val="26"/>
          <w:szCs w:val="26"/>
          <w:rtl/>
        </w:rPr>
        <w:t>אשר ל</w:t>
      </w:r>
      <w:r w:rsidRPr="001863E1">
        <w:rPr>
          <w:rFonts w:ascii="Arial" w:hAnsi="Arial"/>
          <w:b/>
          <w:bCs/>
          <w:sz w:val="26"/>
          <w:szCs w:val="26"/>
          <w:rtl/>
        </w:rPr>
        <w:t>מדיניות הענישה הנהוגה</w:t>
      </w:r>
      <w:r>
        <w:rPr>
          <w:rFonts w:ascii="Arial" w:hAnsi="Arial"/>
          <w:sz w:val="26"/>
          <w:szCs w:val="26"/>
          <w:rtl/>
        </w:rPr>
        <w:t xml:space="preserve"> </w:t>
      </w:r>
      <w:r w:rsidRPr="001863E1">
        <w:rPr>
          <w:rFonts w:ascii="Arial" w:hAnsi="Arial"/>
          <w:sz w:val="26"/>
          <w:szCs w:val="26"/>
          <w:rtl/>
        </w:rPr>
        <w:t xml:space="preserve">- </w:t>
      </w:r>
    </w:p>
    <w:p w14:paraId="5F11C607"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sidRPr="001863E1">
        <w:rPr>
          <w:rFonts w:ascii="Arial" w:hAnsi="Arial" w:hint="cs"/>
          <w:sz w:val="26"/>
          <w:szCs w:val="26"/>
          <w:rtl/>
        </w:rPr>
        <w:t>ב</w:t>
      </w:r>
      <w:hyperlink r:id="rId30" w:history="1">
        <w:r w:rsidR="001E3053" w:rsidRPr="001E3053">
          <w:rPr>
            <w:rFonts w:ascii="Arial" w:hAnsi="Arial"/>
            <w:color w:val="0000FF"/>
            <w:sz w:val="26"/>
            <w:szCs w:val="26"/>
            <w:u w:val="single"/>
            <w:rtl/>
          </w:rPr>
          <w:t>ע"פ 135/17</w:t>
        </w:r>
      </w:hyperlink>
      <w:r w:rsidRPr="001863E1">
        <w:rPr>
          <w:rFonts w:ascii="Arial" w:hAnsi="Arial" w:hint="cs"/>
          <w:b/>
          <w:bCs/>
          <w:sz w:val="26"/>
          <w:szCs w:val="26"/>
          <w:rtl/>
        </w:rPr>
        <w:t xml:space="preserve"> מדינת ישראל נ' בסל</w:t>
      </w:r>
      <w:r w:rsidRPr="001863E1">
        <w:rPr>
          <w:rFonts w:ascii="Arial" w:hAnsi="Arial" w:hint="cs"/>
          <w:sz w:val="26"/>
          <w:szCs w:val="26"/>
          <w:rtl/>
        </w:rPr>
        <w:t xml:space="preserve"> (8.3.17) נדון עניינו של נאשם שהורשע על פי הודאתו בעבירה של החזקה ונשיאת נשק לפי </w:t>
      </w:r>
      <w:hyperlink r:id="rId31" w:history="1">
        <w:r w:rsidR="00B127F9" w:rsidRPr="00B127F9">
          <w:rPr>
            <w:rStyle w:val="Hyperlink"/>
            <w:rFonts w:ascii="Arial" w:hAnsi="Arial" w:hint="eastAsia"/>
            <w:sz w:val="26"/>
            <w:szCs w:val="26"/>
            <w:rtl/>
          </w:rPr>
          <w:t>סעיף</w:t>
        </w:r>
        <w:r w:rsidR="00B127F9" w:rsidRPr="00B127F9">
          <w:rPr>
            <w:rStyle w:val="Hyperlink"/>
            <w:rFonts w:ascii="Arial" w:hAnsi="Arial"/>
            <w:sz w:val="26"/>
            <w:szCs w:val="26"/>
            <w:rtl/>
          </w:rPr>
          <w:t xml:space="preserve"> 144(א)</w:t>
        </w:r>
      </w:hyperlink>
      <w:r w:rsidRPr="001863E1">
        <w:rPr>
          <w:rFonts w:ascii="Arial" w:hAnsi="Arial" w:hint="cs"/>
          <w:sz w:val="26"/>
          <w:szCs w:val="26"/>
          <w:rtl/>
        </w:rPr>
        <w:t xml:space="preserve"> </w:t>
      </w:r>
      <w:hyperlink r:id="rId32" w:history="1">
        <w:r w:rsidR="00B127F9" w:rsidRPr="00B127F9">
          <w:rPr>
            <w:rStyle w:val="Hyperlink"/>
            <w:rFonts w:ascii="Arial" w:hAnsi="Arial" w:hint="eastAsia"/>
            <w:sz w:val="26"/>
            <w:szCs w:val="26"/>
            <w:rtl/>
          </w:rPr>
          <w:t>וסעיף</w:t>
        </w:r>
        <w:r w:rsidR="00B127F9" w:rsidRPr="00B127F9">
          <w:rPr>
            <w:rStyle w:val="Hyperlink"/>
            <w:rFonts w:ascii="Arial" w:hAnsi="Arial"/>
            <w:sz w:val="26"/>
            <w:szCs w:val="26"/>
            <w:rtl/>
          </w:rPr>
          <w:t xml:space="preserve"> 144(ב)</w:t>
        </w:r>
      </w:hyperlink>
      <w:r w:rsidRPr="001863E1">
        <w:rPr>
          <w:rFonts w:ascii="Arial" w:hAnsi="Arial" w:hint="cs"/>
          <w:sz w:val="26"/>
          <w:szCs w:val="26"/>
          <w:rtl/>
        </w:rPr>
        <w:t xml:space="preserve"> ב</w:t>
      </w:r>
      <w:hyperlink r:id="rId33" w:history="1">
        <w:r w:rsidR="001E3053" w:rsidRPr="001E3053">
          <w:rPr>
            <w:rFonts w:ascii="Arial" w:hAnsi="Arial"/>
            <w:color w:val="0000FF"/>
            <w:sz w:val="26"/>
            <w:szCs w:val="26"/>
            <w:u w:val="single"/>
            <w:rtl/>
          </w:rPr>
          <w:t>חוק העונשין</w:t>
        </w:r>
      </w:hyperlink>
      <w:r w:rsidRPr="001863E1">
        <w:rPr>
          <w:rFonts w:ascii="Arial" w:hAnsi="Arial" w:hint="cs"/>
          <w:sz w:val="26"/>
          <w:szCs w:val="26"/>
          <w:rtl/>
        </w:rPr>
        <w:t>. זאת משום שקרוב משפחה של הנאשם רכש תת מקלע מאולתר ומחסנית ולבקשתו הנאשם החביא אותם. בבית המשפט המחוזי הושת על הנאשם עונש של 12 חודשי מאסר בפועל, מאסר על תנאי וקנס בסך 3,000 ₪. בית המשפט העליון קיבל את עמדת הפרקליטות והחמיר את עונש המאסר ל-</w:t>
      </w:r>
      <w:r w:rsidRPr="001863E1">
        <w:rPr>
          <w:rFonts w:ascii="Arial" w:hAnsi="Arial" w:hint="cs"/>
          <w:b/>
          <w:bCs/>
          <w:sz w:val="26"/>
          <w:szCs w:val="26"/>
          <w:rtl/>
        </w:rPr>
        <w:t>18 חודשי מאסר בפועל</w:t>
      </w:r>
      <w:r w:rsidRPr="001863E1">
        <w:rPr>
          <w:rFonts w:ascii="Arial" w:hAnsi="Arial" w:hint="cs"/>
          <w:sz w:val="26"/>
          <w:szCs w:val="26"/>
          <w:rtl/>
        </w:rPr>
        <w:t>.</w:t>
      </w:r>
    </w:p>
    <w:p w14:paraId="47E6F0C8"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sidRPr="001863E1">
        <w:rPr>
          <w:rFonts w:ascii="Arial" w:hAnsi="Arial" w:hint="cs"/>
          <w:sz w:val="26"/>
          <w:szCs w:val="26"/>
          <w:rtl/>
        </w:rPr>
        <w:t>ב</w:t>
      </w:r>
      <w:hyperlink r:id="rId34" w:history="1">
        <w:r w:rsidR="001E3053" w:rsidRPr="001E3053">
          <w:rPr>
            <w:rFonts w:ascii="Arial" w:hAnsi="Arial"/>
            <w:color w:val="0000FF"/>
            <w:sz w:val="26"/>
            <w:szCs w:val="26"/>
            <w:u w:val="single"/>
            <w:rtl/>
          </w:rPr>
          <w:t>רע"פ 5921/08</w:t>
        </w:r>
      </w:hyperlink>
      <w:r w:rsidRPr="001863E1">
        <w:rPr>
          <w:rFonts w:ascii="Arial" w:hAnsi="Arial" w:hint="cs"/>
          <w:sz w:val="26"/>
          <w:szCs w:val="26"/>
          <w:rtl/>
        </w:rPr>
        <w:t xml:space="preserve"> </w:t>
      </w:r>
      <w:r w:rsidRPr="001863E1">
        <w:rPr>
          <w:rFonts w:ascii="Arial" w:hAnsi="Arial" w:hint="cs"/>
          <w:b/>
          <w:bCs/>
          <w:sz w:val="26"/>
          <w:szCs w:val="26"/>
          <w:rtl/>
        </w:rPr>
        <w:t>רג'בי נ' מדינת ישראל</w:t>
      </w:r>
      <w:r w:rsidRPr="001863E1">
        <w:rPr>
          <w:rFonts w:ascii="Arial" w:hAnsi="Arial" w:hint="cs"/>
          <w:sz w:val="26"/>
          <w:szCs w:val="26"/>
          <w:rtl/>
        </w:rPr>
        <w:t xml:space="preserve"> (6.5.09) נדון עניינו של נאשם, שהורשע על סמך הודאתו בעבירה של החזקת נשק (אקדח</w:t>
      </w:r>
      <w:r>
        <w:rPr>
          <w:rFonts w:ascii="Arial" w:hAnsi="Arial" w:hint="cs"/>
          <w:sz w:val="26"/>
          <w:szCs w:val="26"/>
          <w:rtl/>
        </w:rPr>
        <w:t xml:space="preserve"> </w:t>
      </w:r>
      <w:r w:rsidRPr="001863E1">
        <w:rPr>
          <w:rFonts w:ascii="Arial" w:hAnsi="Arial" w:hint="cs"/>
          <w:sz w:val="26"/>
          <w:szCs w:val="26"/>
          <w:rtl/>
        </w:rPr>
        <w:t xml:space="preserve">עם שתי מחסניות וכדורים) בביתו, עבירה לפי </w:t>
      </w:r>
      <w:hyperlink r:id="rId35" w:history="1">
        <w:r w:rsidR="00B127F9" w:rsidRPr="00B127F9">
          <w:rPr>
            <w:rStyle w:val="Hyperlink"/>
            <w:rFonts w:ascii="Arial" w:hAnsi="Arial" w:hint="eastAsia"/>
            <w:sz w:val="26"/>
            <w:szCs w:val="26"/>
            <w:rtl/>
          </w:rPr>
          <w:t>סעיף</w:t>
        </w:r>
        <w:r w:rsidR="00B127F9" w:rsidRPr="00B127F9">
          <w:rPr>
            <w:rStyle w:val="Hyperlink"/>
            <w:rFonts w:ascii="Arial" w:hAnsi="Arial"/>
            <w:sz w:val="26"/>
            <w:szCs w:val="26"/>
            <w:rtl/>
          </w:rPr>
          <w:t xml:space="preserve"> 144(א)</w:t>
        </w:r>
      </w:hyperlink>
      <w:r w:rsidRPr="001863E1">
        <w:rPr>
          <w:rFonts w:ascii="Arial" w:hAnsi="Arial" w:hint="cs"/>
          <w:sz w:val="26"/>
          <w:szCs w:val="26"/>
          <w:rtl/>
        </w:rPr>
        <w:t xml:space="preserve"> רישא ב</w:t>
      </w:r>
      <w:hyperlink r:id="rId36" w:history="1">
        <w:r w:rsidR="001E3053" w:rsidRPr="001E3053">
          <w:rPr>
            <w:rFonts w:ascii="Arial" w:hAnsi="Arial"/>
            <w:color w:val="0000FF"/>
            <w:sz w:val="26"/>
            <w:szCs w:val="26"/>
            <w:u w:val="single"/>
            <w:rtl/>
          </w:rPr>
          <w:t>חוק העונשין</w:t>
        </w:r>
      </w:hyperlink>
      <w:r w:rsidRPr="001863E1">
        <w:rPr>
          <w:rFonts w:ascii="Arial" w:hAnsi="Arial" w:hint="cs"/>
          <w:sz w:val="26"/>
          <w:szCs w:val="26"/>
          <w:rtl/>
        </w:rPr>
        <w:t>. הנאשם טען</w:t>
      </w:r>
      <w:r>
        <w:rPr>
          <w:rFonts w:ascii="Arial" w:hAnsi="Arial" w:hint="cs"/>
          <w:sz w:val="26"/>
          <w:szCs w:val="26"/>
          <w:rtl/>
        </w:rPr>
        <w:t>,</w:t>
      </w:r>
      <w:r w:rsidRPr="001863E1">
        <w:rPr>
          <w:rFonts w:ascii="Arial" w:hAnsi="Arial" w:hint="cs"/>
          <w:sz w:val="26"/>
          <w:szCs w:val="26"/>
          <w:rtl/>
        </w:rPr>
        <w:t xml:space="preserve"> כי החזיק באקדח לצרכי הגנה עצמית לאחר שביתו נפרץ, והפורץ אף איים על אשתו באונס. בית משפט השלום לא הטיל על הנאשם מאסר בפועל. בערעור, בית המשפט המחוזי הטיל עליו שמונה חודשי מאסר בפועל. ובערעור בבית משפט העליון, הופחת העונש ל</w:t>
      </w:r>
      <w:r w:rsidRPr="001863E1">
        <w:rPr>
          <w:rFonts w:ascii="Arial" w:hAnsi="Arial" w:hint="cs"/>
          <w:b/>
          <w:bCs/>
          <w:sz w:val="26"/>
          <w:szCs w:val="26"/>
          <w:rtl/>
        </w:rPr>
        <w:t>שישה חודשי מאסר</w:t>
      </w:r>
      <w:r w:rsidRPr="001863E1">
        <w:rPr>
          <w:rFonts w:ascii="Arial" w:hAnsi="Arial" w:hint="cs"/>
          <w:sz w:val="26"/>
          <w:szCs w:val="26"/>
          <w:rtl/>
        </w:rPr>
        <w:t>.</w:t>
      </w:r>
    </w:p>
    <w:p w14:paraId="01AFF443"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sidRPr="001863E1">
        <w:rPr>
          <w:rFonts w:ascii="Arial" w:hAnsi="Arial" w:hint="cs"/>
          <w:sz w:val="26"/>
          <w:szCs w:val="26"/>
          <w:rtl/>
        </w:rPr>
        <w:t>ב</w:t>
      </w:r>
      <w:hyperlink r:id="rId37" w:history="1">
        <w:r w:rsidR="001E3053" w:rsidRPr="001E3053">
          <w:rPr>
            <w:rFonts w:ascii="Arial" w:hAnsi="Arial"/>
            <w:color w:val="0000FF"/>
            <w:sz w:val="26"/>
            <w:szCs w:val="26"/>
            <w:u w:val="single"/>
            <w:rtl/>
          </w:rPr>
          <w:t>ת"פ (מחוזי חי') 12213-10-16</w:t>
        </w:r>
      </w:hyperlink>
      <w:r w:rsidRPr="001863E1">
        <w:rPr>
          <w:rFonts w:ascii="Arial" w:hAnsi="Arial" w:hint="cs"/>
          <w:sz w:val="26"/>
          <w:szCs w:val="26"/>
          <w:rtl/>
        </w:rPr>
        <w:t xml:space="preserve"> </w:t>
      </w:r>
      <w:r w:rsidRPr="001863E1">
        <w:rPr>
          <w:rFonts w:ascii="Arial" w:hAnsi="Arial" w:hint="cs"/>
          <w:b/>
          <w:bCs/>
          <w:sz w:val="26"/>
          <w:szCs w:val="26"/>
          <w:rtl/>
        </w:rPr>
        <w:t>מדינת ישראל נ' ג'בארין</w:t>
      </w:r>
      <w:r w:rsidRPr="001863E1">
        <w:rPr>
          <w:rFonts w:ascii="Arial" w:hAnsi="Arial" w:hint="cs"/>
          <w:sz w:val="26"/>
          <w:szCs w:val="26"/>
          <w:rtl/>
        </w:rPr>
        <w:t xml:space="preserve"> (15.2.17) נדון עניינו של נאשם שהורשע על סמך הודאתו בעבירה של נשיאת נשק ותחמושת בניגוד </w:t>
      </w:r>
      <w:hyperlink r:id="rId38" w:history="1">
        <w:r w:rsidR="00B127F9" w:rsidRPr="00B127F9">
          <w:rPr>
            <w:rStyle w:val="Hyperlink"/>
            <w:rFonts w:ascii="Arial" w:hAnsi="Arial" w:hint="eastAsia"/>
            <w:sz w:val="26"/>
            <w:szCs w:val="26"/>
            <w:rtl/>
          </w:rPr>
          <w:t>לסעיף</w:t>
        </w:r>
        <w:r w:rsidR="00B127F9" w:rsidRPr="00B127F9">
          <w:rPr>
            <w:rStyle w:val="Hyperlink"/>
            <w:rFonts w:ascii="Arial" w:hAnsi="Arial"/>
            <w:sz w:val="26"/>
            <w:szCs w:val="26"/>
            <w:rtl/>
          </w:rPr>
          <w:t xml:space="preserve"> 144(ב)</w:t>
        </w:r>
      </w:hyperlink>
      <w:r w:rsidRPr="001863E1">
        <w:rPr>
          <w:rFonts w:ascii="Arial" w:hAnsi="Arial" w:hint="cs"/>
          <w:sz w:val="26"/>
          <w:szCs w:val="26"/>
          <w:rtl/>
        </w:rPr>
        <w:t xml:space="preserve"> רישא וסיפא, ב</w:t>
      </w:r>
      <w:hyperlink r:id="rId39" w:history="1">
        <w:r w:rsidR="001E3053" w:rsidRPr="001E3053">
          <w:rPr>
            <w:rFonts w:ascii="Arial" w:hAnsi="Arial"/>
            <w:color w:val="0000FF"/>
            <w:sz w:val="26"/>
            <w:szCs w:val="26"/>
            <w:u w:val="single"/>
            <w:rtl/>
          </w:rPr>
          <w:t>חוק העונשין</w:t>
        </w:r>
      </w:hyperlink>
      <w:r w:rsidRPr="001863E1">
        <w:rPr>
          <w:rFonts w:ascii="Arial" w:hAnsi="Arial" w:hint="cs"/>
          <w:sz w:val="26"/>
          <w:szCs w:val="26"/>
          <w:rtl/>
        </w:rPr>
        <w:t xml:space="preserve">. זאת משום שברכבו התגלה כלי נשק אוטומטי ומחסנית ריקה ובמכנסיו היה כדור התואם את הנשק. בית המשפט קבע מתחם עונש הנע בין 15 חודשי מאסר לבין 36 חודשי מאסר, והשית על הנאשם </w:t>
      </w:r>
      <w:r w:rsidRPr="001863E1">
        <w:rPr>
          <w:rFonts w:ascii="Arial" w:hAnsi="Arial" w:hint="cs"/>
          <w:b/>
          <w:bCs/>
          <w:sz w:val="26"/>
          <w:szCs w:val="26"/>
          <w:rtl/>
        </w:rPr>
        <w:t>20 חודשי מאסר בפועל</w:t>
      </w:r>
      <w:r w:rsidRPr="001863E1">
        <w:rPr>
          <w:rFonts w:ascii="Arial" w:hAnsi="Arial" w:hint="cs"/>
          <w:sz w:val="26"/>
          <w:szCs w:val="26"/>
          <w:rtl/>
        </w:rPr>
        <w:t>.</w:t>
      </w:r>
    </w:p>
    <w:p w14:paraId="563A6C61"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sidRPr="001863E1">
        <w:rPr>
          <w:rFonts w:ascii="Arial" w:hAnsi="Arial" w:hint="cs"/>
          <w:sz w:val="26"/>
          <w:szCs w:val="26"/>
          <w:rtl/>
        </w:rPr>
        <w:t>ב</w:t>
      </w:r>
      <w:hyperlink r:id="rId40" w:history="1">
        <w:r w:rsidR="001E3053" w:rsidRPr="001E3053">
          <w:rPr>
            <w:rFonts w:ascii="Arial" w:hAnsi="Arial"/>
            <w:color w:val="0000FF"/>
            <w:sz w:val="26"/>
            <w:szCs w:val="26"/>
            <w:u w:val="single"/>
            <w:rtl/>
          </w:rPr>
          <w:t>ת"פ (מחוזי ב"ש) 28360-02-13</w:t>
        </w:r>
      </w:hyperlink>
      <w:r w:rsidRPr="001863E1">
        <w:rPr>
          <w:rFonts w:ascii="Arial" w:hAnsi="Arial" w:hint="cs"/>
          <w:sz w:val="26"/>
          <w:szCs w:val="26"/>
          <w:rtl/>
        </w:rPr>
        <w:t xml:space="preserve"> </w:t>
      </w:r>
      <w:r w:rsidRPr="001863E1">
        <w:rPr>
          <w:rFonts w:ascii="Arial" w:hAnsi="Arial" w:hint="cs"/>
          <w:b/>
          <w:bCs/>
          <w:sz w:val="26"/>
          <w:szCs w:val="26"/>
          <w:rtl/>
        </w:rPr>
        <w:t>מדינת ישראל נ' אבו בלאל</w:t>
      </w:r>
      <w:r w:rsidRPr="001863E1">
        <w:rPr>
          <w:rFonts w:ascii="Arial" w:hAnsi="Arial" w:hint="cs"/>
          <w:sz w:val="26"/>
          <w:szCs w:val="26"/>
          <w:rtl/>
        </w:rPr>
        <w:t xml:space="preserve"> (1.12.13) נדון עניינו של נאשם שהורשע על סמך הודאתו בעבירות של נשיאת נשק (</w:t>
      </w:r>
      <w:hyperlink r:id="rId41" w:history="1">
        <w:r w:rsidR="00B127F9" w:rsidRPr="00B127F9">
          <w:rPr>
            <w:rStyle w:val="Hyperlink"/>
            <w:rFonts w:ascii="Arial" w:hAnsi="Arial" w:hint="eastAsia"/>
            <w:sz w:val="26"/>
            <w:szCs w:val="26"/>
            <w:rtl/>
          </w:rPr>
          <w:t>סעיף</w:t>
        </w:r>
        <w:r w:rsidR="00B127F9" w:rsidRPr="00B127F9">
          <w:rPr>
            <w:rStyle w:val="Hyperlink"/>
            <w:rFonts w:ascii="Arial" w:hAnsi="Arial"/>
            <w:sz w:val="26"/>
            <w:szCs w:val="26"/>
            <w:rtl/>
          </w:rPr>
          <w:t xml:space="preserve"> 144(א)</w:t>
        </w:r>
      </w:hyperlink>
      <w:r w:rsidRPr="001863E1">
        <w:rPr>
          <w:rFonts w:ascii="Arial" w:hAnsi="Arial" w:hint="cs"/>
          <w:sz w:val="26"/>
          <w:szCs w:val="26"/>
          <w:rtl/>
        </w:rPr>
        <w:t xml:space="preserve"> רישא וסיפא), הפרעה לשוטר במילוי תפקידו, עבירה של נהיגה ללא רישיון, נהיגה ללא ביטוח ונהיגה תחת השפעת משקאות משכרים. המלצת שירות המבחן היתה להשית על הנאשם מאסר בדרך של </w:t>
      </w:r>
      <w:r>
        <w:rPr>
          <w:rFonts w:ascii="Arial" w:hAnsi="Arial" w:hint="cs"/>
          <w:sz w:val="26"/>
          <w:szCs w:val="26"/>
          <w:rtl/>
        </w:rPr>
        <w:t xml:space="preserve">עבודות שירות. בית המשפט קבע כי </w:t>
      </w:r>
      <w:r w:rsidRPr="001863E1">
        <w:rPr>
          <w:rFonts w:ascii="Arial" w:hAnsi="Arial" w:hint="cs"/>
          <w:sz w:val="26"/>
          <w:szCs w:val="26"/>
          <w:rtl/>
        </w:rPr>
        <w:t xml:space="preserve">מתחם </w:t>
      </w:r>
      <w:r>
        <w:rPr>
          <w:rFonts w:ascii="Arial" w:hAnsi="Arial" w:hint="cs"/>
          <w:sz w:val="26"/>
          <w:szCs w:val="26"/>
          <w:rtl/>
        </w:rPr>
        <w:t xml:space="preserve">העונש </w:t>
      </w:r>
      <w:r w:rsidRPr="001863E1">
        <w:rPr>
          <w:rFonts w:ascii="Arial" w:hAnsi="Arial" w:hint="cs"/>
          <w:sz w:val="26"/>
          <w:szCs w:val="26"/>
          <w:rtl/>
        </w:rPr>
        <w:t>ההולם לעבירות נשיאת נשק נע בין שישה חודשי מאסר לשנתיים. בית המשפט שקל את נסיבותיו האישיות של הנאשם, לרבות העובדה כי אשמתו בגין נשיאת הנשק היתה קונסטרוקטיבית בלבד וכי מי שנשא בפועל וירה בנשק היה אדם אחר, ודן את הנאשם ל</w:t>
      </w:r>
      <w:r w:rsidRPr="001863E1">
        <w:rPr>
          <w:rFonts w:ascii="Arial" w:hAnsi="Arial" w:hint="cs"/>
          <w:b/>
          <w:bCs/>
          <w:sz w:val="26"/>
          <w:szCs w:val="26"/>
          <w:rtl/>
        </w:rPr>
        <w:t>שישה חודשי מאסר לריצוי בעבודות שירות</w:t>
      </w:r>
      <w:r w:rsidRPr="001863E1">
        <w:rPr>
          <w:rFonts w:ascii="Arial" w:hAnsi="Arial" w:hint="cs"/>
          <w:sz w:val="26"/>
          <w:szCs w:val="26"/>
          <w:rtl/>
        </w:rPr>
        <w:t>, 6 חודשי מאסר על תנאי וקנס של 10,000 ש"ח.</w:t>
      </w:r>
    </w:p>
    <w:p w14:paraId="1A5CAE5E"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sidRPr="001863E1">
        <w:rPr>
          <w:rFonts w:ascii="Arial" w:hAnsi="Arial" w:hint="cs"/>
          <w:sz w:val="26"/>
          <w:szCs w:val="26"/>
          <w:rtl/>
        </w:rPr>
        <w:t>ב</w:t>
      </w:r>
      <w:hyperlink r:id="rId42" w:history="1">
        <w:r w:rsidR="001E3053" w:rsidRPr="001E3053">
          <w:rPr>
            <w:rFonts w:ascii="Arial" w:hAnsi="Arial"/>
            <w:color w:val="0000FF"/>
            <w:sz w:val="26"/>
            <w:szCs w:val="26"/>
            <w:u w:val="single"/>
            <w:rtl/>
          </w:rPr>
          <w:t>ת"פ (מחוזי חי') 17917-08-10</w:t>
        </w:r>
      </w:hyperlink>
      <w:r w:rsidRPr="001863E1">
        <w:rPr>
          <w:rFonts w:ascii="Arial" w:hAnsi="Arial" w:hint="cs"/>
          <w:b/>
          <w:bCs/>
          <w:sz w:val="26"/>
          <w:szCs w:val="26"/>
          <w:rtl/>
        </w:rPr>
        <w:t xml:space="preserve"> מדינת ישראל נ' פרץ</w:t>
      </w:r>
      <w:r w:rsidRPr="001863E1">
        <w:rPr>
          <w:rFonts w:ascii="Arial" w:hAnsi="Arial" w:hint="cs"/>
          <w:sz w:val="26"/>
          <w:szCs w:val="26"/>
          <w:rtl/>
        </w:rPr>
        <w:t xml:space="preserve"> (17.1.11) נדון עניינו של נאשם שהורשע בעבירות של החזקת נשק (אקדח עט ושלושה כדורים) והחזקת סם לצריכה עצמי. הנאשם טען שהחזיק באקדח לצרכי הגנה עצמית. על הנאשם נגזרו </w:t>
      </w:r>
      <w:r w:rsidRPr="001863E1">
        <w:rPr>
          <w:rFonts w:ascii="Arial" w:hAnsi="Arial" w:hint="cs"/>
          <w:b/>
          <w:bCs/>
          <w:sz w:val="26"/>
          <w:szCs w:val="26"/>
          <w:rtl/>
        </w:rPr>
        <w:t>שישה חודשי מאסר, לריצוי בעבודות שירות</w:t>
      </w:r>
      <w:r w:rsidRPr="001863E1">
        <w:rPr>
          <w:rFonts w:ascii="Arial" w:hAnsi="Arial" w:hint="cs"/>
          <w:sz w:val="26"/>
          <w:szCs w:val="26"/>
          <w:rtl/>
        </w:rPr>
        <w:t xml:space="preserve"> ושמונה חודשי מאסר על תנאי. </w:t>
      </w:r>
    </w:p>
    <w:p w14:paraId="709A108E"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sidRPr="001863E1">
        <w:rPr>
          <w:rFonts w:ascii="Arial" w:hAnsi="Arial" w:hint="cs"/>
          <w:sz w:val="26"/>
          <w:szCs w:val="26"/>
          <w:rtl/>
        </w:rPr>
        <w:t>ב</w:t>
      </w:r>
      <w:hyperlink r:id="rId43" w:history="1">
        <w:r w:rsidR="001E3053" w:rsidRPr="001E3053">
          <w:rPr>
            <w:rFonts w:ascii="Arial" w:hAnsi="Arial"/>
            <w:color w:val="0000FF"/>
            <w:sz w:val="26"/>
            <w:szCs w:val="26"/>
            <w:u w:val="single"/>
            <w:rtl/>
          </w:rPr>
          <w:t>ת"פ (מחוזי חי') 7566-11-09</w:t>
        </w:r>
      </w:hyperlink>
      <w:r w:rsidRPr="001863E1">
        <w:rPr>
          <w:rFonts w:ascii="Arial" w:hAnsi="Arial" w:hint="cs"/>
          <w:b/>
          <w:bCs/>
          <w:sz w:val="26"/>
          <w:szCs w:val="26"/>
          <w:rtl/>
        </w:rPr>
        <w:t xml:space="preserve"> מדינת ישראל נ' סביחאת </w:t>
      </w:r>
      <w:r w:rsidRPr="001863E1">
        <w:rPr>
          <w:rFonts w:ascii="Arial" w:hAnsi="Arial" w:hint="cs"/>
          <w:sz w:val="26"/>
          <w:szCs w:val="26"/>
          <w:rtl/>
        </w:rPr>
        <w:t xml:space="preserve">(4.1.11) נדון עניינו של נאשם שהורשע על פי הודאתו בעבירות לפי </w:t>
      </w:r>
      <w:hyperlink r:id="rId44" w:history="1">
        <w:r w:rsidR="00B127F9" w:rsidRPr="00B127F9">
          <w:rPr>
            <w:rStyle w:val="Hyperlink"/>
            <w:rFonts w:ascii="Arial" w:hAnsi="Arial" w:hint="eastAsia"/>
            <w:sz w:val="26"/>
            <w:szCs w:val="26"/>
            <w:rtl/>
          </w:rPr>
          <w:t>סעיפים</w:t>
        </w:r>
        <w:r w:rsidR="00B127F9" w:rsidRPr="00B127F9">
          <w:rPr>
            <w:rStyle w:val="Hyperlink"/>
            <w:rFonts w:ascii="Arial" w:hAnsi="Arial"/>
            <w:sz w:val="26"/>
            <w:szCs w:val="26"/>
            <w:rtl/>
          </w:rPr>
          <w:t xml:space="preserve"> 144(א)</w:t>
        </w:r>
      </w:hyperlink>
      <w:r w:rsidRPr="001863E1">
        <w:rPr>
          <w:rFonts w:ascii="Arial" w:hAnsi="Arial" w:hint="cs"/>
          <w:sz w:val="26"/>
          <w:szCs w:val="26"/>
          <w:rtl/>
        </w:rPr>
        <w:t xml:space="preserve"> רישא, </w:t>
      </w:r>
      <w:hyperlink r:id="rId45" w:history="1">
        <w:r w:rsidR="00B127F9" w:rsidRPr="00B127F9">
          <w:rPr>
            <w:rFonts w:ascii="Arial" w:hAnsi="Arial"/>
            <w:color w:val="0000FF"/>
            <w:sz w:val="26"/>
            <w:szCs w:val="26"/>
            <w:u w:val="single"/>
            <w:rtl/>
          </w:rPr>
          <w:t>144(ב)</w:t>
        </w:r>
      </w:hyperlink>
      <w:r w:rsidRPr="001863E1">
        <w:rPr>
          <w:rFonts w:ascii="Arial" w:hAnsi="Arial" w:hint="cs"/>
          <w:sz w:val="26"/>
          <w:szCs w:val="26"/>
          <w:rtl/>
        </w:rPr>
        <w:t xml:space="preserve"> רישא </w:t>
      </w:r>
      <w:hyperlink r:id="rId46" w:history="1">
        <w:r w:rsidR="00B127F9" w:rsidRPr="00B127F9">
          <w:rPr>
            <w:rFonts w:ascii="Arial" w:hAnsi="Arial"/>
            <w:color w:val="0000FF"/>
            <w:sz w:val="26"/>
            <w:szCs w:val="26"/>
            <w:u w:val="single"/>
            <w:rtl/>
          </w:rPr>
          <w:t>וסעיף 144(ג)</w:t>
        </w:r>
      </w:hyperlink>
      <w:r w:rsidRPr="001863E1">
        <w:rPr>
          <w:rFonts w:ascii="Arial" w:hAnsi="Arial" w:hint="cs"/>
          <w:sz w:val="26"/>
          <w:szCs w:val="26"/>
          <w:rtl/>
        </w:rPr>
        <w:t xml:space="preserve"> ב</w:t>
      </w:r>
      <w:hyperlink r:id="rId47" w:history="1">
        <w:r w:rsidR="001E3053" w:rsidRPr="001E3053">
          <w:rPr>
            <w:rFonts w:ascii="Arial" w:hAnsi="Arial"/>
            <w:color w:val="0000FF"/>
            <w:sz w:val="26"/>
            <w:szCs w:val="26"/>
            <w:u w:val="single"/>
            <w:rtl/>
          </w:rPr>
          <w:t>חוק העונשין</w:t>
        </w:r>
      </w:hyperlink>
      <w:r w:rsidRPr="001863E1">
        <w:rPr>
          <w:rFonts w:ascii="Arial" w:hAnsi="Arial" w:hint="cs"/>
          <w:sz w:val="26"/>
          <w:szCs w:val="26"/>
          <w:rtl/>
        </w:rPr>
        <w:t>. זאת משום שנשא, הוביל והחזיק שלא כדין נשק ברכבו מתחת לריפוד במושב שליד הנהג. אציין</w:t>
      </w:r>
      <w:r>
        <w:rPr>
          <w:rFonts w:ascii="Arial" w:hAnsi="Arial" w:hint="cs"/>
          <w:sz w:val="26"/>
          <w:szCs w:val="26"/>
          <w:rtl/>
        </w:rPr>
        <w:t>,</w:t>
      </w:r>
      <w:r w:rsidRPr="001863E1">
        <w:rPr>
          <w:rFonts w:ascii="Arial" w:hAnsi="Arial" w:hint="cs"/>
          <w:sz w:val="26"/>
          <w:szCs w:val="26"/>
          <w:rtl/>
        </w:rPr>
        <w:t xml:space="preserve"> כי בדיקת מעבדת הנשק במטה הארצי של משטרת ישראל קבעה כי מדובר באקדח שאינו תקין ולא ניתן לבצע בו ירי במצב בו התקבל לבדיקה, ולדבר ניתן משקל עת נגזר דין הנאשם ל</w:t>
      </w:r>
      <w:r w:rsidRPr="001863E1">
        <w:rPr>
          <w:rFonts w:ascii="Arial" w:hAnsi="Arial" w:hint="cs"/>
          <w:b/>
          <w:bCs/>
          <w:sz w:val="26"/>
          <w:szCs w:val="26"/>
          <w:rtl/>
        </w:rPr>
        <w:t>שישה חודשי מאסר לריצוי בעבודות שירות</w:t>
      </w:r>
      <w:r w:rsidRPr="001863E1">
        <w:rPr>
          <w:rFonts w:ascii="Arial" w:hAnsi="Arial" w:hint="cs"/>
          <w:sz w:val="26"/>
          <w:szCs w:val="26"/>
          <w:rtl/>
        </w:rPr>
        <w:t>, 10 חודשי מאסר על תנאי וקנס בסך 3,000 ₪.</w:t>
      </w:r>
    </w:p>
    <w:p w14:paraId="617A1191"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sidRPr="001863E1">
        <w:rPr>
          <w:rFonts w:ascii="Arial" w:hAnsi="Arial" w:hint="cs"/>
          <w:sz w:val="26"/>
          <w:szCs w:val="26"/>
          <w:rtl/>
        </w:rPr>
        <w:t xml:space="preserve">לבקשת המאשימה עיינתי גם בת"פ (שלום נצ') 52445-07-12 </w:t>
      </w:r>
      <w:r w:rsidRPr="001863E1">
        <w:rPr>
          <w:rFonts w:ascii="Arial" w:hAnsi="Arial" w:hint="cs"/>
          <w:b/>
          <w:bCs/>
          <w:sz w:val="26"/>
          <w:szCs w:val="26"/>
          <w:rtl/>
        </w:rPr>
        <w:t>מדינת ישראל נ' זועבי</w:t>
      </w:r>
      <w:r w:rsidRPr="001863E1">
        <w:rPr>
          <w:rFonts w:ascii="Arial" w:hAnsi="Arial" w:hint="cs"/>
          <w:sz w:val="26"/>
          <w:szCs w:val="26"/>
          <w:rtl/>
        </w:rPr>
        <w:t xml:space="preserve"> (3.6.13), שעניינו מזכיר את זה שבפניי. שם הורשע הנאשם, שלו עבר פלילי נושן, על פי הודאתו, בהחזקת נשק ותחמושת (אקדח וכ-88 כדורים), עבירות לפי </w:t>
      </w:r>
      <w:hyperlink r:id="rId48" w:history="1">
        <w:r w:rsidR="00B127F9" w:rsidRPr="00B127F9">
          <w:rPr>
            <w:rFonts w:ascii="Arial" w:hAnsi="Arial"/>
            <w:color w:val="0000FF"/>
            <w:sz w:val="26"/>
            <w:szCs w:val="26"/>
            <w:u w:val="single"/>
            <w:rtl/>
          </w:rPr>
          <w:t>סעיף 144(א)</w:t>
        </w:r>
      </w:hyperlink>
      <w:r w:rsidRPr="001863E1">
        <w:rPr>
          <w:rFonts w:ascii="Arial" w:hAnsi="Arial" w:hint="cs"/>
          <w:sz w:val="26"/>
          <w:szCs w:val="26"/>
          <w:rtl/>
        </w:rPr>
        <w:t xml:space="preserve"> רישא וסיפא. גם שם טען הנאשם, כי רכש את האקדח לצורכי הגנה עצמית</w:t>
      </w:r>
      <w:r>
        <w:rPr>
          <w:rFonts w:ascii="Arial" w:hAnsi="Arial" w:hint="cs"/>
          <w:sz w:val="26"/>
          <w:szCs w:val="26"/>
          <w:rtl/>
        </w:rPr>
        <w:t xml:space="preserve"> </w:t>
      </w:r>
      <w:r w:rsidRPr="001863E1">
        <w:rPr>
          <w:rFonts w:ascii="Arial" w:hAnsi="Arial" w:hint="cs"/>
          <w:sz w:val="26"/>
          <w:szCs w:val="26"/>
          <w:rtl/>
        </w:rPr>
        <w:t xml:space="preserve">וכי פרנסת משפחתו תלויה בעבודתו, אשר חשש שתפגע. שירות המבחן המליץ על עונש בדמות </w:t>
      </w:r>
      <w:r>
        <w:rPr>
          <w:rFonts w:ascii="Arial" w:hAnsi="Arial" w:hint="cs"/>
          <w:sz w:val="26"/>
          <w:szCs w:val="26"/>
          <w:rtl/>
        </w:rPr>
        <w:t>שירות</w:t>
      </w:r>
      <w:r w:rsidRPr="001863E1">
        <w:rPr>
          <w:rFonts w:ascii="Arial" w:hAnsi="Arial" w:hint="cs"/>
          <w:sz w:val="26"/>
          <w:szCs w:val="26"/>
          <w:rtl/>
        </w:rPr>
        <w:t xml:space="preserve"> לתועלת הציבור. בית משפט השלום קבע מתחם עונש שנע בין שמונה חודשי מאסר ל-16 חודש מאסר, וגזר על הנאשם מאסר בפועל של 10 חודשים, מאסר על תנאי של 10 חודשים וקנס בסכום של 5,000 ש"ח. ברם, בערעור על פסק דין זה (</w:t>
      </w:r>
      <w:hyperlink r:id="rId49" w:history="1">
        <w:r w:rsidR="001E3053" w:rsidRPr="001E3053">
          <w:rPr>
            <w:rFonts w:ascii="Arial" w:hAnsi="Arial"/>
            <w:color w:val="0000FF"/>
            <w:sz w:val="26"/>
            <w:szCs w:val="26"/>
            <w:u w:val="single"/>
            <w:rtl/>
          </w:rPr>
          <w:t>ע"פ (מחוזי נצ') 53396-06-13</w:t>
        </w:r>
      </w:hyperlink>
      <w:r w:rsidRPr="001863E1">
        <w:rPr>
          <w:rFonts w:ascii="Arial" w:hAnsi="Arial" w:hint="cs"/>
          <w:sz w:val="26"/>
          <w:szCs w:val="26"/>
          <w:rtl/>
        </w:rPr>
        <w:t xml:space="preserve"> </w:t>
      </w:r>
      <w:r w:rsidRPr="001863E1">
        <w:rPr>
          <w:rFonts w:ascii="Arial" w:hAnsi="Arial" w:hint="cs"/>
          <w:b/>
          <w:bCs/>
          <w:sz w:val="26"/>
          <w:szCs w:val="26"/>
          <w:rtl/>
        </w:rPr>
        <w:t>זועבי נ' מדינת ישראל</w:t>
      </w:r>
      <w:r w:rsidRPr="001863E1">
        <w:rPr>
          <w:rFonts w:ascii="Arial" w:hAnsi="Arial" w:hint="cs"/>
          <w:sz w:val="26"/>
          <w:szCs w:val="26"/>
          <w:rtl/>
        </w:rPr>
        <w:t xml:space="preserve"> (29.10.13)) </w:t>
      </w:r>
      <w:r w:rsidRPr="001863E1">
        <w:rPr>
          <w:rFonts w:ascii="Arial" w:hAnsi="Arial"/>
          <w:sz w:val="26"/>
          <w:szCs w:val="26"/>
          <w:rtl/>
        </w:rPr>
        <w:t>–</w:t>
      </w:r>
      <w:r w:rsidRPr="001863E1">
        <w:rPr>
          <w:rFonts w:ascii="Arial" w:hAnsi="Arial" w:hint="cs"/>
          <w:sz w:val="26"/>
          <w:szCs w:val="26"/>
          <w:rtl/>
        </w:rPr>
        <w:t xml:space="preserve"> </w:t>
      </w:r>
      <w:r w:rsidRPr="001863E1">
        <w:rPr>
          <w:rFonts w:ascii="Arial" w:hAnsi="Arial" w:hint="cs"/>
          <w:sz w:val="26"/>
          <w:szCs w:val="26"/>
          <w:u w:val="single"/>
          <w:rtl/>
        </w:rPr>
        <w:t>שלא הוגש לי</w:t>
      </w:r>
      <w:r w:rsidRPr="001863E1">
        <w:rPr>
          <w:rFonts w:ascii="Arial" w:hAnsi="Arial" w:hint="cs"/>
          <w:sz w:val="26"/>
          <w:szCs w:val="26"/>
          <w:rtl/>
        </w:rPr>
        <w:t xml:space="preserve"> </w:t>
      </w:r>
      <w:r w:rsidRPr="001863E1">
        <w:rPr>
          <w:rFonts w:ascii="Arial" w:hAnsi="Arial"/>
          <w:sz w:val="26"/>
          <w:szCs w:val="26"/>
          <w:rtl/>
        </w:rPr>
        <w:t>–</w:t>
      </w:r>
      <w:r w:rsidRPr="001863E1">
        <w:rPr>
          <w:rFonts w:ascii="Arial" w:hAnsi="Arial" w:hint="cs"/>
          <w:sz w:val="26"/>
          <w:szCs w:val="26"/>
          <w:rtl/>
        </w:rPr>
        <w:t xml:space="preserve"> הורחב מתחם העונש, ונקבע על 6 חודשי מאסר עד 20 חודשי מאסר, </w:t>
      </w:r>
      <w:r w:rsidRPr="001863E1">
        <w:rPr>
          <w:rFonts w:ascii="Arial" w:hAnsi="Arial" w:hint="cs"/>
          <w:sz w:val="26"/>
          <w:szCs w:val="26"/>
          <w:u w:val="single"/>
          <w:rtl/>
        </w:rPr>
        <w:t>ועונשו של הנאשם הופחת</w:t>
      </w:r>
      <w:r w:rsidRPr="001863E1">
        <w:rPr>
          <w:rFonts w:ascii="Arial" w:hAnsi="Arial" w:hint="cs"/>
          <w:sz w:val="26"/>
          <w:szCs w:val="26"/>
          <w:rtl/>
        </w:rPr>
        <w:t xml:space="preserve"> לשבעה חודשי מאסר בפועל.</w:t>
      </w:r>
    </w:p>
    <w:p w14:paraId="2300DCCA"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sidRPr="00DA79FD">
        <w:rPr>
          <w:rFonts w:ascii="Arial" w:hAnsi="Arial" w:hint="cs"/>
          <w:sz w:val="26"/>
          <w:szCs w:val="26"/>
          <w:rtl/>
        </w:rPr>
        <w:t>כן הפנתה אותי המאשימה ל</w:t>
      </w:r>
      <w:hyperlink r:id="rId50" w:history="1">
        <w:r w:rsidR="001E3053" w:rsidRPr="001E3053">
          <w:rPr>
            <w:rFonts w:ascii="Arial" w:hAnsi="Arial"/>
            <w:color w:val="0000FF"/>
            <w:sz w:val="26"/>
            <w:szCs w:val="26"/>
            <w:u w:val="single"/>
            <w:rtl/>
          </w:rPr>
          <w:t>ת"פ (שלום רמ') 35552-12-11</w:t>
        </w:r>
      </w:hyperlink>
      <w:r w:rsidRPr="00DA79FD">
        <w:rPr>
          <w:rFonts w:ascii="Arial" w:hAnsi="Arial" w:hint="cs"/>
          <w:sz w:val="26"/>
          <w:szCs w:val="26"/>
          <w:rtl/>
        </w:rPr>
        <w:t xml:space="preserve"> </w:t>
      </w:r>
      <w:r w:rsidRPr="00DA79FD">
        <w:rPr>
          <w:rFonts w:ascii="Arial" w:hAnsi="Arial" w:hint="cs"/>
          <w:b/>
          <w:bCs/>
          <w:sz w:val="26"/>
          <w:szCs w:val="26"/>
          <w:rtl/>
        </w:rPr>
        <w:t>מדינת ישראל נ' אבו עבייד</w:t>
      </w:r>
      <w:r w:rsidRPr="00DA79FD">
        <w:rPr>
          <w:rFonts w:ascii="Arial" w:hAnsi="Arial" w:hint="cs"/>
          <w:sz w:val="26"/>
          <w:szCs w:val="26"/>
          <w:rtl/>
        </w:rPr>
        <w:t xml:space="preserve"> (1.5.13)</w:t>
      </w:r>
      <w:r>
        <w:rPr>
          <w:rFonts w:ascii="Arial" w:hAnsi="Arial" w:hint="cs"/>
          <w:sz w:val="26"/>
          <w:szCs w:val="26"/>
          <w:rtl/>
        </w:rPr>
        <w:t xml:space="preserve">, שם הורשע הנאשם בהחזקת אקדח שהיה עטוף בגרב בארון הבגדים ונגזרו עליו שבעה חודשי מאסר בפועל, מאסר על תנאי וקנס בסך 1,000 ש"ח. </w:t>
      </w:r>
      <w:r w:rsidRPr="00DA79FD">
        <w:rPr>
          <w:rFonts w:ascii="Arial" w:hAnsi="Arial" w:hint="cs"/>
          <w:sz w:val="26"/>
          <w:szCs w:val="26"/>
          <w:rtl/>
        </w:rPr>
        <w:t xml:space="preserve">אלא שגם על תיק זה הוגש ערעור, </w:t>
      </w:r>
      <w:r>
        <w:rPr>
          <w:rFonts w:ascii="Arial" w:hAnsi="Arial" w:hint="cs"/>
          <w:sz w:val="26"/>
          <w:szCs w:val="26"/>
          <w:rtl/>
        </w:rPr>
        <w:t>ש</w:t>
      </w:r>
      <w:r w:rsidRPr="00DA79FD">
        <w:rPr>
          <w:rFonts w:ascii="Arial" w:hAnsi="Arial" w:hint="cs"/>
          <w:sz w:val="26"/>
          <w:szCs w:val="26"/>
          <w:rtl/>
        </w:rPr>
        <w:t>לא ה</w:t>
      </w:r>
      <w:r>
        <w:rPr>
          <w:rFonts w:ascii="Arial" w:hAnsi="Arial" w:hint="cs"/>
          <w:sz w:val="26"/>
          <w:szCs w:val="26"/>
          <w:rtl/>
        </w:rPr>
        <w:t>ו</w:t>
      </w:r>
      <w:r w:rsidRPr="00DA79FD">
        <w:rPr>
          <w:rFonts w:ascii="Arial" w:hAnsi="Arial" w:hint="cs"/>
          <w:sz w:val="26"/>
          <w:szCs w:val="26"/>
          <w:rtl/>
        </w:rPr>
        <w:t>גש</w:t>
      </w:r>
      <w:r>
        <w:rPr>
          <w:rFonts w:ascii="Arial" w:hAnsi="Arial" w:hint="cs"/>
          <w:sz w:val="26"/>
          <w:szCs w:val="26"/>
          <w:rtl/>
        </w:rPr>
        <w:t xml:space="preserve"> הגם שנדמה שנדחה</w:t>
      </w:r>
      <w:r w:rsidRPr="00DA79FD">
        <w:rPr>
          <w:rFonts w:ascii="Arial" w:hAnsi="Arial" w:hint="cs"/>
          <w:sz w:val="26"/>
          <w:szCs w:val="26"/>
          <w:rtl/>
        </w:rPr>
        <w:t xml:space="preserve"> (</w:t>
      </w:r>
      <w:r>
        <w:rPr>
          <w:rFonts w:ascii="Arial" w:hAnsi="Arial" w:hint="cs"/>
          <w:sz w:val="26"/>
          <w:szCs w:val="26"/>
          <w:rtl/>
        </w:rPr>
        <w:t xml:space="preserve">המדובר בפסק דין שאינו נגיש לי - </w:t>
      </w:r>
      <w:hyperlink r:id="rId51" w:history="1">
        <w:r w:rsidR="001E3053" w:rsidRPr="001E3053">
          <w:rPr>
            <w:rFonts w:ascii="Arial" w:hAnsi="Arial"/>
            <w:color w:val="0000FF"/>
            <w:sz w:val="26"/>
            <w:szCs w:val="26"/>
            <w:u w:val="single"/>
            <w:rtl/>
          </w:rPr>
          <w:t>עפ"ג (מחוזי מרכז) 30233-05-13</w:t>
        </w:r>
      </w:hyperlink>
      <w:r w:rsidRPr="00DA79FD">
        <w:rPr>
          <w:rFonts w:ascii="Arial" w:hAnsi="Arial" w:hint="cs"/>
          <w:sz w:val="26"/>
          <w:szCs w:val="26"/>
          <w:rtl/>
        </w:rPr>
        <w:t xml:space="preserve"> </w:t>
      </w:r>
      <w:r w:rsidRPr="00DA79FD">
        <w:rPr>
          <w:rFonts w:ascii="Arial" w:hAnsi="Arial" w:hint="cs"/>
          <w:b/>
          <w:bCs/>
          <w:sz w:val="26"/>
          <w:szCs w:val="26"/>
          <w:rtl/>
        </w:rPr>
        <w:t>אבו עבייד נ' מדינת ישראל</w:t>
      </w:r>
      <w:r w:rsidRPr="00DA79FD">
        <w:rPr>
          <w:rFonts w:ascii="Arial" w:hAnsi="Arial" w:hint="cs"/>
          <w:sz w:val="26"/>
          <w:szCs w:val="26"/>
          <w:rtl/>
        </w:rPr>
        <w:t xml:space="preserve"> (13.10.13)</w:t>
      </w:r>
      <w:r w:rsidRPr="00DA79FD">
        <w:rPr>
          <w:rFonts w:ascii="Arial" w:hAnsi="Arial" w:hint="cs"/>
          <w:b/>
          <w:bCs/>
          <w:sz w:val="26"/>
          <w:szCs w:val="26"/>
          <w:rtl/>
        </w:rPr>
        <w:t xml:space="preserve">. </w:t>
      </w:r>
    </w:p>
    <w:p w14:paraId="7323078C"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sidRPr="00DA79FD">
        <w:rPr>
          <w:rFonts w:ascii="Arial" w:hAnsi="Arial" w:hint="cs"/>
          <w:sz w:val="26"/>
          <w:szCs w:val="26"/>
          <w:rtl/>
        </w:rPr>
        <w:t>עוד הפנתה אותי המאשימה ל</w:t>
      </w:r>
      <w:hyperlink r:id="rId52" w:history="1">
        <w:r w:rsidR="001E3053" w:rsidRPr="001E3053">
          <w:rPr>
            <w:rFonts w:ascii="Arial" w:hAnsi="Arial"/>
            <w:color w:val="0000FF"/>
            <w:sz w:val="26"/>
            <w:szCs w:val="26"/>
            <w:u w:val="single"/>
            <w:rtl/>
          </w:rPr>
          <w:t>ת"פ (שלום פ"ת) 47766-07-12</w:t>
        </w:r>
      </w:hyperlink>
      <w:r w:rsidRPr="00DA79FD">
        <w:rPr>
          <w:rFonts w:ascii="Arial" w:hAnsi="Arial" w:hint="cs"/>
          <w:sz w:val="26"/>
          <w:szCs w:val="26"/>
          <w:rtl/>
        </w:rPr>
        <w:t xml:space="preserve"> </w:t>
      </w:r>
      <w:r w:rsidRPr="00DA79FD">
        <w:rPr>
          <w:rFonts w:ascii="Arial" w:hAnsi="Arial" w:hint="cs"/>
          <w:b/>
          <w:bCs/>
          <w:sz w:val="26"/>
          <w:szCs w:val="26"/>
          <w:rtl/>
        </w:rPr>
        <w:t>מדינת ישראל נ' ריאן</w:t>
      </w:r>
      <w:r w:rsidRPr="00DA79FD">
        <w:rPr>
          <w:rFonts w:ascii="Arial" w:hAnsi="Arial" w:hint="cs"/>
          <w:sz w:val="26"/>
          <w:szCs w:val="26"/>
          <w:rtl/>
        </w:rPr>
        <w:t xml:space="preserve"> (15.1.14), </w:t>
      </w:r>
      <w:r>
        <w:rPr>
          <w:rFonts w:ascii="Arial" w:hAnsi="Arial" w:hint="cs"/>
          <w:sz w:val="26"/>
          <w:szCs w:val="26"/>
          <w:rtl/>
        </w:rPr>
        <w:t>בו נגזר על הנאשם תשעה חודשי מאסר בפועל, ומאסר על תנאי. גם על זה</w:t>
      </w:r>
      <w:r w:rsidRPr="00DA79FD">
        <w:rPr>
          <w:rFonts w:ascii="Arial" w:hAnsi="Arial" w:hint="cs"/>
          <w:sz w:val="26"/>
          <w:szCs w:val="26"/>
          <w:rtl/>
        </w:rPr>
        <w:t xml:space="preserve"> הוגש ערעור, שנדחה </w:t>
      </w:r>
      <w:r w:rsidRPr="00DA79FD">
        <w:rPr>
          <w:rFonts w:ascii="Arial" w:hAnsi="Arial"/>
          <w:sz w:val="26"/>
          <w:szCs w:val="26"/>
          <w:rtl/>
        </w:rPr>
        <w:t>–</w:t>
      </w:r>
      <w:r w:rsidRPr="00DA79FD">
        <w:rPr>
          <w:rFonts w:ascii="Arial" w:hAnsi="Arial" w:hint="cs"/>
          <w:sz w:val="26"/>
          <w:szCs w:val="26"/>
          <w:rtl/>
        </w:rPr>
        <w:t xml:space="preserve"> </w:t>
      </w:r>
      <w:hyperlink r:id="rId53" w:history="1">
        <w:r w:rsidR="001E3053" w:rsidRPr="001E3053">
          <w:rPr>
            <w:rFonts w:ascii="Arial" w:hAnsi="Arial"/>
            <w:color w:val="0000FF"/>
            <w:sz w:val="26"/>
            <w:szCs w:val="26"/>
            <w:u w:val="single"/>
            <w:rtl/>
          </w:rPr>
          <w:t>ע"פ (מחוזי מרכז) 57617-02-14</w:t>
        </w:r>
      </w:hyperlink>
      <w:r w:rsidRPr="00DA79FD">
        <w:rPr>
          <w:rFonts w:ascii="Arial" w:hAnsi="Arial" w:hint="cs"/>
          <w:sz w:val="26"/>
          <w:szCs w:val="26"/>
          <w:rtl/>
        </w:rPr>
        <w:t xml:space="preserve"> </w:t>
      </w:r>
      <w:r w:rsidRPr="00DA79FD">
        <w:rPr>
          <w:rFonts w:ascii="Arial" w:hAnsi="Arial" w:hint="cs"/>
          <w:b/>
          <w:bCs/>
          <w:sz w:val="26"/>
          <w:szCs w:val="26"/>
          <w:rtl/>
        </w:rPr>
        <w:t>ריאן נ' מדינת ישראל</w:t>
      </w:r>
      <w:r w:rsidRPr="00DA79FD">
        <w:rPr>
          <w:rFonts w:ascii="Arial" w:hAnsi="Arial" w:hint="cs"/>
          <w:sz w:val="26"/>
          <w:szCs w:val="26"/>
          <w:rtl/>
        </w:rPr>
        <w:t xml:space="preserve"> (16.11.14).</w:t>
      </w:r>
    </w:p>
    <w:p w14:paraId="21E581B8"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Pr>
          <w:rFonts w:ascii="Arial" w:hAnsi="Arial" w:hint="cs"/>
          <w:sz w:val="26"/>
          <w:szCs w:val="26"/>
          <w:rtl/>
        </w:rPr>
        <w:t>כן</w:t>
      </w:r>
      <w:r w:rsidRPr="00DA79FD">
        <w:rPr>
          <w:rFonts w:ascii="Arial" w:hAnsi="Arial" w:hint="cs"/>
          <w:sz w:val="26"/>
          <w:szCs w:val="26"/>
          <w:rtl/>
        </w:rPr>
        <w:t xml:space="preserve"> הופניתי ל</w:t>
      </w:r>
      <w:hyperlink r:id="rId54" w:history="1">
        <w:r w:rsidR="001E3053" w:rsidRPr="001E3053">
          <w:rPr>
            <w:rFonts w:ascii="Arial" w:hAnsi="Arial"/>
            <w:color w:val="0000FF"/>
            <w:sz w:val="26"/>
            <w:szCs w:val="26"/>
            <w:u w:val="single"/>
            <w:rtl/>
          </w:rPr>
          <w:t>ת"פ (שלום עכו) 19862-07-09</w:t>
        </w:r>
      </w:hyperlink>
      <w:r w:rsidRPr="00DA79FD">
        <w:rPr>
          <w:rFonts w:ascii="Arial" w:hAnsi="Arial" w:hint="cs"/>
          <w:sz w:val="26"/>
          <w:szCs w:val="26"/>
          <w:rtl/>
        </w:rPr>
        <w:t xml:space="preserve"> </w:t>
      </w:r>
      <w:r w:rsidRPr="00DA79FD">
        <w:rPr>
          <w:rFonts w:ascii="Arial" w:hAnsi="Arial" w:hint="cs"/>
          <w:b/>
          <w:bCs/>
          <w:sz w:val="26"/>
          <w:szCs w:val="26"/>
          <w:rtl/>
        </w:rPr>
        <w:t>מדינת ישראל נ' אבו דבי</w:t>
      </w:r>
      <w:r w:rsidRPr="00DA79FD">
        <w:rPr>
          <w:rFonts w:ascii="Arial" w:hAnsi="Arial" w:hint="cs"/>
          <w:sz w:val="26"/>
          <w:szCs w:val="26"/>
          <w:rtl/>
        </w:rPr>
        <w:t xml:space="preserve"> (17.12.13) </w:t>
      </w:r>
      <w:r w:rsidRPr="00DA79FD">
        <w:rPr>
          <w:rFonts w:ascii="Arial" w:hAnsi="Arial" w:hint="cs"/>
          <w:sz w:val="26"/>
          <w:szCs w:val="26"/>
          <w:u w:val="single"/>
          <w:rtl/>
        </w:rPr>
        <w:t>עליו הוגש ערעור, שהתקבל והעונש הופחת</w:t>
      </w:r>
      <w:r>
        <w:rPr>
          <w:rFonts w:ascii="Arial" w:hAnsi="Arial" w:hint="cs"/>
          <w:sz w:val="26"/>
          <w:szCs w:val="26"/>
          <w:u w:val="single"/>
          <w:rtl/>
        </w:rPr>
        <w:t xml:space="preserve"> מ-10 חודשי מאסר בפועל לשישה חודשי מאסר לריצוי בעבודות שירות</w:t>
      </w:r>
      <w:r w:rsidRPr="00DA79FD">
        <w:rPr>
          <w:rFonts w:ascii="Arial" w:hAnsi="Arial" w:hint="cs"/>
          <w:sz w:val="26"/>
          <w:szCs w:val="26"/>
          <w:rtl/>
        </w:rPr>
        <w:t xml:space="preserve"> (</w:t>
      </w:r>
      <w:hyperlink r:id="rId55" w:history="1">
        <w:r w:rsidR="001E3053" w:rsidRPr="001E3053">
          <w:rPr>
            <w:rFonts w:ascii="Arial" w:hAnsi="Arial"/>
            <w:color w:val="0000FF"/>
            <w:sz w:val="26"/>
            <w:szCs w:val="26"/>
            <w:u w:val="single"/>
            <w:rtl/>
          </w:rPr>
          <w:t>עפ"ג (מחוזי חי') 30827-01-14</w:t>
        </w:r>
      </w:hyperlink>
      <w:r w:rsidRPr="00DA79FD">
        <w:rPr>
          <w:rFonts w:ascii="Arial" w:hAnsi="Arial" w:hint="cs"/>
          <w:sz w:val="26"/>
          <w:szCs w:val="26"/>
          <w:rtl/>
        </w:rPr>
        <w:t xml:space="preserve"> </w:t>
      </w:r>
      <w:r w:rsidRPr="00DA79FD">
        <w:rPr>
          <w:rFonts w:ascii="Arial" w:hAnsi="Arial" w:hint="cs"/>
          <w:b/>
          <w:bCs/>
          <w:sz w:val="26"/>
          <w:szCs w:val="26"/>
          <w:rtl/>
        </w:rPr>
        <w:t>אבו דבי נ' מדינת ישראל</w:t>
      </w:r>
      <w:r w:rsidRPr="00DA79FD">
        <w:rPr>
          <w:rFonts w:ascii="Arial" w:hAnsi="Arial" w:hint="cs"/>
          <w:sz w:val="26"/>
          <w:szCs w:val="26"/>
          <w:rtl/>
        </w:rPr>
        <w:t xml:space="preserve"> (3.4.14).</w:t>
      </w:r>
    </w:p>
    <w:p w14:paraId="7CAE2D0F"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sidRPr="00DA79FD">
        <w:rPr>
          <w:rFonts w:ascii="Arial" w:hAnsi="Arial" w:hint="cs"/>
          <w:sz w:val="26"/>
          <w:szCs w:val="26"/>
          <w:rtl/>
        </w:rPr>
        <w:t>מצער הדבר, כי גם הסניגור חטא באמור, עת הפנה אותי ל</w:t>
      </w:r>
      <w:hyperlink r:id="rId56" w:history="1">
        <w:r w:rsidR="001E3053" w:rsidRPr="001E3053">
          <w:rPr>
            <w:rFonts w:ascii="Arial" w:hAnsi="Arial"/>
            <w:color w:val="0000FF"/>
            <w:sz w:val="26"/>
            <w:szCs w:val="26"/>
            <w:u w:val="single"/>
            <w:rtl/>
          </w:rPr>
          <w:t>ת"פ (שלום פ"ת) 7434-05-10</w:t>
        </w:r>
      </w:hyperlink>
      <w:r w:rsidRPr="00DA79FD">
        <w:rPr>
          <w:rFonts w:ascii="Arial" w:hAnsi="Arial" w:hint="cs"/>
          <w:sz w:val="26"/>
          <w:szCs w:val="26"/>
          <w:rtl/>
        </w:rPr>
        <w:t xml:space="preserve"> </w:t>
      </w:r>
      <w:r w:rsidRPr="00DA79FD">
        <w:rPr>
          <w:rFonts w:ascii="Arial" w:hAnsi="Arial" w:hint="cs"/>
          <w:b/>
          <w:bCs/>
          <w:sz w:val="26"/>
          <w:szCs w:val="26"/>
          <w:rtl/>
        </w:rPr>
        <w:t>מדינת ישראל נ' סובובסקי</w:t>
      </w:r>
      <w:r w:rsidRPr="00DA79FD">
        <w:rPr>
          <w:rFonts w:ascii="Arial" w:hAnsi="Arial" w:hint="cs"/>
          <w:sz w:val="26"/>
          <w:szCs w:val="26"/>
          <w:rtl/>
        </w:rPr>
        <w:t xml:space="preserve"> (12.05.11), מבלי להפנותי גם לערעור</w:t>
      </w:r>
      <w:r>
        <w:rPr>
          <w:rFonts w:ascii="Arial" w:hAnsi="Arial" w:hint="cs"/>
          <w:sz w:val="26"/>
          <w:szCs w:val="26"/>
          <w:rtl/>
        </w:rPr>
        <w:t xml:space="preserve"> (</w:t>
      </w:r>
      <w:hyperlink r:id="rId57" w:history="1">
        <w:r w:rsidR="001E3053" w:rsidRPr="001E3053">
          <w:rPr>
            <w:rFonts w:ascii="Arial" w:hAnsi="Arial"/>
            <w:color w:val="0000FF"/>
            <w:sz w:val="26"/>
            <w:szCs w:val="26"/>
            <w:u w:val="single"/>
            <w:rtl/>
          </w:rPr>
          <w:t>עפ"ג (מחוזי מרכז) 57074-05-11</w:t>
        </w:r>
      </w:hyperlink>
      <w:r w:rsidRPr="00DA79FD">
        <w:rPr>
          <w:rFonts w:ascii="Arial" w:hAnsi="Arial" w:hint="cs"/>
          <w:sz w:val="26"/>
          <w:szCs w:val="26"/>
          <w:rtl/>
        </w:rPr>
        <w:t xml:space="preserve"> </w:t>
      </w:r>
      <w:r w:rsidRPr="00DA79FD">
        <w:rPr>
          <w:rFonts w:ascii="Arial" w:hAnsi="Arial" w:hint="cs"/>
          <w:b/>
          <w:bCs/>
          <w:sz w:val="26"/>
          <w:szCs w:val="26"/>
          <w:rtl/>
        </w:rPr>
        <w:t>סובובסקי נ' מדינת ישראל</w:t>
      </w:r>
      <w:r w:rsidRPr="00DA79FD">
        <w:rPr>
          <w:rFonts w:ascii="Arial" w:hAnsi="Arial" w:hint="cs"/>
          <w:sz w:val="26"/>
          <w:szCs w:val="26"/>
          <w:rtl/>
        </w:rPr>
        <w:t xml:space="preserve"> (8.8.11). כך או אחרת מדובר במקרה השונה מהותית מזה שבפניי.</w:t>
      </w:r>
    </w:p>
    <w:p w14:paraId="410381A6"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sidRPr="00DA79FD">
        <w:rPr>
          <w:rFonts w:ascii="Arial" w:hAnsi="Arial" w:hint="cs"/>
          <w:sz w:val="26"/>
          <w:szCs w:val="26"/>
          <w:rtl/>
        </w:rPr>
        <w:t xml:space="preserve">סבורני, כי טוב יעשו </w:t>
      </w:r>
      <w:r>
        <w:rPr>
          <w:rFonts w:ascii="Arial" w:hAnsi="Arial" w:hint="cs"/>
          <w:sz w:val="26"/>
          <w:szCs w:val="26"/>
          <w:rtl/>
        </w:rPr>
        <w:t xml:space="preserve">ב"כ </w:t>
      </w:r>
      <w:r w:rsidRPr="00DA79FD">
        <w:rPr>
          <w:rFonts w:ascii="Arial" w:hAnsi="Arial" w:hint="cs"/>
          <w:sz w:val="26"/>
          <w:szCs w:val="26"/>
          <w:rtl/>
        </w:rPr>
        <w:t>הצדדים אם להבא, כאשר יגישו פסיקה, יצרפו גם את פסקי הדין בערעור, ו</w:t>
      </w:r>
      <w:r>
        <w:rPr>
          <w:rFonts w:ascii="Arial" w:hAnsi="Arial" w:hint="cs"/>
          <w:sz w:val="26"/>
          <w:szCs w:val="26"/>
          <w:rtl/>
        </w:rPr>
        <w:t>בוודאי כי הם נדרשים לעשות כן</w:t>
      </w:r>
      <w:r w:rsidRPr="00DA79FD">
        <w:rPr>
          <w:rFonts w:ascii="Arial" w:hAnsi="Arial" w:hint="cs"/>
          <w:sz w:val="26"/>
          <w:szCs w:val="26"/>
          <w:rtl/>
        </w:rPr>
        <w:t xml:space="preserve"> כאשר הערעור מתקבל. </w:t>
      </w:r>
    </w:p>
    <w:p w14:paraId="3E91980B" w14:textId="77777777" w:rsidR="00CA7CF6" w:rsidRDefault="00CA7CF6" w:rsidP="00CA7CF6">
      <w:pPr>
        <w:pStyle w:val="ListParagraph"/>
        <w:spacing w:after="160" w:line="360" w:lineRule="auto"/>
        <w:ind w:left="425"/>
        <w:contextualSpacing w:val="0"/>
        <w:jc w:val="both"/>
        <w:rPr>
          <w:rFonts w:ascii="Arial" w:hAnsi="Arial"/>
          <w:sz w:val="26"/>
          <w:szCs w:val="26"/>
        </w:rPr>
      </w:pPr>
      <w:r w:rsidRPr="00DA79FD">
        <w:rPr>
          <w:rFonts w:ascii="Arial" w:hAnsi="Arial" w:hint="cs"/>
          <w:sz w:val="26"/>
          <w:szCs w:val="26"/>
          <w:rtl/>
        </w:rPr>
        <w:t>נוכח הרשום לעיל, האמור נכון ביתר שאת כלפי המאשימה.</w:t>
      </w:r>
    </w:p>
    <w:p w14:paraId="7282B68F" w14:textId="77777777" w:rsidR="00CA7CF6" w:rsidRDefault="00E23D8B" w:rsidP="00CA7CF6">
      <w:pPr>
        <w:pStyle w:val="ListParagraph"/>
        <w:numPr>
          <w:ilvl w:val="0"/>
          <w:numId w:val="1"/>
        </w:numPr>
        <w:spacing w:after="160" w:line="360" w:lineRule="auto"/>
        <w:ind w:left="425"/>
        <w:contextualSpacing w:val="0"/>
        <w:jc w:val="both"/>
        <w:rPr>
          <w:rFonts w:ascii="Arial" w:hAnsi="Arial"/>
          <w:sz w:val="26"/>
          <w:szCs w:val="26"/>
        </w:rPr>
      </w:pPr>
      <w:hyperlink r:id="rId58" w:history="1">
        <w:r w:rsidRPr="00E23D8B">
          <w:rPr>
            <w:rFonts w:ascii="Arial" w:hAnsi="Arial"/>
            <w:color w:val="0000FF"/>
            <w:sz w:val="26"/>
            <w:szCs w:val="26"/>
            <w:u w:val="single"/>
            <w:rtl/>
          </w:rPr>
          <w:t>סעיף 40ט</w:t>
        </w:r>
      </w:hyperlink>
      <w:r w:rsidR="00CA7CF6" w:rsidRPr="00DA79FD">
        <w:rPr>
          <w:rFonts w:ascii="Arial" w:hAnsi="Arial"/>
          <w:sz w:val="26"/>
          <w:szCs w:val="26"/>
          <w:rtl/>
        </w:rPr>
        <w:t xml:space="preserve"> </w:t>
      </w:r>
      <w:r w:rsidR="00CA7CF6" w:rsidRPr="00DA79FD">
        <w:rPr>
          <w:rFonts w:ascii="Arial" w:hAnsi="Arial" w:hint="eastAsia"/>
          <w:sz w:val="26"/>
          <w:szCs w:val="26"/>
          <w:rtl/>
        </w:rPr>
        <w:t>בחוק</w:t>
      </w:r>
      <w:r w:rsidR="00CA7CF6" w:rsidRPr="00DA79FD">
        <w:rPr>
          <w:rFonts w:ascii="Arial" w:hAnsi="Arial"/>
          <w:sz w:val="26"/>
          <w:szCs w:val="26"/>
          <w:rtl/>
        </w:rPr>
        <w:t xml:space="preserve"> </w:t>
      </w:r>
      <w:r w:rsidR="00CA7CF6" w:rsidRPr="00DA79FD">
        <w:rPr>
          <w:rFonts w:ascii="Arial" w:hAnsi="Arial" w:hint="eastAsia"/>
          <w:sz w:val="26"/>
          <w:szCs w:val="26"/>
          <w:rtl/>
        </w:rPr>
        <w:t>מונה</w:t>
      </w:r>
      <w:r w:rsidR="00CA7CF6" w:rsidRPr="00DA79FD">
        <w:rPr>
          <w:rFonts w:ascii="Arial" w:hAnsi="Arial"/>
          <w:sz w:val="26"/>
          <w:szCs w:val="26"/>
          <w:rtl/>
        </w:rPr>
        <w:t xml:space="preserve"> </w:t>
      </w:r>
      <w:r w:rsidR="00CA7CF6" w:rsidRPr="00DA79FD">
        <w:rPr>
          <w:rFonts w:ascii="Arial" w:hAnsi="Arial" w:hint="eastAsia"/>
          <w:sz w:val="26"/>
          <w:szCs w:val="26"/>
          <w:rtl/>
        </w:rPr>
        <w:t>את</w:t>
      </w:r>
      <w:r w:rsidR="00CA7CF6" w:rsidRPr="00DA79FD">
        <w:rPr>
          <w:rFonts w:ascii="Arial" w:hAnsi="Arial"/>
          <w:sz w:val="26"/>
          <w:szCs w:val="26"/>
          <w:rtl/>
        </w:rPr>
        <w:t xml:space="preserve"> </w:t>
      </w:r>
      <w:r w:rsidR="00CA7CF6" w:rsidRPr="00DA79FD">
        <w:rPr>
          <w:rFonts w:ascii="Arial" w:hAnsi="Arial" w:hint="eastAsia"/>
          <w:b/>
          <w:bCs/>
          <w:sz w:val="26"/>
          <w:szCs w:val="26"/>
          <w:rtl/>
        </w:rPr>
        <w:t>הנסיבות</w:t>
      </w:r>
      <w:r w:rsidR="00CA7CF6" w:rsidRPr="00DA79FD">
        <w:rPr>
          <w:rFonts w:ascii="Arial" w:hAnsi="Arial"/>
          <w:b/>
          <w:bCs/>
          <w:sz w:val="26"/>
          <w:szCs w:val="26"/>
          <w:rtl/>
        </w:rPr>
        <w:t xml:space="preserve"> </w:t>
      </w:r>
      <w:r w:rsidR="00CA7CF6" w:rsidRPr="00DA79FD">
        <w:rPr>
          <w:rFonts w:ascii="Arial" w:hAnsi="Arial" w:hint="eastAsia"/>
          <w:b/>
          <w:bCs/>
          <w:sz w:val="26"/>
          <w:szCs w:val="26"/>
          <w:rtl/>
        </w:rPr>
        <w:t>הקשורות</w:t>
      </w:r>
      <w:r w:rsidR="00CA7CF6" w:rsidRPr="00DA79FD">
        <w:rPr>
          <w:rFonts w:ascii="Arial" w:hAnsi="Arial"/>
          <w:b/>
          <w:bCs/>
          <w:sz w:val="26"/>
          <w:szCs w:val="26"/>
          <w:rtl/>
        </w:rPr>
        <w:t xml:space="preserve"> </w:t>
      </w:r>
      <w:r w:rsidR="00CA7CF6" w:rsidRPr="00DA79FD">
        <w:rPr>
          <w:rFonts w:ascii="Arial" w:hAnsi="Arial" w:hint="eastAsia"/>
          <w:b/>
          <w:bCs/>
          <w:sz w:val="26"/>
          <w:szCs w:val="26"/>
          <w:rtl/>
        </w:rPr>
        <w:t>לביצוע</w:t>
      </w:r>
      <w:r w:rsidR="00CA7CF6" w:rsidRPr="00DA79FD">
        <w:rPr>
          <w:rFonts w:ascii="Arial" w:hAnsi="Arial"/>
          <w:b/>
          <w:bCs/>
          <w:sz w:val="26"/>
          <w:szCs w:val="26"/>
          <w:rtl/>
        </w:rPr>
        <w:t xml:space="preserve"> </w:t>
      </w:r>
      <w:r w:rsidR="00CA7CF6" w:rsidRPr="00DA79FD">
        <w:rPr>
          <w:rFonts w:ascii="Arial" w:hAnsi="Arial" w:hint="eastAsia"/>
          <w:b/>
          <w:bCs/>
          <w:sz w:val="26"/>
          <w:szCs w:val="26"/>
          <w:rtl/>
        </w:rPr>
        <w:t>העבירה</w:t>
      </w:r>
      <w:r w:rsidR="00CA7CF6" w:rsidRPr="00DA79FD">
        <w:rPr>
          <w:rFonts w:ascii="Arial" w:hAnsi="Arial"/>
          <w:sz w:val="26"/>
          <w:szCs w:val="26"/>
          <w:rtl/>
        </w:rPr>
        <w:t xml:space="preserve">, </w:t>
      </w:r>
      <w:r w:rsidR="00CA7CF6" w:rsidRPr="00DA79FD">
        <w:rPr>
          <w:rFonts w:ascii="Arial" w:hAnsi="Arial" w:hint="eastAsia"/>
          <w:sz w:val="26"/>
          <w:szCs w:val="26"/>
          <w:rtl/>
        </w:rPr>
        <w:t>בהן</w:t>
      </w:r>
      <w:r w:rsidR="00CA7CF6" w:rsidRPr="00DA79FD">
        <w:rPr>
          <w:rFonts w:ascii="Arial" w:hAnsi="Arial"/>
          <w:sz w:val="26"/>
          <w:szCs w:val="26"/>
          <w:rtl/>
        </w:rPr>
        <w:t xml:space="preserve"> </w:t>
      </w:r>
      <w:r w:rsidR="00CA7CF6" w:rsidRPr="00DA79FD">
        <w:rPr>
          <w:rFonts w:ascii="Arial" w:hAnsi="Arial" w:hint="eastAsia"/>
          <w:sz w:val="26"/>
          <w:szCs w:val="26"/>
          <w:rtl/>
        </w:rPr>
        <w:t>יש</w:t>
      </w:r>
      <w:r w:rsidR="00CA7CF6" w:rsidRPr="00DA79FD">
        <w:rPr>
          <w:rFonts w:ascii="Arial" w:hAnsi="Arial"/>
          <w:sz w:val="26"/>
          <w:szCs w:val="26"/>
          <w:rtl/>
        </w:rPr>
        <w:t xml:space="preserve"> </w:t>
      </w:r>
      <w:r w:rsidR="00CA7CF6" w:rsidRPr="00DA79FD">
        <w:rPr>
          <w:rFonts w:ascii="Arial" w:hAnsi="Arial" w:hint="eastAsia"/>
          <w:sz w:val="26"/>
          <w:szCs w:val="26"/>
          <w:rtl/>
        </w:rPr>
        <w:t>להתחשב</w:t>
      </w:r>
      <w:r w:rsidR="00CA7CF6" w:rsidRPr="00DA79FD">
        <w:rPr>
          <w:rFonts w:ascii="Arial" w:hAnsi="Arial"/>
          <w:sz w:val="26"/>
          <w:szCs w:val="26"/>
          <w:rtl/>
        </w:rPr>
        <w:t xml:space="preserve"> </w:t>
      </w:r>
      <w:r w:rsidR="00CA7CF6" w:rsidRPr="00DA79FD">
        <w:rPr>
          <w:rFonts w:ascii="Arial" w:hAnsi="Arial" w:hint="eastAsia"/>
          <w:sz w:val="26"/>
          <w:szCs w:val="26"/>
          <w:rtl/>
        </w:rPr>
        <w:t>בקביעת</w:t>
      </w:r>
      <w:r w:rsidR="00CA7CF6" w:rsidRPr="00DA79FD">
        <w:rPr>
          <w:rFonts w:ascii="Arial" w:hAnsi="Arial"/>
          <w:sz w:val="26"/>
          <w:szCs w:val="26"/>
          <w:rtl/>
        </w:rPr>
        <w:t xml:space="preserve"> </w:t>
      </w:r>
      <w:r w:rsidR="00CA7CF6" w:rsidRPr="00DA79FD">
        <w:rPr>
          <w:rFonts w:ascii="Arial" w:hAnsi="Arial" w:hint="eastAsia"/>
          <w:sz w:val="26"/>
          <w:szCs w:val="26"/>
          <w:rtl/>
        </w:rPr>
        <w:t>מתחם</w:t>
      </w:r>
      <w:r w:rsidR="00CA7CF6" w:rsidRPr="00DA79FD">
        <w:rPr>
          <w:rFonts w:ascii="Arial" w:hAnsi="Arial"/>
          <w:sz w:val="26"/>
          <w:szCs w:val="26"/>
          <w:rtl/>
        </w:rPr>
        <w:t xml:space="preserve"> </w:t>
      </w:r>
      <w:r w:rsidR="00CA7CF6" w:rsidRPr="00DA79FD">
        <w:rPr>
          <w:rFonts w:ascii="Arial" w:hAnsi="Arial" w:hint="eastAsia"/>
          <w:sz w:val="26"/>
          <w:szCs w:val="26"/>
          <w:rtl/>
        </w:rPr>
        <w:t>הענישה</w:t>
      </w:r>
      <w:r w:rsidR="00CA7CF6" w:rsidRPr="00DA79FD">
        <w:rPr>
          <w:rFonts w:ascii="Arial" w:hAnsi="Arial"/>
          <w:sz w:val="26"/>
          <w:szCs w:val="26"/>
          <w:rtl/>
        </w:rPr>
        <w:t xml:space="preserve">. </w:t>
      </w:r>
      <w:r w:rsidR="00CA7CF6" w:rsidRPr="00DA79FD">
        <w:rPr>
          <w:rFonts w:ascii="Arial" w:hAnsi="Arial" w:hint="cs"/>
          <w:sz w:val="26"/>
          <w:szCs w:val="26"/>
          <w:rtl/>
        </w:rPr>
        <w:t>במקרה דנן, לא התלווה לעבירה תכנון מיוחד ולא נגרם כל נזק. כן יש להביא בחשבון שעל אף שהנאש</w:t>
      </w:r>
      <w:r w:rsidR="00CA7CF6">
        <w:rPr>
          <w:rFonts w:ascii="Arial" w:hAnsi="Arial" w:hint="cs"/>
          <w:sz w:val="26"/>
          <w:szCs w:val="26"/>
          <w:rtl/>
        </w:rPr>
        <w:t xml:space="preserve">ם נעצר כאשר ברשותו האקדח, זה לא היה טעון, </w:t>
      </w:r>
      <w:r w:rsidR="00CA7CF6" w:rsidRPr="00DA79FD">
        <w:rPr>
          <w:rFonts w:ascii="Arial" w:hAnsi="Arial" w:hint="cs"/>
          <w:sz w:val="26"/>
          <w:szCs w:val="26"/>
          <w:rtl/>
        </w:rPr>
        <w:t>כך שהנזק שהוא יכול היה לגרום באמצעותו</w:t>
      </w:r>
      <w:r w:rsidR="00CA7CF6">
        <w:rPr>
          <w:rFonts w:ascii="Arial" w:hAnsi="Arial" w:hint="cs"/>
          <w:sz w:val="26"/>
          <w:szCs w:val="26"/>
          <w:rtl/>
        </w:rPr>
        <w:t xml:space="preserve"> במועד בו נתפס הנו כמעט ותיאורטי (בכתב האישום אין כל אזכור כי לנאשם היתה תחמושת לכלי הנשק)</w:t>
      </w:r>
      <w:r w:rsidR="00CA7CF6" w:rsidRPr="00DA79FD">
        <w:rPr>
          <w:rFonts w:ascii="Arial" w:hAnsi="Arial" w:hint="cs"/>
          <w:sz w:val="26"/>
          <w:szCs w:val="26"/>
          <w:rtl/>
        </w:rPr>
        <w:t xml:space="preserve">. עם זאת, ברור כי נזק רב יכול היה להיגרם, לו היה מגיע הכלי לידיו של אחר שהיה עושה בו שימוש פלילי. </w:t>
      </w:r>
      <w:r w:rsidR="00CA7CF6">
        <w:rPr>
          <w:rFonts w:ascii="Arial" w:hAnsi="Arial" w:hint="cs"/>
          <w:sz w:val="26"/>
          <w:szCs w:val="26"/>
          <w:rtl/>
        </w:rPr>
        <w:t>יחד עם האמור</w:t>
      </w:r>
      <w:r w:rsidR="00CA7CF6" w:rsidRPr="00DA79FD">
        <w:rPr>
          <w:rFonts w:ascii="Arial" w:hAnsi="Arial" w:hint="cs"/>
          <w:sz w:val="26"/>
          <w:szCs w:val="26"/>
          <w:rtl/>
        </w:rPr>
        <w:t xml:space="preserve">, יש גם להתחשב במניעים של הנאשם להחזיק בנשק (נסיבות העבירה). </w:t>
      </w:r>
    </w:p>
    <w:p w14:paraId="1BA2809D"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sidRPr="00DA79FD">
        <w:rPr>
          <w:rFonts w:ascii="Arial" w:hAnsi="Arial" w:hint="cs"/>
          <w:sz w:val="26"/>
          <w:szCs w:val="26"/>
          <w:rtl/>
        </w:rPr>
        <w:t xml:space="preserve">לאחר ששמעתי את דברי </w:t>
      </w:r>
      <w:r>
        <w:rPr>
          <w:rFonts w:ascii="Arial" w:hAnsi="Arial" w:hint="cs"/>
          <w:sz w:val="26"/>
          <w:szCs w:val="26"/>
          <w:rtl/>
        </w:rPr>
        <w:t xml:space="preserve">ב"כ </w:t>
      </w:r>
      <w:r w:rsidRPr="00DA79FD">
        <w:rPr>
          <w:rFonts w:ascii="Arial" w:hAnsi="Arial" w:hint="cs"/>
          <w:sz w:val="26"/>
          <w:szCs w:val="26"/>
          <w:rtl/>
        </w:rPr>
        <w:t xml:space="preserve">הצדדים והנאשם אני נותן אמון בגרסתו כי חשש לחייו, נוכח סכסוך הדמים שהביא למות גיסו זמן קצר קודם לכן. </w:t>
      </w:r>
    </w:p>
    <w:p w14:paraId="442CD9D5"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sidRPr="00DA79FD">
        <w:rPr>
          <w:rFonts w:ascii="Arial" w:hAnsi="Arial" w:hint="cs"/>
          <w:sz w:val="26"/>
          <w:szCs w:val="26"/>
          <w:rtl/>
        </w:rPr>
        <w:t>ואולם, בעניין זה, חשוב להבהיר לציבור הרחב</w:t>
      </w:r>
      <w:r>
        <w:rPr>
          <w:rFonts w:ascii="Arial" w:hAnsi="Arial" w:hint="cs"/>
          <w:sz w:val="26"/>
          <w:szCs w:val="26"/>
          <w:rtl/>
        </w:rPr>
        <w:t>, כי</w:t>
      </w:r>
      <w:r w:rsidRPr="00DA79FD">
        <w:rPr>
          <w:rFonts w:ascii="Arial" w:hAnsi="Arial" w:hint="cs"/>
          <w:sz w:val="26"/>
          <w:szCs w:val="26"/>
          <w:rtl/>
        </w:rPr>
        <w:t xml:space="preserve"> ככלל, נשיאת כלי משחית מותרת בארץ אך למ</w:t>
      </w:r>
      <w:r>
        <w:rPr>
          <w:rFonts w:ascii="Arial" w:hAnsi="Arial" w:hint="cs"/>
          <w:sz w:val="26"/>
          <w:szCs w:val="26"/>
          <w:rtl/>
        </w:rPr>
        <w:t>ת</w:t>
      </w:r>
      <w:r w:rsidRPr="00DA79FD">
        <w:rPr>
          <w:rFonts w:ascii="Arial" w:hAnsi="Arial" w:hint="cs"/>
          <w:sz w:val="26"/>
          <w:szCs w:val="26"/>
          <w:rtl/>
        </w:rPr>
        <w:t xml:space="preserve">י מעט ולצרכי הגנה על הציבור. </w:t>
      </w:r>
      <w:r>
        <w:rPr>
          <w:rFonts w:ascii="Arial" w:hAnsi="Arial" w:hint="cs"/>
          <w:sz w:val="26"/>
          <w:szCs w:val="26"/>
          <w:rtl/>
        </w:rPr>
        <w:t>אל לו ל</w:t>
      </w:r>
      <w:r w:rsidRPr="00DA79FD">
        <w:rPr>
          <w:rFonts w:ascii="Arial" w:hAnsi="Arial" w:hint="cs"/>
          <w:sz w:val="26"/>
          <w:szCs w:val="26"/>
          <w:rtl/>
        </w:rPr>
        <w:t xml:space="preserve">בית המשפט </w:t>
      </w:r>
      <w:r>
        <w:rPr>
          <w:rFonts w:ascii="Arial" w:hAnsi="Arial" w:hint="cs"/>
          <w:sz w:val="26"/>
          <w:szCs w:val="26"/>
          <w:rtl/>
        </w:rPr>
        <w:t>ליתן יד לעשיית דין</w:t>
      </w:r>
      <w:r w:rsidRPr="00DA79FD">
        <w:rPr>
          <w:rFonts w:ascii="Arial" w:hAnsi="Arial" w:hint="cs"/>
          <w:sz w:val="26"/>
          <w:szCs w:val="26"/>
          <w:rtl/>
        </w:rPr>
        <w:t xml:space="preserve"> עצמי, באמצעי אלימות קטלניים, ואפילו מטעמי הגנה, </w:t>
      </w:r>
      <w:r>
        <w:rPr>
          <w:rFonts w:ascii="Arial" w:hAnsi="Arial" w:hint="cs"/>
          <w:sz w:val="26"/>
          <w:szCs w:val="26"/>
          <w:rtl/>
        </w:rPr>
        <w:t xml:space="preserve">שכן אז </w:t>
      </w:r>
      <w:r w:rsidRPr="00DA79FD">
        <w:rPr>
          <w:rFonts w:ascii="Arial" w:hAnsi="Arial" w:hint="cs"/>
          <w:sz w:val="26"/>
          <w:szCs w:val="26"/>
          <w:rtl/>
        </w:rPr>
        <w:t>אנו מסתכנים בקידום שלטון האנרכיה ממנו יפגעו האזרחים שומרי החוק</w:t>
      </w:r>
      <w:r>
        <w:rPr>
          <w:rFonts w:ascii="Arial" w:hAnsi="Arial" w:hint="cs"/>
          <w:sz w:val="26"/>
          <w:szCs w:val="26"/>
          <w:rtl/>
        </w:rPr>
        <w:t>, בבחינת "</w:t>
      </w:r>
      <w:r w:rsidRPr="00D17813">
        <w:rPr>
          <w:rFonts w:ascii="Arial" w:hAnsi="Arial" w:hint="cs"/>
          <w:b/>
          <w:bCs/>
          <w:sz w:val="26"/>
          <w:szCs w:val="26"/>
          <w:rtl/>
        </w:rPr>
        <w:t>איש הישר בעיניו ייעשה</w:t>
      </w:r>
      <w:r>
        <w:rPr>
          <w:rFonts w:ascii="Arial" w:hAnsi="Arial" w:hint="cs"/>
          <w:sz w:val="26"/>
          <w:szCs w:val="26"/>
          <w:rtl/>
        </w:rPr>
        <w:t>" (שופטים, כ"א, כ"ה)</w:t>
      </w:r>
      <w:r w:rsidRPr="00DA79FD">
        <w:rPr>
          <w:rFonts w:ascii="Arial" w:hAnsi="Arial" w:hint="cs"/>
          <w:sz w:val="26"/>
          <w:szCs w:val="26"/>
          <w:rtl/>
        </w:rPr>
        <w:t>.</w:t>
      </w:r>
    </w:p>
    <w:p w14:paraId="07AD8F35"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sidRPr="00DA79FD">
        <w:rPr>
          <w:rFonts w:ascii="Arial" w:hAnsi="Arial" w:hint="cs"/>
          <w:sz w:val="26"/>
          <w:szCs w:val="26"/>
          <w:rtl/>
        </w:rPr>
        <w:t xml:space="preserve">נוכח זאת, על סמך </w:t>
      </w:r>
      <w:r w:rsidRPr="00DA79FD">
        <w:rPr>
          <w:rFonts w:ascii="Arial" w:hAnsi="Arial"/>
          <w:sz w:val="26"/>
          <w:szCs w:val="26"/>
          <w:rtl/>
        </w:rPr>
        <w:t xml:space="preserve">מכלול השיקולים, היינו, הערך החברתי שנפגע מביצוע העבירה ועקרון ההלימה בין חומרת מעשה העבירה בנסיבותיו של הנאשם ומידת אשמו הוא, לאחר שעיינתי בפסיקה, ובהתחשב במדיניות הענישה הנוהגת, כאמור, אני קובע את </w:t>
      </w:r>
      <w:r w:rsidRPr="00DA79FD">
        <w:rPr>
          <w:rFonts w:ascii="Arial" w:hAnsi="Arial"/>
          <w:b/>
          <w:bCs/>
          <w:sz w:val="26"/>
          <w:szCs w:val="26"/>
          <w:rtl/>
        </w:rPr>
        <w:t>מתחם הענישה</w:t>
      </w:r>
      <w:r w:rsidRPr="00DA79FD">
        <w:rPr>
          <w:rFonts w:ascii="Arial" w:hAnsi="Arial"/>
          <w:sz w:val="26"/>
          <w:szCs w:val="26"/>
          <w:rtl/>
        </w:rPr>
        <w:t xml:space="preserve"> ההולם </w:t>
      </w:r>
      <w:r w:rsidRPr="00DA79FD">
        <w:rPr>
          <w:rFonts w:ascii="Arial" w:hAnsi="Arial" w:hint="cs"/>
          <w:sz w:val="26"/>
          <w:szCs w:val="26"/>
          <w:rtl/>
        </w:rPr>
        <w:t xml:space="preserve">כנע בין </w:t>
      </w:r>
      <w:r w:rsidRPr="00DA79FD">
        <w:rPr>
          <w:rFonts w:ascii="Arial" w:hAnsi="Arial" w:hint="cs"/>
          <w:b/>
          <w:bCs/>
          <w:sz w:val="26"/>
          <w:szCs w:val="26"/>
          <w:rtl/>
        </w:rPr>
        <w:t>שישה חודשי מאסר, לריצוי בדרך של עבודות שירות</w:t>
      </w:r>
      <w:r>
        <w:rPr>
          <w:rFonts w:ascii="Arial" w:hAnsi="Arial" w:hint="cs"/>
          <w:b/>
          <w:bCs/>
          <w:sz w:val="26"/>
          <w:szCs w:val="26"/>
          <w:rtl/>
        </w:rPr>
        <w:t>,</w:t>
      </w:r>
      <w:r w:rsidRPr="00DA79FD">
        <w:rPr>
          <w:rFonts w:ascii="Arial" w:hAnsi="Arial" w:hint="cs"/>
          <w:b/>
          <w:bCs/>
          <w:sz w:val="26"/>
          <w:szCs w:val="26"/>
          <w:rtl/>
        </w:rPr>
        <w:t xml:space="preserve"> לבין 20 חודשי מאסר בפועל, מאסר על תנאי וקנס</w:t>
      </w:r>
      <w:r w:rsidRPr="00DA79FD">
        <w:rPr>
          <w:rFonts w:ascii="Arial" w:hAnsi="Arial" w:hint="cs"/>
          <w:sz w:val="26"/>
          <w:szCs w:val="26"/>
          <w:rtl/>
        </w:rPr>
        <w:t>.</w:t>
      </w:r>
    </w:p>
    <w:p w14:paraId="285B9B07"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sidRPr="00DA79FD">
        <w:rPr>
          <w:sz w:val="26"/>
          <w:szCs w:val="26"/>
          <w:rtl/>
        </w:rPr>
        <w:t>לצורך גזירת עונשו של הנאשם בתוך המתחם, יש להתחשב ב</w:t>
      </w:r>
      <w:r w:rsidRPr="00DA79FD">
        <w:rPr>
          <w:b/>
          <w:bCs/>
          <w:sz w:val="26"/>
          <w:szCs w:val="26"/>
          <w:rtl/>
        </w:rPr>
        <w:t>נסיבות שאינן קשורות לביצוע העבירה</w:t>
      </w:r>
      <w:r w:rsidRPr="00DA79FD">
        <w:rPr>
          <w:sz w:val="26"/>
          <w:szCs w:val="26"/>
          <w:rtl/>
        </w:rPr>
        <w:t xml:space="preserve">, ואת השיקולים המנויים </w:t>
      </w:r>
      <w:hyperlink r:id="rId59" w:history="1">
        <w:r w:rsidR="00E23D8B" w:rsidRPr="00E23D8B">
          <w:rPr>
            <w:color w:val="0000FF"/>
            <w:sz w:val="26"/>
            <w:szCs w:val="26"/>
            <w:u w:val="single"/>
            <w:rtl/>
          </w:rPr>
          <w:t>בסעיף 40יא</w:t>
        </w:r>
      </w:hyperlink>
      <w:r w:rsidRPr="00DA79FD">
        <w:rPr>
          <w:sz w:val="26"/>
          <w:szCs w:val="26"/>
          <w:rtl/>
        </w:rPr>
        <w:t xml:space="preserve"> לחוק</w:t>
      </w:r>
      <w:r w:rsidRPr="00DA79FD">
        <w:rPr>
          <w:rFonts w:hint="cs"/>
          <w:sz w:val="26"/>
          <w:szCs w:val="26"/>
          <w:rtl/>
        </w:rPr>
        <w:t xml:space="preserve">. </w:t>
      </w:r>
      <w:r w:rsidRPr="00DA79FD">
        <w:rPr>
          <w:rFonts w:ascii="Arial" w:hAnsi="Arial" w:hint="cs"/>
          <w:sz w:val="26"/>
          <w:szCs w:val="26"/>
          <w:rtl/>
        </w:rPr>
        <w:t>לנאשם עבר פלילי, אך הוא רחוק (לפני כעשור) ולא רלוונטי לעניין (עבירות סמים). כעקרון, לא ניתן להתחשב בפגיעה העלולה להיגרם לנאשם ומשפחתו עקב מאסרו, שכן זו אינהרנטית לעצם הטלת העונש. ברם, לטעמי, במקרה זה יש להביא בחשבון את משך הזמן שעבר מעת ביצוע העבירה ומעצר הנאשם, באוקטובר 2013,</w:t>
      </w:r>
      <w:r>
        <w:rPr>
          <w:rFonts w:ascii="Arial" w:hAnsi="Arial" w:hint="cs"/>
          <w:sz w:val="26"/>
          <w:szCs w:val="26"/>
          <w:rtl/>
        </w:rPr>
        <w:t xml:space="preserve"> </w:t>
      </w:r>
      <w:r w:rsidRPr="00DA79FD">
        <w:rPr>
          <w:rFonts w:ascii="Arial" w:hAnsi="Arial" w:hint="cs"/>
          <w:sz w:val="26"/>
          <w:szCs w:val="26"/>
          <w:rtl/>
        </w:rPr>
        <w:t xml:space="preserve">ועד להגשת כתב האישום, בדצמבר 2015 </w:t>
      </w:r>
      <w:r w:rsidRPr="00DA79FD">
        <w:rPr>
          <w:rFonts w:ascii="Arial" w:hAnsi="Arial"/>
          <w:sz w:val="26"/>
          <w:szCs w:val="26"/>
          <w:rtl/>
        </w:rPr>
        <w:t>–</w:t>
      </w:r>
      <w:r w:rsidRPr="00DA79FD">
        <w:rPr>
          <w:rFonts w:ascii="Arial" w:hAnsi="Arial" w:hint="cs"/>
          <w:sz w:val="26"/>
          <w:szCs w:val="26"/>
          <w:rtl/>
        </w:rPr>
        <w:t xml:space="preserve"> היינו, למעלה משנתיים. זאת כאשר אין מדובר בתיק מסובך עובדתית, הדורש חקירה או פיצוח ראיות. לא ניתן לצפות מהנאשם להפסיק לחיות את חייו עד אשר עניינו יבוא לכדי סיום </w:t>
      </w:r>
      <w:r w:rsidRPr="00DA79FD">
        <w:rPr>
          <w:rFonts w:ascii="Arial" w:hAnsi="Arial"/>
          <w:sz w:val="26"/>
          <w:szCs w:val="26"/>
          <w:rtl/>
        </w:rPr>
        <w:t>–</w:t>
      </w:r>
      <w:r w:rsidRPr="00DA79FD">
        <w:rPr>
          <w:rFonts w:ascii="Arial" w:hAnsi="Arial" w:hint="cs"/>
          <w:sz w:val="26"/>
          <w:szCs w:val="26"/>
          <w:rtl/>
        </w:rPr>
        <w:t xml:space="preserve"> והוא אכן המשיך בחייו, פיתח את עסקיו ולווה כספים לצורך זה, ואף הרחיב את משפחתו. שוכנעתי על ידי הנאשם ובא כוחו</w:t>
      </w:r>
      <w:r>
        <w:rPr>
          <w:rFonts w:ascii="Arial" w:hAnsi="Arial" w:hint="cs"/>
          <w:sz w:val="26"/>
          <w:szCs w:val="26"/>
          <w:rtl/>
        </w:rPr>
        <w:t>,</w:t>
      </w:r>
      <w:r w:rsidRPr="00DA79FD">
        <w:rPr>
          <w:rFonts w:ascii="Arial" w:hAnsi="Arial" w:hint="cs"/>
          <w:sz w:val="26"/>
          <w:szCs w:val="26"/>
          <w:rtl/>
        </w:rPr>
        <w:t xml:space="preserve"> כי אם ייאסר יהווה הדבר פגיעה קטלנית בעסקיו, בפרנסת משפחתו ובשיקומו. </w:t>
      </w:r>
    </w:p>
    <w:p w14:paraId="5D572CEA" w14:textId="77777777" w:rsidR="00CA7CF6" w:rsidRPr="00DA79FD" w:rsidRDefault="00CA7CF6" w:rsidP="00CA7CF6">
      <w:pPr>
        <w:pStyle w:val="ListParagraph"/>
        <w:spacing w:after="160" w:line="360" w:lineRule="auto"/>
        <w:ind w:left="65"/>
        <w:contextualSpacing w:val="0"/>
        <w:jc w:val="both"/>
        <w:rPr>
          <w:rFonts w:ascii="Arial" w:hAnsi="Arial"/>
          <w:sz w:val="26"/>
          <w:szCs w:val="26"/>
        </w:rPr>
      </w:pPr>
    </w:p>
    <w:p w14:paraId="7462F0E2" w14:textId="77777777" w:rsidR="00CA7CF6" w:rsidRPr="00DA79FD" w:rsidRDefault="00CA7CF6" w:rsidP="00CA7CF6">
      <w:pPr>
        <w:spacing w:line="360" w:lineRule="auto"/>
        <w:jc w:val="both"/>
        <w:rPr>
          <w:rFonts w:ascii="Arial" w:hAnsi="Arial"/>
          <w:b/>
          <w:bCs/>
          <w:noProof w:val="0"/>
          <w:sz w:val="26"/>
          <w:szCs w:val="26"/>
        </w:rPr>
      </w:pPr>
      <w:r w:rsidRPr="00DA79FD">
        <w:rPr>
          <w:rFonts w:ascii="Arial" w:hAnsi="Arial" w:hint="cs"/>
          <w:b/>
          <w:bCs/>
          <w:noProof w:val="0"/>
          <w:sz w:val="26"/>
          <w:szCs w:val="26"/>
          <w:rtl/>
        </w:rPr>
        <w:t>חוות דעת הממונה ושיקול דעת בית המשפט</w:t>
      </w:r>
    </w:p>
    <w:p w14:paraId="12C0132D"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sidRPr="00DA79FD">
        <w:rPr>
          <w:rFonts w:ascii="Arial" w:hAnsi="Arial" w:hint="cs"/>
          <w:sz w:val="26"/>
          <w:szCs w:val="26"/>
          <w:rtl/>
        </w:rPr>
        <w:t xml:space="preserve"> שמעתי את הנאשם, את חרטתו על מעשיו, ואת בקשתו הכ</w:t>
      </w:r>
      <w:r>
        <w:rPr>
          <w:rFonts w:ascii="Arial" w:hAnsi="Arial" w:hint="cs"/>
          <w:sz w:val="26"/>
          <w:szCs w:val="26"/>
          <w:rtl/>
        </w:rPr>
        <w:t>ֵֵּּ</w:t>
      </w:r>
      <w:r w:rsidRPr="00DA79FD">
        <w:rPr>
          <w:rFonts w:ascii="Arial" w:hAnsi="Arial" w:hint="cs"/>
          <w:sz w:val="26"/>
          <w:szCs w:val="26"/>
          <w:rtl/>
        </w:rPr>
        <w:t xml:space="preserve">נה מבית המשפט שלא לשוב לכלא, נוכח חששו שיתדרדר חזרה לדפוסי חייו הקודמים. עיינתי היטב גם בתסקיר שירות המבחן, שהובא לעיל, ובהמלצותיו. סבור אני שצודק ב"כ הנאשם, וכי אם כוונותיו של הנאשם היו כוזבות היה שירות המבחן מבחין בזאת והמלצותיו היו שונות. לא ניתן להתעלם מהישגיו של הנאשם לאורך העשור האחרון, הפסקת השימוש בסמים ויציאתו ממעגל הפשע, על אף הקשיים הטמונים בכך לאדם כמותו, </w:t>
      </w:r>
      <w:r>
        <w:rPr>
          <w:rFonts w:ascii="Arial" w:hAnsi="Arial" w:hint="cs"/>
          <w:sz w:val="26"/>
          <w:szCs w:val="26"/>
          <w:rtl/>
        </w:rPr>
        <w:t>לו הכרות עם מערכ</w:t>
      </w:r>
      <w:r w:rsidRPr="00DA79FD">
        <w:rPr>
          <w:rFonts w:ascii="Arial" w:hAnsi="Arial" w:hint="cs"/>
          <w:sz w:val="26"/>
          <w:szCs w:val="26"/>
          <w:rtl/>
        </w:rPr>
        <w:t>ת ה</w:t>
      </w:r>
      <w:r>
        <w:rPr>
          <w:rFonts w:ascii="Arial" w:hAnsi="Arial" w:hint="cs"/>
          <w:sz w:val="26"/>
          <w:szCs w:val="26"/>
          <w:rtl/>
        </w:rPr>
        <w:t>משפט</w:t>
      </w:r>
      <w:r w:rsidRPr="00DA79FD">
        <w:rPr>
          <w:rFonts w:ascii="Arial" w:hAnsi="Arial" w:hint="cs"/>
          <w:sz w:val="26"/>
          <w:szCs w:val="26"/>
          <w:rtl/>
        </w:rPr>
        <w:t xml:space="preserve"> מגיל צעיר.</w:t>
      </w:r>
    </w:p>
    <w:p w14:paraId="6DAC6F99"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sidRPr="00DA79FD">
        <w:rPr>
          <w:rFonts w:ascii="Arial" w:hAnsi="Arial" w:hint="cs"/>
          <w:sz w:val="26"/>
          <w:szCs w:val="26"/>
          <w:rtl/>
        </w:rPr>
        <w:t>אכן, "</w:t>
      </w:r>
      <w:r w:rsidRPr="00DA79FD">
        <w:rPr>
          <w:rFonts w:ascii="Arial" w:hAnsi="Arial" w:hint="cs"/>
          <w:b/>
          <w:bCs/>
          <w:sz w:val="26"/>
          <w:szCs w:val="26"/>
          <w:rtl/>
        </w:rPr>
        <w:t>דרך המלך בכגון דא, בסופו של יום, צריכה להיות ככלל מאסר מאחורי סורג ובריח, וזאת בראש וראשונה להרתעת היחיד והרבים</w:t>
      </w:r>
      <w:r w:rsidRPr="00DA79FD">
        <w:rPr>
          <w:rFonts w:ascii="Arial" w:hAnsi="Arial" w:hint="cs"/>
          <w:sz w:val="26"/>
          <w:szCs w:val="26"/>
          <w:rtl/>
        </w:rPr>
        <w:t>" (</w:t>
      </w:r>
      <w:r w:rsidRPr="00DA79FD">
        <w:rPr>
          <w:rFonts w:ascii="Arial" w:hAnsi="Arial" w:hint="cs"/>
          <w:b/>
          <w:bCs/>
          <w:sz w:val="26"/>
          <w:szCs w:val="26"/>
          <w:rtl/>
        </w:rPr>
        <w:t>עניין עוואודה</w:t>
      </w:r>
      <w:r w:rsidRPr="00DA79FD">
        <w:rPr>
          <w:rFonts w:ascii="Arial" w:hAnsi="Arial" w:hint="cs"/>
          <w:sz w:val="26"/>
          <w:szCs w:val="26"/>
          <w:rtl/>
        </w:rPr>
        <w:t>, פסקה י'), אך לטעמי, שיקום הנאשם עד כה, החשש שזה יפ</w:t>
      </w:r>
      <w:r>
        <w:rPr>
          <w:rFonts w:ascii="Arial" w:hAnsi="Arial" w:hint="cs"/>
          <w:sz w:val="26"/>
          <w:szCs w:val="26"/>
          <w:rtl/>
        </w:rPr>
        <w:t>ַּּ</w:t>
      </w:r>
      <w:r w:rsidRPr="00DA79FD">
        <w:rPr>
          <w:rFonts w:ascii="Arial" w:hAnsi="Arial" w:hint="cs"/>
          <w:sz w:val="26"/>
          <w:szCs w:val="26"/>
          <w:rtl/>
        </w:rPr>
        <w:t>גע והנאשם יתדרדר חזרה לפשע ושימוש בסמים</w:t>
      </w:r>
      <w:r>
        <w:rPr>
          <w:rFonts w:ascii="Arial" w:hAnsi="Arial" w:hint="cs"/>
          <w:sz w:val="26"/>
          <w:szCs w:val="26"/>
          <w:rtl/>
        </w:rPr>
        <w:t>, מצדיקים הטלת מאסר בדרך של ביצוע עבודות שירות</w:t>
      </w:r>
      <w:r w:rsidRPr="00DA79FD">
        <w:rPr>
          <w:rFonts w:ascii="Arial" w:hAnsi="Arial" w:hint="cs"/>
          <w:sz w:val="26"/>
          <w:szCs w:val="26"/>
          <w:rtl/>
        </w:rPr>
        <w:t xml:space="preserve">, ואינני רואה איזה רווח יהיה לחברה אם ישלח הנאשם לכלא, ושיקומו המוצלח ייעצר ואף יתערער. </w:t>
      </w:r>
    </w:p>
    <w:p w14:paraId="0B424103" w14:textId="77777777" w:rsidR="00CA7CF6" w:rsidRPr="00DA79FD" w:rsidRDefault="00CA7CF6" w:rsidP="00CA7CF6">
      <w:pPr>
        <w:pStyle w:val="ListParagraph"/>
        <w:numPr>
          <w:ilvl w:val="0"/>
          <w:numId w:val="1"/>
        </w:numPr>
        <w:spacing w:after="160" w:line="360" w:lineRule="auto"/>
        <w:ind w:left="425"/>
        <w:contextualSpacing w:val="0"/>
        <w:jc w:val="both"/>
        <w:rPr>
          <w:rFonts w:ascii="Arial" w:hAnsi="Arial"/>
          <w:sz w:val="26"/>
          <w:szCs w:val="26"/>
        </w:rPr>
      </w:pPr>
      <w:r w:rsidRPr="00DA79FD">
        <w:rPr>
          <w:rFonts w:ascii="Arial" w:hAnsi="Arial" w:hint="cs"/>
          <w:sz w:val="26"/>
          <w:szCs w:val="26"/>
          <w:rtl/>
        </w:rPr>
        <w:t>אכן</w:t>
      </w:r>
      <w:r>
        <w:rPr>
          <w:rFonts w:ascii="Arial" w:hAnsi="Arial" w:hint="cs"/>
          <w:sz w:val="26"/>
          <w:szCs w:val="26"/>
          <w:rtl/>
        </w:rPr>
        <w:t>,</w:t>
      </w:r>
      <w:r w:rsidRPr="00DA79FD">
        <w:rPr>
          <w:rFonts w:ascii="Arial" w:hAnsi="Arial" w:hint="cs"/>
          <w:sz w:val="26"/>
          <w:szCs w:val="26"/>
          <w:rtl/>
        </w:rPr>
        <w:t xml:space="preserve"> חוות הדעת </w:t>
      </w:r>
      <w:r>
        <w:rPr>
          <w:rFonts w:ascii="Arial" w:hAnsi="Arial" w:hint="cs"/>
          <w:sz w:val="26"/>
          <w:szCs w:val="26"/>
          <w:rtl/>
        </w:rPr>
        <w:t xml:space="preserve">של הממונה על עבודות השירות </w:t>
      </w:r>
      <w:r w:rsidRPr="00DA79FD">
        <w:rPr>
          <w:rFonts w:ascii="Arial" w:hAnsi="Arial" w:hint="cs"/>
          <w:sz w:val="26"/>
          <w:szCs w:val="26"/>
          <w:rtl/>
        </w:rPr>
        <w:t>היא שלילית ובדיון הובהר לי מדוע. מטבע הדברים אינני יכול לחשוף את טיב המידע שהוצג לי, אך סבורני כי חשוב להבהיר שהחשש שהובא בפניי אינו נובע מהנאשם כלפי אחרים. עיינתי בפסיקת שהגישו הצדדים,</w:t>
      </w:r>
      <w:r>
        <w:rPr>
          <w:rFonts w:ascii="Arial" w:hAnsi="Arial" w:hint="cs"/>
          <w:sz w:val="26"/>
          <w:szCs w:val="26"/>
          <w:rtl/>
        </w:rPr>
        <w:t xml:space="preserve"> כאשר </w:t>
      </w:r>
      <w:r w:rsidRPr="00DA79FD">
        <w:rPr>
          <w:rFonts w:ascii="Arial" w:hAnsi="Arial" w:hint="cs"/>
          <w:sz w:val="26"/>
          <w:szCs w:val="26"/>
          <w:rtl/>
        </w:rPr>
        <w:t>אין ספק כי שיקול הדעת הסופי, אם לאמץ את המלצת הממונה על עבודות השירות אם לאו, בין אם היא חיובית או שלילית, נתונה לבית המשפט (</w:t>
      </w:r>
      <w:hyperlink r:id="rId60" w:history="1">
        <w:r w:rsidR="001E3053" w:rsidRPr="001E3053">
          <w:rPr>
            <w:rFonts w:ascii="Arial" w:hAnsi="Arial"/>
            <w:color w:val="0000FF"/>
            <w:sz w:val="26"/>
            <w:szCs w:val="26"/>
            <w:u w:val="single"/>
            <w:rtl/>
          </w:rPr>
          <w:t>בג"ץ 7023/11</w:t>
        </w:r>
      </w:hyperlink>
      <w:r w:rsidRPr="00DA79FD">
        <w:rPr>
          <w:rFonts w:ascii="Arial" w:hAnsi="Arial" w:hint="cs"/>
          <w:sz w:val="26"/>
          <w:szCs w:val="26"/>
          <w:rtl/>
        </w:rPr>
        <w:t xml:space="preserve"> </w:t>
      </w:r>
      <w:r w:rsidRPr="00DA79FD">
        <w:rPr>
          <w:rFonts w:ascii="Arial" w:hAnsi="Arial" w:hint="cs"/>
          <w:b/>
          <w:bCs/>
          <w:sz w:val="26"/>
          <w:szCs w:val="26"/>
          <w:rtl/>
        </w:rPr>
        <w:t xml:space="preserve">אל אטרש נ' הממונה על עבודות שירות </w:t>
      </w:r>
      <w:r w:rsidRPr="00DA79FD">
        <w:rPr>
          <w:rFonts w:ascii="Arial" w:hAnsi="Arial"/>
          <w:b/>
          <w:bCs/>
          <w:sz w:val="26"/>
          <w:szCs w:val="26"/>
          <w:rtl/>
        </w:rPr>
        <w:t>–</w:t>
      </w:r>
      <w:r w:rsidRPr="00DA79FD">
        <w:rPr>
          <w:rFonts w:ascii="Arial" w:hAnsi="Arial" w:hint="cs"/>
          <w:b/>
          <w:bCs/>
          <w:sz w:val="26"/>
          <w:szCs w:val="26"/>
          <w:rtl/>
        </w:rPr>
        <w:t xml:space="preserve"> מפקדת מחוז מרכז רמלה</w:t>
      </w:r>
      <w:r w:rsidRPr="00DA79FD">
        <w:rPr>
          <w:rFonts w:ascii="Arial" w:hAnsi="Arial" w:hint="cs"/>
          <w:sz w:val="26"/>
          <w:szCs w:val="26"/>
          <w:rtl/>
        </w:rPr>
        <w:t xml:space="preserve"> (7.11.11), פס' 4; </w:t>
      </w:r>
      <w:hyperlink r:id="rId61" w:history="1">
        <w:r w:rsidR="001E3053" w:rsidRPr="001E3053">
          <w:rPr>
            <w:rFonts w:ascii="Arial" w:hAnsi="Arial"/>
            <w:color w:val="0000FF"/>
            <w:sz w:val="26"/>
            <w:szCs w:val="26"/>
            <w:u w:val="single"/>
            <w:rtl/>
          </w:rPr>
          <w:t>עפ"ג )מחוזי חי') 14041-02-16</w:t>
        </w:r>
      </w:hyperlink>
      <w:r w:rsidRPr="00DA79FD">
        <w:rPr>
          <w:rFonts w:ascii="Arial" w:hAnsi="Arial" w:hint="cs"/>
          <w:sz w:val="26"/>
          <w:szCs w:val="26"/>
          <w:rtl/>
        </w:rPr>
        <w:t xml:space="preserve"> </w:t>
      </w:r>
      <w:r w:rsidRPr="00DA79FD">
        <w:rPr>
          <w:rFonts w:ascii="Arial" w:hAnsi="Arial" w:hint="cs"/>
          <w:b/>
          <w:bCs/>
          <w:sz w:val="26"/>
          <w:szCs w:val="26"/>
          <w:rtl/>
        </w:rPr>
        <w:t>אגבאריה נ' מדינת ישראל</w:t>
      </w:r>
      <w:r w:rsidRPr="00DA79FD">
        <w:rPr>
          <w:rFonts w:ascii="Arial" w:hAnsi="Arial" w:hint="cs"/>
          <w:sz w:val="26"/>
          <w:szCs w:val="26"/>
          <w:rtl/>
        </w:rPr>
        <w:t xml:space="preserve"> (21.4.16)).</w:t>
      </w:r>
    </w:p>
    <w:p w14:paraId="07C4D075" w14:textId="77777777" w:rsidR="00CA7CF6" w:rsidRDefault="00CA7CF6" w:rsidP="00CA7CF6">
      <w:pPr>
        <w:pStyle w:val="ListParagraph"/>
        <w:spacing w:after="160" w:line="360" w:lineRule="auto"/>
        <w:ind w:left="425"/>
        <w:contextualSpacing w:val="0"/>
        <w:jc w:val="both"/>
        <w:rPr>
          <w:rFonts w:ascii="Arial" w:hAnsi="Arial"/>
          <w:sz w:val="26"/>
          <w:szCs w:val="26"/>
        </w:rPr>
      </w:pPr>
      <w:r>
        <w:rPr>
          <w:rFonts w:ascii="Arial" w:hAnsi="Arial" w:hint="cs"/>
          <w:sz w:val="26"/>
          <w:szCs w:val="26"/>
          <w:rtl/>
        </w:rPr>
        <w:t xml:space="preserve">הבעיה שהתעוררה בפניי אינה נוגעת לפרשנות הלכתית של סמכות בית המשפט כי אם לעובדות המקרה. לטעם ב"כ המאשימה (עו"ד דן שורקי, שייצג בדיון המשלים) עליי לבחון האם קיים "יסוד סביר לחשש" לפגיעה בנאשם, כלשון </w:t>
      </w:r>
      <w:hyperlink r:id="rId62" w:history="1">
        <w:r w:rsidR="00E23D8B" w:rsidRPr="00E23D8B">
          <w:rPr>
            <w:rFonts w:ascii="Arial" w:hAnsi="Arial"/>
            <w:color w:val="0000FF"/>
            <w:sz w:val="26"/>
            <w:szCs w:val="26"/>
            <w:u w:val="single"/>
            <w:rtl/>
          </w:rPr>
          <w:t>סעיף 51ב(ב1)(1)</w:t>
        </w:r>
      </w:hyperlink>
      <w:r>
        <w:rPr>
          <w:rFonts w:ascii="Arial" w:hAnsi="Arial" w:hint="cs"/>
          <w:sz w:val="26"/>
          <w:szCs w:val="26"/>
          <w:rtl/>
        </w:rPr>
        <w:t xml:space="preserve"> ב</w:t>
      </w:r>
      <w:hyperlink r:id="rId63" w:history="1">
        <w:r w:rsidR="001E3053" w:rsidRPr="001E3053">
          <w:rPr>
            <w:rFonts w:ascii="Arial" w:hAnsi="Arial"/>
            <w:color w:val="0000FF"/>
            <w:sz w:val="26"/>
            <w:szCs w:val="26"/>
            <w:u w:val="single"/>
            <w:rtl/>
          </w:rPr>
          <w:t>חוק העונשין</w:t>
        </w:r>
      </w:hyperlink>
      <w:r>
        <w:rPr>
          <w:rFonts w:ascii="Arial" w:hAnsi="Arial" w:hint="cs"/>
          <w:sz w:val="26"/>
          <w:szCs w:val="26"/>
          <w:rtl/>
        </w:rPr>
        <w:t xml:space="preserve">. לדידו, אפילו היה מוכן הנאשם לקחת על עצמו את הסיכון לפגיעה בו עת יבצע עבודות שירות, הרי שתתכן פגיעה בסובבים אותו, וזאת אין לאפשר. </w:t>
      </w:r>
    </w:p>
    <w:p w14:paraId="247DCD1B"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Pr>
          <w:rFonts w:ascii="Arial" w:hAnsi="Arial" w:hint="cs"/>
          <w:sz w:val="26"/>
          <w:szCs w:val="26"/>
          <w:rtl/>
        </w:rPr>
        <w:t xml:space="preserve">אלא שלא שוכנעתי שאכן יש יסוד סביר לחשש לפגיעה בנאשם. אכן בין המידעים שהוצגו לי היה אחד שהוא עדכני למדי, אך עיקר החשש שהוצג לי אינו אלא השערה בדבר אירועים שאולי יתרחשו, ואולי לא. </w:t>
      </w:r>
    </w:p>
    <w:p w14:paraId="09324BEB"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Pr>
          <w:rFonts w:ascii="Arial" w:hAnsi="Arial" w:hint="cs"/>
          <w:sz w:val="26"/>
          <w:szCs w:val="26"/>
          <w:rtl/>
        </w:rPr>
        <w:t xml:space="preserve">נוכח זאת סבורני, כי שלילת האפשרות לרצות עונש בדרך של ביצוע עבודות שירות, משום שאחרים אולי יהוו איום על הנאשם, שעה ששליחתו לכלא, עלולה, ולטעמי בהסתברות גבוהה יותר, לעלות לו בהמשך קיום מסלול חיים נורמטיבי, מתעלמת מטובתו ומטובת הציבור ואינה מצויה ביחס ישיר לכובד אשמתו בגין העבירה אותה ביצע. </w:t>
      </w:r>
    </w:p>
    <w:p w14:paraId="6997384E" w14:textId="77777777" w:rsidR="00CA7CF6" w:rsidRPr="00781A92" w:rsidRDefault="00CA7CF6" w:rsidP="00CA7CF6">
      <w:pPr>
        <w:spacing w:line="360" w:lineRule="auto"/>
        <w:jc w:val="both"/>
        <w:rPr>
          <w:rFonts w:ascii="Arial" w:hAnsi="Arial"/>
          <w:b/>
          <w:bCs/>
          <w:noProof w:val="0"/>
          <w:sz w:val="26"/>
          <w:szCs w:val="26"/>
          <w:u w:val="single"/>
        </w:rPr>
      </w:pPr>
      <w:r w:rsidRPr="00781A92">
        <w:rPr>
          <w:rFonts w:ascii="Arial" w:hAnsi="Arial" w:hint="cs"/>
          <w:b/>
          <w:bCs/>
          <w:noProof w:val="0"/>
          <w:sz w:val="26"/>
          <w:szCs w:val="26"/>
          <w:u w:val="single"/>
          <w:rtl/>
        </w:rPr>
        <w:t>העונש</w:t>
      </w:r>
    </w:p>
    <w:p w14:paraId="6958028B"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sidRPr="00A300F5">
        <w:rPr>
          <w:rFonts w:ascii="Arial" w:hAnsi="Arial" w:hint="cs"/>
          <w:sz w:val="26"/>
          <w:szCs w:val="26"/>
          <w:rtl/>
        </w:rPr>
        <w:t>משכך,</w:t>
      </w:r>
      <w:r>
        <w:rPr>
          <w:rFonts w:ascii="Arial" w:hAnsi="Arial" w:hint="cs"/>
          <w:sz w:val="26"/>
          <w:szCs w:val="26"/>
          <w:rtl/>
        </w:rPr>
        <w:t xml:space="preserve"> </w:t>
      </w:r>
      <w:r w:rsidRPr="00A300F5">
        <w:rPr>
          <w:rFonts w:ascii="Arial" w:hAnsi="Arial"/>
          <w:sz w:val="26"/>
          <w:szCs w:val="26"/>
          <w:rtl/>
        </w:rPr>
        <w:t>תוך שקלול הנתונים האמורים, העקרונות והשיקולים מכוח תיקון 113</w:t>
      </w:r>
      <w:r>
        <w:rPr>
          <w:rFonts w:ascii="Arial" w:hAnsi="Arial" w:hint="cs"/>
          <w:sz w:val="26"/>
          <w:szCs w:val="26"/>
          <w:rtl/>
        </w:rPr>
        <w:t xml:space="preserve"> ב</w:t>
      </w:r>
      <w:hyperlink r:id="rId64" w:history="1">
        <w:r w:rsidR="001E3053" w:rsidRPr="001E3053">
          <w:rPr>
            <w:rFonts w:ascii="Arial" w:hAnsi="Arial"/>
            <w:color w:val="0000FF"/>
            <w:sz w:val="26"/>
            <w:szCs w:val="26"/>
            <w:u w:val="single"/>
            <w:rtl/>
          </w:rPr>
          <w:t>חוק העונשין</w:t>
        </w:r>
      </w:hyperlink>
      <w:r w:rsidRPr="00A300F5">
        <w:rPr>
          <w:rFonts w:ascii="Arial" w:hAnsi="Arial"/>
          <w:sz w:val="26"/>
          <w:szCs w:val="26"/>
          <w:rtl/>
        </w:rPr>
        <w:t>, כמו גם השיקול של הרתעת</w:t>
      </w:r>
      <w:r w:rsidRPr="00A300F5">
        <w:rPr>
          <w:rFonts w:ascii="Arial" w:hAnsi="Arial" w:hint="cs"/>
          <w:sz w:val="26"/>
          <w:szCs w:val="26"/>
          <w:rtl/>
        </w:rPr>
        <w:t xml:space="preserve"> הנאשם</w:t>
      </w:r>
      <w:r w:rsidRPr="00A300F5">
        <w:rPr>
          <w:rFonts w:ascii="Arial" w:hAnsi="Arial"/>
          <w:sz w:val="26"/>
          <w:szCs w:val="26"/>
          <w:rtl/>
        </w:rPr>
        <w:t xml:space="preserve"> והרתעת אחרים, </w:t>
      </w:r>
      <w:r w:rsidRPr="00A300F5">
        <w:rPr>
          <w:rFonts w:ascii="Arial" w:hAnsi="Arial" w:hint="cs"/>
          <w:sz w:val="26"/>
          <w:szCs w:val="26"/>
          <w:rtl/>
        </w:rPr>
        <w:t>תוך</w:t>
      </w:r>
      <w:r w:rsidRPr="00A300F5">
        <w:rPr>
          <w:rFonts w:ascii="Arial" w:hAnsi="Arial"/>
          <w:sz w:val="26"/>
          <w:szCs w:val="26"/>
          <w:rtl/>
        </w:rPr>
        <w:t xml:space="preserve"> </w:t>
      </w:r>
      <w:r w:rsidRPr="00A300F5">
        <w:rPr>
          <w:rFonts w:ascii="Arial" w:hAnsi="Arial" w:hint="cs"/>
          <w:sz w:val="26"/>
          <w:szCs w:val="26"/>
          <w:rtl/>
        </w:rPr>
        <w:t xml:space="preserve">מתן </w:t>
      </w:r>
      <w:r w:rsidRPr="00A300F5">
        <w:rPr>
          <w:rFonts w:ascii="Arial" w:hAnsi="Arial"/>
          <w:sz w:val="26"/>
          <w:szCs w:val="26"/>
          <w:rtl/>
        </w:rPr>
        <w:t xml:space="preserve">משקל </w:t>
      </w:r>
      <w:r w:rsidRPr="00A300F5">
        <w:rPr>
          <w:rFonts w:ascii="Arial" w:hAnsi="Arial" w:hint="cs"/>
          <w:sz w:val="26"/>
          <w:szCs w:val="26"/>
          <w:rtl/>
        </w:rPr>
        <w:t>להודאת הנאשם</w:t>
      </w:r>
      <w:r w:rsidRPr="00A300F5">
        <w:rPr>
          <w:rFonts w:ascii="Arial" w:hAnsi="Arial"/>
          <w:sz w:val="26"/>
          <w:szCs w:val="26"/>
          <w:rtl/>
        </w:rPr>
        <w:t xml:space="preserve"> ו</w:t>
      </w:r>
      <w:r>
        <w:rPr>
          <w:rFonts w:ascii="Arial" w:hAnsi="Arial" w:hint="cs"/>
          <w:sz w:val="26"/>
          <w:szCs w:val="26"/>
          <w:rtl/>
        </w:rPr>
        <w:t>בעיקר נוכח</w:t>
      </w:r>
      <w:r w:rsidRPr="00A300F5">
        <w:rPr>
          <w:rFonts w:ascii="Arial" w:hAnsi="Arial"/>
          <w:sz w:val="26"/>
          <w:szCs w:val="26"/>
          <w:rtl/>
        </w:rPr>
        <w:t xml:space="preserve"> שיקומו</w:t>
      </w:r>
      <w:r>
        <w:rPr>
          <w:rFonts w:ascii="Arial" w:hAnsi="Arial" w:hint="cs"/>
          <w:sz w:val="26"/>
          <w:szCs w:val="26"/>
          <w:rtl/>
        </w:rPr>
        <w:t xml:space="preserve"> עד היום, ומתוך תקווה שלא יפריך את האמון אשר ניתן בו עתה,</w:t>
      </w:r>
      <w:r>
        <w:rPr>
          <w:rFonts w:ascii="Arial" w:hAnsi="Arial"/>
          <w:sz w:val="26"/>
          <w:szCs w:val="26"/>
          <w:rtl/>
        </w:rPr>
        <w:t xml:space="preserve"> אני גוזר על הנאשם</w:t>
      </w:r>
      <w:r w:rsidRPr="00A300F5">
        <w:rPr>
          <w:rFonts w:ascii="Arial" w:hAnsi="Arial"/>
          <w:sz w:val="26"/>
          <w:szCs w:val="26"/>
          <w:rtl/>
        </w:rPr>
        <w:t xml:space="preserve"> את העונשים הבאים:</w:t>
      </w:r>
    </w:p>
    <w:p w14:paraId="70667226" w14:textId="77777777" w:rsidR="00CA7CF6" w:rsidRDefault="00CA7CF6" w:rsidP="00CA7CF6">
      <w:pPr>
        <w:pStyle w:val="ListParagraph"/>
        <w:numPr>
          <w:ilvl w:val="1"/>
          <w:numId w:val="1"/>
        </w:numPr>
        <w:spacing w:after="160" w:line="360" w:lineRule="auto"/>
        <w:ind w:left="1275" w:hanging="850"/>
        <w:contextualSpacing w:val="0"/>
        <w:jc w:val="both"/>
        <w:rPr>
          <w:rFonts w:ascii="Arial" w:hAnsi="Arial"/>
          <w:sz w:val="26"/>
          <w:szCs w:val="26"/>
        </w:rPr>
      </w:pPr>
      <w:r>
        <w:rPr>
          <w:rFonts w:ascii="Arial" w:hAnsi="Arial" w:hint="cs"/>
          <w:b/>
          <w:bCs/>
          <w:sz w:val="26"/>
          <w:szCs w:val="26"/>
          <w:rtl/>
        </w:rPr>
        <w:t>שישה חודשי</w:t>
      </w:r>
      <w:r w:rsidRPr="008D2760">
        <w:rPr>
          <w:rFonts w:ascii="Arial" w:hAnsi="Arial" w:hint="cs"/>
          <w:b/>
          <w:bCs/>
          <w:sz w:val="26"/>
          <w:szCs w:val="26"/>
          <w:rtl/>
        </w:rPr>
        <w:t xml:space="preserve"> מאסר </w:t>
      </w:r>
      <w:r>
        <w:rPr>
          <w:rFonts w:ascii="Arial" w:hAnsi="Arial" w:hint="cs"/>
          <w:b/>
          <w:bCs/>
          <w:sz w:val="26"/>
          <w:szCs w:val="26"/>
          <w:rtl/>
        </w:rPr>
        <w:t>שיבוצעו בדרך של עבודות שירות</w:t>
      </w:r>
      <w:r>
        <w:rPr>
          <w:rFonts w:ascii="Arial" w:hAnsi="Arial" w:hint="cs"/>
          <w:sz w:val="26"/>
          <w:szCs w:val="26"/>
          <w:rtl/>
        </w:rPr>
        <w:t>.</w:t>
      </w:r>
    </w:p>
    <w:p w14:paraId="25360BF9" w14:textId="77777777" w:rsidR="00CA7CF6" w:rsidRDefault="00CA7CF6" w:rsidP="00CA7CF6">
      <w:pPr>
        <w:pStyle w:val="ListParagraph"/>
        <w:numPr>
          <w:ilvl w:val="1"/>
          <w:numId w:val="1"/>
        </w:numPr>
        <w:spacing w:after="160" w:line="360" w:lineRule="auto"/>
        <w:ind w:left="1275" w:hanging="850"/>
        <w:contextualSpacing w:val="0"/>
        <w:jc w:val="both"/>
        <w:rPr>
          <w:rFonts w:ascii="Arial" w:hAnsi="Arial"/>
          <w:sz w:val="26"/>
          <w:szCs w:val="26"/>
        </w:rPr>
      </w:pPr>
      <w:r w:rsidRPr="00DA79FD">
        <w:rPr>
          <w:rFonts w:ascii="Arial" w:hAnsi="Arial" w:hint="cs"/>
          <w:b/>
          <w:bCs/>
          <w:sz w:val="26"/>
          <w:szCs w:val="26"/>
          <w:rtl/>
        </w:rPr>
        <w:t>צו מבחן למשך שנה מהיום</w:t>
      </w:r>
      <w:r w:rsidRPr="00DA79FD">
        <w:rPr>
          <w:rFonts w:ascii="Arial" w:hAnsi="Arial" w:hint="cs"/>
          <w:sz w:val="26"/>
          <w:szCs w:val="26"/>
          <w:rtl/>
        </w:rPr>
        <w:t>. מובהר לנאשם כי אם לא יבצע את המבחן יהיה ניתן להפקיעו ולשוב ולגזור את דינו.</w:t>
      </w:r>
    </w:p>
    <w:p w14:paraId="25762627" w14:textId="77777777" w:rsidR="00CA7CF6" w:rsidRDefault="00CA7CF6" w:rsidP="00CA7CF6">
      <w:pPr>
        <w:pStyle w:val="ListParagraph"/>
        <w:numPr>
          <w:ilvl w:val="1"/>
          <w:numId w:val="1"/>
        </w:numPr>
        <w:spacing w:after="160" w:line="360" w:lineRule="auto"/>
        <w:ind w:left="1275" w:hanging="850"/>
        <w:contextualSpacing w:val="0"/>
        <w:jc w:val="both"/>
        <w:rPr>
          <w:rFonts w:ascii="Arial" w:hAnsi="Arial"/>
          <w:sz w:val="26"/>
          <w:szCs w:val="26"/>
        </w:rPr>
      </w:pPr>
      <w:r w:rsidRPr="00DA79FD">
        <w:rPr>
          <w:rFonts w:ascii="Arial" w:hAnsi="Arial" w:hint="cs"/>
          <w:b/>
          <w:bCs/>
          <w:sz w:val="26"/>
          <w:szCs w:val="26"/>
          <w:rtl/>
        </w:rPr>
        <w:t xml:space="preserve">מאסר על תנאי של </w:t>
      </w:r>
      <w:r>
        <w:rPr>
          <w:rFonts w:ascii="Arial" w:hAnsi="Arial" w:hint="cs"/>
          <w:b/>
          <w:bCs/>
          <w:sz w:val="26"/>
          <w:szCs w:val="26"/>
          <w:rtl/>
        </w:rPr>
        <w:t>שנים-עשר</w:t>
      </w:r>
      <w:r w:rsidRPr="00DA79FD">
        <w:rPr>
          <w:rFonts w:ascii="Arial" w:hAnsi="Arial" w:hint="cs"/>
          <w:b/>
          <w:bCs/>
          <w:sz w:val="26"/>
          <w:szCs w:val="26"/>
          <w:rtl/>
        </w:rPr>
        <w:t xml:space="preserve"> (12) חודשים.</w:t>
      </w:r>
      <w:r w:rsidRPr="00DA79FD">
        <w:rPr>
          <w:rFonts w:ascii="Arial" w:hAnsi="Arial" w:hint="cs"/>
          <w:sz w:val="26"/>
          <w:szCs w:val="26"/>
          <w:rtl/>
        </w:rPr>
        <w:t xml:space="preserve"> והתנאי הוא שבמשך 3 שנים מיום מתן גזר הדין לא יעבור עבירה </w:t>
      </w:r>
      <w:r>
        <w:rPr>
          <w:rFonts w:ascii="Arial" w:hAnsi="Arial" w:hint="cs"/>
          <w:sz w:val="26"/>
          <w:szCs w:val="26"/>
          <w:rtl/>
        </w:rPr>
        <w:t>לפי</w:t>
      </w:r>
      <w:r w:rsidRPr="00DA79FD">
        <w:rPr>
          <w:rFonts w:ascii="Arial" w:hAnsi="Arial" w:hint="cs"/>
          <w:sz w:val="26"/>
          <w:szCs w:val="26"/>
          <w:rtl/>
        </w:rPr>
        <w:t xml:space="preserve"> </w:t>
      </w:r>
      <w:hyperlink r:id="rId65" w:history="1">
        <w:r w:rsidR="00E23D8B" w:rsidRPr="00E23D8B">
          <w:rPr>
            <w:rFonts w:ascii="Arial" w:hAnsi="Arial"/>
            <w:color w:val="0000FF"/>
            <w:sz w:val="26"/>
            <w:szCs w:val="26"/>
            <w:u w:val="single"/>
            <w:rtl/>
          </w:rPr>
          <w:t>סעיף 144</w:t>
        </w:r>
      </w:hyperlink>
      <w:r w:rsidRPr="00DA79FD">
        <w:rPr>
          <w:rFonts w:ascii="Arial" w:hAnsi="Arial" w:hint="cs"/>
          <w:sz w:val="26"/>
          <w:szCs w:val="26"/>
          <w:rtl/>
        </w:rPr>
        <w:t xml:space="preserve"> ב</w:t>
      </w:r>
      <w:hyperlink r:id="rId66" w:history="1">
        <w:r w:rsidR="001E3053" w:rsidRPr="001E3053">
          <w:rPr>
            <w:rFonts w:ascii="Arial" w:hAnsi="Arial"/>
            <w:color w:val="0000FF"/>
            <w:sz w:val="26"/>
            <w:szCs w:val="26"/>
            <w:u w:val="single"/>
            <w:rtl/>
          </w:rPr>
          <w:t>חוק העונשין</w:t>
        </w:r>
      </w:hyperlink>
      <w:r w:rsidRPr="00DA79FD">
        <w:rPr>
          <w:rFonts w:ascii="Arial" w:hAnsi="Arial" w:hint="cs"/>
          <w:sz w:val="26"/>
          <w:szCs w:val="26"/>
          <w:rtl/>
        </w:rPr>
        <w:t>.</w:t>
      </w:r>
    </w:p>
    <w:p w14:paraId="40A25FB7" w14:textId="77777777" w:rsidR="00CA7CF6" w:rsidRDefault="00CA7CF6" w:rsidP="00CA7CF6">
      <w:pPr>
        <w:pStyle w:val="ListParagraph"/>
        <w:numPr>
          <w:ilvl w:val="1"/>
          <w:numId w:val="1"/>
        </w:numPr>
        <w:spacing w:after="160" w:line="360" w:lineRule="auto"/>
        <w:ind w:left="1275" w:hanging="850"/>
        <w:contextualSpacing w:val="0"/>
        <w:jc w:val="both"/>
        <w:rPr>
          <w:rFonts w:ascii="Arial" w:hAnsi="Arial"/>
          <w:sz w:val="26"/>
          <w:szCs w:val="26"/>
        </w:rPr>
      </w:pPr>
      <w:r w:rsidRPr="00DA79FD">
        <w:rPr>
          <w:rFonts w:ascii="Arial" w:hAnsi="Arial" w:hint="cs"/>
          <w:b/>
          <w:bCs/>
          <w:sz w:val="26"/>
          <w:szCs w:val="26"/>
          <w:rtl/>
        </w:rPr>
        <w:t>קנס בסך 30,000 ₪.</w:t>
      </w:r>
      <w:r w:rsidRPr="00DA79FD">
        <w:rPr>
          <w:rFonts w:ascii="Arial" w:hAnsi="Arial" w:hint="cs"/>
          <w:sz w:val="26"/>
          <w:szCs w:val="26"/>
          <w:rtl/>
        </w:rPr>
        <w:t xml:space="preserve"> הקנס ישולם בשלושה תשלומים. הראשון </w:t>
      </w:r>
      <w:r w:rsidRPr="00DA79FD">
        <w:rPr>
          <w:rFonts w:ascii="Arial" w:hAnsi="Arial"/>
          <w:sz w:val="26"/>
          <w:szCs w:val="26"/>
          <w:rtl/>
        </w:rPr>
        <w:t>–</w:t>
      </w:r>
      <w:r w:rsidRPr="00DA79FD">
        <w:rPr>
          <w:rFonts w:ascii="Arial" w:hAnsi="Arial" w:hint="cs"/>
          <w:sz w:val="26"/>
          <w:szCs w:val="26"/>
          <w:rtl/>
        </w:rPr>
        <w:t xml:space="preserve"> לא יאוחר מיום 4.5.17; השני </w:t>
      </w:r>
      <w:r w:rsidRPr="00DA79FD">
        <w:rPr>
          <w:rFonts w:ascii="Arial" w:hAnsi="Arial"/>
          <w:sz w:val="26"/>
          <w:szCs w:val="26"/>
          <w:rtl/>
        </w:rPr>
        <w:t>–</w:t>
      </w:r>
      <w:r>
        <w:rPr>
          <w:rFonts w:ascii="Arial" w:hAnsi="Arial" w:hint="cs"/>
          <w:sz w:val="26"/>
          <w:szCs w:val="26"/>
          <w:rtl/>
        </w:rPr>
        <w:t xml:space="preserve"> לא יאוחר מיום 4.6.17</w:t>
      </w:r>
      <w:r w:rsidRPr="00DA79FD">
        <w:rPr>
          <w:rFonts w:ascii="Arial" w:hAnsi="Arial" w:hint="cs"/>
          <w:sz w:val="26"/>
          <w:szCs w:val="26"/>
          <w:rtl/>
        </w:rPr>
        <w:t xml:space="preserve">; והשלישי </w:t>
      </w:r>
      <w:r w:rsidRPr="00DA79FD">
        <w:rPr>
          <w:rFonts w:ascii="Arial" w:hAnsi="Arial"/>
          <w:sz w:val="26"/>
          <w:szCs w:val="26"/>
          <w:rtl/>
        </w:rPr>
        <w:t>–</w:t>
      </w:r>
      <w:r>
        <w:rPr>
          <w:rFonts w:ascii="Arial" w:hAnsi="Arial" w:hint="cs"/>
          <w:sz w:val="26"/>
          <w:szCs w:val="26"/>
          <w:rtl/>
        </w:rPr>
        <w:t xml:space="preserve"> לא יאוחר מיום 4.7.17, ולא יאוחר מה-10 בכל אחד מהחודשים האמורים.</w:t>
      </w:r>
    </w:p>
    <w:p w14:paraId="303EB624" w14:textId="77777777" w:rsidR="00CA7CF6" w:rsidRPr="00DA79FD" w:rsidRDefault="00CA7CF6" w:rsidP="00CA7CF6">
      <w:pPr>
        <w:pStyle w:val="ListParagraph"/>
        <w:spacing w:after="160" w:line="360" w:lineRule="auto"/>
        <w:ind w:left="1275"/>
        <w:contextualSpacing w:val="0"/>
        <w:jc w:val="both"/>
        <w:rPr>
          <w:rFonts w:ascii="Arial" w:hAnsi="Arial"/>
          <w:sz w:val="26"/>
          <w:szCs w:val="26"/>
        </w:rPr>
      </w:pPr>
      <w:r w:rsidRPr="00DA79FD">
        <w:rPr>
          <w:rFonts w:ascii="Arial" w:hAnsi="Arial" w:hint="cs"/>
          <w:sz w:val="26"/>
          <w:szCs w:val="26"/>
          <w:rtl/>
        </w:rPr>
        <w:t>אם לא ישולם אחד מתשלומי הקנס במועד הקבוע, תעמוד יתרת הקנס לפירעון מיידי</w:t>
      </w:r>
      <w:r>
        <w:rPr>
          <w:rFonts w:ascii="Arial" w:hAnsi="Arial" w:hint="cs"/>
          <w:sz w:val="26"/>
          <w:szCs w:val="26"/>
          <w:rtl/>
        </w:rPr>
        <w:t xml:space="preserve">. כן, בגין כל תשלום, שלא ישולם במועדו, </w:t>
      </w:r>
      <w:r w:rsidRPr="00DA79FD">
        <w:rPr>
          <w:rFonts w:ascii="Arial" w:hAnsi="Arial" w:hint="cs"/>
          <w:sz w:val="26"/>
          <w:szCs w:val="26"/>
          <w:rtl/>
        </w:rPr>
        <w:t xml:space="preserve">יישא </w:t>
      </w:r>
      <w:r>
        <w:rPr>
          <w:rFonts w:ascii="Arial" w:hAnsi="Arial" w:hint="cs"/>
          <w:sz w:val="26"/>
          <w:szCs w:val="26"/>
          <w:rtl/>
        </w:rPr>
        <w:t xml:space="preserve">הנאשם </w:t>
      </w:r>
      <w:r w:rsidRPr="00DA79FD">
        <w:rPr>
          <w:rFonts w:ascii="Arial" w:hAnsi="Arial" w:hint="cs"/>
          <w:sz w:val="26"/>
          <w:szCs w:val="26"/>
          <w:rtl/>
        </w:rPr>
        <w:t xml:space="preserve">בעונש של </w:t>
      </w:r>
      <w:r>
        <w:rPr>
          <w:rFonts w:ascii="Arial" w:hAnsi="Arial" w:hint="cs"/>
          <w:sz w:val="26"/>
          <w:szCs w:val="26"/>
          <w:rtl/>
        </w:rPr>
        <w:t xml:space="preserve"> חודש</w:t>
      </w:r>
      <w:r w:rsidRPr="00DA79FD">
        <w:rPr>
          <w:rFonts w:ascii="Arial" w:hAnsi="Arial" w:hint="cs"/>
          <w:sz w:val="26"/>
          <w:szCs w:val="26"/>
          <w:rtl/>
        </w:rPr>
        <w:t xml:space="preserve"> מאסר</w:t>
      </w:r>
      <w:r>
        <w:rPr>
          <w:rFonts w:ascii="Arial" w:hAnsi="Arial" w:hint="cs"/>
          <w:sz w:val="26"/>
          <w:szCs w:val="26"/>
          <w:rtl/>
        </w:rPr>
        <w:t xml:space="preserve"> בפועל</w:t>
      </w:r>
      <w:r w:rsidRPr="00DA79FD">
        <w:rPr>
          <w:rFonts w:ascii="Arial" w:hAnsi="Arial" w:hint="cs"/>
          <w:sz w:val="26"/>
          <w:szCs w:val="26"/>
          <w:rtl/>
        </w:rPr>
        <w:t>.</w:t>
      </w:r>
    </w:p>
    <w:p w14:paraId="70DE4191" w14:textId="77777777" w:rsidR="00CA7CF6" w:rsidRDefault="00CA7CF6" w:rsidP="00CA7CF6">
      <w:pPr>
        <w:pStyle w:val="ListParagraph"/>
        <w:numPr>
          <w:ilvl w:val="0"/>
          <w:numId w:val="1"/>
        </w:numPr>
        <w:spacing w:after="160" w:line="360" w:lineRule="auto"/>
        <w:ind w:left="425"/>
        <w:contextualSpacing w:val="0"/>
        <w:jc w:val="both"/>
        <w:rPr>
          <w:rFonts w:ascii="Arial" w:hAnsi="Arial"/>
          <w:b/>
          <w:bCs/>
          <w:sz w:val="26"/>
          <w:szCs w:val="26"/>
        </w:rPr>
      </w:pPr>
      <w:r w:rsidRPr="00DA79FD">
        <w:rPr>
          <w:rFonts w:ascii="Arial" w:hAnsi="Arial" w:hint="cs"/>
          <w:b/>
          <w:bCs/>
          <w:sz w:val="26"/>
          <w:szCs w:val="26"/>
          <w:rtl/>
        </w:rPr>
        <w:t xml:space="preserve">על הממונה על עבודות שירות ליתן חוות דעת משלימה בדבר מקום ביצוע עבודות השירות. נוכח חששות המאשימה, ניתן לשקול ביצע העבודות במתקן משטרתי. </w:t>
      </w:r>
    </w:p>
    <w:p w14:paraId="19864440" w14:textId="77777777" w:rsidR="00CA7CF6" w:rsidRPr="00D477E4" w:rsidRDefault="00CA7CF6" w:rsidP="00CA7CF6">
      <w:pPr>
        <w:pStyle w:val="ListParagraph"/>
        <w:spacing w:after="160" w:line="360" w:lineRule="auto"/>
        <w:ind w:left="425"/>
        <w:contextualSpacing w:val="0"/>
        <w:jc w:val="both"/>
        <w:rPr>
          <w:rFonts w:ascii="Arial" w:hAnsi="Arial"/>
          <w:b/>
          <w:bCs/>
          <w:sz w:val="26"/>
          <w:szCs w:val="26"/>
          <w:u w:val="single"/>
        </w:rPr>
      </w:pPr>
      <w:r w:rsidRPr="00D477E4">
        <w:rPr>
          <w:rFonts w:ascii="Arial" w:hAnsi="Arial" w:hint="cs"/>
          <w:b/>
          <w:bCs/>
          <w:sz w:val="26"/>
          <w:szCs w:val="26"/>
          <w:u w:val="single"/>
          <w:rtl/>
        </w:rPr>
        <w:t>חוות דעת הממונה תוגש לא יאוחר מיום 4.5.17.</w:t>
      </w:r>
    </w:p>
    <w:p w14:paraId="4EF5065E" w14:textId="77777777" w:rsidR="00CA7CF6" w:rsidRPr="00DA79FD" w:rsidRDefault="00CA7CF6" w:rsidP="00CA7CF6">
      <w:pPr>
        <w:pStyle w:val="ListParagraph"/>
        <w:numPr>
          <w:ilvl w:val="0"/>
          <w:numId w:val="1"/>
        </w:numPr>
        <w:spacing w:after="160" w:line="360" w:lineRule="auto"/>
        <w:ind w:left="425"/>
        <w:contextualSpacing w:val="0"/>
        <w:jc w:val="both"/>
        <w:rPr>
          <w:rFonts w:ascii="Arial" w:hAnsi="Arial"/>
          <w:b/>
          <w:bCs/>
          <w:sz w:val="26"/>
          <w:szCs w:val="26"/>
        </w:rPr>
      </w:pPr>
      <w:r>
        <w:rPr>
          <w:rFonts w:ascii="Arial" w:hAnsi="Arial" w:hint="cs"/>
          <w:b/>
          <w:bCs/>
          <w:sz w:val="26"/>
          <w:szCs w:val="26"/>
          <w:rtl/>
        </w:rPr>
        <w:t xml:space="preserve">נקבע לדיון משלים </w:t>
      </w:r>
      <w:r w:rsidRPr="00D477E4">
        <w:rPr>
          <w:rFonts w:ascii="Arial" w:hAnsi="Arial" w:hint="cs"/>
          <w:b/>
          <w:bCs/>
          <w:sz w:val="26"/>
          <w:szCs w:val="26"/>
          <w:u w:val="single"/>
          <w:rtl/>
        </w:rPr>
        <w:t>ביום 11.5.17 שעה 12:00.</w:t>
      </w:r>
    </w:p>
    <w:p w14:paraId="29022A0D" w14:textId="77777777" w:rsidR="00CA7CF6" w:rsidRPr="00E42BE2" w:rsidRDefault="001E3053" w:rsidP="00CA7CF6">
      <w:pPr>
        <w:spacing w:line="360" w:lineRule="auto"/>
        <w:jc w:val="both"/>
        <w:rPr>
          <w:rFonts w:ascii="Arial" w:hAnsi="Arial"/>
          <w:b/>
          <w:bCs/>
          <w:noProof w:val="0"/>
          <w:rtl/>
        </w:rPr>
      </w:pPr>
      <w:r w:rsidRPr="001E3053">
        <w:rPr>
          <w:rFonts w:ascii="Arial" w:hAnsi="Arial"/>
          <w:b/>
          <w:bCs/>
          <w:noProof w:val="0"/>
          <w:color w:val="FFFFFF"/>
          <w:sz w:val="2"/>
          <w:szCs w:val="2"/>
          <w:rtl/>
        </w:rPr>
        <w:t>5129371</w:t>
      </w:r>
      <w:r w:rsidR="00CA7CF6" w:rsidRPr="00E42BE2">
        <w:rPr>
          <w:rFonts w:ascii="Arial" w:hAnsi="Arial" w:hint="cs"/>
          <w:b/>
          <w:bCs/>
          <w:noProof w:val="0"/>
          <w:rtl/>
        </w:rPr>
        <w:t>המזכירות תשלח העתקים ל</w:t>
      </w:r>
      <w:r w:rsidR="00CA7CF6">
        <w:rPr>
          <w:rFonts w:ascii="Arial" w:hAnsi="Arial" w:hint="cs"/>
          <w:b/>
          <w:bCs/>
          <w:noProof w:val="0"/>
          <w:rtl/>
        </w:rPr>
        <w:t>ממונה על עבודות שירות ותפנה תשומת לבו לסעיף 48 לעיל</w:t>
      </w:r>
      <w:r w:rsidR="00CA7CF6" w:rsidRPr="00E42BE2">
        <w:rPr>
          <w:rFonts w:ascii="Arial" w:hAnsi="Arial" w:hint="cs"/>
          <w:b/>
          <w:bCs/>
          <w:noProof w:val="0"/>
          <w:rtl/>
        </w:rPr>
        <w:t>.</w:t>
      </w:r>
    </w:p>
    <w:tbl>
      <w:tblPr>
        <w:bidiVisual/>
        <w:tblW w:w="0" w:type="auto"/>
        <w:tblInd w:w="5652" w:type="dxa"/>
        <w:tblLook w:val="01E0" w:firstRow="1" w:lastRow="1" w:firstColumn="1" w:lastColumn="1" w:noHBand="0" w:noVBand="0"/>
      </w:tblPr>
      <w:tblGrid>
        <w:gridCol w:w="2511"/>
      </w:tblGrid>
      <w:tr w:rsidR="00CA7CF6" w14:paraId="43AD79EA" w14:textId="77777777" w:rsidTr="001E3053">
        <w:tc>
          <w:tcPr>
            <w:tcW w:w="2511" w:type="dxa"/>
            <w:tcBorders>
              <w:top w:val="nil"/>
              <w:left w:val="nil"/>
              <w:bottom w:val="single" w:sz="4" w:space="0" w:color="auto"/>
              <w:right w:val="nil"/>
            </w:tcBorders>
            <w:shd w:val="clear" w:color="auto" w:fill="auto"/>
            <w:vAlign w:val="center"/>
          </w:tcPr>
          <w:p w14:paraId="53140FC2" w14:textId="77777777" w:rsidR="00CA7CF6" w:rsidRPr="00D96343" w:rsidRDefault="001E3053" w:rsidP="001E3053">
            <w:pPr>
              <w:jc w:val="center"/>
              <w:rPr>
                <w:rFonts w:ascii="Courier New" w:hAnsi="Courier New"/>
                <w:b/>
                <w:bCs/>
              </w:rPr>
            </w:pPr>
            <w:r w:rsidRPr="001E3053">
              <w:rPr>
                <w:rFonts w:ascii="Arial" w:hAnsi="Arial"/>
                <w:b/>
                <w:bCs/>
                <w:noProof w:val="0"/>
                <w:color w:val="FFFFFF"/>
                <w:sz w:val="2"/>
                <w:szCs w:val="2"/>
                <w:rtl/>
              </w:rPr>
              <w:t>54678313</w:t>
            </w:r>
            <w:r>
              <w:rPr>
                <w:rFonts w:ascii="Arial" w:hAnsi="Arial"/>
                <w:b/>
                <w:bCs/>
                <w:noProof w:val="0"/>
                <w:rtl/>
              </w:rPr>
              <w:t xml:space="preserve">ניתן היום, י' ניסן תשע"ז, 06 אפריל 2017, בנוכחות הנאשם וב"כ הצדדים. </w:t>
            </w:r>
          </w:p>
        </w:tc>
      </w:tr>
      <w:tr w:rsidR="00CA7CF6" w14:paraId="166707A9" w14:textId="77777777" w:rsidTr="001E3053">
        <w:tc>
          <w:tcPr>
            <w:tcW w:w="2511" w:type="dxa"/>
            <w:tcBorders>
              <w:top w:val="single" w:sz="4" w:space="0" w:color="auto"/>
              <w:left w:val="nil"/>
              <w:bottom w:val="nil"/>
              <w:right w:val="nil"/>
            </w:tcBorders>
            <w:shd w:val="clear" w:color="auto" w:fill="auto"/>
            <w:vAlign w:val="center"/>
          </w:tcPr>
          <w:p w14:paraId="712AEA2F" w14:textId="77777777" w:rsidR="00CA7CF6" w:rsidRPr="00D96343" w:rsidRDefault="00CA7CF6" w:rsidP="001E3053">
            <w:pPr>
              <w:spacing w:line="360" w:lineRule="auto"/>
              <w:jc w:val="center"/>
              <w:rPr>
                <w:b/>
                <w:bCs/>
                <w:rtl/>
              </w:rPr>
            </w:pPr>
            <w:r w:rsidRPr="00D96343">
              <w:rPr>
                <w:rFonts w:hint="cs"/>
                <w:b/>
                <w:bCs/>
                <w:rtl/>
              </w:rPr>
              <w:t>אהרן פרקש, נשיא</w:t>
            </w:r>
          </w:p>
        </w:tc>
      </w:tr>
    </w:tbl>
    <w:p w14:paraId="099D982B" w14:textId="77777777" w:rsidR="00CA7CF6" w:rsidRDefault="00CA7CF6" w:rsidP="00CA7CF6">
      <w:pPr>
        <w:spacing w:line="360" w:lineRule="auto"/>
        <w:jc w:val="both"/>
        <w:rPr>
          <w:rFonts w:ascii="Arial" w:hAnsi="Arial"/>
          <w:noProof w:val="0"/>
          <w:rtl/>
        </w:rPr>
      </w:pPr>
    </w:p>
    <w:p w14:paraId="7DE35ED1" w14:textId="77777777" w:rsidR="001E3053" w:rsidRPr="001E3053" w:rsidRDefault="001E3053" w:rsidP="001E3053">
      <w:pPr>
        <w:keepNext/>
        <w:rPr>
          <w:rFonts w:ascii="David" w:hAnsi="David"/>
          <w:color w:val="000000"/>
          <w:sz w:val="22"/>
          <w:szCs w:val="22"/>
          <w:rtl/>
        </w:rPr>
      </w:pPr>
    </w:p>
    <w:p w14:paraId="16B976C8" w14:textId="77777777" w:rsidR="001E3053" w:rsidRPr="001E3053" w:rsidRDefault="001E3053" w:rsidP="001E3053">
      <w:pPr>
        <w:keepNext/>
        <w:rPr>
          <w:rFonts w:ascii="David" w:hAnsi="David"/>
          <w:color w:val="000000"/>
          <w:sz w:val="22"/>
          <w:szCs w:val="22"/>
          <w:rtl/>
        </w:rPr>
      </w:pPr>
      <w:r w:rsidRPr="001E3053">
        <w:rPr>
          <w:rFonts w:ascii="David" w:hAnsi="David"/>
          <w:color w:val="000000"/>
          <w:sz w:val="22"/>
          <w:szCs w:val="22"/>
          <w:rtl/>
        </w:rPr>
        <w:t>אהרן פרקש 54678313</w:t>
      </w:r>
    </w:p>
    <w:p w14:paraId="640E9E10" w14:textId="77777777" w:rsidR="001E3053" w:rsidRDefault="001E3053" w:rsidP="001E3053">
      <w:r w:rsidRPr="001E3053">
        <w:rPr>
          <w:color w:val="000000"/>
          <w:rtl/>
        </w:rPr>
        <w:t>נוסח מסמך זה כפוף לשינויי ניסוח ועריכה</w:t>
      </w:r>
    </w:p>
    <w:p w14:paraId="1FD2A9A0" w14:textId="77777777" w:rsidR="001E3053" w:rsidRDefault="001E3053" w:rsidP="001E3053">
      <w:pPr>
        <w:rPr>
          <w:rtl/>
        </w:rPr>
      </w:pPr>
    </w:p>
    <w:p w14:paraId="6FC2227C" w14:textId="77777777" w:rsidR="001E3053" w:rsidRDefault="001E3053" w:rsidP="001E3053">
      <w:pPr>
        <w:jc w:val="center"/>
        <w:rPr>
          <w:color w:val="0000FF"/>
          <w:u w:val="single"/>
        </w:rPr>
      </w:pPr>
      <w:hyperlink r:id="rId67" w:history="1">
        <w:r>
          <w:rPr>
            <w:color w:val="0000FF"/>
            <w:u w:val="single"/>
            <w:rtl/>
          </w:rPr>
          <w:t>בעניין עריכה ושינויים במסמכי פסיקה, חקיקה ועוד באתר נבו – הקש כאן</w:t>
        </w:r>
      </w:hyperlink>
    </w:p>
    <w:p w14:paraId="05B1D434" w14:textId="77777777" w:rsidR="00B35717" w:rsidRPr="001E3053" w:rsidRDefault="00B35717" w:rsidP="001E3053">
      <w:pPr>
        <w:jc w:val="center"/>
        <w:rPr>
          <w:color w:val="0000FF"/>
          <w:u w:val="single"/>
        </w:rPr>
      </w:pPr>
    </w:p>
    <w:sectPr w:rsidR="00B35717" w:rsidRPr="001E3053" w:rsidSect="001E3053">
      <w:headerReference w:type="even" r:id="rId68"/>
      <w:headerReference w:type="default" r:id="rId69"/>
      <w:footerReference w:type="even" r:id="rId70"/>
      <w:footerReference w:type="default" r:id="rId71"/>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75D72" w14:textId="77777777" w:rsidR="00AA2A95" w:rsidRDefault="00AA2A95">
      <w:r>
        <w:separator/>
      </w:r>
    </w:p>
  </w:endnote>
  <w:endnote w:type="continuationSeparator" w:id="0">
    <w:p w14:paraId="53D05FDF" w14:textId="77777777" w:rsidR="00AA2A95" w:rsidRDefault="00AA2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DF59D" w14:textId="77777777" w:rsidR="00AA2A95" w:rsidRDefault="00AA2A95" w:rsidP="001E305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7B547128" w14:textId="77777777" w:rsidR="00AA2A95" w:rsidRPr="001E3053" w:rsidRDefault="00AA2A95" w:rsidP="001E3053">
    <w:pPr>
      <w:pStyle w:val="a5"/>
      <w:pBdr>
        <w:top w:val="single" w:sz="4" w:space="1" w:color="auto"/>
        <w:between w:val="single" w:sz="4" w:space="0" w:color="auto"/>
      </w:pBdr>
      <w:spacing w:after="60"/>
      <w:jc w:val="center"/>
      <w:rPr>
        <w:rFonts w:ascii="FrankRuehl" w:hAnsi="FrankRuehl" w:cs="FrankRuehl"/>
        <w:color w:val="000000"/>
      </w:rPr>
    </w:pPr>
    <w:r w:rsidRPr="001E305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42798" w14:textId="77777777" w:rsidR="00AA2A95" w:rsidRDefault="00AA2A95" w:rsidP="001E3053">
    <w:pPr>
      <w:pStyle w:val="a5"/>
      <w:jc w:val="center"/>
      <w:rPr>
        <w:rStyle w:val="a6"/>
        <w:rFonts w:ascii="FrankRuehl" w:hAnsi="FrankRuehl" w:cs="FrankRuehl"/>
      </w:rPr>
    </w:pPr>
    <w:r>
      <w:rPr>
        <w:rStyle w:val="a6"/>
        <w:rFonts w:ascii="FrankRuehl" w:hAnsi="FrankRuehl" w:cs="FrankRuehl"/>
        <w:rtl/>
      </w:rPr>
      <w:fldChar w:fldCharType="begin"/>
    </w:r>
    <w:r>
      <w:rPr>
        <w:rStyle w:val="a6"/>
        <w:rFonts w:ascii="FrankRuehl" w:hAnsi="FrankRuehl" w:cs="FrankRuehl"/>
        <w:rtl/>
      </w:rPr>
      <w:instrText xml:space="preserve"> </w:instrText>
    </w:r>
    <w:r>
      <w:rPr>
        <w:rStyle w:val="a6"/>
        <w:rFonts w:ascii="FrankRuehl" w:hAnsi="FrankRuehl" w:cs="FrankRuehl"/>
      </w:rPr>
      <w:instrText>PAGE</w:instrText>
    </w:r>
    <w:r>
      <w:rPr>
        <w:rStyle w:val="a6"/>
        <w:rFonts w:ascii="FrankRuehl" w:hAnsi="FrankRuehl" w:cs="FrankRuehl"/>
        <w:rtl/>
      </w:rPr>
      <w:instrText xml:space="preserve">  \* </w:instrText>
    </w:r>
    <w:r>
      <w:rPr>
        <w:rStyle w:val="a6"/>
        <w:rFonts w:ascii="FrankRuehl" w:hAnsi="FrankRuehl" w:cs="FrankRuehl"/>
      </w:rPr>
      <w:instrText>MERGEFORMAT</w:instrText>
    </w:r>
    <w:r>
      <w:rPr>
        <w:rStyle w:val="a6"/>
        <w:rFonts w:ascii="FrankRuehl" w:hAnsi="FrankRuehl" w:cs="FrankRuehl"/>
        <w:rtl/>
      </w:rPr>
      <w:instrText xml:space="preserve"> </w:instrText>
    </w:r>
    <w:r>
      <w:rPr>
        <w:rStyle w:val="a6"/>
        <w:rFonts w:ascii="FrankRuehl" w:hAnsi="FrankRuehl" w:cs="FrankRuehl"/>
        <w:rtl/>
      </w:rPr>
      <w:fldChar w:fldCharType="separate"/>
    </w:r>
    <w:r w:rsidR="00C729EE">
      <w:rPr>
        <w:rStyle w:val="a6"/>
        <w:rFonts w:ascii="FrankRuehl" w:hAnsi="FrankRuehl" w:cs="FrankRuehl"/>
        <w:rtl/>
      </w:rPr>
      <w:t>1</w:t>
    </w:r>
    <w:r>
      <w:rPr>
        <w:rStyle w:val="a6"/>
        <w:rFonts w:ascii="FrankRuehl" w:hAnsi="FrankRuehl" w:cs="FrankRuehl"/>
        <w:rtl/>
      </w:rPr>
      <w:fldChar w:fldCharType="end"/>
    </w:r>
  </w:p>
  <w:p w14:paraId="77BFCE27" w14:textId="77777777" w:rsidR="00AA2A95" w:rsidRPr="001E3053" w:rsidRDefault="00AA2A95" w:rsidP="001E3053">
    <w:pPr>
      <w:pStyle w:val="a5"/>
      <w:pBdr>
        <w:top w:val="single" w:sz="4" w:space="1" w:color="auto"/>
        <w:between w:val="single" w:sz="4" w:space="0" w:color="auto"/>
      </w:pBdr>
      <w:spacing w:after="60"/>
      <w:jc w:val="center"/>
      <w:rPr>
        <w:rStyle w:val="a6"/>
        <w:rFonts w:ascii="FrankRuehl" w:hAnsi="FrankRuehl" w:cs="FrankRuehl"/>
        <w:color w:val="000000"/>
      </w:rPr>
    </w:pPr>
    <w:r w:rsidRPr="001E3053">
      <w:rPr>
        <w:rStyle w:val="a6"/>
        <w:rFonts w:ascii="FrankRuehl" w:hAnsi="FrankRuehl" w:cs="FrankRuehl"/>
        <w:color w:val="000000"/>
      </w:rPr>
      <w:pict w14:anchorId="451375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61355" w14:textId="77777777" w:rsidR="00AA2A95" w:rsidRDefault="00AA2A95">
      <w:r>
        <w:separator/>
      </w:r>
    </w:p>
  </w:footnote>
  <w:footnote w:type="continuationSeparator" w:id="0">
    <w:p w14:paraId="13A44E39" w14:textId="77777777" w:rsidR="00AA2A95" w:rsidRDefault="00AA2A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C01F9" w14:textId="77777777" w:rsidR="00AA2A95" w:rsidRPr="001E3053" w:rsidRDefault="00AA2A95" w:rsidP="001E3053">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39071-12-15</w:t>
    </w:r>
    <w:r>
      <w:rPr>
        <w:rFonts w:ascii="David" w:hAnsi="David"/>
        <w:color w:val="000000"/>
        <w:sz w:val="22"/>
        <w:szCs w:val="22"/>
        <w:rtl/>
      </w:rPr>
      <w:tab/>
      <w:t xml:space="preserve"> מדינת ישראל נ' עמאר מצרי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E1E23" w14:textId="77777777" w:rsidR="00AA2A95" w:rsidRPr="001E3053" w:rsidRDefault="00AA2A95" w:rsidP="001E3053">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39071-12-15</w:t>
    </w:r>
    <w:r>
      <w:rPr>
        <w:rFonts w:ascii="David" w:hAnsi="David"/>
        <w:color w:val="000000"/>
        <w:sz w:val="22"/>
        <w:szCs w:val="22"/>
        <w:rtl/>
      </w:rPr>
      <w:tab/>
      <w:t xml:space="preserve"> מדינת ישראל נ' עמאר מצרי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BA6E0E"/>
    <w:multiLevelType w:val="multilevel"/>
    <w:tmpl w:val="ED42C108"/>
    <w:lvl w:ilvl="0">
      <w:start w:val="1"/>
      <w:numFmt w:val="decimal"/>
      <w:lvlText w:val="%1."/>
      <w:lvlJc w:val="left"/>
      <w:pPr>
        <w:ind w:left="720" w:hanging="360"/>
      </w:pPr>
    </w:lvl>
    <w:lvl w:ilvl="1">
      <w:start w:val="1"/>
      <w:numFmt w:val="decimal"/>
      <w:isLgl/>
      <w:lvlText w:val="%1.%2"/>
      <w:lvlJc w:val="left"/>
      <w:pPr>
        <w:ind w:left="2165" w:hanging="1020"/>
      </w:pPr>
      <w:rPr>
        <w:rFonts w:hint="default"/>
        <w:b/>
      </w:rPr>
    </w:lvl>
    <w:lvl w:ilvl="2">
      <w:start w:val="1"/>
      <w:numFmt w:val="decimal"/>
      <w:isLgl/>
      <w:lvlText w:val="%1.%2.%3"/>
      <w:lvlJc w:val="left"/>
      <w:pPr>
        <w:ind w:left="2950" w:hanging="1020"/>
      </w:pPr>
      <w:rPr>
        <w:rFonts w:hint="default"/>
        <w:b/>
      </w:rPr>
    </w:lvl>
    <w:lvl w:ilvl="3">
      <w:start w:val="1"/>
      <w:numFmt w:val="decimal"/>
      <w:isLgl/>
      <w:lvlText w:val="%1.%2.%3.%4"/>
      <w:lvlJc w:val="left"/>
      <w:pPr>
        <w:ind w:left="3795" w:hanging="1080"/>
      </w:pPr>
      <w:rPr>
        <w:rFonts w:hint="default"/>
        <w:b/>
      </w:rPr>
    </w:lvl>
    <w:lvl w:ilvl="4">
      <w:start w:val="1"/>
      <w:numFmt w:val="decimal"/>
      <w:isLgl/>
      <w:lvlText w:val="%1.%2.%3.%4.%5"/>
      <w:lvlJc w:val="left"/>
      <w:pPr>
        <w:ind w:left="4580" w:hanging="1080"/>
      </w:pPr>
      <w:rPr>
        <w:rFonts w:hint="default"/>
        <w:b/>
      </w:rPr>
    </w:lvl>
    <w:lvl w:ilvl="5">
      <w:start w:val="1"/>
      <w:numFmt w:val="decimal"/>
      <w:isLgl/>
      <w:lvlText w:val="%1.%2.%3.%4.%5.%6"/>
      <w:lvlJc w:val="left"/>
      <w:pPr>
        <w:ind w:left="5725" w:hanging="1440"/>
      </w:pPr>
      <w:rPr>
        <w:rFonts w:hint="default"/>
        <w:b/>
      </w:rPr>
    </w:lvl>
    <w:lvl w:ilvl="6">
      <w:start w:val="1"/>
      <w:numFmt w:val="decimal"/>
      <w:isLgl/>
      <w:lvlText w:val="%1.%2.%3.%4.%5.%6.%7"/>
      <w:lvlJc w:val="left"/>
      <w:pPr>
        <w:ind w:left="6870" w:hanging="1800"/>
      </w:pPr>
      <w:rPr>
        <w:rFonts w:hint="default"/>
        <w:b/>
      </w:rPr>
    </w:lvl>
    <w:lvl w:ilvl="7">
      <w:start w:val="1"/>
      <w:numFmt w:val="decimal"/>
      <w:isLgl/>
      <w:lvlText w:val="%1.%2.%3.%4.%5.%6.%7.%8"/>
      <w:lvlJc w:val="left"/>
      <w:pPr>
        <w:ind w:left="7655" w:hanging="1800"/>
      </w:pPr>
      <w:rPr>
        <w:rFonts w:hint="default"/>
        <w:b/>
      </w:rPr>
    </w:lvl>
    <w:lvl w:ilvl="8">
      <w:start w:val="1"/>
      <w:numFmt w:val="decimal"/>
      <w:isLgl/>
      <w:lvlText w:val="%1.%2.%3.%4.%5.%6.%7.%8.%9"/>
      <w:lvlJc w:val="left"/>
      <w:pPr>
        <w:ind w:left="8800" w:hanging="2160"/>
      </w:pPr>
      <w:rPr>
        <w:rFonts w:hint="default"/>
        <w:b/>
      </w:rPr>
    </w:lvl>
  </w:abstractNum>
  <w:num w:numId="1" w16cid:durableId="762455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A7CF6"/>
    <w:rsid w:val="00004B4A"/>
    <w:rsid w:val="000258C6"/>
    <w:rsid w:val="00092DB2"/>
    <w:rsid w:val="000B222D"/>
    <w:rsid w:val="000F3716"/>
    <w:rsid w:val="000F776E"/>
    <w:rsid w:val="001163D9"/>
    <w:rsid w:val="00123268"/>
    <w:rsid w:val="0013605C"/>
    <w:rsid w:val="0015154B"/>
    <w:rsid w:val="0017711A"/>
    <w:rsid w:val="001E3053"/>
    <w:rsid w:val="00203146"/>
    <w:rsid w:val="002474C9"/>
    <w:rsid w:val="002B1389"/>
    <w:rsid w:val="002D2C1C"/>
    <w:rsid w:val="002E4BA2"/>
    <w:rsid w:val="00327617"/>
    <w:rsid w:val="00371D27"/>
    <w:rsid w:val="00374124"/>
    <w:rsid w:val="003C709F"/>
    <w:rsid w:val="003D65D3"/>
    <w:rsid w:val="003E51B4"/>
    <w:rsid w:val="003F02C5"/>
    <w:rsid w:val="004D1A95"/>
    <w:rsid w:val="004D5997"/>
    <w:rsid w:val="00533D5C"/>
    <w:rsid w:val="00551C5E"/>
    <w:rsid w:val="005638FB"/>
    <w:rsid w:val="00582B08"/>
    <w:rsid w:val="005847C1"/>
    <w:rsid w:val="005B4DDE"/>
    <w:rsid w:val="005E305D"/>
    <w:rsid w:val="00671477"/>
    <w:rsid w:val="006D1E81"/>
    <w:rsid w:val="00710EDB"/>
    <w:rsid w:val="007171C2"/>
    <w:rsid w:val="00720984"/>
    <w:rsid w:val="007900C5"/>
    <w:rsid w:val="007A3B68"/>
    <w:rsid w:val="007D10E0"/>
    <w:rsid w:val="007E62CB"/>
    <w:rsid w:val="008043FC"/>
    <w:rsid w:val="008057C3"/>
    <w:rsid w:val="008061E8"/>
    <w:rsid w:val="00860D56"/>
    <w:rsid w:val="00866CE3"/>
    <w:rsid w:val="00875CAA"/>
    <w:rsid w:val="008760F0"/>
    <w:rsid w:val="008B2C82"/>
    <w:rsid w:val="008D4AF6"/>
    <w:rsid w:val="00901DEA"/>
    <w:rsid w:val="00913EC5"/>
    <w:rsid w:val="00946CA3"/>
    <w:rsid w:val="009619D8"/>
    <w:rsid w:val="009A4E50"/>
    <w:rsid w:val="009A720E"/>
    <w:rsid w:val="009B4682"/>
    <w:rsid w:val="00A03304"/>
    <w:rsid w:val="00A24369"/>
    <w:rsid w:val="00A472AB"/>
    <w:rsid w:val="00A52B25"/>
    <w:rsid w:val="00A96648"/>
    <w:rsid w:val="00AA2A95"/>
    <w:rsid w:val="00AE1669"/>
    <w:rsid w:val="00B07251"/>
    <w:rsid w:val="00B10E9A"/>
    <w:rsid w:val="00B127F9"/>
    <w:rsid w:val="00B24722"/>
    <w:rsid w:val="00B35717"/>
    <w:rsid w:val="00B47E2E"/>
    <w:rsid w:val="00B6502B"/>
    <w:rsid w:val="00B73086"/>
    <w:rsid w:val="00B77D3A"/>
    <w:rsid w:val="00B922D9"/>
    <w:rsid w:val="00B970C5"/>
    <w:rsid w:val="00BA5B6F"/>
    <w:rsid w:val="00BD5087"/>
    <w:rsid w:val="00BF5C5D"/>
    <w:rsid w:val="00C06514"/>
    <w:rsid w:val="00C22EAD"/>
    <w:rsid w:val="00C25259"/>
    <w:rsid w:val="00C303EF"/>
    <w:rsid w:val="00C66536"/>
    <w:rsid w:val="00C6661F"/>
    <w:rsid w:val="00C729EE"/>
    <w:rsid w:val="00C9418A"/>
    <w:rsid w:val="00CA7CF6"/>
    <w:rsid w:val="00D11A80"/>
    <w:rsid w:val="00D308EF"/>
    <w:rsid w:val="00D357B5"/>
    <w:rsid w:val="00D40041"/>
    <w:rsid w:val="00D56203"/>
    <w:rsid w:val="00D807AC"/>
    <w:rsid w:val="00DB0024"/>
    <w:rsid w:val="00DD36BA"/>
    <w:rsid w:val="00DE1662"/>
    <w:rsid w:val="00E23D8B"/>
    <w:rsid w:val="00E45CCB"/>
    <w:rsid w:val="00E61C95"/>
    <w:rsid w:val="00EA60CD"/>
    <w:rsid w:val="00EE2A1B"/>
    <w:rsid w:val="00F274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6C0D4AE"/>
  <w15:chartTrackingRefBased/>
  <w15:docId w15:val="{648C0B59-4AC7-4EED-922F-537EDC22A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A7CF6"/>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CA7CF6"/>
  </w:style>
  <w:style w:type="paragraph" w:styleId="a4">
    <w:name w:val="header"/>
    <w:basedOn w:val="a"/>
    <w:rsid w:val="00CA7CF6"/>
    <w:pPr>
      <w:tabs>
        <w:tab w:val="center" w:pos="4153"/>
        <w:tab w:val="right" w:pos="8306"/>
      </w:tabs>
    </w:pPr>
  </w:style>
  <w:style w:type="paragraph" w:styleId="a5">
    <w:name w:val="footer"/>
    <w:basedOn w:val="a"/>
    <w:rsid w:val="00CA7CF6"/>
    <w:pPr>
      <w:tabs>
        <w:tab w:val="center" w:pos="4153"/>
        <w:tab w:val="right" w:pos="8306"/>
      </w:tabs>
    </w:pPr>
  </w:style>
  <w:style w:type="character" w:styleId="a6">
    <w:name w:val="page number"/>
    <w:basedOn w:val="a0"/>
    <w:rsid w:val="00CA7CF6"/>
  </w:style>
  <w:style w:type="paragraph" w:customStyle="1" w:styleId="ListParagraph">
    <w:name w:val="List Paragraph"/>
    <w:basedOn w:val="a"/>
    <w:rsid w:val="00CA7CF6"/>
    <w:pPr>
      <w:ind w:left="720"/>
      <w:contextualSpacing/>
    </w:pPr>
    <w:rPr>
      <w:noProof w:val="0"/>
    </w:rPr>
  </w:style>
  <w:style w:type="character" w:styleId="Hyperlink">
    <w:name w:val="Hyperlink"/>
    <w:basedOn w:val="a0"/>
    <w:rsid w:val="001E30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7958246" TargetMode="External"/><Relationship Id="rId21" Type="http://schemas.openxmlformats.org/officeDocument/2006/relationships/hyperlink" Target="http://www.nevo.co.il/law/70301/40c.a" TargetMode="External"/><Relationship Id="rId42" Type="http://schemas.openxmlformats.org/officeDocument/2006/relationships/hyperlink" Target="http://www.nevo.co.il/case/4782546" TargetMode="External"/><Relationship Id="rId47" Type="http://schemas.openxmlformats.org/officeDocument/2006/relationships/hyperlink" Target="http://www.nevo.co.il/law/70301" TargetMode="External"/><Relationship Id="rId63" Type="http://schemas.openxmlformats.org/officeDocument/2006/relationships/hyperlink" Target="http://www.nevo.co.il/law/70301" TargetMode="External"/><Relationship Id="rId68"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70301/40jb"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144" TargetMode="External"/><Relationship Id="rId24" Type="http://schemas.openxmlformats.org/officeDocument/2006/relationships/hyperlink" Target="http://www.nevo.co.il/law/70301/40ja" TargetMode="External"/><Relationship Id="rId32" Type="http://schemas.openxmlformats.org/officeDocument/2006/relationships/hyperlink" Target="http://www.nevo.co.il/law/70301/144.b" TargetMode="External"/><Relationship Id="rId37" Type="http://schemas.openxmlformats.org/officeDocument/2006/relationships/hyperlink" Target="http://www.nevo.co.il/case/21500873" TargetMode="External"/><Relationship Id="rId40" Type="http://schemas.openxmlformats.org/officeDocument/2006/relationships/hyperlink" Target="http://www.nevo.co.il/case/6276336" TargetMode="External"/><Relationship Id="rId45" Type="http://schemas.openxmlformats.org/officeDocument/2006/relationships/hyperlink" Target="http://www.nevo.co.il/law/70301/144.b" TargetMode="External"/><Relationship Id="rId53" Type="http://schemas.openxmlformats.org/officeDocument/2006/relationships/hyperlink" Target="http://www.nevo.co.il/case/13019896" TargetMode="External"/><Relationship Id="rId58" Type="http://schemas.openxmlformats.org/officeDocument/2006/relationships/hyperlink" Target="http://www.nevo.co.il/law/70301/40i" TargetMode="External"/><Relationship Id="rId66" Type="http://schemas.openxmlformats.org/officeDocument/2006/relationships/hyperlink" Target="http://www.nevo.co.il/law/70301" TargetMode="External"/><Relationship Id="rId5" Type="http://schemas.openxmlformats.org/officeDocument/2006/relationships/footnotes" Target="footnotes.xml"/><Relationship Id="rId61" Type="http://schemas.openxmlformats.org/officeDocument/2006/relationships/hyperlink" Target="http://www.nevo.co.il/case/20941361" TargetMode="External"/><Relationship Id="rId19" Type="http://schemas.openxmlformats.org/officeDocument/2006/relationships/hyperlink" Target="http://www.nevo.co.il/law/70301" TargetMode="External"/><Relationship Id="rId14" Type="http://schemas.openxmlformats.org/officeDocument/2006/relationships/hyperlink" Target="http://www.nevo.co.il/law/70301/144.c" TargetMode="External"/><Relationship Id="rId22" Type="http://schemas.openxmlformats.org/officeDocument/2006/relationships/hyperlink" Target="http://www.nevo.co.il/case/5573417" TargetMode="External"/><Relationship Id="rId27" Type="http://schemas.openxmlformats.org/officeDocument/2006/relationships/hyperlink" Target="http://www.nevo.co.il/case/6000182" TargetMode="External"/><Relationship Id="rId30" Type="http://schemas.openxmlformats.org/officeDocument/2006/relationships/hyperlink" Target="http://www.nevo.co.il/case/22006503" TargetMode="External"/><Relationship Id="rId35" Type="http://schemas.openxmlformats.org/officeDocument/2006/relationships/hyperlink" Target="http://www.nevo.co.il/law/70301/144.a" TargetMode="External"/><Relationship Id="rId43" Type="http://schemas.openxmlformats.org/officeDocument/2006/relationships/hyperlink" Target="http://www.nevo.co.il/case/4354827" TargetMode="External"/><Relationship Id="rId48" Type="http://schemas.openxmlformats.org/officeDocument/2006/relationships/hyperlink" Target="http://www.nevo.co.il/law/70301/144.a" TargetMode="External"/><Relationship Id="rId56" Type="http://schemas.openxmlformats.org/officeDocument/2006/relationships/hyperlink" Target="http://www.nevo.co.il/case/4328629" TargetMode="External"/><Relationship Id="rId64" Type="http://schemas.openxmlformats.org/officeDocument/2006/relationships/hyperlink" Target="http://www.nevo.co.il/law/70301" TargetMode="External"/><Relationship Id="rId69" Type="http://schemas.openxmlformats.org/officeDocument/2006/relationships/header" Target="header2.xml"/><Relationship Id="rId8" Type="http://schemas.openxmlformats.org/officeDocument/2006/relationships/hyperlink" Target="http://www.nevo.co.il/law/70301/40c.a" TargetMode="External"/><Relationship Id="rId51" Type="http://schemas.openxmlformats.org/officeDocument/2006/relationships/hyperlink" Target="http://www.nevo.co.il/case/7871130"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70301/fCa1S" TargetMode="External"/><Relationship Id="rId25" Type="http://schemas.openxmlformats.org/officeDocument/2006/relationships/hyperlink" Target="http://www.nevo.co.il/law/70301/40jb"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144.b" TargetMode="External"/><Relationship Id="rId46" Type="http://schemas.openxmlformats.org/officeDocument/2006/relationships/hyperlink" Target="http://www.nevo.co.il/law/70301/144.c" TargetMode="External"/><Relationship Id="rId59" Type="http://schemas.openxmlformats.org/officeDocument/2006/relationships/hyperlink" Target="http://www.nevo.co.il/law/70301/40ja" TargetMode="External"/><Relationship Id="rId67" Type="http://schemas.openxmlformats.org/officeDocument/2006/relationships/hyperlink" Target="http://www.nevo.co.il/advertisements/nevo-100.doc" TargetMode="External"/><Relationship Id="rId20" Type="http://schemas.openxmlformats.org/officeDocument/2006/relationships/hyperlink" Target="http://www.nevo.co.il/law/70301/fCa1S" TargetMode="External"/><Relationship Id="rId41" Type="http://schemas.openxmlformats.org/officeDocument/2006/relationships/hyperlink" Target="http://www.nevo.co.il/law/70301/144.a" TargetMode="External"/><Relationship Id="rId54" Type="http://schemas.openxmlformats.org/officeDocument/2006/relationships/hyperlink" Target="http://www.nevo.co.il/case/5895123" TargetMode="External"/><Relationship Id="rId62" Type="http://schemas.openxmlformats.org/officeDocument/2006/relationships/hyperlink" Target="http://www.nevo.co.il/law/70301/51b.b1.1" TargetMode="External"/><Relationship Id="rId7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a" TargetMode="External"/><Relationship Id="rId23" Type="http://schemas.openxmlformats.org/officeDocument/2006/relationships/hyperlink" Target="http://www.nevo.co.il/law/70301/40i" TargetMode="External"/><Relationship Id="rId28" Type="http://schemas.openxmlformats.org/officeDocument/2006/relationships/hyperlink" Target="http://www.nevo.co.il/law/70301/144.a"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7697147" TargetMode="External"/><Relationship Id="rId57" Type="http://schemas.openxmlformats.org/officeDocument/2006/relationships/hyperlink" Target="http://www.nevo.co.il/case/5098883" TargetMode="External"/><Relationship Id="rId10" Type="http://schemas.openxmlformats.org/officeDocument/2006/relationships/hyperlink" Target="http://www.nevo.co.il/law/70301/51b.b1.1" TargetMode="External"/><Relationship Id="rId31" Type="http://schemas.openxmlformats.org/officeDocument/2006/relationships/hyperlink" Target="http://www.nevo.co.il/law/70301/144.a" TargetMode="External"/><Relationship Id="rId44" Type="http://schemas.openxmlformats.org/officeDocument/2006/relationships/hyperlink" Target="http://www.nevo.co.il/law/70301/144.a" TargetMode="External"/><Relationship Id="rId52" Type="http://schemas.openxmlformats.org/officeDocument/2006/relationships/hyperlink" Target="http://www.nevo.co.il/case/3871883" TargetMode="External"/><Relationship Id="rId60" Type="http://schemas.openxmlformats.org/officeDocument/2006/relationships/hyperlink" Target="http://www.nevo.co.il/case/5598666" TargetMode="External"/><Relationship Id="rId65" Type="http://schemas.openxmlformats.org/officeDocument/2006/relationships/hyperlink" Target="http://www.nevo.co.il/law/70301/144"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40i" TargetMode="External"/><Relationship Id="rId13" Type="http://schemas.openxmlformats.org/officeDocument/2006/relationships/hyperlink" Target="http://www.nevo.co.il/law/70301/144.b" TargetMode="External"/><Relationship Id="rId18" Type="http://schemas.openxmlformats.org/officeDocument/2006/relationships/hyperlink" Target="http://www.nevo.co.il/law/70301/144.a" TargetMode="External"/><Relationship Id="rId39" Type="http://schemas.openxmlformats.org/officeDocument/2006/relationships/hyperlink" Target="http://www.nevo.co.il/law/70301" TargetMode="External"/><Relationship Id="rId34" Type="http://schemas.openxmlformats.org/officeDocument/2006/relationships/hyperlink" Target="http://www.nevo.co.il/case/6040482" TargetMode="External"/><Relationship Id="rId50" Type="http://schemas.openxmlformats.org/officeDocument/2006/relationships/hyperlink" Target="http://www.nevo.co.il/case/4551034" TargetMode="External"/><Relationship Id="rId55" Type="http://schemas.openxmlformats.org/officeDocument/2006/relationships/hyperlink" Target="http://www.nevo.co.il/case/11250688" TargetMode="External"/><Relationship Id="rId7" Type="http://schemas.openxmlformats.org/officeDocument/2006/relationships/hyperlink" Target="http://www.nevo.co.il/law/70301" TargetMode="External"/><Relationship Id="rId7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4250</Words>
  <Characters>21251</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25451</CharactersWithSpaces>
  <SharedDoc>false</SharedDoc>
  <HLinks>
    <vt:vector size="366" baseType="variant">
      <vt:variant>
        <vt:i4>393283</vt:i4>
      </vt:variant>
      <vt:variant>
        <vt:i4>180</vt:i4>
      </vt:variant>
      <vt:variant>
        <vt:i4>0</vt:i4>
      </vt:variant>
      <vt:variant>
        <vt:i4>5</vt:i4>
      </vt:variant>
      <vt:variant>
        <vt:lpwstr>http://www.nevo.co.il/advertisements/nevo-100.doc</vt:lpwstr>
      </vt:variant>
      <vt:variant>
        <vt:lpwstr/>
      </vt:variant>
      <vt:variant>
        <vt:i4>7995492</vt:i4>
      </vt:variant>
      <vt:variant>
        <vt:i4>177</vt:i4>
      </vt:variant>
      <vt:variant>
        <vt:i4>0</vt:i4>
      </vt:variant>
      <vt:variant>
        <vt:i4>5</vt:i4>
      </vt:variant>
      <vt:variant>
        <vt:lpwstr>http://www.nevo.co.il/law/70301</vt:lpwstr>
      </vt:variant>
      <vt:variant>
        <vt:lpwstr/>
      </vt:variant>
      <vt:variant>
        <vt:i4>6357092</vt:i4>
      </vt:variant>
      <vt:variant>
        <vt:i4>174</vt:i4>
      </vt:variant>
      <vt:variant>
        <vt:i4>0</vt:i4>
      </vt:variant>
      <vt:variant>
        <vt:i4>5</vt:i4>
      </vt:variant>
      <vt:variant>
        <vt:lpwstr>http://www.nevo.co.il/law/70301/144</vt:lpwstr>
      </vt:variant>
      <vt:variant>
        <vt:lpwstr/>
      </vt:variant>
      <vt:variant>
        <vt:i4>7995492</vt:i4>
      </vt:variant>
      <vt:variant>
        <vt:i4>171</vt:i4>
      </vt:variant>
      <vt:variant>
        <vt:i4>0</vt:i4>
      </vt:variant>
      <vt:variant>
        <vt:i4>5</vt:i4>
      </vt:variant>
      <vt:variant>
        <vt:lpwstr>http://www.nevo.co.il/law/70301</vt:lpwstr>
      </vt:variant>
      <vt:variant>
        <vt:lpwstr/>
      </vt:variant>
      <vt:variant>
        <vt:i4>7995492</vt:i4>
      </vt:variant>
      <vt:variant>
        <vt:i4>168</vt:i4>
      </vt:variant>
      <vt:variant>
        <vt:i4>0</vt:i4>
      </vt:variant>
      <vt:variant>
        <vt:i4>5</vt:i4>
      </vt:variant>
      <vt:variant>
        <vt:lpwstr>http://www.nevo.co.il/law/70301</vt:lpwstr>
      </vt:variant>
      <vt:variant>
        <vt:lpwstr/>
      </vt:variant>
      <vt:variant>
        <vt:i4>4849742</vt:i4>
      </vt:variant>
      <vt:variant>
        <vt:i4>165</vt:i4>
      </vt:variant>
      <vt:variant>
        <vt:i4>0</vt:i4>
      </vt:variant>
      <vt:variant>
        <vt:i4>5</vt:i4>
      </vt:variant>
      <vt:variant>
        <vt:lpwstr>http://www.nevo.co.il/law/70301/51b.b1.1</vt:lpwstr>
      </vt:variant>
      <vt:variant>
        <vt:lpwstr/>
      </vt:variant>
      <vt:variant>
        <vt:i4>3932275</vt:i4>
      </vt:variant>
      <vt:variant>
        <vt:i4>162</vt:i4>
      </vt:variant>
      <vt:variant>
        <vt:i4>0</vt:i4>
      </vt:variant>
      <vt:variant>
        <vt:i4>5</vt:i4>
      </vt:variant>
      <vt:variant>
        <vt:lpwstr>http://www.nevo.co.il/case/20941361</vt:lpwstr>
      </vt:variant>
      <vt:variant>
        <vt:lpwstr/>
      </vt:variant>
      <vt:variant>
        <vt:i4>3932287</vt:i4>
      </vt:variant>
      <vt:variant>
        <vt:i4>159</vt:i4>
      </vt:variant>
      <vt:variant>
        <vt:i4>0</vt:i4>
      </vt:variant>
      <vt:variant>
        <vt:i4>5</vt:i4>
      </vt:variant>
      <vt:variant>
        <vt:lpwstr>http://www.nevo.co.il/case/5598666</vt:lpwstr>
      </vt:variant>
      <vt:variant>
        <vt:lpwstr/>
      </vt:variant>
      <vt:variant>
        <vt:i4>262155</vt:i4>
      </vt:variant>
      <vt:variant>
        <vt:i4>156</vt:i4>
      </vt:variant>
      <vt:variant>
        <vt:i4>0</vt:i4>
      </vt:variant>
      <vt:variant>
        <vt:i4>5</vt:i4>
      </vt:variant>
      <vt:variant>
        <vt:lpwstr>http://www.nevo.co.il/law/70301/40ja</vt:lpwstr>
      </vt:variant>
      <vt:variant>
        <vt:lpwstr/>
      </vt:variant>
      <vt:variant>
        <vt:i4>6619233</vt:i4>
      </vt:variant>
      <vt:variant>
        <vt:i4>153</vt:i4>
      </vt:variant>
      <vt:variant>
        <vt:i4>0</vt:i4>
      </vt:variant>
      <vt:variant>
        <vt:i4>5</vt:i4>
      </vt:variant>
      <vt:variant>
        <vt:lpwstr>http://www.nevo.co.il/law/70301/40i</vt:lpwstr>
      </vt:variant>
      <vt:variant>
        <vt:lpwstr/>
      </vt:variant>
      <vt:variant>
        <vt:i4>3604596</vt:i4>
      </vt:variant>
      <vt:variant>
        <vt:i4>150</vt:i4>
      </vt:variant>
      <vt:variant>
        <vt:i4>0</vt:i4>
      </vt:variant>
      <vt:variant>
        <vt:i4>5</vt:i4>
      </vt:variant>
      <vt:variant>
        <vt:lpwstr>http://www.nevo.co.il/case/5098883</vt:lpwstr>
      </vt:variant>
      <vt:variant>
        <vt:lpwstr/>
      </vt:variant>
      <vt:variant>
        <vt:i4>3735677</vt:i4>
      </vt:variant>
      <vt:variant>
        <vt:i4>147</vt:i4>
      </vt:variant>
      <vt:variant>
        <vt:i4>0</vt:i4>
      </vt:variant>
      <vt:variant>
        <vt:i4>5</vt:i4>
      </vt:variant>
      <vt:variant>
        <vt:lpwstr>http://www.nevo.co.il/case/4328629</vt:lpwstr>
      </vt:variant>
      <vt:variant>
        <vt:lpwstr/>
      </vt:variant>
      <vt:variant>
        <vt:i4>3866742</vt:i4>
      </vt:variant>
      <vt:variant>
        <vt:i4>144</vt:i4>
      </vt:variant>
      <vt:variant>
        <vt:i4>0</vt:i4>
      </vt:variant>
      <vt:variant>
        <vt:i4>5</vt:i4>
      </vt:variant>
      <vt:variant>
        <vt:lpwstr>http://www.nevo.co.il/case/11250688</vt:lpwstr>
      </vt:variant>
      <vt:variant>
        <vt:lpwstr/>
      </vt:variant>
      <vt:variant>
        <vt:i4>4063355</vt:i4>
      </vt:variant>
      <vt:variant>
        <vt:i4>141</vt:i4>
      </vt:variant>
      <vt:variant>
        <vt:i4>0</vt:i4>
      </vt:variant>
      <vt:variant>
        <vt:i4>5</vt:i4>
      </vt:variant>
      <vt:variant>
        <vt:lpwstr>http://www.nevo.co.il/case/5895123</vt:lpwstr>
      </vt:variant>
      <vt:variant>
        <vt:lpwstr/>
      </vt:variant>
      <vt:variant>
        <vt:i4>3211390</vt:i4>
      </vt:variant>
      <vt:variant>
        <vt:i4>138</vt:i4>
      </vt:variant>
      <vt:variant>
        <vt:i4>0</vt:i4>
      </vt:variant>
      <vt:variant>
        <vt:i4>5</vt:i4>
      </vt:variant>
      <vt:variant>
        <vt:lpwstr>http://www.nevo.co.il/case/13019896</vt:lpwstr>
      </vt:variant>
      <vt:variant>
        <vt:lpwstr/>
      </vt:variant>
      <vt:variant>
        <vt:i4>4128885</vt:i4>
      </vt:variant>
      <vt:variant>
        <vt:i4>135</vt:i4>
      </vt:variant>
      <vt:variant>
        <vt:i4>0</vt:i4>
      </vt:variant>
      <vt:variant>
        <vt:i4>5</vt:i4>
      </vt:variant>
      <vt:variant>
        <vt:lpwstr>http://www.nevo.co.il/case/3871883</vt:lpwstr>
      </vt:variant>
      <vt:variant>
        <vt:lpwstr/>
      </vt:variant>
      <vt:variant>
        <vt:i4>3211390</vt:i4>
      </vt:variant>
      <vt:variant>
        <vt:i4>132</vt:i4>
      </vt:variant>
      <vt:variant>
        <vt:i4>0</vt:i4>
      </vt:variant>
      <vt:variant>
        <vt:i4>5</vt:i4>
      </vt:variant>
      <vt:variant>
        <vt:lpwstr>http://www.nevo.co.il/case/7871130</vt:lpwstr>
      </vt:variant>
      <vt:variant>
        <vt:lpwstr/>
      </vt:variant>
      <vt:variant>
        <vt:i4>3473523</vt:i4>
      </vt:variant>
      <vt:variant>
        <vt:i4>129</vt:i4>
      </vt:variant>
      <vt:variant>
        <vt:i4>0</vt:i4>
      </vt:variant>
      <vt:variant>
        <vt:i4>5</vt:i4>
      </vt:variant>
      <vt:variant>
        <vt:lpwstr>http://www.nevo.co.il/case/4551034</vt:lpwstr>
      </vt:variant>
      <vt:variant>
        <vt:lpwstr/>
      </vt:variant>
      <vt:variant>
        <vt:i4>3670129</vt:i4>
      </vt:variant>
      <vt:variant>
        <vt:i4>126</vt:i4>
      </vt:variant>
      <vt:variant>
        <vt:i4>0</vt:i4>
      </vt:variant>
      <vt:variant>
        <vt:i4>5</vt:i4>
      </vt:variant>
      <vt:variant>
        <vt:lpwstr>http://www.nevo.co.il/case/7697147</vt:lpwstr>
      </vt:variant>
      <vt:variant>
        <vt:lpwstr/>
      </vt:variant>
      <vt:variant>
        <vt:i4>5177424</vt:i4>
      </vt:variant>
      <vt:variant>
        <vt:i4>123</vt:i4>
      </vt:variant>
      <vt:variant>
        <vt:i4>0</vt:i4>
      </vt:variant>
      <vt:variant>
        <vt:i4>5</vt:i4>
      </vt:variant>
      <vt:variant>
        <vt:lpwstr>http://www.nevo.co.il/law/70301/144.a</vt:lpwstr>
      </vt:variant>
      <vt:variant>
        <vt:lpwstr/>
      </vt:variant>
      <vt:variant>
        <vt:i4>7995492</vt:i4>
      </vt:variant>
      <vt:variant>
        <vt:i4>120</vt:i4>
      </vt:variant>
      <vt:variant>
        <vt:i4>0</vt:i4>
      </vt:variant>
      <vt:variant>
        <vt:i4>5</vt:i4>
      </vt:variant>
      <vt:variant>
        <vt:lpwstr>http://www.nevo.co.il/law/70301</vt:lpwstr>
      </vt:variant>
      <vt:variant>
        <vt:lpwstr/>
      </vt:variant>
      <vt:variant>
        <vt:i4>5177424</vt:i4>
      </vt:variant>
      <vt:variant>
        <vt:i4>117</vt:i4>
      </vt:variant>
      <vt:variant>
        <vt:i4>0</vt:i4>
      </vt:variant>
      <vt:variant>
        <vt:i4>5</vt:i4>
      </vt:variant>
      <vt:variant>
        <vt:lpwstr>http://www.nevo.co.il/law/70301/144.c</vt:lpwstr>
      </vt:variant>
      <vt:variant>
        <vt:lpwstr/>
      </vt:variant>
      <vt:variant>
        <vt:i4>5177424</vt:i4>
      </vt:variant>
      <vt:variant>
        <vt:i4>114</vt:i4>
      </vt:variant>
      <vt:variant>
        <vt:i4>0</vt:i4>
      </vt:variant>
      <vt:variant>
        <vt:i4>5</vt:i4>
      </vt:variant>
      <vt:variant>
        <vt:lpwstr>http://www.nevo.co.il/law/70301/144.b</vt:lpwstr>
      </vt:variant>
      <vt:variant>
        <vt:lpwstr/>
      </vt:variant>
      <vt:variant>
        <vt:i4>5177424</vt:i4>
      </vt:variant>
      <vt:variant>
        <vt:i4>111</vt:i4>
      </vt:variant>
      <vt:variant>
        <vt:i4>0</vt:i4>
      </vt:variant>
      <vt:variant>
        <vt:i4>5</vt:i4>
      </vt:variant>
      <vt:variant>
        <vt:lpwstr>http://www.nevo.co.il/law/70301/144.a</vt:lpwstr>
      </vt:variant>
      <vt:variant>
        <vt:lpwstr/>
      </vt:variant>
      <vt:variant>
        <vt:i4>4063345</vt:i4>
      </vt:variant>
      <vt:variant>
        <vt:i4>108</vt:i4>
      </vt:variant>
      <vt:variant>
        <vt:i4>0</vt:i4>
      </vt:variant>
      <vt:variant>
        <vt:i4>5</vt:i4>
      </vt:variant>
      <vt:variant>
        <vt:lpwstr>http://www.nevo.co.il/case/4354827</vt:lpwstr>
      </vt:variant>
      <vt:variant>
        <vt:lpwstr/>
      </vt:variant>
      <vt:variant>
        <vt:i4>4128885</vt:i4>
      </vt:variant>
      <vt:variant>
        <vt:i4>105</vt:i4>
      </vt:variant>
      <vt:variant>
        <vt:i4>0</vt:i4>
      </vt:variant>
      <vt:variant>
        <vt:i4>5</vt:i4>
      </vt:variant>
      <vt:variant>
        <vt:lpwstr>http://www.nevo.co.il/case/4782546</vt:lpwstr>
      </vt:variant>
      <vt:variant>
        <vt:lpwstr/>
      </vt:variant>
      <vt:variant>
        <vt:i4>5177424</vt:i4>
      </vt:variant>
      <vt:variant>
        <vt:i4>102</vt:i4>
      </vt:variant>
      <vt:variant>
        <vt:i4>0</vt:i4>
      </vt:variant>
      <vt:variant>
        <vt:i4>5</vt:i4>
      </vt:variant>
      <vt:variant>
        <vt:lpwstr>http://www.nevo.co.il/law/70301/144.a</vt:lpwstr>
      </vt:variant>
      <vt:variant>
        <vt:lpwstr/>
      </vt:variant>
      <vt:variant>
        <vt:i4>3407987</vt:i4>
      </vt:variant>
      <vt:variant>
        <vt:i4>99</vt:i4>
      </vt:variant>
      <vt:variant>
        <vt:i4>0</vt:i4>
      </vt:variant>
      <vt:variant>
        <vt:i4>5</vt:i4>
      </vt:variant>
      <vt:variant>
        <vt:lpwstr>http://www.nevo.co.il/case/6276336</vt:lpwstr>
      </vt:variant>
      <vt:variant>
        <vt:lpwstr/>
      </vt:variant>
      <vt:variant>
        <vt:i4>7995492</vt:i4>
      </vt:variant>
      <vt:variant>
        <vt:i4>96</vt:i4>
      </vt:variant>
      <vt:variant>
        <vt:i4>0</vt:i4>
      </vt:variant>
      <vt:variant>
        <vt:i4>5</vt:i4>
      </vt:variant>
      <vt:variant>
        <vt:lpwstr>http://www.nevo.co.il/law/70301</vt:lpwstr>
      </vt:variant>
      <vt:variant>
        <vt:lpwstr/>
      </vt:variant>
      <vt:variant>
        <vt:i4>5177424</vt:i4>
      </vt:variant>
      <vt:variant>
        <vt:i4>93</vt:i4>
      </vt:variant>
      <vt:variant>
        <vt:i4>0</vt:i4>
      </vt:variant>
      <vt:variant>
        <vt:i4>5</vt:i4>
      </vt:variant>
      <vt:variant>
        <vt:lpwstr>http://www.nevo.co.il/law/70301/144.b</vt:lpwstr>
      </vt:variant>
      <vt:variant>
        <vt:lpwstr/>
      </vt:variant>
      <vt:variant>
        <vt:i4>3145853</vt:i4>
      </vt:variant>
      <vt:variant>
        <vt:i4>90</vt:i4>
      </vt:variant>
      <vt:variant>
        <vt:i4>0</vt:i4>
      </vt:variant>
      <vt:variant>
        <vt:i4>5</vt:i4>
      </vt:variant>
      <vt:variant>
        <vt:lpwstr>http://www.nevo.co.il/case/21500873</vt:lpwstr>
      </vt:variant>
      <vt:variant>
        <vt:lpwstr/>
      </vt:variant>
      <vt:variant>
        <vt:i4>7995492</vt:i4>
      </vt:variant>
      <vt:variant>
        <vt:i4>87</vt:i4>
      </vt:variant>
      <vt:variant>
        <vt:i4>0</vt:i4>
      </vt:variant>
      <vt:variant>
        <vt:i4>5</vt:i4>
      </vt:variant>
      <vt:variant>
        <vt:lpwstr>http://www.nevo.co.il/law/70301</vt:lpwstr>
      </vt:variant>
      <vt:variant>
        <vt:lpwstr/>
      </vt:variant>
      <vt:variant>
        <vt:i4>5177424</vt:i4>
      </vt:variant>
      <vt:variant>
        <vt:i4>84</vt:i4>
      </vt:variant>
      <vt:variant>
        <vt:i4>0</vt:i4>
      </vt:variant>
      <vt:variant>
        <vt:i4>5</vt:i4>
      </vt:variant>
      <vt:variant>
        <vt:lpwstr>http://www.nevo.co.il/law/70301/144.a</vt:lpwstr>
      </vt:variant>
      <vt:variant>
        <vt:lpwstr/>
      </vt:variant>
      <vt:variant>
        <vt:i4>3407996</vt:i4>
      </vt:variant>
      <vt:variant>
        <vt:i4>81</vt:i4>
      </vt:variant>
      <vt:variant>
        <vt:i4>0</vt:i4>
      </vt:variant>
      <vt:variant>
        <vt:i4>5</vt:i4>
      </vt:variant>
      <vt:variant>
        <vt:lpwstr>http://www.nevo.co.il/case/6040482</vt:lpwstr>
      </vt:variant>
      <vt:variant>
        <vt:lpwstr/>
      </vt:variant>
      <vt:variant>
        <vt:i4>7995492</vt:i4>
      </vt:variant>
      <vt:variant>
        <vt:i4>78</vt:i4>
      </vt:variant>
      <vt:variant>
        <vt:i4>0</vt:i4>
      </vt:variant>
      <vt:variant>
        <vt:i4>5</vt:i4>
      </vt:variant>
      <vt:variant>
        <vt:lpwstr>http://www.nevo.co.il/law/70301</vt:lpwstr>
      </vt:variant>
      <vt:variant>
        <vt:lpwstr/>
      </vt:variant>
      <vt:variant>
        <vt:i4>5177424</vt:i4>
      </vt:variant>
      <vt:variant>
        <vt:i4>75</vt:i4>
      </vt:variant>
      <vt:variant>
        <vt:i4>0</vt:i4>
      </vt:variant>
      <vt:variant>
        <vt:i4>5</vt:i4>
      </vt:variant>
      <vt:variant>
        <vt:lpwstr>http://www.nevo.co.il/law/70301/144.b</vt:lpwstr>
      </vt:variant>
      <vt:variant>
        <vt:lpwstr/>
      </vt:variant>
      <vt:variant>
        <vt:i4>5177424</vt:i4>
      </vt:variant>
      <vt:variant>
        <vt:i4>72</vt:i4>
      </vt:variant>
      <vt:variant>
        <vt:i4>0</vt:i4>
      </vt:variant>
      <vt:variant>
        <vt:i4>5</vt:i4>
      </vt:variant>
      <vt:variant>
        <vt:lpwstr>http://www.nevo.co.il/law/70301/144.a</vt:lpwstr>
      </vt:variant>
      <vt:variant>
        <vt:lpwstr/>
      </vt:variant>
      <vt:variant>
        <vt:i4>3407987</vt:i4>
      </vt:variant>
      <vt:variant>
        <vt:i4>69</vt:i4>
      </vt:variant>
      <vt:variant>
        <vt:i4>0</vt:i4>
      </vt:variant>
      <vt:variant>
        <vt:i4>5</vt:i4>
      </vt:variant>
      <vt:variant>
        <vt:lpwstr>http://www.nevo.co.il/case/22006503</vt:lpwstr>
      </vt:variant>
      <vt:variant>
        <vt:lpwstr/>
      </vt:variant>
      <vt:variant>
        <vt:i4>7995492</vt:i4>
      </vt:variant>
      <vt:variant>
        <vt:i4>66</vt:i4>
      </vt:variant>
      <vt:variant>
        <vt:i4>0</vt:i4>
      </vt:variant>
      <vt:variant>
        <vt:i4>5</vt:i4>
      </vt:variant>
      <vt:variant>
        <vt:lpwstr>http://www.nevo.co.il/law/70301</vt:lpwstr>
      </vt:variant>
      <vt:variant>
        <vt:lpwstr/>
      </vt:variant>
      <vt:variant>
        <vt:i4>5177424</vt:i4>
      </vt:variant>
      <vt:variant>
        <vt:i4>63</vt:i4>
      </vt:variant>
      <vt:variant>
        <vt:i4>0</vt:i4>
      </vt:variant>
      <vt:variant>
        <vt:i4>5</vt:i4>
      </vt:variant>
      <vt:variant>
        <vt:lpwstr>http://www.nevo.co.il/law/70301/144.a</vt:lpwstr>
      </vt:variant>
      <vt:variant>
        <vt:lpwstr/>
      </vt:variant>
      <vt:variant>
        <vt:i4>3473532</vt:i4>
      </vt:variant>
      <vt:variant>
        <vt:i4>60</vt:i4>
      </vt:variant>
      <vt:variant>
        <vt:i4>0</vt:i4>
      </vt:variant>
      <vt:variant>
        <vt:i4>5</vt:i4>
      </vt:variant>
      <vt:variant>
        <vt:lpwstr>http://www.nevo.co.il/case/6000182</vt:lpwstr>
      </vt:variant>
      <vt:variant>
        <vt:lpwstr/>
      </vt:variant>
      <vt:variant>
        <vt:i4>3539057</vt:i4>
      </vt:variant>
      <vt:variant>
        <vt:i4>57</vt:i4>
      </vt:variant>
      <vt:variant>
        <vt:i4>0</vt:i4>
      </vt:variant>
      <vt:variant>
        <vt:i4>5</vt:i4>
      </vt:variant>
      <vt:variant>
        <vt:lpwstr>http://www.nevo.co.il/case/7958246</vt:lpwstr>
      </vt:variant>
      <vt:variant>
        <vt:lpwstr/>
      </vt:variant>
      <vt:variant>
        <vt:i4>458763</vt:i4>
      </vt:variant>
      <vt:variant>
        <vt:i4>54</vt:i4>
      </vt:variant>
      <vt:variant>
        <vt:i4>0</vt:i4>
      </vt:variant>
      <vt:variant>
        <vt:i4>5</vt:i4>
      </vt:variant>
      <vt:variant>
        <vt:lpwstr>http://www.nevo.co.il/law/70301/40jb</vt:lpwstr>
      </vt:variant>
      <vt:variant>
        <vt:lpwstr/>
      </vt:variant>
      <vt:variant>
        <vt:i4>262155</vt:i4>
      </vt:variant>
      <vt:variant>
        <vt:i4>51</vt:i4>
      </vt:variant>
      <vt:variant>
        <vt:i4>0</vt:i4>
      </vt:variant>
      <vt:variant>
        <vt:i4>5</vt:i4>
      </vt:variant>
      <vt:variant>
        <vt:lpwstr>http://www.nevo.co.il/law/70301/40ja</vt:lpwstr>
      </vt:variant>
      <vt:variant>
        <vt:lpwstr/>
      </vt:variant>
      <vt:variant>
        <vt:i4>6619233</vt:i4>
      </vt:variant>
      <vt:variant>
        <vt:i4>48</vt:i4>
      </vt:variant>
      <vt:variant>
        <vt:i4>0</vt:i4>
      </vt:variant>
      <vt:variant>
        <vt:i4>5</vt:i4>
      </vt:variant>
      <vt:variant>
        <vt:lpwstr>http://www.nevo.co.il/law/70301/40i</vt:lpwstr>
      </vt:variant>
      <vt:variant>
        <vt:lpwstr/>
      </vt:variant>
      <vt:variant>
        <vt:i4>3211379</vt:i4>
      </vt:variant>
      <vt:variant>
        <vt:i4>45</vt:i4>
      </vt:variant>
      <vt:variant>
        <vt:i4>0</vt:i4>
      </vt:variant>
      <vt:variant>
        <vt:i4>5</vt:i4>
      </vt:variant>
      <vt:variant>
        <vt:lpwstr>http://www.nevo.co.il/case/5573417</vt:lpwstr>
      </vt:variant>
      <vt:variant>
        <vt:lpwstr/>
      </vt:variant>
      <vt:variant>
        <vt:i4>4915202</vt:i4>
      </vt:variant>
      <vt:variant>
        <vt:i4>42</vt:i4>
      </vt:variant>
      <vt:variant>
        <vt:i4>0</vt:i4>
      </vt:variant>
      <vt:variant>
        <vt:i4>5</vt:i4>
      </vt:variant>
      <vt:variant>
        <vt:lpwstr>http://www.nevo.co.il/law/70301/40c.a</vt:lpwstr>
      </vt:variant>
      <vt:variant>
        <vt:lpwstr/>
      </vt:variant>
      <vt:variant>
        <vt:i4>458834</vt:i4>
      </vt:variant>
      <vt:variant>
        <vt:i4>39</vt:i4>
      </vt:variant>
      <vt:variant>
        <vt:i4>0</vt:i4>
      </vt:variant>
      <vt:variant>
        <vt:i4>5</vt:i4>
      </vt:variant>
      <vt:variant>
        <vt:lpwstr>http://www.nevo.co.il/law/70301/fCa1S</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458834</vt:i4>
      </vt:variant>
      <vt:variant>
        <vt:i4>30</vt:i4>
      </vt:variant>
      <vt:variant>
        <vt:i4>0</vt:i4>
      </vt:variant>
      <vt:variant>
        <vt:i4>5</vt:i4>
      </vt:variant>
      <vt:variant>
        <vt:lpwstr>http://www.nevo.co.il/law/70301/fCa1S</vt:lpwstr>
      </vt:variant>
      <vt:variant>
        <vt:lpwstr/>
      </vt:variant>
      <vt:variant>
        <vt:i4>458763</vt:i4>
      </vt:variant>
      <vt:variant>
        <vt:i4>27</vt:i4>
      </vt:variant>
      <vt:variant>
        <vt:i4>0</vt:i4>
      </vt:variant>
      <vt:variant>
        <vt:i4>5</vt:i4>
      </vt:variant>
      <vt:variant>
        <vt:lpwstr>http://www.nevo.co.il/law/70301/40jb</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5177424</vt:i4>
      </vt:variant>
      <vt:variant>
        <vt:i4>21</vt:i4>
      </vt:variant>
      <vt:variant>
        <vt:i4>0</vt:i4>
      </vt:variant>
      <vt:variant>
        <vt:i4>5</vt:i4>
      </vt:variant>
      <vt:variant>
        <vt:lpwstr>http://www.nevo.co.il/law/70301/144.c</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4849742</vt:i4>
      </vt:variant>
      <vt:variant>
        <vt:i4>9</vt:i4>
      </vt:variant>
      <vt:variant>
        <vt:i4>0</vt:i4>
      </vt:variant>
      <vt:variant>
        <vt:i4>5</vt:i4>
      </vt:variant>
      <vt:variant>
        <vt:lpwstr>http://www.nevo.co.il/law/70301/51b.b1.1</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2024-01-07T12:13:00Z</dcterms:created>
  <dcterms:modified xsi:type="dcterms:W3CDTF">2024-01-07T12:13:00Z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39071</vt:lpwstr>
  </property>
  <property fmtid="{D5CDD505-2E9C-101B-9397-08002B2CF9AE}" pid="6" name="NEWPARTB">
    <vt:lpwstr>12</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עמאר מצרי</vt:lpwstr>
  </property>
  <property fmtid="{D5CDD505-2E9C-101B-9397-08002B2CF9AE}" pid="10" name="LAWYER">
    <vt:lpwstr>נס בן נתן;טל מושקוביץ'</vt:lpwstr>
  </property>
  <property fmtid="{D5CDD505-2E9C-101B-9397-08002B2CF9AE}" pid="11" name="JUDGE">
    <vt:lpwstr>אהרן פרקש</vt:lpwstr>
  </property>
  <property fmtid="{D5CDD505-2E9C-101B-9397-08002B2CF9AE}" pid="12" name="CITY">
    <vt:lpwstr>י-ם</vt:lpwstr>
  </property>
  <property fmtid="{D5CDD505-2E9C-101B-9397-08002B2CF9AE}" pid="13" name="DATE">
    <vt:lpwstr>20170406</vt:lpwstr>
  </property>
  <property fmtid="{D5CDD505-2E9C-101B-9397-08002B2CF9AE}" pid="14" name="TYPE_N_DATE">
    <vt:lpwstr>39020170406</vt:lpwstr>
  </property>
  <property fmtid="{D5CDD505-2E9C-101B-9397-08002B2CF9AE}" pid="15" name="CASESLISTTMP1">
    <vt:lpwstr>5573417;7958246;6000182;22006503;6040482;21500873;6276336;4782546;4354827;7697147;4551034;7871130;3871883;13019896;5895123;11250688;4328629;5098883;5598666;20941361</vt:lpwstr>
  </property>
  <property fmtid="{D5CDD505-2E9C-101B-9397-08002B2CF9AE}" pid="16" name="CASENOTES1">
    <vt:lpwstr>ProcID=209&amp;PartA=52445&amp;PartB=07&amp;PartC=12</vt:lpwstr>
  </property>
  <property fmtid="{D5CDD505-2E9C-101B-9397-08002B2CF9AE}" pid="17" name="WORDNUMPAGES">
    <vt:lpwstr>12</vt:lpwstr>
  </property>
  <property fmtid="{D5CDD505-2E9C-101B-9397-08002B2CF9AE}" pid="18" name="TYPE_ABS_DATE">
    <vt:lpwstr>390020170406</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70301/144.a:7;fCa1S;040c.a;040i:2;40ja:2;40jb;144.b:3;144.c;051b.b1.1;144</vt:lpwstr>
  </property>
</Properties>
</file>