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1A0B65" w:rsidRPr="00172E40">
        <w:trPr>
          <w:trHeight w:hRule="exact" w:val="418"/>
          <w:jc w:val="center"/>
        </w:trPr>
        <w:tc>
          <w:tcPr>
            <w:tcW w:w="8721" w:type="dxa"/>
            <w:gridSpan w:val="2"/>
          </w:tcPr>
          <w:p w:rsidR="001A0B65" w:rsidRPr="00172E40" w:rsidRDefault="001A0B65" w:rsidP="00172E40">
            <w:pPr>
              <w:pStyle w:val="a3"/>
              <w:jc w:val="center"/>
              <w:rPr>
                <w:rFonts w:ascii="Tahoma" w:hAnsi="Tahoma" w:cs="Tahoma"/>
                <w:color w:val="000080"/>
                <w:rtl/>
              </w:rPr>
            </w:pPr>
            <w:bookmarkStart w:id="0" w:name="FirstLawyer"/>
            <w:bookmarkStart w:id="1" w:name="LastJudge"/>
            <w:r w:rsidRPr="00172E40">
              <w:rPr>
                <w:rFonts w:ascii="Tahoma" w:hAnsi="Tahoma" w:cs="Tahoma"/>
                <w:b/>
                <w:bCs/>
                <w:color w:val="000080"/>
                <w:rtl/>
              </w:rPr>
              <w:t>בית המשפט המחוזי בחיפה</w:t>
            </w:r>
          </w:p>
        </w:tc>
      </w:tr>
      <w:tr w:rsidR="001A0B65" w:rsidRPr="00172E40">
        <w:trPr>
          <w:trHeight w:val="337"/>
          <w:jc w:val="center"/>
        </w:trPr>
        <w:tc>
          <w:tcPr>
            <w:tcW w:w="5056" w:type="dxa"/>
          </w:tcPr>
          <w:p w:rsidR="001A0B65" w:rsidRPr="00172E40" w:rsidRDefault="001A0B65" w:rsidP="00172E40">
            <w:pPr>
              <w:rPr>
                <w:rFonts w:cs="FrankRuehl"/>
                <w:sz w:val="28"/>
                <w:szCs w:val="28"/>
                <w:rtl/>
              </w:rPr>
            </w:pPr>
            <w:r w:rsidRPr="00172E40">
              <w:rPr>
                <w:rFonts w:cs="FrankRuehl"/>
                <w:sz w:val="28"/>
                <w:szCs w:val="28"/>
                <w:rtl/>
              </w:rPr>
              <w:t>ת"פ</w:t>
            </w:r>
            <w:r w:rsidRPr="00172E40">
              <w:rPr>
                <w:rFonts w:cs="FrankRuehl" w:hint="cs"/>
                <w:sz w:val="28"/>
                <w:szCs w:val="28"/>
                <w:rtl/>
              </w:rPr>
              <w:t xml:space="preserve"> </w:t>
            </w:r>
            <w:r w:rsidRPr="00172E40">
              <w:rPr>
                <w:rFonts w:cs="FrankRuehl"/>
                <w:sz w:val="28"/>
                <w:szCs w:val="28"/>
                <w:rtl/>
              </w:rPr>
              <w:t>9983-05-16</w:t>
            </w:r>
            <w:r w:rsidRPr="00172E40">
              <w:rPr>
                <w:rFonts w:cs="FrankRuehl" w:hint="cs"/>
                <w:sz w:val="28"/>
                <w:szCs w:val="28"/>
                <w:rtl/>
              </w:rPr>
              <w:t xml:space="preserve"> </w:t>
            </w:r>
            <w:r w:rsidRPr="00172E40">
              <w:rPr>
                <w:rFonts w:cs="FrankRuehl"/>
                <w:sz w:val="28"/>
                <w:szCs w:val="28"/>
                <w:rtl/>
              </w:rPr>
              <w:t>מדינת ישראל נ' בסל(עצור בפיקוח)</w:t>
            </w:r>
          </w:p>
          <w:p w:rsidR="001A0B65" w:rsidRPr="00172E40" w:rsidRDefault="001A0B65" w:rsidP="00172E40">
            <w:pPr>
              <w:pStyle w:val="a3"/>
              <w:rPr>
                <w:rFonts w:cs="FrankRuehl"/>
                <w:sz w:val="28"/>
                <w:szCs w:val="28"/>
                <w:rtl/>
              </w:rPr>
            </w:pPr>
          </w:p>
        </w:tc>
        <w:tc>
          <w:tcPr>
            <w:tcW w:w="3665" w:type="dxa"/>
          </w:tcPr>
          <w:p w:rsidR="001A0B65" w:rsidRPr="00172E40" w:rsidRDefault="001A0B65" w:rsidP="00172E40">
            <w:pPr>
              <w:pStyle w:val="a3"/>
              <w:jc w:val="right"/>
              <w:rPr>
                <w:rFonts w:cs="FrankRuehl"/>
                <w:sz w:val="28"/>
                <w:szCs w:val="28"/>
                <w:rtl/>
              </w:rPr>
            </w:pPr>
          </w:p>
        </w:tc>
      </w:tr>
    </w:tbl>
    <w:p w:rsidR="001A0B65" w:rsidRPr="00172E40" w:rsidRDefault="001A0B65" w:rsidP="001A0B65">
      <w:pPr>
        <w:pStyle w:val="a3"/>
        <w:rPr>
          <w:rtl/>
        </w:rPr>
      </w:pPr>
      <w:r w:rsidRPr="00172E40">
        <w:rPr>
          <w:rFonts w:hint="cs"/>
          <w:rtl/>
        </w:rPr>
        <w:t xml:space="preserve"> </w:t>
      </w:r>
    </w:p>
    <w:p w:rsidR="001A0B65" w:rsidRPr="00172E40" w:rsidRDefault="001A0B65" w:rsidP="001A0B65">
      <w:pPr>
        <w:rPr>
          <w:rtl/>
        </w:rPr>
      </w:pPr>
    </w:p>
    <w:tbl>
      <w:tblPr>
        <w:bidiVisual/>
        <w:tblW w:w="8820" w:type="dxa"/>
        <w:jc w:val="center"/>
        <w:tblLook w:val="01E0" w:firstRow="1" w:lastRow="1" w:firstColumn="1" w:lastColumn="1" w:noHBand="0" w:noVBand="0"/>
      </w:tblPr>
      <w:tblGrid>
        <w:gridCol w:w="743"/>
        <w:gridCol w:w="2506"/>
        <w:gridCol w:w="5571"/>
      </w:tblGrid>
      <w:tr w:rsidR="001A0B65" w:rsidRPr="00172E40">
        <w:trPr>
          <w:jc w:val="center"/>
        </w:trPr>
        <w:tc>
          <w:tcPr>
            <w:tcW w:w="743" w:type="dxa"/>
            <w:shd w:val="clear" w:color="auto" w:fill="auto"/>
          </w:tcPr>
          <w:p w:rsidR="001A0B65" w:rsidRPr="00172E40" w:rsidRDefault="001A0B65" w:rsidP="00172E40">
            <w:pPr>
              <w:jc w:val="both"/>
              <w:rPr>
                <w:rFonts w:ascii="Arial" w:hAnsi="Arial"/>
                <w:b/>
                <w:bCs/>
              </w:rPr>
            </w:pPr>
            <w:r w:rsidRPr="00172E40">
              <w:rPr>
                <w:rFonts w:ascii="Arial" w:hAnsi="Arial" w:hint="cs"/>
                <w:b/>
                <w:bCs/>
                <w:rtl/>
              </w:rPr>
              <w:t xml:space="preserve">בפני </w:t>
            </w:r>
          </w:p>
        </w:tc>
        <w:tc>
          <w:tcPr>
            <w:tcW w:w="8077" w:type="dxa"/>
            <w:gridSpan w:val="2"/>
            <w:shd w:val="clear" w:color="auto" w:fill="auto"/>
          </w:tcPr>
          <w:p w:rsidR="001A0B65" w:rsidRPr="00172E40" w:rsidRDefault="001A0B65" w:rsidP="00172E40">
            <w:pPr>
              <w:rPr>
                <w:rFonts w:ascii="Arial" w:hAnsi="Arial"/>
                <w:b/>
                <w:bCs/>
                <w:rtl/>
              </w:rPr>
            </w:pPr>
            <w:r w:rsidRPr="00172E40">
              <w:rPr>
                <w:rFonts w:ascii="Arial" w:hAnsi="Arial" w:hint="cs"/>
                <w:b/>
                <w:bCs/>
                <w:rtl/>
              </w:rPr>
              <w:t>כבוד ה</w:t>
            </w:r>
            <w:r w:rsidRPr="00172E40">
              <w:rPr>
                <w:rFonts w:hint="cs"/>
                <w:b/>
                <w:bCs/>
                <w:rtl/>
              </w:rPr>
              <w:t>שופט</w:t>
            </w:r>
            <w:r w:rsidRPr="00172E40">
              <w:rPr>
                <w:rFonts w:ascii="Arial" w:hAnsi="Arial" w:hint="cs"/>
                <w:b/>
                <w:bCs/>
                <w:rtl/>
              </w:rPr>
              <w:t xml:space="preserve">  </w:t>
            </w:r>
            <w:r w:rsidRPr="00172E40">
              <w:rPr>
                <w:rFonts w:hint="cs"/>
                <w:b/>
                <w:bCs/>
                <w:rtl/>
              </w:rPr>
              <w:t>דניאל פיש</w:t>
            </w:r>
          </w:p>
          <w:p w:rsidR="001A0B65" w:rsidRPr="00172E40" w:rsidRDefault="001A0B65" w:rsidP="00172E40">
            <w:pPr>
              <w:rPr>
                <w:rFonts w:ascii="Arial" w:hAnsi="Arial" w:cs="FrankRuehl"/>
                <w:b/>
                <w:bCs/>
                <w:highlight w:val="yellow"/>
                <w:rtl/>
              </w:rPr>
            </w:pPr>
          </w:p>
        </w:tc>
      </w:tr>
      <w:tr w:rsidR="001A0B65" w:rsidRPr="00172E40">
        <w:trPr>
          <w:jc w:val="center"/>
        </w:trPr>
        <w:tc>
          <w:tcPr>
            <w:tcW w:w="3249" w:type="dxa"/>
            <w:gridSpan w:val="2"/>
            <w:shd w:val="clear" w:color="auto" w:fill="auto"/>
          </w:tcPr>
          <w:p w:rsidR="001A0B65" w:rsidRPr="00172E40" w:rsidRDefault="001A0B65" w:rsidP="00172E40">
            <w:pPr>
              <w:rPr>
                <w:rFonts w:ascii="Arial" w:hAnsi="Arial"/>
                <w:b/>
                <w:bCs/>
              </w:rPr>
            </w:pPr>
            <w:bookmarkStart w:id="2" w:name="FirstAppellant"/>
          </w:p>
          <w:p w:rsidR="001A0B65" w:rsidRPr="00172E40" w:rsidRDefault="001A0B65" w:rsidP="00172E40">
            <w:pPr>
              <w:rPr>
                <w:rFonts w:ascii="Arial" w:hAnsi="Arial"/>
                <w:b/>
                <w:bCs/>
              </w:rPr>
            </w:pPr>
            <w:r w:rsidRPr="00172E40">
              <w:rPr>
                <w:rFonts w:hint="cs"/>
                <w:b/>
                <w:bCs/>
                <w:rtl/>
              </w:rPr>
              <w:t>מאשימה</w:t>
            </w:r>
          </w:p>
        </w:tc>
        <w:tc>
          <w:tcPr>
            <w:tcW w:w="5571" w:type="dxa"/>
            <w:shd w:val="clear" w:color="auto" w:fill="auto"/>
          </w:tcPr>
          <w:p w:rsidR="001A0B65" w:rsidRPr="00172E40" w:rsidRDefault="001A0B65" w:rsidP="00172E40">
            <w:pPr>
              <w:rPr>
                <w:rFonts w:ascii="Arial" w:hAnsi="Arial"/>
                <w:b/>
                <w:bCs/>
                <w:rtl/>
              </w:rPr>
            </w:pPr>
          </w:p>
          <w:p w:rsidR="001A0B65" w:rsidRPr="00172E40" w:rsidRDefault="001A0B65" w:rsidP="00172E40">
            <w:pPr>
              <w:rPr>
                <w:b/>
                <w:bCs/>
                <w:rtl/>
              </w:rPr>
            </w:pPr>
            <w:r w:rsidRPr="00172E40">
              <w:rPr>
                <w:rFonts w:hint="cs"/>
                <w:b/>
                <w:bCs/>
                <w:rtl/>
              </w:rPr>
              <w:t>מדינת ישראל</w:t>
            </w:r>
            <w:r w:rsidRPr="00172E40">
              <w:rPr>
                <w:rFonts w:hint="cs"/>
                <w:b/>
                <w:bCs/>
                <w:rtl/>
              </w:rPr>
              <w:br/>
              <w:t xml:space="preserve">ע"י ב"כ עו"ד מפרקליטות מחוז חיפה – פלילי </w:t>
            </w:r>
          </w:p>
        </w:tc>
      </w:tr>
      <w:bookmarkEnd w:id="2"/>
      <w:tr w:rsidR="001A0B65" w:rsidRPr="00172E40">
        <w:trPr>
          <w:jc w:val="center"/>
        </w:trPr>
        <w:tc>
          <w:tcPr>
            <w:tcW w:w="8820" w:type="dxa"/>
            <w:gridSpan w:val="3"/>
            <w:shd w:val="clear" w:color="auto" w:fill="auto"/>
          </w:tcPr>
          <w:p w:rsidR="001A0B65" w:rsidRPr="00172E40" w:rsidRDefault="001A0B65" w:rsidP="00172E40">
            <w:pPr>
              <w:rPr>
                <w:rFonts w:ascii="Arial" w:hAnsi="Arial"/>
                <w:b/>
                <w:bCs/>
              </w:rPr>
            </w:pPr>
          </w:p>
          <w:p w:rsidR="001A0B65" w:rsidRPr="00172E40" w:rsidRDefault="001A0B65" w:rsidP="00172E40">
            <w:pPr>
              <w:jc w:val="center"/>
              <w:rPr>
                <w:rFonts w:ascii="Arial" w:hAnsi="Arial"/>
                <w:b/>
                <w:bCs/>
                <w:rtl/>
              </w:rPr>
            </w:pPr>
            <w:r w:rsidRPr="00172E40">
              <w:rPr>
                <w:rFonts w:ascii="Arial" w:hAnsi="Arial" w:hint="cs"/>
                <w:b/>
                <w:bCs/>
                <w:rtl/>
              </w:rPr>
              <w:t>נגד</w:t>
            </w:r>
          </w:p>
          <w:p w:rsidR="001A0B65" w:rsidRPr="00172E40" w:rsidRDefault="001A0B65" w:rsidP="00172E40">
            <w:pPr>
              <w:rPr>
                <w:rFonts w:ascii="Arial" w:hAnsi="Arial"/>
                <w:b/>
                <w:bCs/>
                <w:rtl/>
              </w:rPr>
            </w:pPr>
          </w:p>
        </w:tc>
      </w:tr>
      <w:tr w:rsidR="001A0B65" w:rsidRPr="00172E40">
        <w:trPr>
          <w:jc w:val="center"/>
        </w:trPr>
        <w:tc>
          <w:tcPr>
            <w:tcW w:w="3249" w:type="dxa"/>
            <w:gridSpan w:val="2"/>
            <w:shd w:val="clear" w:color="auto" w:fill="auto"/>
          </w:tcPr>
          <w:p w:rsidR="001A0B65" w:rsidRPr="00172E40" w:rsidRDefault="001A0B65" w:rsidP="00172E40">
            <w:pPr>
              <w:rPr>
                <w:rFonts w:ascii="Arial" w:hAnsi="Arial"/>
                <w:b/>
                <w:bCs/>
              </w:rPr>
            </w:pPr>
          </w:p>
          <w:p w:rsidR="001A0B65" w:rsidRPr="00172E40" w:rsidRDefault="001A0B65" w:rsidP="00172E40">
            <w:pPr>
              <w:rPr>
                <w:rFonts w:ascii="Arial" w:hAnsi="Arial"/>
                <w:b/>
                <w:bCs/>
                <w:rtl/>
              </w:rPr>
            </w:pPr>
            <w:r w:rsidRPr="00172E40">
              <w:rPr>
                <w:rFonts w:hint="cs"/>
                <w:b/>
                <w:bCs/>
                <w:rtl/>
              </w:rPr>
              <w:t>נאשם</w:t>
            </w:r>
          </w:p>
        </w:tc>
        <w:tc>
          <w:tcPr>
            <w:tcW w:w="5571" w:type="dxa"/>
            <w:shd w:val="clear" w:color="auto" w:fill="auto"/>
          </w:tcPr>
          <w:p w:rsidR="001A0B65" w:rsidRPr="00172E40" w:rsidRDefault="001A0B65" w:rsidP="00172E40">
            <w:pPr>
              <w:rPr>
                <w:rFonts w:ascii="Arial" w:hAnsi="Arial"/>
                <w:b/>
                <w:bCs/>
              </w:rPr>
            </w:pPr>
          </w:p>
          <w:p w:rsidR="001A0B65" w:rsidRPr="00172E40" w:rsidRDefault="001A0B65" w:rsidP="00172E40">
            <w:pPr>
              <w:rPr>
                <w:b/>
                <w:bCs/>
                <w:rtl/>
              </w:rPr>
            </w:pPr>
            <w:r w:rsidRPr="00172E40">
              <w:rPr>
                <w:rFonts w:hint="cs"/>
                <w:b/>
                <w:bCs/>
                <w:rtl/>
              </w:rPr>
              <w:t xml:space="preserve">סמיר בסל ת.ז. </w:t>
            </w:r>
            <w:r w:rsidR="00172E40">
              <w:rPr>
                <w:b/>
                <w:bCs/>
              </w:rPr>
              <w:t>xxxxxxxxxx</w:t>
            </w:r>
            <w:r w:rsidRPr="00172E40">
              <w:rPr>
                <w:rFonts w:hint="cs"/>
                <w:b/>
                <w:bCs/>
                <w:rtl/>
              </w:rPr>
              <w:br/>
              <w:t xml:space="preserve">ע"י ב"כ עו"ד נאג'י עאמר </w:t>
            </w:r>
          </w:p>
        </w:tc>
      </w:tr>
    </w:tbl>
    <w:p w:rsidR="001A0B65" w:rsidRPr="00172E40" w:rsidRDefault="001A0B65" w:rsidP="001A0B65">
      <w:pPr>
        <w:rPr>
          <w:rtl/>
        </w:rPr>
      </w:pPr>
    </w:p>
    <w:p w:rsidR="001A0B65" w:rsidRPr="00172E40" w:rsidRDefault="001A0B65" w:rsidP="001A0B65">
      <w:pPr>
        <w:rPr>
          <w:rtl/>
        </w:rPr>
      </w:pPr>
      <w:r w:rsidRPr="00172E40">
        <w:rPr>
          <w:rFonts w:hint="cs"/>
          <w:b/>
          <w:bCs/>
          <w:rtl/>
        </w:rPr>
        <w:t>נוכחים:</w:t>
      </w:r>
    </w:p>
    <w:p w:rsidR="001A0B65" w:rsidRPr="00172E40" w:rsidRDefault="001A0B65" w:rsidP="001A0B65">
      <w:pPr>
        <w:rPr>
          <w:rtl/>
        </w:rPr>
      </w:pPr>
      <w:r w:rsidRPr="00172E40">
        <w:rPr>
          <w:rFonts w:hint="cs"/>
          <w:rtl/>
        </w:rPr>
        <w:t xml:space="preserve">ב"כ המאשימה </w:t>
      </w:r>
      <w:r w:rsidRPr="00172E40">
        <w:rPr>
          <w:rtl/>
        </w:rPr>
        <w:t>–</w:t>
      </w:r>
      <w:r w:rsidRPr="00172E40">
        <w:rPr>
          <w:rFonts w:hint="cs"/>
          <w:rtl/>
        </w:rPr>
        <w:t xml:space="preserve"> עו"ד ד"ר ערן בר</w:t>
      </w:r>
    </w:p>
    <w:p w:rsidR="001A0B65" w:rsidRPr="00172E40" w:rsidRDefault="001A0B65" w:rsidP="001A0B65">
      <w:pPr>
        <w:rPr>
          <w:rtl/>
        </w:rPr>
      </w:pPr>
      <w:r w:rsidRPr="00172E40">
        <w:rPr>
          <w:rFonts w:hint="cs"/>
          <w:rtl/>
        </w:rPr>
        <w:t xml:space="preserve">ב"כ הנאשם </w:t>
      </w:r>
      <w:r w:rsidRPr="00172E40">
        <w:rPr>
          <w:rtl/>
        </w:rPr>
        <w:t>–</w:t>
      </w:r>
      <w:r w:rsidRPr="00172E40">
        <w:rPr>
          <w:rFonts w:hint="cs"/>
          <w:rtl/>
        </w:rPr>
        <w:t xml:space="preserve"> עו"ד נאג'י עאמר</w:t>
      </w:r>
    </w:p>
    <w:p w:rsidR="001A0B65" w:rsidRPr="00172E40" w:rsidRDefault="001A0B65" w:rsidP="001A0B65">
      <w:pPr>
        <w:rPr>
          <w:rtl/>
        </w:rPr>
      </w:pPr>
      <w:r w:rsidRPr="00172E40">
        <w:rPr>
          <w:rFonts w:hint="cs"/>
          <w:rtl/>
        </w:rPr>
        <w:t>הנאשם בעצמו</w:t>
      </w:r>
    </w:p>
    <w:p w:rsidR="00EB5AE5" w:rsidRDefault="001A0B65" w:rsidP="001A0B65">
      <w:pPr>
        <w:rPr>
          <w:rtl/>
        </w:rPr>
      </w:pPr>
      <w:r w:rsidRPr="00172E40">
        <w:rPr>
          <w:rFonts w:hint="cs"/>
          <w:rtl/>
        </w:rPr>
        <w:t>מתורגמנית לשפה הערבית גב' זויה עיסאווי</w:t>
      </w:r>
      <w:bookmarkStart w:id="3" w:name="LawTable"/>
      <w:bookmarkEnd w:id="3"/>
    </w:p>
    <w:p w:rsidR="00EB5AE5" w:rsidRPr="00EB5AE5" w:rsidRDefault="00EB5AE5" w:rsidP="00EB5AE5">
      <w:pPr>
        <w:spacing w:after="120" w:line="240" w:lineRule="exact"/>
        <w:ind w:left="283" w:hanging="283"/>
        <w:jc w:val="both"/>
        <w:rPr>
          <w:rFonts w:ascii="FrankRuehl" w:hAnsi="FrankRuehl" w:cs="FrankRuehl"/>
          <w:rtl/>
        </w:rPr>
      </w:pPr>
    </w:p>
    <w:p w:rsidR="00EB5AE5" w:rsidRPr="00EB5AE5" w:rsidRDefault="00EB5AE5" w:rsidP="00EB5AE5">
      <w:pPr>
        <w:spacing w:after="120" w:line="240" w:lineRule="exact"/>
        <w:ind w:left="283" w:hanging="283"/>
        <w:jc w:val="both"/>
        <w:rPr>
          <w:rFonts w:ascii="FrankRuehl" w:hAnsi="FrankRuehl" w:cs="FrankRuehl"/>
          <w:rtl/>
        </w:rPr>
      </w:pPr>
      <w:r w:rsidRPr="00EB5AE5">
        <w:rPr>
          <w:rFonts w:ascii="FrankRuehl" w:hAnsi="FrankRuehl" w:cs="FrankRuehl"/>
          <w:rtl/>
        </w:rPr>
        <w:t xml:space="preserve">חקיקה שאוזכרה: </w:t>
      </w:r>
    </w:p>
    <w:p w:rsidR="00EB5AE5" w:rsidRPr="00EB5AE5" w:rsidRDefault="00EB5AE5" w:rsidP="00EB5AE5">
      <w:pPr>
        <w:spacing w:after="120" w:line="240" w:lineRule="exact"/>
        <w:ind w:left="283" w:hanging="283"/>
        <w:jc w:val="both"/>
        <w:rPr>
          <w:rFonts w:ascii="FrankRuehl" w:hAnsi="FrankRuehl" w:cs="FrankRuehl"/>
          <w:rtl/>
        </w:rPr>
      </w:pPr>
      <w:hyperlink r:id="rId7" w:history="1">
        <w:r w:rsidRPr="00EB5AE5">
          <w:rPr>
            <w:rFonts w:ascii="FrankRuehl" w:hAnsi="FrankRuehl" w:cs="FrankRuehl"/>
            <w:color w:val="0000FF"/>
            <w:u w:val="single"/>
            <w:rtl/>
          </w:rPr>
          <w:t>חוק העונשין, תשל"ז-1977</w:t>
        </w:r>
      </w:hyperlink>
      <w:r w:rsidRPr="00EB5AE5">
        <w:rPr>
          <w:rFonts w:ascii="FrankRuehl" w:hAnsi="FrankRuehl" w:cs="FrankRuehl"/>
          <w:rtl/>
        </w:rPr>
        <w:t xml:space="preserve">: סע'  </w:t>
      </w:r>
      <w:hyperlink r:id="rId8" w:history="1">
        <w:r w:rsidRPr="00EB5AE5">
          <w:rPr>
            <w:rFonts w:ascii="FrankRuehl" w:hAnsi="FrankRuehl" w:cs="FrankRuehl"/>
            <w:color w:val="0000FF"/>
            <w:u w:val="single"/>
            <w:rtl/>
          </w:rPr>
          <w:t>144(א)</w:t>
        </w:r>
      </w:hyperlink>
      <w:r w:rsidRPr="00EB5AE5">
        <w:rPr>
          <w:rFonts w:ascii="FrankRuehl" w:hAnsi="FrankRuehl" w:cs="FrankRuehl"/>
          <w:rtl/>
        </w:rPr>
        <w:t xml:space="preserve">, </w:t>
      </w:r>
      <w:hyperlink r:id="rId9" w:history="1">
        <w:r w:rsidRPr="00EB5AE5">
          <w:rPr>
            <w:rFonts w:ascii="FrankRuehl" w:hAnsi="FrankRuehl" w:cs="FrankRuehl"/>
            <w:color w:val="0000FF"/>
            <w:u w:val="single"/>
            <w:rtl/>
          </w:rPr>
          <w:t>(ב)</w:t>
        </w:r>
      </w:hyperlink>
    </w:p>
    <w:p w:rsidR="00EB5AE5" w:rsidRPr="00EB5AE5" w:rsidRDefault="00EB5AE5" w:rsidP="00EB5AE5">
      <w:pPr>
        <w:spacing w:after="120" w:line="240" w:lineRule="exact"/>
        <w:ind w:left="283" w:hanging="283"/>
        <w:jc w:val="both"/>
        <w:rPr>
          <w:rFonts w:ascii="FrankRuehl" w:hAnsi="FrankRuehl" w:cs="FrankRuehl"/>
          <w:rtl/>
        </w:rPr>
      </w:pPr>
    </w:p>
    <w:p w:rsidR="00EB5AE5" w:rsidRPr="00EB5AE5" w:rsidRDefault="00EB5AE5" w:rsidP="001A0B65">
      <w:pPr>
        <w:rPr>
          <w:rtl/>
        </w:rPr>
      </w:pPr>
      <w:bookmarkStart w:id="4" w:name="LawTable_End"/>
      <w:bookmarkEnd w:id="4"/>
    </w:p>
    <w:p w:rsidR="00EB5AE5" w:rsidRPr="00EB5AE5" w:rsidRDefault="00EB5AE5" w:rsidP="001A0B65">
      <w:pPr>
        <w:rPr>
          <w:rtl/>
        </w:rPr>
      </w:pPr>
    </w:p>
    <w:p w:rsidR="001A0B65" w:rsidRPr="00EB5AE5" w:rsidRDefault="001A0B65" w:rsidP="001A0B6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A0B65">
        <w:trPr>
          <w:trHeight w:val="355"/>
          <w:jc w:val="center"/>
        </w:trPr>
        <w:tc>
          <w:tcPr>
            <w:tcW w:w="8820" w:type="dxa"/>
            <w:tcBorders>
              <w:top w:val="nil"/>
              <w:left w:val="nil"/>
              <w:bottom w:val="nil"/>
              <w:right w:val="nil"/>
            </w:tcBorders>
            <w:shd w:val="clear" w:color="auto" w:fill="auto"/>
          </w:tcPr>
          <w:p w:rsidR="00172E40" w:rsidRPr="00172E40" w:rsidRDefault="00172E40" w:rsidP="00172E40">
            <w:pPr>
              <w:jc w:val="center"/>
              <w:rPr>
                <w:rFonts w:ascii="Arial" w:hAnsi="Arial" w:cs="FrankRuehl"/>
                <w:b/>
                <w:bCs/>
                <w:sz w:val="32"/>
                <w:szCs w:val="32"/>
                <w:u w:val="single"/>
                <w:rtl/>
              </w:rPr>
            </w:pPr>
            <w:bookmarkStart w:id="5" w:name="PsakDin" w:colFirst="0" w:colLast="0"/>
            <w:bookmarkEnd w:id="0"/>
            <w:bookmarkEnd w:id="1"/>
            <w:r w:rsidRPr="00172E40">
              <w:rPr>
                <w:rFonts w:ascii="Arial" w:hAnsi="Arial" w:cs="FrankRuehl"/>
                <w:b/>
                <w:bCs/>
                <w:sz w:val="32"/>
                <w:szCs w:val="32"/>
                <w:u w:val="single"/>
                <w:rtl/>
              </w:rPr>
              <w:t>גזר דין</w:t>
            </w:r>
          </w:p>
          <w:p w:rsidR="001A0B65" w:rsidRPr="00172E40" w:rsidRDefault="001A0B65" w:rsidP="00172E40">
            <w:pPr>
              <w:jc w:val="center"/>
              <w:rPr>
                <w:rFonts w:ascii="Arial" w:hAnsi="Arial" w:cs="FrankRuehl"/>
                <w:bCs/>
                <w:sz w:val="32"/>
                <w:szCs w:val="32"/>
                <w:u w:val="single"/>
                <w:rtl/>
              </w:rPr>
            </w:pPr>
          </w:p>
        </w:tc>
      </w:tr>
      <w:bookmarkEnd w:id="5"/>
    </w:tbl>
    <w:p w:rsidR="001A0B65" w:rsidRPr="00B05847" w:rsidRDefault="001A0B65" w:rsidP="001A0B65">
      <w:pPr>
        <w:rPr>
          <w:rFonts w:ascii="Arial" w:hAnsi="Arial"/>
          <w:rtl/>
        </w:rPr>
      </w:pPr>
    </w:p>
    <w:p w:rsidR="001A0B65" w:rsidRPr="00B05847" w:rsidRDefault="001A0B65" w:rsidP="001A0B65">
      <w:pPr>
        <w:rPr>
          <w:rFonts w:ascii="Arial" w:hAnsi="Arial"/>
          <w:rtl/>
        </w:rPr>
      </w:pPr>
    </w:p>
    <w:p w:rsidR="001A0B65" w:rsidRDefault="001A0B65" w:rsidP="001A0B65">
      <w:pPr>
        <w:pStyle w:val="ListParagraph"/>
        <w:numPr>
          <w:ilvl w:val="0"/>
          <w:numId w:val="1"/>
        </w:numPr>
        <w:spacing w:line="360" w:lineRule="auto"/>
        <w:jc w:val="both"/>
        <w:rPr>
          <w:rtl/>
        </w:rPr>
      </w:pPr>
      <w:bookmarkStart w:id="6" w:name="ABSTRACT_START"/>
      <w:bookmarkEnd w:id="6"/>
      <w:r>
        <w:rPr>
          <w:rtl/>
        </w:rPr>
        <w:t xml:space="preserve">הנאשם הודה במסגרת הסדר טיעון חלקי שלא כלל הסכמה לגבי העונש בעבירה של החזקה ונשיאת נשק לפי </w:t>
      </w:r>
      <w:hyperlink r:id="rId10" w:history="1">
        <w:r w:rsidR="00CD24EA" w:rsidRPr="00CD24EA">
          <w:rPr>
            <w:color w:val="0000FF"/>
            <w:u w:val="single"/>
            <w:rtl/>
          </w:rPr>
          <w:t>סעיף 144(א)</w:t>
        </w:r>
      </w:hyperlink>
      <w:r>
        <w:rPr>
          <w:rtl/>
        </w:rPr>
        <w:t xml:space="preserve"> +</w:t>
      </w:r>
      <w:hyperlink r:id="rId11" w:history="1">
        <w:r w:rsidR="00CD24EA" w:rsidRPr="00CD24EA">
          <w:rPr>
            <w:rStyle w:val="Hyperlink"/>
            <w:rtl/>
          </w:rPr>
          <w:t xml:space="preserve"> (ב)</w:t>
        </w:r>
      </w:hyperlink>
      <w:r>
        <w:rPr>
          <w:rtl/>
        </w:rPr>
        <w:t xml:space="preserve"> ל</w:t>
      </w:r>
      <w:hyperlink r:id="rId12" w:history="1">
        <w:r w:rsidR="00172E40" w:rsidRPr="00172E40">
          <w:rPr>
            <w:color w:val="0000FF"/>
            <w:u w:val="single"/>
            <w:rtl/>
          </w:rPr>
          <w:t>חוק העונשין</w:t>
        </w:r>
      </w:hyperlink>
      <w:r>
        <w:rPr>
          <w:rtl/>
        </w:rPr>
        <w:t>, התשל"ז-1977. על פי האמור בכתב האישום המתוקן, במחצית הראשונה של אפריל 2016</w:t>
      </w:r>
      <w:r>
        <w:rPr>
          <w:rFonts w:hint="cs"/>
          <w:rtl/>
        </w:rPr>
        <w:t>,</w:t>
      </w:r>
      <w:r>
        <w:rPr>
          <w:rtl/>
        </w:rPr>
        <w:t xml:space="preserve"> קרוב משפחתו של הנאשם ושל אדם אחר </w:t>
      </w:r>
      <w:r w:rsidRPr="0074452E">
        <w:rPr>
          <w:rtl/>
        </w:rPr>
        <w:t xml:space="preserve">רכש שלא כדין </w:t>
      </w:r>
      <w:r>
        <w:rPr>
          <w:rtl/>
        </w:rPr>
        <w:t xml:space="preserve">תת מקלע מאולתר ומחסנית תמורת 7,300 ₪. לאחר מכן הגיע קרוב המשפחה לשכונת מגוריו ויצר קשר עם הנאשם וביקש ממנו שיקח את הנשק לחזקתו ויחביא אותו. הנאשם הגיע, לקח את הנשק והובילו למקום מסתור, שם החזיק את הנשק והמחסנית כשבוע. ביום 19.4.16 פנה האחר לקרוב המשפחה וביקש לקבל את התת מקלע לידיו. קרוב המשפחה הסכים והודיע לאחר שעליו לקחת את התת מקלע מהנאשם. כאשר האחר הגיע בסמוך לביתו של הנאשם, הוא העביר לו את התת מקלע והמחסנית. לאחר שקיבל אותם, הוא הובילם לגג בית חברו, שם החזיק בהם בתוך תיק ללא רשות. </w:t>
      </w:r>
    </w:p>
    <w:p w:rsidR="001A0B65" w:rsidRDefault="001A0B65" w:rsidP="001A0B65">
      <w:pPr>
        <w:spacing w:line="360" w:lineRule="auto"/>
        <w:jc w:val="both"/>
        <w:rPr>
          <w:rtl/>
        </w:rPr>
      </w:pPr>
    </w:p>
    <w:p w:rsidR="001A0B65" w:rsidRDefault="001A0B65" w:rsidP="001A0B65">
      <w:pPr>
        <w:pStyle w:val="ListParagraph"/>
        <w:spacing w:line="360" w:lineRule="auto"/>
        <w:ind w:left="360"/>
        <w:jc w:val="both"/>
        <w:rPr>
          <w:rtl/>
        </w:rPr>
      </w:pPr>
      <w:bookmarkStart w:id="7" w:name="ABSTRACT_END"/>
      <w:bookmarkEnd w:id="7"/>
      <w:r w:rsidRPr="00725929">
        <w:rPr>
          <w:b/>
          <w:bCs/>
          <w:u w:val="single"/>
          <w:rtl/>
        </w:rPr>
        <w:t>טיעוני המדינה לעונש</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המדינה הזכירה שהנאשם היה עצור בין המועדים 24.4.16 עד 22.6.16 ואז שוחרר בתנאים. לטענת המדינה מתחם העונש ההולם נמצא בין שנתיים עד ארבע שנות מאסר. נטען שנפגע הערך של בטחון הציבור באופן משמעותי. הודגש שמדובר בתת מקלע, עם מחסנית, כאשר לנשק זה פוטנציאל נזק גבוה במיוחד, כאשר הנשק הועבר לאחר מבלי שלנאשם שליטה על השימוש שייעשה בו. נטען שנסיבותיו האישיות של הנאשם אינן מצדיקות הקלה בעונש כאשר לנאשם הרשעה קודמת של איומים ושבל"ר ונטען שעונש קודם שהוטל עליו לא הרתיעו מלבצע עבירות נוספות. המדינה איזכרה את הערכת הסיכון הגבוהה שניתנה על ידי שירות המבחן ושלא ניתנה המלצה טיפולית. </w:t>
      </w:r>
    </w:p>
    <w:p w:rsidR="001A0B65" w:rsidRDefault="001A0B65" w:rsidP="001A0B65">
      <w:pPr>
        <w:spacing w:line="360" w:lineRule="auto"/>
        <w:jc w:val="both"/>
        <w:rPr>
          <w:rtl/>
        </w:rPr>
      </w:pPr>
    </w:p>
    <w:p w:rsidR="001A0B65" w:rsidRDefault="001A0B65" w:rsidP="001A0B65">
      <w:pPr>
        <w:pStyle w:val="ListParagraph"/>
        <w:spacing w:line="360" w:lineRule="auto"/>
        <w:ind w:left="360"/>
        <w:jc w:val="both"/>
        <w:rPr>
          <w:rtl/>
        </w:rPr>
      </w:pPr>
      <w:r w:rsidRPr="00725929">
        <w:rPr>
          <w:b/>
          <w:bCs/>
          <w:u w:val="single"/>
          <w:rtl/>
        </w:rPr>
        <w:t>טיעוני ב"כ הנאשם לעונש</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הסניגור טען שבנוסף על תקופת המעצר שהה הנאשם במשך 4 חודשים במעצר בית מלא באיזוק אלקטרוני. נטען שמדובר באדם צעיר שבעת ביצוע העבירות היה כבן 20.5 שנה ומכאן שייך לקבוצת "הבגירים הצעירים". נטען שעל פי עובדות כתב האישום תפקידו של הנאשם היה </w:t>
      </w:r>
      <w:r w:rsidRPr="00DB7317">
        <w:rPr>
          <w:rtl/>
        </w:rPr>
        <w:t>להחזיק את ה</w:t>
      </w:r>
      <w:r w:rsidRPr="00DB7317">
        <w:rPr>
          <w:rFonts w:hint="cs"/>
          <w:rtl/>
        </w:rPr>
        <w:t>נשק</w:t>
      </w:r>
      <w:r w:rsidRPr="00DB7317">
        <w:rPr>
          <w:rtl/>
        </w:rPr>
        <w:t xml:space="preserve"> אצלו</w:t>
      </w:r>
      <w:r>
        <w:rPr>
          <w:rtl/>
        </w:rPr>
        <w:t xml:space="preserve"> ונטען עוד שהיות שמדובר בנשק מאולתר ולא נשק תקני פוטנציאל הנזק קטן יותר. הוער שכתב האישום תוקן תוך כדי מחיקת העבירה החמורה של עסקה אחרת בנשק ויש לתת לזה ביטוי בגזירת העונש. נטען שלנאשם עבר פלילי אך לא עבר פלילי משמעותי. נטען שחלק עיקרי מכתב האישום יוחס לקרוב משפחתו והנאשם נגרר אחריו מתוך חוסר נעימות כיוון שמדובר בקרוב משפחה שביקש ממנו סיוע. נטען שתקופת ההחזקה של הנשק היתה כשבוע ולא תקופה ממושכת. נטען שהתסקיר אמנם לא היה חיובי אך </w:t>
      </w:r>
      <w:r>
        <w:rPr>
          <w:rFonts w:hint="cs"/>
          <w:rtl/>
        </w:rPr>
        <w:t xml:space="preserve">גם </w:t>
      </w:r>
      <w:r>
        <w:rPr>
          <w:rtl/>
        </w:rPr>
        <w:t xml:space="preserve">לא היה שלילי כאשר תקופת המעצר חידדה גבולות בין מותר לאסור עבור הנאשם והמחישה חומרת מעשיו. </w:t>
      </w:r>
    </w:p>
    <w:p w:rsidR="001A0B65" w:rsidRDefault="001A0B65" w:rsidP="001A0B65">
      <w:pPr>
        <w:spacing w:line="360" w:lineRule="auto"/>
        <w:jc w:val="both"/>
        <w:rPr>
          <w:rtl/>
        </w:rPr>
      </w:pPr>
    </w:p>
    <w:p w:rsidR="001A0B65" w:rsidRDefault="001A0B65" w:rsidP="001A0B65">
      <w:pPr>
        <w:pStyle w:val="ListParagraph"/>
        <w:spacing w:line="360" w:lineRule="auto"/>
        <w:ind w:left="360"/>
        <w:jc w:val="both"/>
        <w:rPr>
          <w:rtl/>
        </w:rPr>
      </w:pPr>
      <w:r w:rsidRPr="00725929">
        <w:rPr>
          <w:b/>
          <w:bCs/>
          <w:u w:val="single"/>
          <w:rtl/>
        </w:rPr>
        <w:t>מדיניות הענישה</w:t>
      </w:r>
    </w:p>
    <w:p w:rsidR="001A0B65" w:rsidRDefault="001A0B65" w:rsidP="001A0B65">
      <w:pPr>
        <w:spacing w:line="360" w:lineRule="auto"/>
        <w:jc w:val="both"/>
        <w:rPr>
          <w:rtl/>
        </w:rPr>
      </w:pPr>
    </w:p>
    <w:p w:rsidR="001A0B65" w:rsidRDefault="001A0B65" w:rsidP="00EB5AE5">
      <w:pPr>
        <w:pStyle w:val="ListParagraph"/>
        <w:numPr>
          <w:ilvl w:val="0"/>
          <w:numId w:val="1"/>
        </w:numPr>
        <w:spacing w:line="360" w:lineRule="auto"/>
        <w:jc w:val="both"/>
        <w:rPr>
          <w:rtl/>
        </w:rPr>
      </w:pPr>
      <w:r>
        <w:rPr>
          <w:rtl/>
        </w:rPr>
        <w:t xml:space="preserve">המדינה איזכרה את המקרים הבאים: </w:t>
      </w:r>
      <w:hyperlink r:id="rId13" w:history="1">
        <w:r w:rsidR="00EB5AE5" w:rsidRPr="00EB5AE5">
          <w:rPr>
            <w:color w:val="0000FF"/>
            <w:u w:val="single"/>
            <w:rtl/>
          </w:rPr>
          <w:t xml:space="preserve">ע"פ 5900/15 </w:t>
        </w:r>
      </w:hyperlink>
      <w:r w:rsidR="00EB5AE5" w:rsidRPr="00EB5AE5">
        <w:rPr>
          <w:rtl/>
        </w:rPr>
        <w:t xml:space="preserve"> </w:t>
      </w:r>
      <w:r w:rsidRPr="00725929">
        <w:rPr>
          <w:b/>
          <w:bCs/>
          <w:rtl/>
        </w:rPr>
        <w:t>אייל מעוז נ' מדינת ישראל</w:t>
      </w:r>
      <w:r>
        <w:rPr>
          <w:rtl/>
        </w:rPr>
        <w:t xml:space="preserve"> ( 10.5.2016) שם הערכאה הדיונית הטילה 34 חודשי מאסר בפועל בגין עבירות של החזקת נשק, נשיאת נשק וסיוע להחזקת נשק. בית המשפט העליון דחה את ערעורו של הנאשם על חומרת העונש. </w:t>
      </w:r>
    </w:p>
    <w:p w:rsidR="001A0B65" w:rsidRDefault="001A0B65" w:rsidP="001A0B65">
      <w:pPr>
        <w:pStyle w:val="ListParagraph"/>
        <w:spacing w:line="360" w:lineRule="auto"/>
        <w:jc w:val="both"/>
        <w:rPr>
          <w:rtl/>
        </w:rPr>
      </w:pPr>
      <w:r>
        <w:rPr>
          <w:rtl/>
        </w:rPr>
        <w:t>ב</w:t>
      </w:r>
      <w:hyperlink r:id="rId14" w:history="1">
        <w:r w:rsidR="00172E40" w:rsidRPr="00172E40">
          <w:rPr>
            <w:color w:val="0000FF"/>
            <w:u w:val="single"/>
            <w:rtl/>
          </w:rPr>
          <w:t>ע"פ 9373/10</w:t>
        </w:r>
      </w:hyperlink>
      <w:r>
        <w:rPr>
          <w:rtl/>
        </w:rPr>
        <w:t xml:space="preserve"> </w:t>
      </w:r>
      <w:r w:rsidRPr="00725929">
        <w:rPr>
          <w:b/>
          <w:bCs/>
          <w:rtl/>
        </w:rPr>
        <w:t>חמד ותד נ' מדינת ישראל</w:t>
      </w:r>
      <w:r>
        <w:rPr>
          <w:rtl/>
        </w:rPr>
        <w:t xml:space="preserve"> (14.9.2011) – המערער החזיק בביתו אקדח ומחסנית טעונה בכדורים, בנוסף כדורים בביתו מתחת למזרון וכדורים נוספים מוטמנים </w:t>
      </w:r>
      <w:r>
        <w:rPr>
          <w:rtl/>
        </w:rPr>
        <w:lastRenderedPageBreak/>
        <w:t xml:space="preserve">בחצר. הוא נדון ל- 50 חודשי מאסר בפועל. על אף שמדובר בעונש חמור, בית המשפט העליון לא התערב בתוצאה. </w:t>
      </w:r>
    </w:p>
    <w:p w:rsidR="001A0B65" w:rsidRDefault="001A0B65" w:rsidP="001A0B65">
      <w:pPr>
        <w:pStyle w:val="ListParagraph"/>
        <w:spacing w:line="360" w:lineRule="auto"/>
        <w:jc w:val="both"/>
        <w:rPr>
          <w:rtl/>
        </w:rPr>
      </w:pPr>
      <w:r>
        <w:rPr>
          <w:rtl/>
        </w:rPr>
        <w:t>ב</w:t>
      </w:r>
      <w:hyperlink r:id="rId15" w:history="1">
        <w:r w:rsidR="00172E40" w:rsidRPr="00172E40">
          <w:rPr>
            <w:color w:val="0000FF"/>
            <w:u w:val="single"/>
            <w:rtl/>
          </w:rPr>
          <w:t>ת"פ 28728-04-11</w:t>
        </w:r>
      </w:hyperlink>
      <w:r>
        <w:rPr>
          <w:rtl/>
        </w:rPr>
        <w:t xml:space="preserve"> </w:t>
      </w:r>
      <w:r w:rsidRPr="00725929">
        <w:rPr>
          <w:b/>
          <w:bCs/>
          <w:rtl/>
        </w:rPr>
        <w:t>מדינת ישראל נ' מאזן גנאים</w:t>
      </w:r>
      <w:r>
        <w:rPr>
          <w:rtl/>
        </w:rPr>
        <w:t xml:space="preserve"> (7.12.2011) הורשע הנאשם בקשירת  קשר, נשיאת נשק והובלתו, החזקת נשק ועבירות נוספות. כאשר הנאשם הוביל נשק לביתו והחביאו מתחת למזרון של אחיו. נגזרו 30 חודשי מאסר בפועל על הנאשם. </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הסניגור איזכר את המקרים הבאים: </w:t>
      </w:r>
      <w:hyperlink r:id="rId16" w:history="1">
        <w:r w:rsidR="00172E40" w:rsidRPr="00172E40">
          <w:rPr>
            <w:color w:val="0000FF"/>
            <w:u w:val="single"/>
            <w:rtl/>
          </w:rPr>
          <w:t>ע"פ 1505/14</w:t>
        </w:r>
      </w:hyperlink>
      <w:r>
        <w:rPr>
          <w:rtl/>
        </w:rPr>
        <w:t xml:space="preserve"> </w:t>
      </w:r>
      <w:r w:rsidRPr="00725929">
        <w:rPr>
          <w:b/>
          <w:bCs/>
          <w:rtl/>
        </w:rPr>
        <w:t>אחמד לידאווי נ' מדינת ישראל</w:t>
      </w:r>
      <w:r>
        <w:rPr>
          <w:rtl/>
        </w:rPr>
        <w:t xml:space="preserve"> (4.11.2014ׂ</w:t>
      </w:r>
      <w:r>
        <w:t>(</w:t>
      </w:r>
      <w:r>
        <w:rPr>
          <w:rtl/>
        </w:rPr>
        <w:t xml:space="preserve"> -  הושת על הנאשם עונש של 8 חודשי מאסר בפועל בגין עבירות נשק ועבירות נוספות כאשר הוא קיבל לידיו אקדח ומחסנית מלאה כדורים ובמועד אחר קיבל כדורים נוספים והטמין את האקדח בארון בביתו כאשר שוטרים הגיעו לבית, בתו הוציאה את האקדח ממקום המסתור והטמינה אותו מתחת לתחתוניה וזה התגלה במהלך חפוש שערך שוטר על גופה. בית המשפט העליון קיבל את הערעור באופן חלקי והמיר את המאסר בעבודות שירות וזאת למרות החומרה שצויינה לגבי עבירות הנשק ותוך כדי התחשבות בנסיבותיו האישיות של המערער שהיה בן 60 עם עבר פלילי לא מכביד שסובל מבעיות רפואיות כאשר נקבע שמאסר בפועל יפגע במצבו הבריאותי. </w:t>
      </w:r>
    </w:p>
    <w:p w:rsidR="001A0B65" w:rsidRDefault="001A0B65" w:rsidP="001A0B65">
      <w:pPr>
        <w:pStyle w:val="ListParagraph"/>
        <w:spacing w:line="360" w:lineRule="auto"/>
        <w:jc w:val="both"/>
        <w:rPr>
          <w:rtl/>
        </w:rPr>
      </w:pPr>
      <w:r>
        <w:rPr>
          <w:rtl/>
        </w:rPr>
        <w:t>ב</w:t>
      </w:r>
      <w:hyperlink r:id="rId17" w:history="1">
        <w:r w:rsidR="00172E40" w:rsidRPr="00172E40">
          <w:rPr>
            <w:color w:val="0000FF"/>
            <w:u w:val="single"/>
            <w:rtl/>
          </w:rPr>
          <w:t>ע"פ 3289/03</w:t>
        </w:r>
      </w:hyperlink>
      <w:r>
        <w:rPr>
          <w:rtl/>
        </w:rPr>
        <w:t xml:space="preserve"> </w:t>
      </w:r>
      <w:r w:rsidRPr="00725929">
        <w:rPr>
          <w:b/>
          <w:bCs/>
          <w:rtl/>
        </w:rPr>
        <w:t>אבשלום קוממי נ' מדינת ישראל</w:t>
      </w:r>
      <w:r>
        <w:rPr>
          <w:rtl/>
        </w:rPr>
        <w:t xml:space="preserve"> (20.11.2003) – החזיק המערער אקדח ומחסנית עם כדורים שנמצאו בחיפוש בביתו יחד עם מחסניות נוספות ותחמושת מסוגים שונים. הוא נשפט בערכאה הדיונית ל- 6 חודשי מאסר בפועל שלא בדרך עבודות שירות. בית המשפט העליון ציין את חומרת עבירות הנשק אך קבע שהעונש היה מתאים בנסיבות שהמערער ערך תפנית בחייו. בית המשפט לא הקל בעונשו אך התחשב בנסיבות מקלות שנמצאו במקרה. </w:t>
      </w:r>
    </w:p>
    <w:p w:rsidR="001A0B65" w:rsidRDefault="001A0B65" w:rsidP="001A0B65">
      <w:pPr>
        <w:pStyle w:val="ListParagraph"/>
        <w:spacing w:line="360" w:lineRule="auto"/>
        <w:jc w:val="both"/>
        <w:rPr>
          <w:rtl/>
        </w:rPr>
      </w:pPr>
      <w:r>
        <w:rPr>
          <w:rtl/>
        </w:rPr>
        <w:t>ב</w:t>
      </w:r>
      <w:hyperlink r:id="rId18" w:history="1">
        <w:r w:rsidR="00172E40" w:rsidRPr="00172E40">
          <w:rPr>
            <w:color w:val="0000FF"/>
            <w:u w:val="single"/>
            <w:rtl/>
          </w:rPr>
          <w:t>ע"פ 1462/12</w:t>
        </w:r>
      </w:hyperlink>
      <w:r>
        <w:rPr>
          <w:rtl/>
        </w:rPr>
        <w:t xml:space="preserve"> </w:t>
      </w:r>
      <w:r w:rsidRPr="00725929">
        <w:rPr>
          <w:b/>
          <w:bCs/>
          <w:rtl/>
        </w:rPr>
        <w:t>כפיר שוקרון נ' מדינת ישראל</w:t>
      </w:r>
      <w:r>
        <w:rPr>
          <w:rtl/>
        </w:rPr>
        <w:t xml:space="preserve"> (7.6.2012) – נגזר בערכאה הדיונית עונש של 5 חודשי מאסר לריצוי בעבודות שירות בגין נשיאת נשק והחזקת סכין שלא כדין, למרות שהתסקיר המליץ על שירות לתועלת הציבור. תסקיר נוסף שהוגש במהלך הערעור הראה שבמידה וירצה עונש מאסר, קיים סיכוי ממשי שיפוטר מעבודתו. ערכאת הערעור הדגישה את חומרת עבירות הנשק ועל כן לא התערבה בתוצאה. </w:t>
      </w:r>
    </w:p>
    <w:p w:rsidR="001A0B65" w:rsidRDefault="001A0B65" w:rsidP="001A0B65">
      <w:pPr>
        <w:pStyle w:val="ListParagraph"/>
        <w:spacing w:line="360" w:lineRule="auto"/>
        <w:jc w:val="both"/>
        <w:rPr>
          <w:rtl/>
        </w:rPr>
      </w:pPr>
      <w:r>
        <w:rPr>
          <w:rtl/>
        </w:rPr>
        <w:t>ב</w:t>
      </w:r>
      <w:hyperlink r:id="rId19" w:history="1">
        <w:r w:rsidR="00172E40" w:rsidRPr="00172E40">
          <w:rPr>
            <w:color w:val="0000FF"/>
            <w:u w:val="single"/>
            <w:rtl/>
          </w:rPr>
          <w:t>ע"פ 983/99</w:t>
        </w:r>
      </w:hyperlink>
      <w:r>
        <w:rPr>
          <w:rtl/>
        </w:rPr>
        <w:t xml:space="preserve"> </w:t>
      </w:r>
      <w:r w:rsidRPr="00725929">
        <w:rPr>
          <w:b/>
          <w:bCs/>
          <w:rtl/>
        </w:rPr>
        <w:t>מדינת ישראל נ' חאתם בן עורסאן עואדה</w:t>
      </w:r>
      <w:r>
        <w:rPr>
          <w:rtl/>
        </w:rPr>
        <w:t xml:space="preserve"> (1.3.1999) נדחה ערעור על קולת העונש של 6 חודשי מאסר לריצוי בעבודות שירות שנגזר על הנאשם בגין עבירות נשק בערכאה הדיונית כאשר ברוב דיעות לא התערב בית המשפט העליון בגזר הדין. </w:t>
      </w:r>
    </w:p>
    <w:p w:rsidR="001A0B65" w:rsidRDefault="001A0B65" w:rsidP="001A0B65">
      <w:pPr>
        <w:pStyle w:val="ListParagraph"/>
        <w:spacing w:line="360" w:lineRule="auto"/>
        <w:jc w:val="both"/>
        <w:rPr>
          <w:rtl/>
        </w:rPr>
      </w:pPr>
      <w:r>
        <w:rPr>
          <w:rtl/>
        </w:rPr>
        <w:t>ב</w:t>
      </w:r>
      <w:hyperlink r:id="rId20" w:history="1">
        <w:r w:rsidR="00172E40" w:rsidRPr="00172E40">
          <w:rPr>
            <w:color w:val="0000FF"/>
            <w:u w:val="single"/>
            <w:rtl/>
          </w:rPr>
          <w:t>ע"פ 7386/13</w:t>
        </w:r>
      </w:hyperlink>
      <w:r>
        <w:rPr>
          <w:rtl/>
        </w:rPr>
        <w:t xml:space="preserve"> </w:t>
      </w:r>
      <w:r w:rsidRPr="00725929">
        <w:rPr>
          <w:b/>
          <w:bCs/>
          <w:rtl/>
        </w:rPr>
        <w:t>חוסיין עווד נ' מדינת ישראל</w:t>
      </w:r>
      <w:r>
        <w:rPr>
          <w:rtl/>
        </w:rPr>
        <w:t xml:space="preserve"> (23.3.2014) הורשע המערער שהיה מעורב בפרשה עם אדם אחר בעבירות של החזקת נשק (רימון יד הלם) שלא כדין וע</w:t>
      </w:r>
      <w:r>
        <w:rPr>
          <w:rFonts w:hint="cs"/>
          <w:rtl/>
        </w:rPr>
        <w:t>י</w:t>
      </w:r>
      <w:r>
        <w:rPr>
          <w:rtl/>
        </w:rPr>
        <w:t xml:space="preserve">סקה אחרת בנשק. על האחר שביצע עבירות נוספת נגזרו 9 חודשי מאסר בפועל ועל המערער נגזרו 18 חודשי מאסר בפועל. הערכאה הראשונה לקחה בחשבון שהאחר רווק שעמד להתחתן וניהל חיים נורמטיביים ללא עבר פלילי בעוד שהמערער כבר היה נשוי ואב לילד שלחובתו הרשעה קודמת. בית המשפט העליון לא התערב בתוצאה בין היתר לאור המלצה שלילית של שירות המבחן ונמצא כי מדובר בעונש ראוי ומאוזן. </w:t>
      </w:r>
    </w:p>
    <w:p w:rsidR="001A0B65" w:rsidRDefault="001A0B65" w:rsidP="001A0B65">
      <w:pPr>
        <w:spacing w:line="360" w:lineRule="auto"/>
        <w:jc w:val="both"/>
        <w:rPr>
          <w:rtl/>
        </w:rPr>
      </w:pPr>
    </w:p>
    <w:p w:rsidR="001A0B65" w:rsidRDefault="001A0B65" w:rsidP="001A0B65">
      <w:pPr>
        <w:pStyle w:val="ListParagraph"/>
        <w:spacing w:line="360" w:lineRule="auto"/>
        <w:ind w:left="360"/>
        <w:jc w:val="both"/>
        <w:rPr>
          <w:rtl/>
        </w:rPr>
      </w:pPr>
      <w:r w:rsidRPr="00725929">
        <w:rPr>
          <w:b/>
          <w:bCs/>
          <w:u w:val="single"/>
          <w:rtl/>
        </w:rPr>
        <w:t>תסקיר שירות המבחן</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התסקיר תאר שהנאשם  בן 21, רווק, משפחתו נורמטיבית, סיים 12 שנות לימוד, עבד בעבודות בניין משך 3 שנים טרם מעצרו. באשר לרישום הפלילי - צויין שלחובתו הרשעה קודמת משנת 2015 בגין עבירות שבל"ר , נטישה ואיומים שבוצעו בשנת 2014. באותו מקרה לא הובאה המלצה טיפולית והומלץ על ענישה של מאסר שירוצה בעבודות שירות ואכן הוטלו עליו חודשיים עבודות שירות. באשר לעבירה הנוכחית – בגורמי סיכון צויינו ההסתבכות החוזרת בפלילים וקושי להציב גבולות ונטיה לרצות את  הסובבים אותו. בנוסף צויינה העובדה שהעונש הקודם לא הרתיעו. בגורמי הסיכוי הוערך שההליך המשפטי והמעצר היוו גור</w:t>
      </w:r>
      <w:r>
        <w:rPr>
          <w:rFonts w:hint="cs"/>
          <w:rtl/>
        </w:rPr>
        <w:t>מי</w:t>
      </w:r>
      <w:r>
        <w:rPr>
          <w:rtl/>
        </w:rPr>
        <w:t>ם מחדד</w:t>
      </w:r>
      <w:r>
        <w:rPr>
          <w:rFonts w:hint="cs"/>
          <w:rtl/>
        </w:rPr>
        <w:t>י</w:t>
      </w:r>
      <w:r>
        <w:rPr>
          <w:rtl/>
        </w:rPr>
        <w:t xml:space="preserve"> גבולות. בסיכומו של עניין הוערך כי קיים סיכון משמעותי להישנות התנהגות עוברת חוק בעתיד ועל כן לא הומלץ על חלופה טיפולית. </w:t>
      </w:r>
    </w:p>
    <w:p w:rsidR="001A0B65" w:rsidRDefault="001A0B65" w:rsidP="001A0B65">
      <w:pPr>
        <w:spacing w:line="360" w:lineRule="auto"/>
        <w:jc w:val="both"/>
        <w:rPr>
          <w:rtl/>
        </w:rPr>
      </w:pPr>
    </w:p>
    <w:p w:rsidR="001A0B65" w:rsidRPr="00725929" w:rsidRDefault="001A0B65" w:rsidP="001A0B65">
      <w:pPr>
        <w:pStyle w:val="ListParagraph"/>
        <w:spacing w:line="360" w:lineRule="auto"/>
        <w:ind w:left="360"/>
        <w:jc w:val="both"/>
        <w:rPr>
          <w:b/>
          <w:bCs/>
          <w:u w:val="single"/>
          <w:rtl/>
        </w:rPr>
      </w:pPr>
      <w:r w:rsidRPr="00725929">
        <w:rPr>
          <w:b/>
          <w:bCs/>
          <w:u w:val="single"/>
          <w:rtl/>
        </w:rPr>
        <w:t>דיון</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הערכים החברתיים המוגנים שנפגעו הם שמירה על שלום הציבור ובטחונו. הפגיעה היתה ברמה בינונית כאשר הנאשם גם לא היווה את הדמות העיקרית בפעולות שתוארו בכתב האישום. מובהר גם שמדובר באירוע אחד על פי תיאור הנסיבות בכתב האישום המתוקן. לא נראה כי הנאשם היה זה שתכנן את ביצוע העבירות המיוחסות וחלקו היחסי בהן היה פחות מחלקו של קרוב משפחתו. יחד עם זאת, היות שמדובר בעבירות נשק, היה צפוי להגרם נזק משמעותי והנאשם יכל להבין את הפסול במעשיו ולהמנע מביצוע העבירות. </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מכל האמור הגעתי למסקנה שמתחם העונש ההולם נמצא בין 9 חודשי מאסר בפועל עד 3 שנות מאסר בפועל במקרה דנן. </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באשר לעונש המתאים בתוך המתחם, לחומרה, העובדה שהסתבכויותיו הקודמות של הנאשם עם החוק לא מנעו את הסתבכותו הנוכחית. מאידך, לקולא תצויין העובדה שהוא הודה ולא ניהל את משפטו וקיבל אחריות על מעשיו. יוזכר שמדובר באדם צעיר שאין לחובתו עבר פלילי מכביד. </w:t>
      </w:r>
    </w:p>
    <w:p w:rsidR="001A0B65" w:rsidRDefault="001A0B65" w:rsidP="001A0B65">
      <w:pPr>
        <w:spacing w:line="360" w:lineRule="auto"/>
        <w:jc w:val="both"/>
        <w:rPr>
          <w:rtl/>
        </w:rPr>
      </w:pPr>
    </w:p>
    <w:p w:rsidR="001A0B65" w:rsidRDefault="001A0B65" w:rsidP="001A0B65">
      <w:pPr>
        <w:pStyle w:val="ListParagraph"/>
        <w:numPr>
          <w:ilvl w:val="0"/>
          <w:numId w:val="1"/>
        </w:numPr>
        <w:spacing w:line="360" w:lineRule="auto"/>
        <w:jc w:val="both"/>
        <w:rPr>
          <w:rtl/>
        </w:rPr>
      </w:pPr>
      <w:r>
        <w:rPr>
          <w:rtl/>
        </w:rPr>
        <w:t xml:space="preserve">מכל האמור לעיל אני משית על הנאשם עונש כדלקמן: </w:t>
      </w:r>
    </w:p>
    <w:p w:rsidR="001A0B65" w:rsidRPr="00352553" w:rsidRDefault="001A0B65" w:rsidP="001A0B65">
      <w:pPr>
        <w:pStyle w:val="ListParagraph"/>
        <w:numPr>
          <w:ilvl w:val="0"/>
          <w:numId w:val="2"/>
        </w:numPr>
        <w:spacing w:line="360" w:lineRule="auto"/>
        <w:jc w:val="both"/>
      </w:pPr>
      <w:r>
        <w:rPr>
          <w:rtl/>
        </w:rPr>
        <w:t xml:space="preserve">12 חודשי מאסר בפועל מהם תנוכה תקופת מעצרו מיום 24.4.16 עד 22.6.16. </w:t>
      </w:r>
      <w:r w:rsidRPr="00A40397">
        <w:rPr>
          <w:rtl/>
        </w:rPr>
        <w:t xml:space="preserve">הנאשם הנדון יתייצב למאסרו בבית מעצר קישון עד </w:t>
      </w:r>
      <w:r w:rsidRPr="00FE01CA">
        <w:rPr>
          <w:rtl/>
        </w:rPr>
        <w:t xml:space="preserve">ליום </w:t>
      </w:r>
      <w:r>
        <w:rPr>
          <w:rFonts w:hint="cs"/>
          <w:rtl/>
        </w:rPr>
        <w:t>27</w:t>
      </w:r>
      <w:r>
        <w:rPr>
          <w:rtl/>
        </w:rPr>
        <w:t>.11.16</w:t>
      </w:r>
      <w:r w:rsidRPr="00A40397">
        <w:rPr>
          <w:rtl/>
        </w:rPr>
        <w:t xml:space="preserve"> בשעה 10:00, או על פי החלטת שב"ס, כשברשותו תעודת זהות או דרכון.</w:t>
      </w:r>
      <w:r w:rsidRPr="00725929">
        <w:rPr>
          <w:rFonts w:ascii="Arial" w:hAnsi="Arial" w:cs="Arial"/>
          <w:rtl/>
        </w:rPr>
        <w:t xml:space="preserve"> </w:t>
      </w:r>
      <w:r w:rsidRPr="00A40397">
        <w:rPr>
          <w:rtl/>
        </w:rPr>
        <w:t>על הנדון לתאם את הכניסה למאסר, כולל האפשרות למיון מוקדם, עם ענף אבחון ומיון של שב"ס, טלפונים: 08-9787377, 08-9787336.</w:t>
      </w:r>
    </w:p>
    <w:p w:rsidR="001A0B65" w:rsidRDefault="001A0B65" w:rsidP="001A0B65">
      <w:pPr>
        <w:pStyle w:val="ListParagraph"/>
        <w:numPr>
          <w:ilvl w:val="0"/>
          <w:numId w:val="2"/>
        </w:numPr>
        <w:spacing w:line="360" w:lineRule="auto"/>
        <w:jc w:val="both"/>
        <w:rPr>
          <w:rtl/>
        </w:rPr>
      </w:pPr>
      <w:r>
        <w:rPr>
          <w:rtl/>
        </w:rPr>
        <w:t xml:space="preserve">9 חודשי מאסר על תנאי למשך 3 שנים מיום שחרורו שיופעל במידה והנאשם יעבור עבירות נשק מסוג פשע. </w:t>
      </w:r>
    </w:p>
    <w:p w:rsidR="001A0B65" w:rsidRDefault="001A0B65" w:rsidP="001A0B65">
      <w:pPr>
        <w:pStyle w:val="ListParagraph"/>
        <w:numPr>
          <w:ilvl w:val="0"/>
          <w:numId w:val="2"/>
        </w:numPr>
        <w:spacing w:line="360" w:lineRule="auto"/>
        <w:jc w:val="both"/>
        <w:rPr>
          <w:rtl/>
        </w:rPr>
      </w:pPr>
      <w:r>
        <w:rPr>
          <w:rtl/>
        </w:rPr>
        <w:t xml:space="preserve">קנס בסך 3,000 ₪ לתשלום עד ליום 31.12.16. </w:t>
      </w:r>
    </w:p>
    <w:p w:rsidR="001A0B65" w:rsidRDefault="001A0B65" w:rsidP="001A0B65">
      <w:pPr>
        <w:spacing w:line="360" w:lineRule="auto"/>
        <w:jc w:val="both"/>
        <w:rPr>
          <w:rtl/>
        </w:rPr>
      </w:pPr>
    </w:p>
    <w:p w:rsidR="001A0B65" w:rsidRPr="00B05847" w:rsidRDefault="001A0B65" w:rsidP="001A0B65">
      <w:pPr>
        <w:spacing w:line="360" w:lineRule="auto"/>
        <w:jc w:val="both"/>
        <w:rPr>
          <w:rtl/>
        </w:rPr>
      </w:pPr>
      <w:r>
        <w:rPr>
          <w:rFonts w:hint="cs"/>
          <w:b/>
          <w:bCs/>
          <w:u w:val="single"/>
          <w:rtl/>
        </w:rPr>
        <w:t xml:space="preserve">זכות ערעור לבית המשפט העליון תוך 45 יום. </w:t>
      </w:r>
    </w:p>
    <w:p w:rsidR="001A0B65" w:rsidRPr="00B05847" w:rsidRDefault="001A0B65" w:rsidP="001A0B65">
      <w:pPr>
        <w:rPr>
          <w:rtl/>
        </w:rPr>
      </w:pPr>
    </w:p>
    <w:p w:rsidR="001A0B65" w:rsidRDefault="00172E40" w:rsidP="001A0B65">
      <w:pPr>
        <w:jc w:val="center"/>
      </w:pPr>
      <w:r w:rsidRPr="00172E40">
        <w:rPr>
          <w:rFonts w:ascii="Arial" w:hAnsi="Arial"/>
          <w:color w:val="FFFFFF"/>
          <w:sz w:val="2"/>
          <w:szCs w:val="2"/>
          <w:rtl/>
        </w:rPr>
        <w:t>5129371</w:t>
      </w:r>
      <w:r>
        <w:rPr>
          <w:rFonts w:ascii="Arial" w:hAnsi="Arial"/>
          <w:rtl/>
        </w:rPr>
        <w:t xml:space="preserve">ניתן היום,  כ' חשוון תשע"ז, 21 נובמבר 2016, בנוכחות הצדדים.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A0B65">
        <w:trPr>
          <w:trHeight w:val="316"/>
          <w:jc w:val="right"/>
        </w:trPr>
        <w:tc>
          <w:tcPr>
            <w:tcW w:w="3936" w:type="dxa"/>
            <w:tcBorders>
              <w:top w:val="nil"/>
              <w:left w:val="nil"/>
              <w:bottom w:val="single" w:sz="4" w:space="0" w:color="auto"/>
              <w:right w:val="nil"/>
            </w:tcBorders>
            <w:shd w:val="clear" w:color="auto" w:fill="auto"/>
          </w:tcPr>
          <w:p w:rsidR="001A0B65" w:rsidRPr="00172E40" w:rsidRDefault="00172E40" w:rsidP="00172E40">
            <w:pPr>
              <w:jc w:val="center"/>
              <w:rPr>
                <w:color w:val="FFFFFF"/>
                <w:sz w:val="2"/>
                <w:szCs w:val="2"/>
                <w:rtl/>
              </w:rPr>
            </w:pPr>
            <w:r w:rsidRPr="00172E40">
              <w:rPr>
                <w:color w:val="FFFFFF"/>
                <w:sz w:val="2"/>
                <w:szCs w:val="2"/>
                <w:rtl/>
              </w:rPr>
              <w:t>54678313</w:t>
            </w:r>
          </w:p>
          <w:p w:rsidR="001A0B65" w:rsidRDefault="001A0B65" w:rsidP="00172E40">
            <w:pPr>
              <w:jc w:val="center"/>
            </w:pPr>
          </w:p>
        </w:tc>
      </w:tr>
      <w:tr w:rsidR="001A0B65">
        <w:trPr>
          <w:trHeight w:val="361"/>
          <w:jc w:val="right"/>
        </w:trPr>
        <w:tc>
          <w:tcPr>
            <w:tcW w:w="3936" w:type="dxa"/>
            <w:tcBorders>
              <w:top w:val="single" w:sz="4" w:space="0" w:color="auto"/>
              <w:left w:val="nil"/>
              <w:bottom w:val="nil"/>
              <w:right w:val="nil"/>
            </w:tcBorders>
            <w:shd w:val="clear" w:color="auto" w:fill="auto"/>
          </w:tcPr>
          <w:p w:rsidR="001A0B65" w:rsidRPr="000B7B1E" w:rsidRDefault="001A0B65" w:rsidP="00172E40">
            <w:pPr>
              <w:jc w:val="center"/>
              <w:rPr>
                <w:b/>
                <w:bCs/>
                <w:rtl/>
              </w:rPr>
            </w:pPr>
            <w:r w:rsidRPr="000B7B1E">
              <w:rPr>
                <w:rFonts w:hint="cs"/>
                <w:b/>
                <w:bCs/>
                <w:rtl/>
              </w:rPr>
              <w:t xml:space="preserve">דניאל </w:t>
            </w:r>
            <w:r w:rsidRPr="000B7B1E">
              <w:rPr>
                <w:rFonts w:cs="Times New Roman" w:hint="cs"/>
                <w:b/>
                <w:bCs/>
                <w:rtl/>
              </w:rPr>
              <w:t>פיש</w:t>
            </w:r>
            <w:r w:rsidRPr="000B7B1E">
              <w:rPr>
                <w:rFonts w:hint="cs"/>
                <w:b/>
                <w:bCs/>
                <w:rtl/>
              </w:rPr>
              <w:t xml:space="preserve"> , </w:t>
            </w:r>
            <w:r w:rsidRPr="000B7B1E">
              <w:rPr>
                <w:rFonts w:cs="Times New Roman" w:hint="cs"/>
                <w:b/>
                <w:bCs/>
                <w:rtl/>
              </w:rPr>
              <w:t>שופט</w:t>
            </w:r>
            <w:r w:rsidRPr="000B7B1E">
              <w:rPr>
                <w:rFonts w:hint="cs"/>
                <w:b/>
                <w:bCs/>
                <w:rtl/>
              </w:rPr>
              <w:t xml:space="preserve"> </w:t>
            </w:r>
          </w:p>
        </w:tc>
      </w:tr>
    </w:tbl>
    <w:p w:rsidR="001A0B65" w:rsidRPr="00CD24EA" w:rsidRDefault="00CD24EA" w:rsidP="001A0B65">
      <w:pPr>
        <w:pStyle w:val="a3"/>
        <w:jc w:val="center"/>
        <w:rPr>
          <w:color w:val="FFFFFF"/>
          <w:sz w:val="2"/>
          <w:szCs w:val="2"/>
          <w:rtl/>
        </w:rPr>
      </w:pPr>
      <w:r w:rsidRPr="00CD24EA">
        <w:rPr>
          <w:color w:val="FFFFFF"/>
          <w:sz w:val="2"/>
          <w:szCs w:val="2"/>
          <w:rtl/>
        </w:rPr>
        <w:t>5129371</w:t>
      </w:r>
    </w:p>
    <w:p w:rsidR="00172E40" w:rsidRPr="00CD24EA" w:rsidRDefault="00CD24EA" w:rsidP="00172E40">
      <w:pPr>
        <w:keepNext/>
        <w:rPr>
          <w:rFonts w:ascii="David" w:hAnsi="David"/>
          <w:color w:val="FFFFFF"/>
          <w:sz w:val="2"/>
          <w:szCs w:val="2"/>
          <w:rtl/>
        </w:rPr>
      </w:pPr>
      <w:r w:rsidRPr="00CD24EA">
        <w:rPr>
          <w:rFonts w:ascii="David" w:hAnsi="David"/>
          <w:color w:val="FFFFFF"/>
          <w:sz w:val="2"/>
          <w:szCs w:val="2"/>
          <w:rtl/>
        </w:rPr>
        <w:t>54678313</w:t>
      </w:r>
    </w:p>
    <w:p w:rsidR="00172E40" w:rsidRPr="00172E40" w:rsidRDefault="00172E40" w:rsidP="00172E40">
      <w:pPr>
        <w:keepNext/>
        <w:rPr>
          <w:rFonts w:ascii="David" w:hAnsi="David"/>
          <w:color w:val="000000"/>
          <w:sz w:val="22"/>
          <w:szCs w:val="22"/>
          <w:rtl/>
        </w:rPr>
      </w:pPr>
      <w:r w:rsidRPr="00172E40">
        <w:rPr>
          <w:rFonts w:ascii="David" w:hAnsi="David"/>
          <w:color w:val="000000"/>
          <w:sz w:val="22"/>
          <w:szCs w:val="22"/>
          <w:rtl/>
        </w:rPr>
        <w:t>דניאל פיש 54678313</w:t>
      </w:r>
    </w:p>
    <w:p w:rsidR="00172E40" w:rsidRDefault="00172E40" w:rsidP="00172E40">
      <w:r w:rsidRPr="00172E40">
        <w:rPr>
          <w:color w:val="000000"/>
          <w:rtl/>
        </w:rPr>
        <w:t>נוסח מסמך זה כפוף לשינויי ניסוח ועריכה</w:t>
      </w:r>
    </w:p>
    <w:p w:rsidR="00172E40" w:rsidRDefault="00172E40" w:rsidP="00172E40">
      <w:pPr>
        <w:rPr>
          <w:rtl/>
        </w:rPr>
      </w:pPr>
    </w:p>
    <w:p w:rsidR="00172E40" w:rsidRDefault="00172E40" w:rsidP="00172E4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r w:rsidR="00EB5AE5">
        <w:rPr>
          <w:rFonts w:hint="cs"/>
          <w:color w:val="0000FF"/>
          <w:u w:val="single"/>
          <w:rtl/>
        </w:rPr>
        <w:t xml:space="preserve"> </w:t>
      </w:r>
    </w:p>
    <w:p w:rsidR="00CD24EA" w:rsidRPr="00CD24EA" w:rsidRDefault="00CD24EA" w:rsidP="00CD24EA">
      <w:pPr>
        <w:keepNext/>
        <w:rPr>
          <w:rFonts w:ascii="David" w:hAnsi="David"/>
          <w:color w:val="000000"/>
          <w:sz w:val="22"/>
          <w:szCs w:val="22"/>
          <w:rtl/>
        </w:rPr>
      </w:pPr>
    </w:p>
    <w:sectPr w:rsidR="00CD24EA" w:rsidRPr="00CD24EA" w:rsidSect="00CD24EA">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515C" w:rsidRDefault="00A3515C">
      <w:r>
        <w:separator/>
      </w:r>
    </w:p>
  </w:endnote>
  <w:endnote w:type="continuationSeparator" w:id="0">
    <w:p w:rsidR="00A3515C" w:rsidRDefault="00A35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955" w:rsidRDefault="00F57955" w:rsidP="00CD24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rsidR="00F57955" w:rsidRPr="00CD24EA" w:rsidRDefault="00F57955" w:rsidP="00CD24EA">
    <w:pPr>
      <w:pStyle w:val="a4"/>
      <w:pBdr>
        <w:top w:val="single" w:sz="4" w:space="1" w:color="auto"/>
        <w:between w:val="single" w:sz="4" w:space="0" w:color="auto"/>
      </w:pBdr>
      <w:spacing w:after="60"/>
      <w:jc w:val="center"/>
      <w:rPr>
        <w:rFonts w:ascii="FrankRuehl" w:hAnsi="FrankRuehl" w:cs="FrankRuehl"/>
        <w:color w:val="000000"/>
      </w:rPr>
    </w:pPr>
    <w:r w:rsidRPr="00CD24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75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955" w:rsidRDefault="00F57955" w:rsidP="00CD24E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575F">
      <w:rPr>
        <w:rFonts w:ascii="FrankRuehl" w:hAnsi="FrankRuehl" w:cs="FrankRuehl"/>
        <w:noProof/>
        <w:rtl/>
      </w:rPr>
      <w:t>1</w:t>
    </w:r>
    <w:r>
      <w:rPr>
        <w:rFonts w:ascii="FrankRuehl" w:hAnsi="FrankRuehl" w:cs="FrankRuehl"/>
        <w:rtl/>
      </w:rPr>
      <w:fldChar w:fldCharType="end"/>
    </w:r>
  </w:p>
  <w:p w:rsidR="00F57955" w:rsidRPr="00CD24EA" w:rsidRDefault="00F57955" w:rsidP="00CD24EA">
    <w:pPr>
      <w:pStyle w:val="a4"/>
      <w:pBdr>
        <w:top w:val="single" w:sz="4" w:space="1" w:color="auto"/>
        <w:between w:val="single" w:sz="4" w:space="0" w:color="auto"/>
      </w:pBdr>
      <w:spacing w:after="60"/>
      <w:jc w:val="center"/>
      <w:rPr>
        <w:rFonts w:ascii="FrankRuehl" w:hAnsi="FrankRuehl" w:cs="FrankRuehl"/>
        <w:color w:val="000000"/>
      </w:rPr>
    </w:pPr>
    <w:r w:rsidRPr="00CD24E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515C" w:rsidRDefault="00A3515C">
      <w:r>
        <w:separator/>
      </w:r>
    </w:p>
  </w:footnote>
  <w:footnote w:type="continuationSeparator" w:id="0">
    <w:p w:rsidR="00A3515C" w:rsidRDefault="00A35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955" w:rsidRPr="00CD24EA" w:rsidRDefault="00F57955" w:rsidP="00CD2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9983-05-16</w:t>
    </w:r>
    <w:r>
      <w:rPr>
        <w:rFonts w:ascii="David" w:hAnsi="David"/>
        <w:color w:val="000000"/>
        <w:sz w:val="22"/>
        <w:szCs w:val="22"/>
        <w:rtl/>
      </w:rPr>
      <w:tab/>
      <w:t xml:space="preserve"> מדינת ישראל נ' סמיר בסל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955" w:rsidRPr="00CD24EA" w:rsidRDefault="00F57955" w:rsidP="00CD24E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9983-05-16</w:t>
    </w:r>
    <w:r>
      <w:rPr>
        <w:rFonts w:ascii="David" w:hAnsi="David"/>
        <w:color w:val="000000"/>
        <w:sz w:val="22"/>
        <w:szCs w:val="22"/>
        <w:rtl/>
      </w:rPr>
      <w:tab/>
      <w:t xml:space="preserve"> מדינת ישראל נ' סמיר בסל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1F0"/>
    <w:multiLevelType w:val="hybridMultilevel"/>
    <w:tmpl w:val="560EB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83A10"/>
    <w:multiLevelType w:val="hybridMultilevel"/>
    <w:tmpl w:val="652E06A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5740916">
    <w:abstractNumId w:val="0"/>
  </w:num>
  <w:num w:numId="2" w16cid:durableId="1939363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A0B65"/>
    <w:rsid w:val="00004B4A"/>
    <w:rsid w:val="000258C6"/>
    <w:rsid w:val="00092DB2"/>
    <w:rsid w:val="000B222D"/>
    <w:rsid w:val="000F3716"/>
    <w:rsid w:val="000F776E"/>
    <w:rsid w:val="001163D9"/>
    <w:rsid w:val="00123268"/>
    <w:rsid w:val="0013605C"/>
    <w:rsid w:val="0015154B"/>
    <w:rsid w:val="00172E40"/>
    <w:rsid w:val="0017711A"/>
    <w:rsid w:val="001A0B65"/>
    <w:rsid w:val="001E0CDF"/>
    <w:rsid w:val="00203146"/>
    <w:rsid w:val="002474C9"/>
    <w:rsid w:val="002B1389"/>
    <w:rsid w:val="002D2C1C"/>
    <w:rsid w:val="002E4BA2"/>
    <w:rsid w:val="00327617"/>
    <w:rsid w:val="00371D27"/>
    <w:rsid w:val="00374124"/>
    <w:rsid w:val="003C709F"/>
    <w:rsid w:val="003D65D3"/>
    <w:rsid w:val="003E51B4"/>
    <w:rsid w:val="003F02C5"/>
    <w:rsid w:val="004004F9"/>
    <w:rsid w:val="004D1A95"/>
    <w:rsid w:val="004D5997"/>
    <w:rsid w:val="00533D5C"/>
    <w:rsid w:val="00551C5E"/>
    <w:rsid w:val="005638FB"/>
    <w:rsid w:val="00582B08"/>
    <w:rsid w:val="005847C1"/>
    <w:rsid w:val="005B4DDE"/>
    <w:rsid w:val="005E305D"/>
    <w:rsid w:val="00671477"/>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3515C"/>
    <w:rsid w:val="00A472AB"/>
    <w:rsid w:val="00A52B25"/>
    <w:rsid w:val="00A96648"/>
    <w:rsid w:val="00AE1669"/>
    <w:rsid w:val="00B07251"/>
    <w:rsid w:val="00B10E9A"/>
    <w:rsid w:val="00B24722"/>
    <w:rsid w:val="00B35717"/>
    <w:rsid w:val="00B36683"/>
    <w:rsid w:val="00B47E2E"/>
    <w:rsid w:val="00B6502B"/>
    <w:rsid w:val="00B73086"/>
    <w:rsid w:val="00B922D9"/>
    <w:rsid w:val="00B970C5"/>
    <w:rsid w:val="00BA5B6F"/>
    <w:rsid w:val="00BD5087"/>
    <w:rsid w:val="00BF5C5D"/>
    <w:rsid w:val="00C027A0"/>
    <w:rsid w:val="00C22EAD"/>
    <w:rsid w:val="00C25259"/>
    <w:rsid w:val="00C303EF"/>
    <w:rsid w:val="00C66536"/>
    <w:rsid w:val="00C6661F"/>
    <w:rsid w:val="00C9418A"/>
    <w:rsid w:val="00CD24EA"/>
    <w:rsid w:val="00D11A80"/>
    <w:rsid w:val="00D308EF"/>
    <w:rsid w:val="00D357B5"/>
    <w:rsid w:val="00D40041"/>
    <w:rsid w:val="00D56203"/>
    <w:rsid w:val="00D807AC"/>
    <w:rsid w:val="00DD36BA"/>
    <w:rsid w:val="00DD575F"/>
    <w:rsid w:val="00DE1662"/>
    <w:rsid w:val="00E45CCB"/>
    <w:rsid w:val="00E61C95"/>
    <w:rsid w:val="00EA60CD"/>
    <w:rsid w:val="00EB5AE5"/>
    <w:rsid w:val="00ED2E7C"/>
    <w:rsid w:val="00EE2A1B"/>
    <w:rsid w:val="00F21BE0"/>
    <w:rsid w:val="00F274FE"/>
    <w:rsid w:val="00F579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42D4BE8-8DEF-477C-8942-7981B694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A0B6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A0B65"/>
    <w:pPr>
      <w:tabs>
        <w:tab w:val="center" w:pos="4153"/>
        <w:tab w:val="right" w:pos="8306"/>
      </w:tabs>
    </w:pPr>
  </w:style>
  <w:style w:type="paragraph" w:styleId="a4">
    <w:name w:val="footer"/>
    <w:basedOn w:val="a"/>
    <w:rsid w:val="001A0B65"/>
    <w:pPr>
      <w:tabs>
        <w:tab w:val="center" w:pos="4153"/>
        <w:tab w:val="right" w:pos="8306"/>
      </w:tabs>
    </w:pPr>
  </w:style>
  <w:style w:type="character" w:styleId="a5">
    <w:name w:val="page number"/>
    <w:basedOn w:val="a0"/>
    <w:rsid w:val="001A0B65"/>
  </w:style>
  <w:style w:type="paragraph" w:customStyle="1" w:styleId="ListParagraph">
    <w:name w:val="List Paragraph"/>
    <w:basedOn w:val="a"/>
    <w:rsid w:val="001A0B65"/>
    <w:pPr>
      <w:ind w:left="720"/>
      <w:contextualSpacing/>
    </w:pPr>
  </w:style>
  <w:style w:type="character" w:styleId="Hyperlink">
    <w:name w:val="Hyperlink"/>
    <w:rsid w:val="00172E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1472954" TargetMode="External"/><Relationship Id="rId18" Type="http://schemas.openxmlformats.org/officeDocument/2006/relationships/hyperlink" Target="http://www.nevo.co.il/case/55762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87284"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13015506" TargetMode="External"/><Relationship Id="rId20" Type="http://schemas.openxmlformats.org/officeDocument/2006/relationships/hyperlink" Target="http://www.nevo.co.il/case/10443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807261" TargetMode="External"/><Relationship Id="rId23" Type="http://schemas.openxmlformats.org/officeDocument/2006/relationships/header" Target="header2.xml"/><Relationship Id="rId10" Type="http://schemas.openxmlformats.org/officeDocument/2006/relationships/hyperlink" Target="http://www.nevo.co.il/law/70301/144.a" TargetMode="External"/><Relationship Id="rId19" Type="http://schemas.openxmlformats.org/officeDocument/2006/relationships/hyperlink" Target="http://www.nevo.co.il/case/573897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6151556"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1410</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8446</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3604592</vt:i4>
      </vt:variant>
      <vt:variant>
        <vt:i4>39</vt:i4>
      </vt:variant>
      <vt:variant>
        <vt:i4>0</vt:i4>
      </vt:variant>
      <vt:variant>
        <vt:i4>5</vt:i4>
      </vt:variant>
      <vt:variant>
        <vt:lpwstr>http://www.nevo.co.il/case/10443017</vt:lpwstr>
      </vt:variant>
      <vt:variant>
        <vt:lpwstr/>
      </vt:variant>
      <vt:variant>
        <vt:i4>3539068</vt:i4>
      </vt:variant>
      <vt:variant>
        <vt:i4>36</vt:i4>
      </vt:variant>
      <vt:variant>
        <vt:i4>0</vt:i4>
      </vt:variant>
      <vt:variant>
        <vt:i4>5</vt:i4>
      </vt:variant>
      <vt:variant>
        <vt:lpwstr>http://www.nevo.co.il/case/5738979</vt:lpwstr>
      </vt:variant>
      <vt:variant>
        <vt:lpwstr/>
      </vt:variant>
      <vt:variant>
        <vt:i4>3276918</vt:i4>
      </vt:variant>
      <vt:variant>
        <vt:i4>33</vt:i4>
      </vt:variant>
      <vt:variant>
        <vt:i4>0</vt:i4>
      </vt:variant>
      <vt:variant>
        <vt:i4>5</vt:i4>
      </vt:variant>
      <vt:variant>
        <vt:lpwstr>http://www.nevo.co.il/case/5576212</vt:lpwstr>
      </vt:variant>
      <vt:variant>
        <vt:lpwstr/>
      </vt:variant>
      <vt:variant>
        <vt:i4>3866739</vt:i4>
      </vt:variant>
      <vt:variant>
        <vt:i4>30</vt:i4>
      </vt:variant>
      <vt:variant>
        <vt:i4>0</vt:i4>
      </vt:variant>
      <vt:variant>
        <vt:i4>5</vt:i4>
      </vt:variant>
      <vt:variant>
        <vt:lpwstr>http://www.nevo.co.il/case/5887284</vt:lpwstr>
      </vt:variant>
      <vt:variant>
        <vt:lpwstr/>
      </vt:variant>
      <vt:variant>
        <vt:i4>3407987</vt:i4>
      </vt:variant>
      <vt:variant>
        <vt:i4>27</vt:i4>
      </vt:variant>
      <vt:variant>
        <vt:i4>0</vt:i4>
      </vt:variant>
      <vt:variant>
        <vt:i4>5</vt:i4>
      </vt:variant>
      <vt:variant>
        <vt:lpwstr>http://www.nevo.co.il/case/13015506</vt:lpwstr>
      </vt:variant>
      <vt:variant>
        <vt:lpwstr/>
      </vt:variant>
      <vt:variant>
        <vt:i4>3211389</vt:i4>
      </vt:variant>
      <vt:variant>
        <vt:i4>24</vt:i4>
      </vt:variant>
      <vt:variant>
        <vt:i4>0</vt:i4>
      </vt:variant>
      <vt:variant>
        <vt:i4>5</vt:i4>
      </vt:variant>
      <vt:variant>
        <vt:lpwstr>http://www.nevo.co.il/case/2807261</vt:lpwstr>
      </vt:variant>
      <vt:variant>
        <vt:lpwstr/>
      </vt:variant>
      <vt:variant>
        <vt:i4>3145841</vt:i4>
      </vt:variant>
      <vt:variant>
        <vt:i4>21</vt:i4>
      </vt:variant>
      <vt:variant>
        <vt:i4>0</vt:i4>
      </vt:variant>
      <vt:variant>
        <vt:i4>5</vt:i4>
      </vt:variant>
      <vt:variant>
        <vt:lpwstr>http://www.nevo.co.il/case/6151556</vt:lpwstr>
      </vt:variant>
      <vt:variant>
        <vt:lpwstr/>
      </vt:variant>
      <vt:variant>
        <vt:i4>3211387</vt:i4>
      </vt:variant>
      <vt:variant>
        <vt:i4>18</vt:i4>
      </vt:variant>
      <vt:variant>
        <vt:i4>0</vt:i4>
      </vt:variant>
      <vt:variant>
        <vt:i4>5</vt:i4>
      </vt:variant>
      <vt:variant>
        <vt:lpwstr>http://www.nevo.co.il/case/21472954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2024-01-08T13:46:00Z</dcterms:created>
  <dcterms:modified xsi:type="dcterms:W3CDTF">2024-01-08T13:46:00Z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9983</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סמיר בסל</vt:lpwstr>
  </property>
  <property fmtid="{D5CDD505-2E9C-101B-9397-08002B2CF9AE}" pid="10" name="LAWYER">
    <vt:lpwstr>נאג'י עאמר;ד#ר ערן בר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20161121</vt:lpwstr>
  </property>
  <property fmtid="{D5CDD505-2E9C-101B-9397-08002B2CF9AE}" pid="14" name="TYPE_N_DATE">
    <vt:lpwstr>39020161121</vt:lpwstr>
  </property>
  <property fmtid="{D5CDD505-2E9C-101B-9397-08002B2CF9AE}" pid="15" name="WORDNUMPAGES">
    <vt:lpwstr>5</vt:lpwstr>
  </property>
  <property fmtid="{D5CDD505-2E9C-101B-9397-08002B2CF9AE}" pid="16" name="TYPE_ABS_DATE">
    <vt:lpwstr>390020161121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21472954;6151556;2807261;13015506;5887284;5576212;5738979;10443017</vt:lpwstr>
  </property>
  <property fmtid="{D5CDD505-2E9C-101B-9397-08002B2CF9AE}" pid="36" name="LAWLISTTMP1">
    <vt:lpwstr>70301/144.a;144.b</vt:lpwstr>
  </property>
</Properties>
</file>