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404D6F" w:rsidRPr="00E54AC2" w14:paraId="59EEB277" w14:textId="77777777" w:rsidTr="000B5E12">
        <w:trPr>
          <w:trHeight w:hRule="exact" w:val="418"/>
          <w:jc w:val="center"/>
        </w:trPr>
        <w:tc>
          <w:tcPr>
            <w:tcW w:w="8721" w:type="dxa"/>
            <w:gridSpan w:val="2"/>
          </w:tcPr>
          <w:p w14:paraId="54158DD3" w14:textId="77777777" w:rsidR="00404D6F" w:rsidRPr="00E54AC2" w:rsidRDefault="00404D6F" w:rsidP="00EC3649">
            <w:pPr>
              <w:pStyle w:val="a3"/>
              <w:jc w:val="center"/>
              <w:rPr>
                <w:rFonts w:ascii="Tahoma" w:hAnsi="Tahoma" w:cs="Tahoma"/>
                <w:color w:val="000080"/>
                <w:rtl/>
              </w:rPr>
            </w:pPr>
            <w:bookmarkStart w:id="0" w:name="LastJudge"/>
            <w:r w:rsidRPr="00E54AC2">
              <w:rPr>
                <w:rFonts w:ascii="Tahoma" w:hAnsi="Tahoma" w:cs="Tahoma"/>
                <w:b/>
                <w:bCs/>
                <w:color w:val="000080"/>
                <w:rtl/>
              </w:rPr>
              <w:t>בית המשפט המחוזי בירושלים</w:t>
            </w:r>
          </w:p>
        </w:tc>
      </w:tr>
      <w:tr w:rsidR="00404D6F" w:rsidRPr="00E54AC2" w14:paraId="2A87D85D" w14:textId="77777777" w:rsidTr="000B5E12">
        <w:trPr>
          <w:trHeight w:val="337"/>
          <w:jc w:val="center"/>
        </w:trPr>
        <w:tc>
          <w:tcPr>
            <w:tcW w:w="5057" w:type="dxa"/>
          </w:tcPr>
          <w:p w14:paraId="35415EC4" w14:textId="77777777" w:rsidR="00404D6F" w:rsidRPr="00E54AC2" w:rsidRDefault="00404D6F" w:rsidP="00EC3649">
            <w:pPr>
              <w:rPr>
                <w:rFonts w:cs="FrankRuehl"/>
                <w:sz w:val="28"/>
                <w:szCs w:val="28"/>
                <w:rtl/>
              </w:rPr>
            </w:pPr>
            <w:r w:rsidRPr="00E54AC2">
              <w:rPr>
                <w:rFonts w:cs="FrankRuehl"/>
                <w:sz w:val="28"/>
                <w:szCs w:val="28"/>
                <w:rtl/>
              </w:rPr>
              <w:t>ת"פ</w:t>
            </w:r>
            <w:r w:rsidRPr="00E54AC2">
              <w:rPr>
                <w:rFonts w:cs="FrankRuehl" w:hint="cs"/>
                <w:sz w:val="28"/>
                <w:szCs w:val="28"/>
                <w:rtl/>
              </w:rPr>
              <w:t xml:space="preserve"> </w:t>
            </w:r>
            <w:r w:rsidRPr="00E54AC2">
              <w:rPr>
                <w:rFonts w:cs="FrankRuehl"/>
                <w:sz w:val="28"/>
                <w:szCs w:val="28"/>
                <w:rtl/>
              </w:rPr>
              <w:t>42987-06-16</w:t>
            </w:r>
            <w:r w:rsidRPr="00E54AC2">
              <w:rPr>
                <w:rFonts w:cs="FrankRuehl" w:hint="cs"/>
                <w:sz w:val="28"/>
                <w:szCs w:val="28"/>
                <w:rtl/>
              </w:rPr>
              <w:t xml:space="preserve"> </w:t>
            </w:r>
            <w:r w:rsidRPr="00E54AC2">
              <w:rPr>
                <w:rFonts w:cs="FrankRuehl"/>
                <w:sz w:val="28"/>
                <w:szCs w:val="28"/>
                <w:rtl/>
              </w:rPr>
              <w:t>מדינת ישראל נ' גולד(עציר)</w:t>
            </w:r>
          </w:p>
          <w:p w14:paraId="27DD4F62" w14:textId="77777777" w:rsidR="00404D6F" w:rsidRPr="00E54AC2" w:rsidRDefault="00404D6F" w:rsidP="00EC3649">
            <w:pPr>
              <w:pStyle w:val="a3"/>
              <w:rPr>
                <w:rFonts w:cs="FrankRuehl"/>
                <w:sz w:val="28"/>
                <w:szCs w:val="28"/>
                <w:rtl/>
              </w:rPr>
            </w:pPr>
          </w:p>
        </w:tc>
        <w:tc>
          <w:tcPr>
            <w:tcW w:w="3664" w:type="dxa"/>
          </w:tcPr>
          <w:p w14:paraId="703B35B2" w14:textId="77777777" w:rsidR="00404D6F" w:rsidRPr="00E54AC2" w:rsidRDefault="00404D6F" w:rsidP="00EC3649">
            <w:pPr>
              <w:pStyle w:val="a3"/>
              <w:jc w:val="right"/>
              <w:rPr>
                <w:rFonts w:cs="FrankRuehl"/>
                <w:sz w:val="28"/>
                <w:szCs w:val="28"/>
                <w:rtl/>
              </w:rPr>
            </w:pPr>
          </w:p>
        </w:tc>
      </w:tr>
    </w:tbl>
    <w:p w14:paraId="38843470" w14:textId="77777777" w:rsidR="00404D6F" w:rsidRPr="00E54AC2" w:rsidRDefault="00404D6F" w:rsidP="00404D6F">
      <w:pPr>
        <w:pStyle w:val="a3"/>
        <w:rPr>
          <w:rtl/>
        </w:rPr>
      </w:pPr>
      <w:r w:rsidRPr="00E54AC2">
        <w:rPr>
          <w:rFonts w:hint="cs"/>
          <w:rtl/>
        </w:rPr>
        <w:t xml:space="preserve"> </w:t>
      </w:r>
    </w:p>
    <w:p w14:paraId="42DC7F8F" w14:textId="77777777" w:rsidR="00404D6F" w:rsidRPr="00E54AC2" w:rsidRDefault="00404D6F" w:rsidP="00404D6F">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EC3649" w:rsidRPr="00E54AC2" w14:paraId="70213161" w14:textId="77777777" w:rsidTr="00404D6F">
        <w:trPr>
          <w:gridAfter w:val="1"/>
          <w:wAfter w:w="55" w:type="dxa"/>
        </w:trPr>
        <w:tc>
          <w:tcPr>
            <w:tcW w:w="8719" w:type="dxa"/>
            <w:gridSpan w:val="2"/>
            <w:shd w:val="clear" w:color="auto" w:fill="auto"/>
          </w:tcPr>
          <w:p w14:paraId="201666BF" w14:textId="77777777" w:rsidR="00404D6F" w:rsidRPr="00E54AC2" w:rsidRDefault="00404D6F" w:rsidP="00404D6F">
            <w:pPr>
              <w:spacing w:line="360" w:lineRule="auto"/>
              <w:jc w:val="both"/>
              <w:rPr>
                <w:rtl/>
              </w:rPr>
            </w:pPr>
            <w:r w:rsidRPr="00E54AC2">
              <w:rPr>
                <w:rFonts w:hint="cs"/>
                <w:b/>
                <w:bCs/>
                <w:sz w:val="26"/>
                <w:szCs w:val="26"/>
                <w:rtl/>
              </w:rPr>
              <w:t>בפני כב' השופטת חגית מאק-קלמנוביץ</w:t>
            </w:r>
          </w:p>
          <w:p w14:paraId="1670600B" w14:textId="77777777" w:rsidR="00404D6F" w:rsidRPr="00E54AC2" w:rsidRDefault="00404D6F" w:rsidP="00404D6F">
            <w:pPr>
              <w:spacing w:line="360" w:lineRule="auto"/>
              <w:jc w:val="both"/>
              <w:rPr>
                <w:rFonts w:ascii="Arial" w:hAnsi="Arial"/>
                <w:rtl/>
              </w:rPr>
            </w:pPr>
          </w:p>
        </w:tc>
      </w:tr>
      <w:tr w:rsidR="00EC3649" w:rsidRPr="00E54AC2" w14:paraId="57056C88" w14:textId="77777777" w:rsidTr="00404D6F">
        <w:tc>
          <w:tcPr>
            <w:tcW w:w="2880" w:type="dxa"/>
            <w:shd w:val="clear" w:color="auto" w:fill="auto"/>
          </w:tcPr>
          <w:p w14:paraId="44703699" w14:textId="77777777" w:rsidR="00404D6F" w:rsidRPr="00E54AC2" w:rsidRDefault="00404D6F" w:rsidP="00404D6F">
            <w:pPr>
              <w:ind w:left="26"/>
              <w:rPr>
                <w:b/>
                <w:bCs/>
                <w:sz w:val="26"/>
                <w:szCs w:val="26"/>
                <w:rtl/>
              </w:rPr>
            </w:pPr>
            <w:bookmarkStart w:id="1" w:name="FirstAppellant"/>
            <w:bookmarkStart w:id="2" w:name="FirstLawyer"/>
            <w:r w:rsidRPr="00E54AC2">
              <w:rPr>
                <w:rFonts w:hint="cs"/>
                <w:b/>
                <w:bCs/>
                <w:sz w:val="26"/>
                <w:szCs w:val="26"/>
                <w:rtl/>
              </w:rPr>
              <w:t>המאשימה</w:t>
            </w:r>
          </w:p>
        </w:tc>
        <w:tc>
          <w:tcPr>
            <w:tcW w:w="5922" w:type="dxa"/>
            <w:gridSpan w:val="2"/>
            <w:shd w:val="clear" w:color="auto" w:fill="auto"/>
          </w:tcPr>
          <w:p w14:paraId="1FEB55D7" w14:textId="77777777" w:rsidR="00404D6F" w:rsidRPr="00E54AC2" w:rsidRDefault="00404D6F" w:rsidP="00EC3649">
            <w:pPr>
              <w:rPr>
                <w:b/>
                <w:bCs/>
                <w:sz w:val="26"/>
                <w:szCs w:val="26"/>
                <w:rtl/>
              </w:rPr>
            </w:pPr>
            <w:r w:rsidRPr="00E54AC2">
              <w:rPr>
                <w:rFonts w:hint="cs"/>
                <w:b/>
                <w:bCs/>
                <w:sz w:val="26"/>
                <w:szCs w:val="26"/>
                <w:rtl/>
              </w:rPr>
              <w:t xml:space="preserve"> מדינת ישראל</w:t>
            </w:r>
          </w:p>
          <w:p w14:paraId="2248CCCF" w14:textId="77777777" w:rsidR="00404D6F" w:rsidRPr="00E54AC2" w:rsidRDefault="00404D6F" w:rsidP="00EC3649">
            <w:pPr>
              <w:rPr>
                <w:b/>
                <w:bCs/>
                <w:sz w:val="26"/>
                <w:szCs w:val="26"/>
                <w:rtl/>
              </w:rPr>
            </w:pPr>
            <w:r w:rsidRPr="00E54AC2">
              <w:rPr>
                <w:rFonts w:hint="cs"/>
                <w:b/>
                <w:bCs/>
                <w:sz w:val="26"/>
                <w:szCs w:val="26"/>
                <w:rtl/>
              </w:rPr>
              <w:t>ע"י ב"כ עו"ד שי עציון</w:t>
            </w:r>
          </w:p>
          <w:p w14:paraId="5DE5E169" w14:textId="77777777" w:rsidR="00404D6F" w:rsidRPr="00E54AC2" w:rsidRDefault="00404D6F" w:rsidP="00EC3649">
            <w:pPr>
              <w:rPr>
                <w:b/>
                <w:bCs/>
                <w:sz w:val="26"/>
                <w:szCs w:val="26"/>
                <w:rtl/>
              </w:rPr>
            </w:pPr>
            <w:r w:rsidRPr="00E54AC2">
              <w:rPr>
                <w:rFonts w:hint="cs"/>
                <w:b/>
                <w:bCs/>
                <w:sz w:val="26"/>
                <w:szCs w:val="26"/>
                <w:rtl/>
              </w:rPr>
              <w:t>מפרקליטות מחוז ירושלים (פלילי)</w:t>
            </w:r>
          </w:p>
        </w:tc>
      </w:tr>
      <w:bookmarkEnd w:id="1"/>
      <w:bookmarkEnd w:id="2"/>
      <w:tr w:rsidR="00EC3649" w:rsidRPr="00E54AC2" w14:paraId="21CF5343" w14:textId="77777777" w:rsidTr="00404D6F">
        <w:tc>
          <w:tcPr>
            <w:tcW w:w="8802" w:type="dxa"/>
            <w:gridSpan w:val="3"/>
            <w:shd w:val="clear" w:color="auto" w:fill="auto"/>
          </w:tcPr>
          <w:p w14:paraId="0621931F" w14:textId="77777777" w:rsidR="00404D6F" w:rsidRPr="00E54AC2" w:rsidRDefault="00404D6F" w:rsidP="00404D6F">
            <w:pPr>
              <w:jc w:val="both"/>
              <w:rPr>
                <w:rFonts w:ascii="Arial" w:hAnsi="Arial"/>
                <w:b/>
                <w:bCs/>
                <w:sz w:val="26"/>
                <w:szCs w:val="26"/>
                <w:rtl/>
              </w:rPr>
            </w:pPr>
          </w:p>
          <w:p w14:paraId="5115CD73" w14:textId="77777777" w:rsidR="00404D6F" w:rsidRPr="00E54AC2" w:rsidRDefault="00404D6F" w:rsidP="00404D6F">
            <w:pPr>
              <w:jc w:val="center"/>
              <w:rPr>
                <w:rFonts w:ascii="Arial" w:hAnsi="Arial"/>
                <w:b/>
                <w:bCs/>
                <w:sz w:val="26"/>
                <w:szCs w:val="26"/>
                <w:rtl/>
              </w:rPr>
            </w:pPr>
            <w:r w:rsidRPr="00E54AC2">
              <w:rPr>
                <w:rFonts w:ascii="Arial" w:hAnsi="Arial" w:hint="cs"/>
                <w:b/>
                <w:bCs/>
                <w:sz w:val="26"/>
                <w:szCs w:val="26"/>
                <w:rtl/>
              </w:rPr>
              <w:t>נגד</w:t>
            </w:r>
          </w:p>
          <w:p w14:paraId="4C778FAA" w14:textId="77777777" w:rsidR="00404D6F" w:rsidRPr="00E54AC2" w:rsidRDefault="00404D6F" w:rsidP="00404D6F">
            <w:pPr>
              <w:jc w:val="center"/>
              <w:rPr>
                <w:rFonts w:ascii="Arial" w:hAnsi="Arial"/>
                <w:b/>
                <w:bCs/>
                <w:sz w:val="26"/>
                <w:szCs w:val="26"/>
                <w:rtl/>
              </w:rPr>
            </w:pPr>
          </w:p>
        </w:tc>
      </w:tr>
      <w:tr w:rsidR="00EC3649" w:rsidRPr="00E54AC2" w14:paraId="0298D7D7" w14:textId="77777777" w:rsidTr="00404D6F">
        <w:tc>
          <w:tcPr>
            <w:tcW w:w="2880" w:type="dxa"/>
            <w:shd w:val="clear" w:color="auto" w:fill="auto"/>
          </w:tcPr>
          <w:p w14:paraId="29B9F766" w14:textId="77777777" w:rsidR="00404D6F" w:rsidRPr="00E54AC2" w:rsidRDefault="00404D6F" w:rsidP="00404D6F">
            <w:pPr>
              <w:ind w:left="26"/>
              <w:rPr>
                <w:b/>
                <w:bCs/>
                <w:sz w:val="26"/>
                <w:szCs w:val="26"/>
              </w:rPr>
            </w:pPr>
            <w:r w:rsidRPr="00E54AC2">
              <w:rPr>
                <w:rFonts w:hint="cs"/>
                <w:b/>
                <w:bCs/>
                <w:sz w:val="26"/>
                <w:szCs w:val="26"/>
                <w:rtl/>
              </w:rPr>
              <w:t>הנאשם</w:t>
            </w:r>
          </w:p>
        </w:tc>
        <w:tc>
          <w:tcPr>
            <w:tcW w:w="5922" w:type="dxa"/>
            <w:gridSpan w:val="2"/>
            <w:shd w:val="clear" w:color="auto" w:fill="auto"/>
          </w:tcPr>
          <w:p w14:paraId="5E54D786" w14:textId="77777777" w:rsidR="00404D6F" w:rsidRPr="00E54AC2" w:rsidRDefault="00404D6F" w:rsidP="00EC3649">
            <w:pPr>
              <w:rPr>
                <w:b/>
                <w:bCs/>
                <w:sz w:val="26"/>
                <w:szCs w:val="26"/>
                <w:rtl/>
              </w:rPr>
            </w:pPr>
            <w:r w:rsidRPr="00E54AC2">
              <w:rPr>
                <w:rFonts w:hint="cs"/>
                <w:b/>
                <w:bCs/>
                <w:sz w:val="26"/>
                <w:szCs w:val="26"/>
                <w:rtl/>
              </w:rPr>
              <w:t>אלירון גולד (עציר)</w:t>
            </w:r>
          </w:p>
          <w:p w14:paraId="77DD16DA" w14:textId="77777777" w:rsidR="00404D6F" w:rsidRPr="00E54AC2" w:rsidRDefault="00404D6F" w:rsidP="00EC3649">
            <w:pPr>
              <w:rPr>
                <w:b/>
                <w:bCs/>
                <w:sz w:val="26"/>
                <w:szCs w:val="26"/>
                <w:rtl/>
              </w:rPr>
            </w:pPr>
            <w:r w:rsidRPr="00E54AC2">
              <w:rPr>
                <w:rFonts w:hint="cs"/>
                <w:b/>
                <w:bCs/>
                <w:sz w:val="26"/>
                <w:szCs w:val="26"/>
                <w:rtl/>
              </w:rPr>
              <w:t>ע"י ב"כ עו"ד אריאל הרמן</w:t>
            </w:r>
          </w:p>
          <w:p w14:paraId="77C2ADF7" w14:textId="77777777" w:rsidR="00404D6F" w:rsidRPr="00E54AC2" w:rsidRDefault="00404D6F" w:rsidP="00EC3649">
            <w:pPr>
              <w:rPr>
                <w:b/>
                <w:bCs/>
                <w:sz w:val="26"/>
                <w:szCs w:val="26"/>
                <w:rtl/>
              </w:rPr>
            </w:pPr>
            <w:r w:rsidRPr="00E54AC2">
              <w:rPr>
                <w:rFonts w:hint="cs"/>
                <w:b/>
                <w:bCs/>
                <w:sz w:val="26"/>
                <w:szCs w:val="26"/>
                <w:rtl/>
              </w:rPr>
              <w:t>מטעם הסניגוריה הציבורית</w:t>
            </w:r>
          </w:p>
        </w:tc>
      </w:tr>
    </w:tbl>
    <w:p w14:paraId="3C9D175E" w14:textId="77777777" w:rsidR="000B5E12" w:rsidRDefault="000B5E12" w:rsidP="00404D6F">
      <w:pPr>
        <w:rPr>
          <w:rFonts w:ascii="Arial" w:hAnsi="Arial"/>
          <w:rtl/>
        </w:rPr>
      </w:pPr>
      <w:bookmarkStart w:id="3" w:name="LawTable"/>
      <w:bookmarkEnd w:id="3"/>
    </w:p>
    <w:p w14:paraId="719636D5" w14:textId="77777777" w:rsidR="000B5E12" w:rsidRPr="000B5E12" w:rsidRDefault="000B5E12" w:rsidP="000B5E12">
      <w:pPr>
        <w:spacing w:after="120" w:line="240" w:lineRule="exact"/>
        <w:ind w:left="283" w:hanging="283"/>
        <w:jc w:val="both"/>
        <w:rPr>
          <w:rFonts w:ascii="FrankRuehl" w:hAnsi="FrankRuehl" w:cs="FrankRuehl"/>
          <w:rtl/>
        </w:rPr>
      </w:pPr>
    </w:p>
    <w:p w14:paraId="2AC27760" w14:textId="77777777" w:rsidR="000B5E12" w:rsidRPr="000B5E12" w:rsidRDefault="000B5E12" w:rsidP="000B5E12">
      <w:pPr>
        <w:spacing w:after="120" w:line="240" w:lineRule="exact"/>
        <w:ind w:left="283" w:hanging="283"/>
        <w:jc w:val="both"/>
        <w:rPr>
          <w:rFonts w:ascii="FrankRuehl" w:hAnsi="FrankRuehl" w:cs="FrankRuehl"/>
          <w:rtl/>
        </w:rPr>
      </w:pPr>
      <w:r w:rsidRPr="000B5E12">
        <w:rPr>
          <w:rFonts w:ascii="FrankRuehl" w:hAnsi="FrankRuehl" w:cs="FrankRuehl"/>
          <w:rtl/>
        </w:rPr>
        <w:t xml:space="preserve">חקיקה שאוזכרה: </w:t>
      </w:r>
    </w:p>
    <w:p w14:paraId="016A6A3B" w14:textId="77777777" w:rsidR="000B5E12" w:rsidRPr="000B5E12" w:rsidRDefault="000B5E12" w:rsidP="000B5E12">
      <w:pPr>
        <w:spacing w:after="120" w:line="240" w:lineRule="exact"/>
        <w:ind w:left="283" w:hanging="283"/>
        <w:jc w:val="both"/>
        <w:rPr>
          <w:rFonts w:ascii="FrankRuehl" w:hAnsi="FrankRuehl" w:cs="FrankRuehl"/>
          <w:rtl/>
        </w:rPr>
      </w:pPr>
      <w:hyperlink r:id="rId6" w:history="1">
        <w:r w:rsidRPr="000B5E12">
          <w:rPr>
            <w:rFonts w:ascii="FrankRuehl" w:hAnsi="FrankRuehl" w:cs="FrankRuehl"/>
            <w:color w:val="0000FF"/>
            <w:u w:val="single"/>
            <w:rtl/>
          </w:rPr>
          <w:t>חוק העונשין, תשל"ז-1977</w:t>
        </w:r>
      </w:hyperlink>
      <w:r w:rsidRPr="000B5E12">
        <w:rPr>
          <w:rFonts w:ascii="FrankRuehl" w:hAnsi="FrankRuehl" w:cs="FrankRuehl"/>
          <w:rtl/>
        </w:rPr>
        <w:t xml:space="preserve">: סע'  </w:t>
      </w:r>
      <w:hyperlink r:id="rId7" w:history="1">
        <w:r w:rsidRPr="000B5E12">
          <w:rPr>
            <w:rFonts w:ascii="FrankRuehl" w:hAnsi="FrankRuehl" w:cs="FrankRuehl"/>
            <w:color w:val="0000FF"/>
            <w:u w:val="single"/>
            <w:rtl/>
          </w:rPr>
          <w:t>25</w:t>
        </w:r>
      </w:hyperlink>
      <w:r w:rsidRPr="000B5E12">
        <w:rPr>
          <w:rFonts w:ascii="FrankRuehl" w:hAnsi="FrankRuehl" w:cs="FrankRuehl"/>
          <w:rtl/>
        </w:rPr>
        <w:t xml:space="preserve">, </w:t>
      </w:r>
      <w:hyperlink r:id="rId8" w:history="1">
        <w:r w:rsidRPr="000B5E12">
          <w:rPr>
            <w:rFonts w:ascii="FrankRuehl" w:hAnsi="FrankRuehl" w:cs="FrankRuehl"/>
            <w:color w:val="0000FF"/>
            <w:u w:val="single"/>
            <w:rtl/>
          </w:rPr>
          <w:t>144(ב)</w:t>
        </w:r>
      </w:hyperlink>
      <w:r w:rsidRPr="000B5E12">
        <w:rPr>
          <w:rFonts w:ascii="FrankRuehl" w:hAnsi="FrankRuehl" w:cs="FrankRuehl"/>
          <w:rtl/>
        </w:rPr>
        <w:t xml:space="preserve">, </w:t>
      </w:r>
      <w:hyperlink r:id="rId9" w:history="1">
        <w:r w:rsidRPr="000B5E12">
          <w:rPr>
            <w:rFonts w:ascii="FrankRuehl" w:hAnsi="FrankRuehl" w:cs="FrankRuehl"/>
            <w:color w:val="0000FF"/>
            <w:u w:val="single"/>
            <w:rtl/>
          </w:rPr>
          <w:t>192</w:t>
        </w:r>
      </w:hyperlink>
      <w:r w:rsidRPr="000B5E12">
        <w:rPr>
          <w:rFonts w:ascii="FrankRuehl" w:hAnsi="FrankRuehl" w:cs="FrankRuehl"/>
          <w:rtl/>
        </w:rPr>
        <w:t xml:space="preserve">, </w:t>
      </w:r>
      <w:hyperlink r:id="rId10" w:history="1">
        <w:r w:rsidRPr="000B5E12">
          <w:rPr>
            <w:rFonts w:ascii="FrankRuehl" w:hAnsi="FrankRuehl" w:cs="FrankRuehl"/>
            <w:color w:val="0000FF"/>
            <w:u w:val="single"/>
            <w:rtl/>
          </w:rPr>
          <w:t>329(א)(2)</w:t>
        </w:r>
      </w:hyperlink>
      <w:r w:rsidRPr="000B5E12">
        <w:rPr>
          <w:rFonts w:ascii="FrankRuehl" w:hAnsi="FrankRuehl" w:cs="FrankRuehl"/>
          <w:rtl/>
        </w:rPr>
        <w:t xml:space="preserve">, </w:t>
      </w:r>
      <w:hyperlink r:id="rId11" w:history="1">
        <w:r w:rsidRPr="000B5E12">
          <w:rPr>
            <w:rFonts w:ascii="FrankRuehl" w:hAnsi="FrankRuehl" w:cs="FrankRuehl"/>
            <w:color w:val="0000FF"/>
            <w:u w:val="single"/>
            <w:rtl/>
          </w:rPr>
          <w:t>382(א)</w:t>
        </w:r>
      </w:hyperlink>
      <w:r w:rsidRPr="000B5E12">
        <w:rPr>
          <w:rFonts w:ascii="FrankRuehl" w:hAnsi="FrankRuehl" w:cs="FrankRuehl"/>
          <w:rtl/>
        </w:rPr>
        <w:t xml:space="preserve">, </w:t>
      </w:r>
      <w:hyperlink r:id="rId12" w:history="1">
        <w:r w:rsidRPr="000B5E12">
          <w:rPr>
            <w:rFonts w:ascii="FrankRuehl" w:hAnsi="FrankRuehl" w:cs="FrankRuehl"/>
            <w:color w:val="0000FF"/>
            <w:u w:val="single"/>
            <w:rtl/>
          </w:rPr>
          <w:t>384</w:t>
        </w:r>
      </w:hyperlink>
    </w:p>
    <w:p w14:paraId="6A7A106E" w14:textId="77777777" w:rsidR="000B5E12" w:rsidRPr="000B5E12" w:rsidRDefault="000B5E12" w:rsidP="000B5E12">
      <w:pPr>
        <w:spacing w:after="120" w:line="240" w:lineRule="exact"/>
        <w:ind w:left="283" w:hanging="283"/>
        <w:jc w:val="both"/>
        <w:rPr>
          <w:rFonts w:ascii="FrankRuehl" w:hAnsi="FrankRuehl" w:cs="FrankRuehl"/>
          <w:rtl/>
        </w:rPr>
      </w:pPr>
      <w:hyperlink r:id="rId13" w:history="1">
        <w:r w:rsidRPr="000B5E12">
          <w:rPr>
            <w:rFonts w:ascii="FrankRuehl" w:hAnsi="FrankRuehl" w:cs="FrankRuehl"/>
            <w:color w:val="0000FF"/>
            <w:u w:val="single"/>
            <w:rtl/>
          </w:rPr>
          <w:t>פקודת הסמים המסוכנים [נוסח חדש], תשל"ג-1973</w:t>
        </w:r>
      </w:hyperlink>
      <w:r w:rsidRPr="000B5E12">
        <w:rPr>
          <w:rFonts w:ascii="FrankRuehl" w:hAnsi="FrankRuehl" w:cs="FrankRuehl"/>
          <w:rtl/>
        </w:rPr>
        <w:t xml:space="preserve">: סע'  </w:t>
      </w:r>
      <w:hyperlink r:id="rId14" w:history="1">
        <w:r w:rsidRPr="000B5E12">
          <w:rPr>
            <w:rFonts w:ascii="FrankRuehl" w:hAnsi="FrankRuehl" w:cs="FrankRuehl"/>
            <w:color w:val="0000FF"/>
            <w:u w:val="single"/>
            <w:rtl/>
          </w:rPr>
          <w:t>7.א.</w:t>
        </w:r>
      </w:hyperlink>
      <w:r w:rsidRPr="000B5E12">
        <w:rPr>
          <w:rFonts w:ascii="FrankRuehl" w:hAnsi="FrankRuehl" w:cs="FrankRuehl"/>
          <w:rtl/>
        </w:rPr>
        <w:t xml:space="preserve">, </w:t>
      </w:r>
      <w:hyperlink r:id="rId15" w:history="1">
        <w:r w:rsidRPr="000B5E12">
          <w:rPr>
            <w:rFonts w:ascii="FrankRuehl" w:hAnsi="FrankRuehl" w:cs="FrankRuehl"/>
            <w:color w:val="0000FF"/>
            <w:u w:val="single"/>
            <w:rtl/>
          </w:rPr>
          <w:t>7.ג</w:t>
        </w:r>
      </w:hyperlink>
      <w:r w:rsidRPr="000B5E12">
        <w:rPr>
          <w:rFonts w:ascii="FrankRuehl" w:hAnsi="FrankRuehl" w:cs="FrankRuehl"/>
          <w:rtl/>
        </w:rPr>
        <w:t xml:space="preserve">, </w:t>
      </w:r>
      <w:hyperlink r:id="rId16" w:history="1">
        <w:r w:rsidRPr="000B5E12">
          <w:rPr>
            <w:rFonts w:ascii="FrankRuehl" w:hAnsi="FrankRuehl" w:cs="FrankRuehl"/>
            <w:color w:val="0000FF"/>
            <w:u w:val="single"/>
            <w:rtl/>
          </w:rPr>
          <w:t>13א</w:t>
        </w:r>
      </w:hyperlink>
      <w:r w:rsidRPr="000B5E12">
        <w:rPr>
          <w:rFonts w:ascii="FrankRuehl" w:hAnsi="FrankRuehl" w:cs="FrankRuehl"/>
          <w:rtl/>
        </w:rPr>
        <w:t xml:space="preserve">, </w:t>
      </w:r>
      <w:hyperlink r:id="rId17" w:history="1">
        <w:r w:rsidRPr="000B5E12">
          <w:rPr>
            <w:rFonts w:ascii="FrankRuehl" w:hAnsi="FrankRuehl" w:cs="FrankRuehl"/>
            <w:color w:val="0000FF"/>
            <w:u w:val="single"/>
            <w:rtl/>
          </w:rPr>
          <w:t>19</w:t>
        </w:r>
      </w:hyperlink>
    </w:p>
    <w:p w14:paraId="67D5323D" w14:textId="77777777" w:rsidR="000B5E12" w:rsidRPr="000B5E12" w:rsidRDefault="000B5E12" w:rsidP="000B5E1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3649" w14:paraId="32676B89" w14:textId="77777777" w:rsidTr="00404D6F">
        <w:trPr>
          <w:trHeight w:val="355"/>
          <w:jc w:val="center"/>
        </w:trPr>
        <w:tc>
          <w:tcPr>
            <w:tcW w:w="8820" w:type="dxa"/>
            <w:tcBorders>
              <w:top w:val="nil"/>
              <w:left w:val="nil"/>
              <w:bottom w:val="nil"/>
              <w:right w:val="nil"/>
            </w:tcBorders>
            <w:shd w:val="clear" w:color="auto" w:fill="auto"/>
          </w:tcPr>
          <w:p w14:paraId="78F53123" w14:textId="77777777" w:rsidR="00E54AC2" w:rsidRPr="00E54AC2" w:rsidRDefault="00E54AC2" w:rsidP="00E54AC2">
            <w:pPr>
              <w:jc w:val="center"/>
              <w:rPr>
                <w:rFonts w:ascii="Arial" w:hAnsi="Arial"/>
                <w:b/>
                <w:bCs/>
                <w:sz w:val="32"/>
                <w:szCs w:val="32"/>
                <w:u w:val="single"/>
                <w:rtl/>
              </w:rPr>
            </w:pPr>
            <w:bookmarkStart w:id="4" w:name="LawTable_End"/>
            <w:bookmarkStart w:id="5" w:name="PsakDin" w:colFirst="0" w:colLast="0"/>
            <w:bookmarkEnd w:id="0"/>
            <w:bookmarkEnd w:id="4"/>
            <w:r w:rsidRPr="00E54AC2">
              <w:rPr>
                <w:rFonts w:ascii="Arial" w:hAnsi="Arial"/>
                <w:b/>
                <w:bCs/>
                <w:sz w:val="32"/>
                <w:szCs w:val="32"/>
                <w:u w:val="single"/>
                <w:rtl/>
              </w:rPr>
              <w:t>ג ז ר  ד י ן</w:t>
            </w:r>
          </w:p>
          <w:p w14:paraId="716B09E4" w14:textId="77777777" w:rsidR="00404D6F" w:rsidRPr="00E54AC2" w:rsidRDefault="00404D6F" w:rsidP="00E54AC2">
            <w:pPr>
              <w:jc w:val="center"/>
              <w:rPr>
                <w:rFonts w:ascii="Arial" w:hAnsi="Arial"/>
                <w:bCs/>
                <w:sz w:val="32"/>
                <w:szCs w:val="32"/>
                <w:u w:val="single"/>
                <w:rtl/>
              </w:rPr>
            </w:pPr>
          </w:p>
        </w:tc>
      </w:tr>
      <w:bookmarkEnd w:id="5"/>
    </w:tbl>
    <w:p w14:paraId="44953C6A" w14:textId="77777777" w:rsidR="00404D6F" w:rsidRPr="00B05847" w:rsidRDefault="00404D6F" w:rsidP="00404D6F">
      <w:pPr>
        <w:rPr>
          <w:rFonts w:ascii="Arial" w:hAnsi="Arial"/>
          <w:rtl/>
        </w:rPr>
      </w:pPr>
    </w:p>
    <w:p w14:paraId="2C3B7996" w14:textId="77777777" w:rsidR="00404D6F" w:rsidRPr="00B05847" w:rsidRDefault="00404D6F" w:rsidP="00404D6F">
      <w:pPr>
        <w:spacing w:after="120" w:line="360" w:lineRule="auto"/>
        <w:jc w:val="both"/>
        <w:rPr>
          <w:rFonts w:ascii="Arial" w:hAnsi="Arial"/>
          <w:rtl/>
        </w:rPr>
      </w:pPr>
    </w:p>
    <w:p w14:paraId="00B4497C" w14:textId="77777777" w:rsidR="00404D6F" w:rsidRPr="001D1C44" w:rsidRDefault="00404D6F" w:rsidP="00404D6F">
      <w:pPr>
        <w:spacing w:after="120" w:line="360" w:lineRule="auto"/>
        <w:ind w:left="720" w:hanging="720"/>
        <w:jc w:val="both"/>
        <w:rPr>
          <w:b/>
          <w:bCs/>
          <w:u w:val="single"/>
          <w:rtl/>
        </w:rPr>
      </w:pPr>
      <w:r>
        <w:rPr>
          <w:rtl/>
        </w:rPr>
        <w:tab/>
      </w:r>
      <w:r>
        <w:rPr>
          <w:rFonts w:hint="cs"/>
          <w:b/>
          <w:bCs/>
          <w:u w:val="single"/>
          <w:rtl/>
        </w:rPr>
        <w:t>העובדות וטענות הצדדים</w:t>
      </w:r>
    </w:p>
    <w:p w14:paraId="1F73D34B" w14:textId="77777777" w:rsidR="00404D6F" w:rsidRDefault="00404D6F" w:rsidP="00404D6F">
      <w:pPr>
        <w:spacing w:after="120" w:line="360" w:lineRule="auto"/>
        <w:ind w:left="720" w:hanging="720"/>
        <w:jc w:val="both"/>
        <w:rPr>
          <w:rtl/>
        </w:rPr>
      </w:pPr>
      <w:r>
        <w:rPr>
          <w:rFonts w:hint="cs"/>
          <w:rtl/>
        </w:rPr>
        <w:t>1.</w:t>
      </w:r>
      <w:r>
        <w:rPr>
          <w:rFonts w:hint="cs"/>
          <w:rtl/>
        </w:rPr>
        <w:tab/>
        <w:t xml:space="preserve">הנאשם, יליד 1997, הודה והורשע בתיק זה בכתב אישום מתוקן אשר תוקן במסגרת הסדר בין הצדדים. ההסדר כלל תיקון כתב האישום ללא הסכמה בעניין העונש. בנוסף צירף הנאשם שני תיקים אחרים שהיו תלויים ועומדים נגדו. בסך הכל הודה הנאשם והורשע כמפורט להלן: </w:t>
      </w:r>
    </w:p>
    <w:p w14:paraId="397DB565" w14:textId="77777777" w:rsidR="00404D6F" w:rsidRDefault="00404D6F" w:rsidP="00404D6F">
      <w:pPr>
        <w:spacing w:after="120" w:line="360" w:lineRule="auto"/>
        <w:ind w:left="1440" w:hanging="720"/>
        <w:jc w:val="both"/>
        <w:rPr>
          <w:rtl/>
        </w:rPr>
      </w:pPr>
      <w:r>
        <w:rPr>
          <w:rFonts w:hint="cs"/>
          <w:rtl/>
        </w:rPr>
        <w:t>א.</w:t>
      </w:r>
      <w:r>
        <w:rPr>
          <w:rFonts w:hint="cs"/>
          <w:rtl/>
        </w:rPr>
        <w:tab/>
      </w:r>
      <w:bookmarkStart w:id="6" w:name="ABSTRACT_START"/>
      <w:bookmarkEnd w:id="6"/>
      <w:r w:rsidRPr="007B5F6A">
        <w:rPr>
          <w:rFonts w:hint="cs"/>
          <w:rtl/>
        </w:rPr>
        <w:t xml:space="preserve">בכתב האישום המתוקן בתיק זה  (להלן: </w:t>
      </w:r>
      <w:r w:rsidRPr="00205E30">
        <w:rPr>
          <w:rFonts w:hint="cs"/>
          <w:b/>
          <w:bCs/>
          <w:rtl/>
        </w:rPr>
        <w:t>תיק הנשק</w:t>
      </w:r>
      <w:r w:rsidRPr="007B5F6A">
        <w:rPr>
          <w:rFonts w:hint="cs"/>
          <w:rtl/>
        </w:rPr>
        <w:t xml:space="preserve">) </w:t>
      </w:r>
      <w:r w:rsidRPr="007B5F6A">
        <w:rPr>
          <w:rtl/>
        </w:rPr>
        <w:t>–</w:t>
      </w:r>
      <w:r w:rsidRPr="007B5F6A">
        <w:rPr>
          <w:rFonts w:hint="cs"/>
          <w:rtl/>
        </w:rPr>
        <w:t xml:space="preserve"> הנאשם הורשע באישום הראשון בעבירות  של נשיאת נשק לפי </w:t>
      </w:r>
      <w:hyperlink r:id="rId18" w:history="1">
        <w:r w:rsidR="000B5E12" w:rsidRPr="000B5E12">
          <w:rPr>
            <w:color w:val="0000FF"/>
            <w:u w:val="single"/>
            <w:rtl/>
          </w:rPr>
          <w:t>סעיף 144(ב)</w:t>
        </w:r>
      </w:hyperlink>
      <w:r w:rsidRPr="007B5F6A">
        <w:rPr>
          <w:rFonts w:hint="cs"/>
          <w:rtl/>
        </w:rPr>
        <w:t xml:space="preserve"> ל</w:t>
      </w:r>
      <w:hyperlink r:id="rId19" w:history="1">
        <w:r w:rsidR="00E54AC2" w:rsidRPr="00E54AC2">
          <w:rPr>
            <w:color w:val="0000FF"/>
            <w:u w:val="single"/>
            <w:rtl/>
          </w:rPr>
          <w:t>חוק העונשין</w:t>
        </w:r>
      </w:hyperlink>
      <w:r w:rsidRPr="007B5F6A">
        <w:rPr>
          <w:rFonts w:hint="cs"/>
          <w:rtl/>
        </w:rPr>
        <w:t xml:space="preserve"> תשל"ז-1977 (להלן: חוק העונשין; החוק) ואיומים לפי </w:t>
      </w:r>
      <w:hyperlink r:id="rId20" w:history="1">
        <w:r w:rsidR="000B5E12" w:rsidRPr="000B5E12">
          <w:rPr>
            <w:color w:val="0000FF"/>
            <w:u w:val="single"/>
            <w:rtl/>
          </w:rPr>
          <w:t>סעיף 192</w:t>
        </w:r>
      </w:hyperlink>
      <w:r w:rsidRPr="007B5F6A">
        <w:rPr>
          <w:rFonts w:hint="cs"/>
          <w:rtl/>
        </w:rPr>
        <w:t xml:space="preserve"> לחוק, בכך ש</w:t>
      </w:r>
      <w:r>
        <w:rPr>
          <w:rFonts w:hint="cs"/>
          <w:rtl/>
        </w:rPr>
        <w:t xml:space="preserve">קיבל לידיו רימון הלם, הגיע לבית משפחה בשכונת גילה בירושלים והשליך את הרימון לחצר הבית במטרה להטיל אימה על יושביו. הרימון התפוצץ בחצר. באישום השני הורשע הנאשם בכך שהצטייד בכלי נשק מאולתר שבו כדור בקליבר 9 מ"מ, ויחד עם אנשים נוספים, ביניהם אמיר סלמה שהצטייד ברימון גז ובשני רימוני הלם, הלכו למקום בו שהו אחרים שהיו מסוכסכים עמם. הנאשם ניסה לירות בנשק המאולתר </w:t>
      </w:r>
      <w:r>
        <w:rPr>
          <w:rFonts w:hint="cs"/>
          <w:rtl/>
        </w:rPr>
        <w:lastRenderedPageBreak/>
        <w:t xml:space="preserve">לעבר רגליו של אחד מהאחרים, אך הנשק לא פעל. הנאשם זרק לעברו את רימון הגז אותו קיבל קודם לכן מידיו של אמיר סלמה. על כך הורשע הנאשם בעבירות של ניסיון לחבלה מחמירה לפי </w:t>
      </w:r>
      <w:hyperlink r:id="rId21" w:history="1">
        <w:r w:rsidR="000B5E12" w:rsidRPr="000B5E12">
          <w:rPr>
            <w:color w:val="0000FF"/>
            <w:u w:val="single"/>
            <w:rtl/>
          </w:rPr>
          <w:t>סעיף 329(א)(2)</w:t>
        </w:r>
      </w:hyperlink>
      <w:r>
        <w:rPr>
          <w:rFonts w:hint="cs"/>
          <w:rtl/>
        </w:rPr>
        <w:t xml:space="preserve"> לחוק וניסיון תקיפה בנסיבות מחמירות לפי </w:t>
      </w:r>
      <w:hyperlink r:id="rId22" w:history="1">
        <w:r w:rsidR="000B5E12" w:rsidRPr="000B5E12">
          <w:rPr>
            <w:color w:val="0000FF"/>
            <w:u w:val="single"/>
            <w:rtl/>
          </w:rPr>
          <w:t>סעיפים 382(א)</w:t>
        </w:r>
      </w:hyperlink>
      <w:r>
        <w:rPr>
          <w:rFonts w:hint="cs"/>
          <w:rtl/>
        </w:rPr>
        <w:t xml:space="preserve"> + </w:t>
      </w:r>
      <w:hyperlink r:id="rId23" w:history="1">
        <w:r w:rsidR="000B5E12" w:rsidRPr="000B5E12">
          <w:rPr>
            <w:rStyle w:val="Hyperlink"/>
            <w:color w:val="0000FF"/>
            <w:rtl/>
          </w:rPr>
          <w:t>25</w:t>
        </w:r>
      </w:hyperlink>
      <w:r>
        <w:rPr>
          <w:rFonts w:hint="cs"/>
          <w:rtl/>
        </w:rPr>
        <w:t xml:space="preserve"> ל</w:t>
      </w:r>
      <w:hyperlink r:id="rId24" w:history="1">
        <w:r w:rsidR="00E54AC2" w:rsidRPr="00E54AC2">
          <w:rPr>
            <w:color w:val="0000FF"/>
            <w:u w:val="single"/>
            <w:rtl/>
          </w:rPr>
          <w:t>חוק העונשין</w:t>
        </w:r>
      </w:hyperlink>
      <w:r>
        <w:rPr>
          <w:rFonts w:hint="cs"/>
          <w:rtl/>
        </w:rPr>
        <w:t xml:space="preserve">.  </w:t>
      </w:r>
    </w:p>
    <w:p w14:paraId="26A4BE2B" w14:textId="77777777" w:rsidR="00404D6F" w:rsidRDefault="00404D6F" w:rsidP="00404D6F">
      <w:pPr>
        <w:spacing w:after="120" w:line="360" w:lineRule="auto"/>
        <w:ind w:left="1440" w:hanging="720"/>
        <w:jc w:val="both"/>
        <w:rPr>
          <w:rtl/>
        </w:rPr>
      </w:pPr>
      <w:bookmarkStart w:id="7" w:name="ABSTRACT_END"/>
      <w:bookmarkEnd w:id="7"/>
      <w:r>
        <w:rPr>
          <w:rFonts w:hint="cs"/>
          <w:rtl/>
        </w:rPr>
        <w:t>ב.</w:t>
      </w:r>
      <w:r>
        <w:rPr>
          <w:rFonts w:hint="cs"/>
          <w:rtl/>
        </w:rPr>
        <w:tab/>
        <w:t>ב</w:t>
      </w:r>
      <w:hyperlink r:id="rId25" w:history="1">
        <w:r w:rsidR="00E54AC2" w:rsidRPr="00E54AC2">
          <w:rPr>
            <w:color w:val="0000FF"/>
            <w:u w:val="single"/>
            <w:rtl/>
          </w:rPr>
          <w:t>ת"פ (שלום ירושלים) 45121-06-16</w:t>
        </w:r>
      </w:hyperlink>
      <w:r>
        <w:rPr>
          <w:rFonts w:hint="cs"/>
          <w:rtl/>
        </w:rPr>
        <w:t xml:space="preserve"> (להלן: </w:t>
      </w:r>
      <w:r w:rsidRPr="00205E30">
        <w:rPr>
          <w:rFonts w:hint="cs"/>
          <w:b/>
          <w:bCs/>
          <w:rtl/>
        </w:rPr>
        <w:t>תיק הסמים</w:t>
      </w:r>
      <w:r>
        <w:rPr>
          <w:rFonts w:hint="cs"/>
          <w:rtl/>
        </w:rPr>
        <w:t xml:space="preserve">) הורשע הנאשם בכתב אישום מתוקן בחמש עבירות של סחר בסמים לפי </w:t>
      </w:r>
      <w:hyperlink r:id="rId26" w:history="1">
        <w:r w:rsidR="000B5E12" w:rsidRPr="000B5E12">
          <w:rPr>
            <w:color w:val="0000FF"/>
            <w:u w:val="single"/>
            <w:rtl/>
          </w:rPr>
          <w:t>סעיפים 13+19א'</w:t>
        </w:r>
      </w:hyperlink>
      <w:r>
        <w:rPr>
          <w:rFonts w:hint="cs"/>
          <w:rtl/>
        </w:rPr>
        <w:t xml:space="preserve"> ל</w:t>
      </w:r>
      <w:hyperlink r:id="rId27" w:history="1">
        <w:r w:rsidR="00E54AC2" w:rsidRPr="00E54AC2">
          <w:rPr>
            <w:color w:val="0000FF"/>
            <w:u w:val="single"/>
            <w:rtl/>
          </w:rPr>
          <w:t>פקודת הסמים המסוכנים</w:t>
        </w:r>
      </w:hyperlink>
      <w:r>
        <w:rPr>
          <w:rFonts w:hint="cs"/>
          <w:rtl/>
        </w:rPr>
        <w:t xml:space="preserve"> [נוסח חדש] תשל"ג-1973 ובעבירה אחת של החזקת סם שלא לשימוש עצמי לפי סעיפים </w:t>
      </w:r>
      <w:hyperlink r:id="rId28" w:history="1">
        <w:r w:rsidR="000B5E12" w:rsidRPr="000B5E12">
          <w:rPr>
            <w:color w:val="0000FF"/>
            <w:u w:val="single"/>
            <w:rtl/>
          </w:rPr>
          <w:t>7(א) + 7(ג)</w:t>
        </w:r>
      </w:hyperlink>
      <w:r>
        <w:rPr>
          <w:rFonts w:hint="cs"/>
          <w:rtl/>
        </w:rPr>
        <w:t xml:space="preserve"> רישא לפקודה זו. מדובר במספר אירועים של מכירת סם מסוג חשיש לקונים שונים (שניים מהם שוטרים), בכמויות משתנות של גרמים בודדים תמורת סכומים שבין 100 ₪ ל-400 ₪, במהלך החודשים מאי ויוני 2016.   </w:t>
      </w:r>
    </w:p>
    <w:p w14:paraId="19204AF2" w14:textId="77777777" w:rsidR="00404D6F" w:rsidRDefault="00404D6F" w:rsidP="00404D6F">
      <w:pPr>
        <w:spacing w:after="120" w:line="360" w:lineRule="auto"/>
        <w:ind w:left="1440" w:hanging="720"/>
        <w:jc w:val="both"/>
        <w:rPr>
          <w:rtl/>
        </w:rPr>
      </w:pPr>
      <w:r>
        <w:rPr>
          <w:rFonts w:hint="cs"/>
          <w:rtl/>
        </w:rPr>
        <w:t>ג.</w:t>
      </w:r>
      <w:r>
        <w:rPr>
          <w:rFonts w:hint="cs"/>
          <w:rtl/>
        </w:rPr>
        <w:tab/>
        <w:t>ב</w:t>
      </w:r>
      <w:hyperlink r:id="rId29" w:history="1">
        <w:r w:rsidR="00E54AC2" w:rsidRPr="00E54AC2">
          <w:rPr>
            <w:color w:val="0000FF"/>
            <w:u w:val="single"/>
            <w:rtl/>
          </w:rPr>
          <w:t>ת"פ (שלום ירושלים) 25586-07-16</w:t>
        </w:r>
      </w:hyperlink>
      <w:r>
        <w:rPr>
          <w:rFonts w:hint="cs"/>
          <w:rtl/>
        </w:rPr>
        <w:t xml:space="preserve"> (להלן: </w:t>
      </w:r>
      <w:r w:rsidRPr="00205E30">
        <w:rPr>
          <w:rFonts w:hint="cs"/>
          <w:b/>
          <w:bCs/>
          <w:rtl/>
        </w:rPr>
        <w:t>תיק הגניבה</w:t>
      </w:r>
      <w:r>
        <w:rPr>
          <w:rFonts w:hint="cs"/>
          <w:rtl/>
        </w:rPr>
        <w:t xml:space="preserve">) הורשע הנאשם בעבירה של גניבה לפי </w:t>
      </w:r>
      <w:hyperlink r:id="rId30" w:history="1">
        <w:r w:rsidR="000B5E12" w:rsidRPr="000B5E12">
          <w:rPr>
            <w:color w:val="0000FF"/>
            <w:u w:val="single"/>
            <w:rtl/>
          </w:rPr>
          <w:t>סעיף 384</w:t>
        </w:r>
      </w:hyperlink>
      <w:r>
        <w:rPr>
          <w:rFonts w:hint="cs"/>
          <w:rtl/>
        </w:rPr>
        <w:t xml:space="preserve"> ל</w:t>
      </w:r>
      <w:hyperlink r:id="rId31" w:history="1">
        <w:r w:rsidR="00E54AC2" w:rsidRPr="00E54AC2">
          <w:rPr>
            <w:color w:val="0000FF"/>
            <w:u w:val="single"/>
            <w:rtl/>
          </w:rPr>
          <w:t>חוק העונשין</w:t>
        </w:r>
      </w:hyperlink>
      <w:r>
        <w:rPr>
          <w:rFonts w:hint="cs"/>
          <w:rtl/>
        </w:rPr>
        <w:t xml:space="preserve">. מדובר בגניבה של אופניים חשמליים בשווי 3,000 ₪ שבוצעה ביום 17.5.16. </w:t>
      </w:r>
    </w:p>
    <w:p w14:paraId="06E7D8CB" w14:textId="77777777" w:rsidR="00404D6F" w:rsidRDefault="00404D6F" w:rsidP="00404D6F">
      <w:pPr>
        <w:spacing w:after="120" w:line="360" w:lineRule="auto"/>
        <w:jc w:val="both"/>
        <w:rPr>
          <w:rtl/>
        </w:rPr>
      </w:pPr>
    </w:p>
    <w:p w14:paraId="0774A40A" w14:textId="77777777" w:rsidR="00404D6F" w:rsidRDefault="00404D6F" w:rsidP="00404D6F">
      <w:pPr>
        <w:spacing w:after="120" w:line="360" w:lineRule="auto"/>
        <w:ind w:left="720" w:hanging="720"/>
        <w:jc w:val="both"/>
        <w:rPr>
          <w:rtl/>
        </w:rPr>
      </w:pPr>
      <w:r>
        <w:rPr>
          <w:rFonts w:hint="cs"/>
          <w:rtl/>
        </w:rPr>
        <w:t>2.</w:t>
      </w:r>
      <w:r>
        <w:rPr>
          <w:rFonts w:hint="cs"/>
          <w:rtl/>
        </w:rPr>
        <w:tab/>
        <w:t>כראיות לעונש מטעם המאשימה הוגש גיליון הרישום הפלילי של הנאשם וכן גזר דין ב</w:t>
      </w:r>
      <w:hyperlink r:id="rId32" w:history="1">
        <w:r w:rsidR="00E54AC2" w:rsidRPr="00E54AC2">
          <w:rPr>
            <w:color w:val="0000FF"/>
            <w:u w:val="single"/>
            <w:rtl/>
          </w:rPr>
          <w:t>ת"פ (שלום לנוער ירושלים) 58300-03-14</w:t>
        </w:r>
      </w:hyperlink>
      <w:r>
        <w:rPr>
          <w:rFonts w:hint="cs"/>
          <w:rtl/>
        </w:rPr>
        <w:t xml:space="preserve"> הכולל מאסר על תנאי בר הפעלה. מטעם הסניגוריה הוגש דו"ח מז"פ המתייחס לכלי הירי נשוא האישום השני בכתב האישום בתיק שבפני. כמו כן העידה חברתו של הנאשם, הגב' אנה זרמבה. הגב' זרמבה העידה כי הפכה לחברתו של הנאשם מספר ימים לפני מעצרו, וכי היא מאמינה ברצונו וביכולתו של הנאשם להשתקם.  </w:t>
      </w:r>
    </w:p>
    <w:p w14:paraId="20C5C144" w14:textId="77777777" w:rsidR="00404D6F" w:rsidRDefault="00404D6F" w:rsidP="00404D6F">
      <w:pPr>
        <w:spacing w:after="120" w:line="360" w:lineRule="auto"/>
        <w:ind w:left="720"/>
        <w:jc w:val="both"/>
        <w:rPr>
          <w:rtl/>
        </w:rPr>
      </w:pPr>
      <w:r>
        <w:rPr>
          <w:rFonts w:hint="cs"/>
          <w:rtl/>
        </w:rPr>
        <w:t xml:space="preserve">שני הצדדים סברו כי שלושת כתבי האישום מהווים אירועים שונים שיש לקבוע לכל אחד מהם מתחם ענישה נפרד, אם כי ב"כ הנאשם טען כי יש לחפוף בין המתחמים. </w:t>
      </w:r>
    </w:p>
    <w:p w14:paraId="5D9418EE" w14:textId="77777777" w:rsidR="00404D6F" w:rsidRDefault="00404D6F" w:rsidP="00404D6F">
      <w:pPr>
        <w:spacing w:after="120" w:line="360" w:lineRule="auto"/>
        <w:jc w:val="both"/>
        <w:rPr>
          <w:rtl/>
        </w:rPr>
      </w:pPr>
    </w:p>
    <w:p w14:paraId="158D4A64" w14:textId="77777777" w:rsidR="00404D6F" w:rsidRPr="00B05847" w:rsidRDefault="00404D6F" w:rsidP="00404D6F">
      <w:pPr>
        <w:spacing w:after="120" w:line="360" w:lineRule="auto"/>
        <w:ind w:left="720" w:hanging="720"/>
        <w:jc w:val="both"/>
        <w:rPr>
          <w:rtl/>
        </w:rPr>
      </w:pPr>
      <w:r>
        <w:rPr>
          <w:rFonts w:hint="cs"/>
          <w:rtl/>
        </w:rPr>
        <w:t>3.</w:t>
      </w:r>
      <w:r>
        <w:rPr>
          <w:rFonts w:hint="cs"/>
          <w:rtl/>
        </w:rPr>
        <w:tab/>
        <w:t>ב"כ המאשימה טען בנוגע לתיק הנשק כי הנאשם פגע בערכים המוגנים של שלומם וביטחונם של הציבור ושל האדם הפרטי, וכי פוטנציאל הנזק הקטלני מחייב ענישה מרתיעה. הוא הפנה לפסיקה המתייחסת לחומרה הקיימת גם בעבירות בהן נעשה שימוש ברימון הלם, וכן להנחיות פרקליט המדינה שעמדו על הצורך בענישה מחמירה בעבירות נשק. כמו כן הפנה לגזר דינו של מי שנטל חלק באירוע נשוא האישום השני יחד עם הנאשם, אשר נדון ל-18 חודשי מאסר בפועל.</w:t>
      </w:r>
      <w:r w:rsidRPr="009F3F78">
        <w:rPr>
          <w:rFonts w:hint="cs"/>
          <w:rtl/>
        </w:rPr>
        <w:t xml:space="preserve"> במקרה זה מדובר באישום אחד של השלכת רימון הלם לעבר בית משפחה, ואישום נוסף של ירי ושימוש ברימון גז אשר במזל רב לא הצליח.</w:t>
      </w:r>
      <w:r>
        <w:rPr>
          <w:rFonts w:hint="cs"/>
          <w:rtl/>
        </w:rPr>
        <w:t xml:space="preserve"> התובע עמד על חלקו הדומיננטי של הנאשם כיוזם, מתכנן ומבצע עיקרי של שני האישומים, וטען למתחם ענישה הנע בין שלוש לבין שש שנות מאסר בפועל</w:t>
      </w:r>
      <w:r w:rsidRPr="009F3F78">
        <w:rPr>
          <w:rFonts w:hint="cs"/>
          <w:rtl/>
        </w:rPr>
        <w:t xml:space="preserve"> </w:t>
      </w:r>
      <w:r>
        <w:rPr>
          <w:rFonts w:hint="cs"/>
          <w:rtl/>
        </w:rPr>
        <w:t>בגין שני האירועים בתיק הנשק, וכן מאסר על תנאי וקנס.</w:t>
      </w:r>
    </w:p>
    <w:p w14:paraId="686B8F54" w14:textId="77777777" w:rsidR="00404D6F" w:rsidRDefault="00404D6F" w:rsidP="00404D6F">
      <w:pPr>
        <w:spacing w:after="120" w:line="360" w:lineRule="auto"/>
        <w:ind w:left="720"/>
        <w:jc w:val="both"/>
        <w:rPr>
          <w:rtl/>
        </w:rPr>
      </w:pPr>
      <w:r>
        <w:rPr>
          <w:rFonts w:hint="cs"/>
          <w:rtl/>
        </w:rPr>
        <w:lastRenderedPageBreak/>
        <w:t xml:space="preserve">בנוגע לתיק הסמים ציין ב"כ המאשימה כי כל האישומים בוצעו בפרק זמן של כשבועיים. הוא התייחס לחומרה הרבה בעבירות הסמים, במיוחד הסחר בסמים, הפנה לפסקי דין בעבירות אלו וביקש לקבוע מתחם שבין 15 ל-30 חודשי מאסר בפועל, מאסר על תנאי וקנס. </w:t>
      </w:r>
    </w:p>
    <w:p w14:paraId="016681C8" w14:textId="77777777" w:rsidR="00404D6F" w:rsidRDefault="00404D6F" w:rsidP="00404D6F">
      <w:pPr>
        <w:spacing w:after="120" w:line="360" w:lineRule="auto"/>
        <w:ind w:firstLine="720"/>
        <w:jc w:val="both"/>
        <w:rPr>
          <w:rtl/>
        </w:rPr>
      </w:pPr>
      <w:r>
        <w:rPr>
          <w:rFonts w:hint="cs"/>
          <w:rtl/>
        </w:rPr>
        <w:t xml:space="preserve">בתיק הגניבה נטען למתחם שבין מאסר על תנאי למאסר קצר בפועל ועונשים נלווים. </w:t>
      </w:r>
    </w:p>
    <w:p w14:paraId="548D7739" w14:textId="77777777" w:rsidR="00404D6F" w:rsidRDefault="00404D6F" w:rsidP="00404D6F">
      <w:pPr>
        <w:spacing w:after="120" w:line="360" w:lineRule="auto"/>
        <w:ind w:left="720"/>
        <w:jc w:val="both"/>
        <w:rPr>
          <w:rtl/>
        </w:rPr>
      </w:pPr>
      <w:r>
        <w:rPr>
          <w:rFonts w:hint="cs"/>
          <w:rtl/>
        </w:rPr>
        <w:t xml:space="preserve">באשר למקומו של הנאשם במתחם הענישה, ב"כ המאשימה התייחס להודאת הנאשם ונטילת האחריות, לגילו הצעיר ונסיבות חייו הקשות של הנאשם כמפורט בתסקיר שירות המבחן, ומאידך גיסא לעברו הפלילי הכולל עבירות מסוגים שונים, לעובדה שריצה בעבר מאסרים וביצע את העבירות הנוכחיות זמן קצר לאחר שחרורו ממאסר. הוא טען כי העונש הראוי מצוי ברף העליון אך לא בשיאו של המתחם, ופירט חישוב של תקופות המאסר המבוקשות בחפיפה חלקית ביניהן, וכן הפעלת מאסר על תנאי לחמישה חודשים. בסך הכל ביקש להטיל על הנאשם עונש של חמש שנים ושמונה חודשי מאסר, קנס ופיצוי למתלונן בתיק הגניבה. </w:t>
      </w:r>
    </w:p>
    <w:p w14:paraId="5223ADEF" w14:textId="77777777" w:rsidR="00404D6F" w:rsidRDefault="00404D6F" w:rsidP="00404D6F">
      <w:pPr>
        <w:spacing w:after="120" w:line="360" w:lineRule="auto"/>
        <w:jc w:val="both"/>
        <w:rPr>
          <w:rtl/>
        </w:rPr>
      </w:pPr>
    </w:p>
    <w:p w14:paraId="3DD4822A" w14:textId="77777777" w:rsidR="00404D6F" w:rsidRDefault="00404D6F" w:rsidP="00404D6F">
      <w:pPr>
        <w:spacing w:after="120" w:line="360" w:lineRule="auto"/>
        <w:ind w:left="720" w:hanging="720"/>
        <w:jc w:val="both"/>
        <w:rPr>
          <w:rtl/>
        </w:rPr>
      </w:pPr>
      <w:r>
        <w:rPr>
          <w:rFonts w:hint="cs"/>
          <w:rtl/>
        </w:rPr>
        <w:t>4.</w:t>
      </w:r>
      <w:r>
        <w:rPr>
          <w:rFonts w:hint="cs"/>
          <w:rtl/>
        </w:rPr>
        <w:tab/>
        <w:t xml:space="preserve">ב"כ הנאשם טען כי על אף שתיק הנשק ותיק הסמים עוסקים באירועים נפרדים, העבירות בוצעו באותה תקופה ולכן יש לחפוף חלק משמעותי מהעונשים בגינם. </w:t>
      </w:r>
    </w:p>
    <w:p w14:paraId="1C926505" w14:textId="77777777" w:rsidR="00404D6F" w:rsidRDefault="00404D6F" w:rsidP="00404D6F">
      <w:pPr>
        <w:spacing w:after="120" w:line="360" w:lineRule="auto"/>
        <w:ind w:left="720"/>
        <w:jc w:val="both"/>
        <w:rPr>
          <w:rtl/>
        </w:rPr>
      </w:pPr>
      <w:r>
        <w:rPr>
          <w:rFonts w:hint="cs"/>
          <w:rtl/>
        </w:rPr>
        <w:t xml:space="preserve">בהתייחס לתיק הנשק טען הסניגור כי הנאשם לא זרק את הרימון לעבר אדם אלא לחצר הבית, לצורך איום בלבד. לגבי האישום השני ציין כי מדובר בנשק מאולתר שלא פעל, וכי הנאשם לא חזר על הניסיון להשתמש בו. הוא הפנה לפסקי דין בהם נקבעו מתחמים של מספר שנות מאסר בנסיבות חמורות בהרבה של ירי ממש בכלי נשק תקינים, וטען כי המתחם בתיק שבפני נע בין שנת מאסר אחת לשנתיים. לגבי תיק הסמים טען הסניגור כי מדובר במספר מקרים אך ב"הלך רוח אחד".  בשל כמויות הסם הקטנות עומד המתחם, לטענתו, בין עשרה חודשים לשנה וחצי, והמתחם לתיק הגניבה נע בין מאסר על תנאי למספר חודשי עבודות שירות. העונש הכולל לכל העבירות נע, לטענת הסניגור, בטווח שבין שנה אחת לשתיים וחצי שנות מאסר. </w:t>
      </w:r>
    </w:p>
    <w:p w14:paraId="373A298A" w14:textId="77777777" w:rsidR="00404D6F" w:rsidRDefault="00404D6F" w:rsidP="00404D6F">
      <w:pPr>
        <w:spacing w:after="120" w:line="360" w:lineRule="auto"/>
        <w:ind w:left="720"/>
        <w:jc w:val="both"/>
        <w:rPr>
          <w:rtl/>
        </w:rPr>
      </w:pPr>
      <w:r>
        <w:rPr>
          <w:rFonts w:hint="cs"/>
          <w:rtl/>
        </w:rPr>
        <w:t>בהתייחס לעברו הפלילי של הנאשם טען בא כוחו כי מדובר בנסיבה אחת מבין שלוש עשרה נסיבות לעניין העונש המפורטות בתיקון 113 ל</w:t>
      </w:r>
      <w:hyperlink r:id="rId33" w:history="1">
        <w:r w:rsidR="00E54AC2" w:rsidRPr="00E54AC2">
          <w:rPr>
            <w:color w:val="0000FF"/>
            <w:u w:val="single"/>
            <w:rtl/>
          </w:rPr>
          <w:t>חוק העונשין</w:t>
        </w:r>
      </w:hyperlink>
      <w:r>
        <w:rPr>
          <w:rFonts w:hint="cs"/>
          <w:rtl/>
        </w:rPr>
        <w:t>, אין לייחס לה משקל רב ויש לראותה על רקע הנסיבות האישיות הקשות המפורטות בתסקיר, כאשר הנאשם הידרדר לביצוע עבירות ואף להתמכרות לסמים כבר בגיל 14. ב"כ הנאשם ציין כי שירות המבחן התרשם ממוטיבציה של הנאשם לשינוי, ועמד על הצורך לשלבו בהליך שיקום. הוא הפנה להחלטת כב' השופט מזוז בערר על ההחלטה לעצור את הנאשם (</w:t>
      </w:r>
      <w:hyperlink r:id="rId34" w:history="1">
        <w:r w:rsidR="00E54AC2" w:rsidRPr="00E54AC2">
          <w:rPr>
            <w:color w:val="0000FF"/>
            <w:u w:val="single"/>
            <w:rtl/>
          </w:rPr>
          <w:t>בש"פ 7279/16</w:t>
        </w:r>
      </w:hyperlink>
      <w:r>
        <w:rPr>
          <w:rFonts w:hint="cs"/>
          <w:rtl/>
        </w:rPr>
        <w:t>,</w:t>
      </w:r>
      <w:r w:rsidRPr="00A27ED9">
        <w:rPr>
          <w:rFonts w:hint="cs"/>
          <w:b/>
          <w:bCs/>
          <w:rtl/>
        </w:rPr>
        <w:t xml:space="preserve"> אלירון גולד נ' מדינת ישראל</w:t>
      </w:r>
      <w:r>
        <w:rPr>
          <w:rFonts w:hint="cs"/>
          <w:rtl/>
        </w:rPr>
        <w:t xml:space="preserve">), בה עמד בית המשפט על הצורך בשיקום על אף חומרת העבירות.  </w:t>
      </w:r>
    </w:p>
    <w:p w14:paraId="4D5859DD" w14:textId="77777777" w:rsidR="00404D6F" w:rsidRDefault="00404D6F" w:rsidP="00404D6F">
      <w:pPr>
        <w:spacing w:after="120" w:line="360" w:lineRule="auto"/>
        <w:jc w:val="both"/>
        <w:rPr>
          <w:rtl/>
        </w:rPr>
      </w:pPr>
    </w:p>
    <w:p w14:paraId="517C5F1B" w14:textId="77777777" w:rsidR="00404D6F" w:rsidRDefault="00404D6F" w:rsidP="00404D6F">
      <w:pPr>
        <w:spacing w:after="120" w:line="360" w:lineRule="auto"/>
        <w:ind w:left="720" w:hanging="720"/>
        <w:jc w:val="both"/>
        <w:rPr>
          <w:rtl/>
        </w:rPr>
      </w:pPr>
      <w:r>
        <w:rPr>
          <w:rFonts w:hint="cs"/>
          <w:rtl/>
        </w:rPr>
        <w:t>5.</w:t>
      </w:r>
      <w:r>
        <w:rPr>
          <w:rtl/>
        </w:rPr>
        <w:tab/>
      </w:r>
      <w:r>
        <w:rPr>
          <w:rFonts w:hint="cs"/>
          <w:rtl/>
        </w:rPr>
        <w:t xml:space="preserve">שירות המבחן הגיש תסקיר אודות הנאשם. התסקיר מפרט עובדות קשות בנוגע לחייו האישיים ולמשפחתו של הנאשם, ומפאת צנעת הפרט לא ארחיב לגביהן. הנאשם נחשף להתמכרות לסמים מגיל צעיר מאד, והתמכר בעצמו בגיל 14. עד עתה לא החזיק מעמד במסגרות גמילה כלשהן. התנהלותו הוגדרה בתסקיר כ"שולית" והוא מנהל מערכות יחסים שוליות. על רקע זה היה מעורב בסכסוך עם המתלוננים בתיק הנשק. בשנים האחרונות העמיקו מעורבותו הפלילית והתמכרותו לסמים. קיימת רמת סיכון גבוהה להישנות התנהגות אלימה מצידו של הנאשם, ותוצאותיה צפויות להיות בדרגת חומרה גבוהה. </w:t>
      </w:r>
    </w:p>
    <w:p w14:paraId="2B597743" w14:textId="77777777" w:rsidR="00404D6F" w:rsidRDefault="00404D6F" w:rsidP="00404D6F">
      <w:pPr>
        <w:spacing w:after="120" w:line="360" w:lineRule="auto"/>
        <w:ind w:left="720" w:hanging="720"/>
        <w:jc w:val="both"/>
        <w:rPr>
          <w:rtl/>
        </w:rPr>
      </w:pPr>
      <w:r>
        <w:rPr>
          <w:rtl/>
        </w:rPr>
        <w:tab/>
      </w:r>
      <w:r>
        <w:rPr>
          <w:rFonts w:hint="cs"/>
          <w:rtl/>
        </w:rPr>
        <w:t xml:space="preserve">עם זאת, מאז מעצרו הפסיק הנאשם לצרוך סמים וקצין המבחן התרשם כי הוא מבקש לנצל את המאסר להליך טיפולי משמעותי. הוא המליץ, איפוא, על שילוב הנאשם בטיפול במסגרת שב"ס. </w:t>
      </w:r>
    </w:p>
    <w:p w14:paraId="224100C3" w14:textId="77777777" w:rsidR="00404D6F" w:rsidRDefault="00404D6F" w:rsidP="00404D6F">
      <w:pPr>
        <w:spacing w:after="120" w:line="360" w:lineRule="auto"/>
        <w:ind w:left="720" w:hanging="720"/>
        <w:jc w:val="both"/>
        <w:rPr>
          <w:rtl/>
        </w:rPr>
      </w:pPr>
    </w:p>
    <w:p w14:paraId="32C6EDE4" w14:textId="77777777" w:rsidR="00404D6F" w:rsidRPr="001D1C44" w:rsidRDefault="00404D6F" w:rsidP="00404D6F">
      <w:pPr>
        <w:spacing w:after="120" w:line="360" w:lineRule="auto"/>
        <w:ind w:left="720" w:hanging="720"/>
        <w:jc w:val="both"/>
        <w:rPr>
          <w:b/>
          <w:bCs/>
          <w:u w:val="single"/>
          <w:rtl/>
        </w:rPr>
      </w:pPr>
      <w:r>
        <w:rPr>
          <w:rtl/>
        </w:rPr>
        <w:tab/>
      </w:r>
      <w:r>
        <w:rPr>
          <w:rFonts w:hint="cs"/>
          <w:b/>
          <w:bCs/>
          <w:u w:val="single"/>
          <w:rtl/>
        </w:rPr>
        <w:t>מתחם העונש ההולם</w:t>
      </w:r>
    </w:p>
    <w:p w14:paraId="14A10E62" w14:textId="77777777" w:rsidR="00404D6F" w:rsidRDefault="00404D6F" w:rsidP="00404D6F">
      <w:pPr>
        <w:spacing w:after="120" w:line="360" w:lineRule="auto"/>
        <w:ind w:left="720" w:hanging="720"/>
        <w:jc w:val="both"/>
        <w:rPr>
          <w:rtl/>
        </w:rPr>
      </w:pPr>
      <w:r>
        <w:rPr>
          <w:rFonts w:hint="cs"/>
          <w:rtl/>
        </w:rPr>
        <w:t>6.</w:t>
      </w:r>
      <w:r>
        <w:rPr>
          <w:rFonts w:hint="cs"/>
          <w:rtl/>
        </w:rPr>
        <w:tab/>
        <w:t>העבירות האוסרות החזקה ושימוש בנשק נועדו להגן על שלומם ובטחונם של כלל הציבור ושל יחידים. הנשק שהוחזק על ידי הנאשם הוא נשק התקפי,</w:t>
      </w:r>
      <w:r w:rsidRPr="007E3A55">
        <w:rPr>
          <w:rFonts w:hint="cs"/>
          <w:rtl/>
        </w:rPr>
        <w:t xml:space="preserve"> </w:t>
      </w:r>
      <w:r>
        <w:rPr>
          <w:rFonts w:hint="cs"/>
          <w:rtl/>
        </w:rPr>
        <w:t xml:space="preserve">שהשימוש בו מותר רק לגופי ביטחון כגון צה"ל ומשטרת ישראל. אדם יחיד אינו רשאי להחזיק ברימון ואינו יכול לקבל רישיון לכך. החזקת כלי הנשק בהם עשה הנאשם שימוש אינה יכולה להיות "תמימה", והשגתם נעשית באמצעים בלתי חוקיים ומחייבת קשר עם גורמים מהם ניתן לקבל את הנשק. הסכנה הנשקפת כתוצאה משימוש בנשק היא חמורה וברורה, ועלולה לגרום לנזק משמעותי ואף לקיפוח חיי אדם, הן מחוסר זהירות והן, על אחת כמה וכמה, תוך שימוש מכוון בו.  </w:t>
      </w:r>
    </w:p>
    <w:p w14:paraId="01B1952E" w14:textId="77777777" w:rsidR="00404D6F" w:rsidRDefault="00404D6F" w:rsidP="00404D6F">
      <w:pPr>
        <w:spacing w:after="120" w:line="360" w:lineRule="auto"/>
        <w:ind w:left="720" w:hanging="720"/>
        <w:jc w:val="both"/>
        <w:rPr>
          <w:rtl/>
        </w:rPr>
      </w:pPr>
      <w:r>
        <w:rPr>
          <w:rtl/>
        </w:rPr>
        <w:tab/>
      </w:r>
      <w:r>
        <w:rPr>
          <w:rFonts w:hint="cs"/>
          <w:rtl/>
        </w:rPr>
        <w:t xml:space="preserve">גם עבירות הסמים הן עבירות שפגיעתן רבה. </w:t>
      </w:r>
      <w:r w:rsidRPr="00EA2A9E">
        <w:rPr>
          <w:rtl/>
        </w:rPr>
        <w:t>בנוסף לשימוש בסם עצמו, ההתמכרות לסמים והצורך במימונם יוצרת מעגלים רחבים של פשיעה בתחום הרכוש ובתחומים נוספים.</w:t>
      </w:r>
      <w:r>
        <w:rPr>
          <w:rFonts w:hint="cs"/>
          <w:rtl/>
        </w:rPr>
        <w:t xml:space="preserve"> עבירת הגניבה פוגעת ברכושו ובאורח חייו של קרבן העבירה. </w:t>
      </w:r>
    </w:p>
    <w:p w14:paraId="14B4B571" w14:textId="77777777" w:rsidR="00404D6F" w:rsidRDefault="00404D6F" w:rsidP="00404D6F">
      <w:pPr>
        <w:spacing w:after="120" w:line="360" w:lineRule="auto"/>
        <w:ind w:left="720" w:hanging="720"/>
        <w:jc w:val="both"/>
        <w:rPr>
          <w:rtl/>
        </w:rPr>
      </w:pPr>
      <w:r>
        <w:rPr>
          <w:rtl/>
        </w:rPr>
        <w:tab/>
      </w:r>
      <w:r>
        <w:rPr>
          <w:rFonts w:hint="cs"/>
          <w:rtl/>
        </w:rPr>
        <w:t xml:space="preserve">במקרה זה קיימת חומרה מיוחדת בריבוי העבירות מסוגים שונים, המצביעה על מעורבות עמוקה בעולם העברייני. העבירות השונות בוצעו בתקופה קצרה של מספר שבועות. בתיק הסמים מדובר במכירה למספר קונים שונים, ולא לאדם אחד. בתיק הנשק נעשה שימוש בסוגים שונים של נשק, תקני ומאולתר, בשני אירועים שונים, ובאישום השני בוצעה העבירה בצוותא עם אחרים. </w:t>
      </w:r>
    </w:p>
    <w:p w14:paraId="73A17E93" w14:textId="77777777" w:rsidR="00404D6F" w:rsidRDefault="00404D6F" w:rsidP="00404D6F">
      <w:pPr>
        <w:spacing w:after="120" w:line="360" w:lineRule="auto"/>
        <w:ind w:left="720" w:hanging="720"/>
        <w:jc w:val="both"/>
        <w:rPr>
          <w:rtl/>
        </w:rPr>
      </w:pPr>
    </w:p>
    <w:p w14:paraId="1581CC09" w14:textId="77777777" w:rsidR="00404D6F" w:rsidRPr="00FA2273" w:rsidRDefault="00404D6F" w:rsidP="00404D6F">
      <w:pPr>
        <w:spacing w:after="120" w:line="360" w:lineRule="auto"/>
        <w:ind w:left="720" w:hanging="720"/>
        <w:jc w:val="both"/>
        <w:rPr>
          <w:rtl/>
        </w:rPr>
      </w:pPr>
      <w:r>
        <w:rPr>
          <w:rFonts w:hint="cs"/>
          <w:rtl/>
        </w:rPr>
        <w:t>7.</w:t>
      </w:r>
      <w:r>
        <w:rPr>
          <w:rFonts w:hint="cs"/>
          <w:rtl/>
        </w:rPr>
        <w:tab/>
        <w:t xml:space="preserve">נפסק לא אחת כי הסכנה הרבה שבשימוש בנשק מחייבת ענישה חמורה. כך, לדוגמא, </w:t>
      </w:r>
      <w:r w:rsidRPr="00FA2273">
        <w:rPr>
          <w:rtl/>
        </w:rPr>
        <w:t>נ</w:t>
      </w:r>
      <w:r>
        <w:rPr>
          <w:rFonts w:hint="cs"/>
          <w:rtl/>
        </w:rPr>
        <w:t>קבע</w:t>
      </w:r>
      <w:r w:rsidRPr="00FA2273">
        <w:rPr>
          <w:rtl/>
        </w:rPr>
        <w:t xml:space="preserve"> ב</w:t>
      </w:r>
      <w:hyperlink r:id="rId35" w:history="1">
        <w:r w:rsidR="00E54AC2" w:rsidRPr="00E54AC2">
          <w:rPr>
            <w:color w:val="0000FF"/>
            <w:u w:val="single"/>
            <w:rtl/>
          </w:rPr>
          <w:t>ע"פ 9543/09</w:t>
        </w:r>
      </w:hyperlink>
      <w:r w:rsidRPr="002F690C">
        <w:rPr>
          <w:rtl/>
        </w:rPr>
        <w:t>,</w:t>
      </w:r>
      <w:r w:rsidRPr="00FA2273">
        <w:rPr>
          <w:rtl/>
        </w:rPr>
        <w:t xml:space="preserve"> </w:t>
      </w:r>
      <w:r w:rsidRPr="00FA2273">
        <w:rPr>
          <w:b/>
          <w:bCs/>
          <w:rtl/>
        </w:rPr>
        <w:t>בילאל רחאל נ' מדינת ישראל</w:t>
      </w:r>
      <w:r w:rsidRPr="00FA2273">
        <w:rPr>
          <w:rtl/>
        </w:rPr>
        <w:t xml:space="preserve">: </w:t>
      </w:r>
    </w:p>
    <w:p w14:paraId="2F7D27D9" w14:textId="77777777" w:rsidR="00404D6F" w:rsidRPr="00FA2273" w:rsidRDefault="00404D6F" w:rsidP="00404D6F">
      <w:pPr>
        <w:spacing w:after="120" w:line="360" w:lineRule="auto"/>
        <w:ind w:left="1440"/>
        <w:jc w:val="both"/>
        <w:rPr>
          <w:b/>
          <w:bCs/>
          <w:rtl/>
        </w:rPr>
      </w:pPr>
      <w:r w:rsidRPr="00FA2273">
        <w:rPr>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6F6E7A9C" w14:textId="77777777" w:rsidR="00404D6F" w:rsidRPr="00FA2273" w:rsidRDefault="00404D6F" w:rsidP="00404D6F">
      <w:pPr>
        <w:spacing w:after="120" w:line="360" w:lineRule="auto"/>
        <w:ind w:left="720"/>
        <w:jc w:val="both"/>
        <w:rPr>
          <w:rtl/>
        </w:rPr>
      </w:pPr>
      <w:r w:rsidRPr="00FA2273">
        <w:rPr>
          <w:rtl/>
        </w:rPr>
        <w:t>וב</w:t>
      </w:r>
      <w:hyperlink r:id="rId36" w:history="1">
        <w:r w:rsidR="00E54AC2" w:rsidRPr="00E54AC2">
          <w:rPr>
            <w:color w:val="0000FF"/>
            <w:u w:val="single"/>
            <w:rtl/>
          </w:rPr>
          <w:t>ע"פ 761/07</w:t>
        </w:r>
      </w:hyperlink>
      <w:r>
        <w:rPr>
          <w:rFonts w:hint="cs"/>
          <w:rtl/>
        </w:rPr>
        <w:t>,</w:t>
      </w:r>
      <w:r w:rsidRPr="00FA2273">
        <w:rPr>
          <w:rtl/>
        </w:rPr>
        <w:t xml:space="preserve"> </w:t>
      </w:r>
      <w:r w:rsidRPr="00FA2273">
        <w:rPr>
          <w:b/>
          <w:bCs/>
          <w:rtl/>
        </w:rPr>
        <w:t>מיכאל אדרי נ' מדינת ישראל</w:t>
      </w:r>
      <w:r w:rsidRPr="00FA2273">
        <w:rPr>
          <w:rtl/>
        </w:rPr>
        <w:t>:</w:t>
      </w:r>
    </w:p>
    <w:p w14:paraId="7C629726" w14:textId="77777777" w:rsidR="00404D6F" w:rsidRPr="00FA2273" w:rsidRDefault="00404D6F" w:rsidP="00404D6F">
      <w:pPr>
        <w:spacing w:after="120" w:line="360" w:lineRule="auto"/>
        <w:ind w:left="1440"/>
        <w:jc w:val="both"/>
        <w:rPr>
          <w:b/>
          <w:bCs/>
          <w:rtl/>
        </w:rPr>
      </w:pPr>
      <w:r w:rsidRPr="00FA2273">
        <w:rPr>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6D4D7CF8" w14:textId="77777777" w:rsidR="00404D6F" w:rsidRDefault="00404D6F" w:rsidP="00404D6F">
      <w:pPr>
        <w:spacing w:after="120" w:line="360" w:lineRule="auto"/>
        <w:ind w:left="720" w:hanging="720"/>
        <w:jc w:val="both"/>
        <w:rPr>
          <w:rtl/>
        </w:rPr>
      </w:pPr>
    </w:p>
    <w:p w14:paraId="50C03326" w14:textId="77777777" w:rsidR="00404D6F" w:rsidRDefault="00404D6F" w:rsidP="00404D6F">
      <w:pPr>
        <w:spacing w:after="120" w:line="360" w:lineRule="auto"/>
        <w:ind w:left="720" w:hanging="720"/>
        <w:jc w:val="both"/>
        <w:rPr>
          <w:rtl/>
        </w:rPr>
      </w:pPr>
      <w:r>
        <w:rPr>
          <w:rFonts w:hint="cs"/>
          <w:rtl/>
        </w:rPr>
        <w:t>8.</w:t>
      </w:r>
      <w:r>
        <w:rPr>
          <w:rFonts w:hint="cs"/>
          <w:rtl/>
        </w:rPr>
        <w:tab/>
        <w:t xml:space="preserve">אל מול אלה יש להביא בחשבון גם את הנסיבות המקלות: עבירות הסחר בסמים מתייחסות לסם מסוג חשיש, הנאשם מכר כמויות קטנות של סם תמורת סכומי כסף לא גדולים. בשניים מהמקרים הרוכשים היו שוטרים, כך שבמקרים אלה הסם לא הגיע לידי אזרחים ולא נעשה בו שימוש (אם כי הנאשם לא היה מודע לכך). בעבירות הנשק נעשה שימוש בכלי נשק שפגיעתם מצומצמת ביחס לסוגים אחרים של נשק חם. כלי הירי המאולתר לא פעל בסופו של דבר, ובשני האירועים לא נגרם נזק לאדם, וכתב האישום אינו מתאר גם נזקי רכוש. </w:t>
      </w:r>
    </w:p>
    <w:p w14:paraId="787718C9" w14:textId="77777777" w:rsidR="00404D6F" w:rsidRDefault="00404D6F" w:rsidP="00404D6F">
      <w:pPr>
        <w:spacing w:after="120" w:line="360" w:lineRule="auto"/>
        <w:ind w:left="720" w:hanging="720"/>
        <w:jc w:val="both"/>
        <w:rPr>
          <w:rtl/>
        </w:rPr>
      </w:pPr>
    </w:p>
    <w:p w14:paraId="0BFECB03" w14:textId="77777777" w:rsidR="00404D6F" w:rsidRDefault="00404D6F" w:rsidP="00404D6F">
      <w:pPr>
        <w:spacing w:after="120" w:line="360" w:lineRule="auto"/>
        <w:ind w:left="720" w:hanging="720"/>
        <w:jc w:val="both"/>
        <w:rPr>
          <w:rtl/>
        </w:rPr>
      </w:pPr>
      <w:r>
        <w:rPr>
          <w:rFonts w:hint="cs"/>
          <w:rtl/>
        </w:rPr>
        <w:t>9.</w:t>
      </w:r>
      <w:r>
        <w:rPr>
          <w:rFonts w:hint="cs"/>
          <w:rtl/>
        </w:rPr>
        <w:tab/>
        <w:t>באשר לרמת הענישה הנוהגת בעבירות אלו, עיינתי בפסקי הדין אליהם הפנו הצדדים ובפסיקה נוספת. אציין כאן דוגמאות לפסקי דין רלוונטיים:</w:t>
      </w:r>
    </w:p>
    <w:p w14:paraId="48BEEC75" w14:textId="77777777" w:rsidR="00404D6F" w:rsidRDefault="00404D6F" w:rsidP="00404D6F">
      <w:pPr>
        <w:spacing w:after="120" w:line="360" w:lineRule="auto"/>
        <w:ind w:left="720" w:hanging="720"/>
        <w:jc w:val="both"/>
        <w:rPr>
          <w:rtl/>
        </w:rPr>
      </w:pPr>
      <w:r>
        <w:rPr>
          <w:rtl/>
        </w:rPr>
        <w:tab/>
      </w:r>
      <w:r>
        <w:rPr>
          <w:rFonts w:hint="cs"/>
          <w:rtl/>
        </w:rPr>
        <w:t>שותפו של הנאשם שבפני באישום השני שבתיק הנשק, אמיר סלמה, הוא שמסר לנאשם את רימון הגז והסביר לו כיצד להשתמש בו וכן החזיק שני רימוני הלם. גם עניינו של סלמה נדון בפני, ב</w:t>
      </w:r>
      <w:hyperlink r:id="rId37" w:history="1">
        <w:r w:rsidR="00E54AC2" w:rsidRPr="00E54AC2">
          <w:rPr>
            <w:color w:val="0000FF"/>
            <w:u w:val="single"/>
            <w:rtl/>
          </w:rPr>
          <w:t>ת"פ 44840-06-16</w:t>
        </w:r>
      </w:hyperlink>
      <w:r>
        <w:rPr>
          <w:rFonts w:hint="cs"/>
          <w:rtl/>
        </w:rPr>
        <w:t xml:space="preserve">, </w:t>
      </w:r>
      <w:r>
        <w:rPr>
          <w:rFonts w:hint="cs"/>
          <w:b/>
          <w:bCs/>
          <w:rtl/>
        </w:rPr>
        <w:t>מדינת ישראל נ' אמיר סלמה</w:t>
      </w:r>
      <w:r>
        <w:rPr>
          <w:rFonts w:hint="cs"/>
          <w:rtl/>
        </w:rPr>
        <w:t xml:space="preserve">. סלמה הורשע בעבירות נשק שחומרתן פחותה מהעבירות בהן הורשע הנאשם בתיק זה. עברו היה מכביד פחות ותסקיר שירות המבחן חיובי יותר. הוא נדון לשמונה חודשי מאסר בפועל ומאסר על תנאי. אני מפנה לפסק הדין בעניינו של סלמה ולפסיקה המובאת בו. </w:t>
      </w:r>
    </w:p>
    <w:p w14:paraId="5F823173" w14:textId="77777777" w:rsidR="00404D6F" w:rsidRPr="00C242DE" w:rsidRDefault="00404D6F" w:rsidP="00404D6F">
      <w:pPr>
        <w:spacing w:after="120" w:line="360" w:lineRule="auto"/>
        <w:ind w:left="720" w:hanging="720"/>
        <w:jc w:val="both"/>
        <w:rPr>
          <w:rtl/>
        </w:rPr>
      </w:pPr>
      <w:r>
        <w:rPr>
          <w:rtl/>
        </w:rPr>
        <w:tab/>
      </w:r>
      <w:hyperlink r:id="rId38" w:history="1">
        <w:r w:rsidR="00E54AC2" w:rsidRPr="00E54AC2">
          <w:rPr>
            <w:color w:val="0000FF"/>
            <w:u w:val="single"/>
            <w:rtl/>
          </w:rPr>
          <w:t>ע"פ 32/14</w:t>
        </w:r>
      </w:hyperlink>
      <w:r>
        <w:rPr>
          <w:rFonts w:hint="cs"/>
          <w:rtl/>
        </w:rPr>
        <w:t xml:space="preserve">, </w:t>
      </w:r>
      <w:r>
        <w:rPr>
          <w:rFonts w:hint="cs"/>
          <w:b/>
          <w:bCs/>
          <w:rtl/>
        </w:rPr>
        <w:t>שווקאת עמאש נ' מדינת ישראל</w:t>
      </w:r>
      <w:r>
        <w:rPr>
          <w:rFonts w:hint="cs"/>
          <w:rtl/>
        </w:rPr>
        <w:t xml:space="preserve"> </w:t>
      </w:r>
      <w:r>
        <w:rPr>
          <w:rtl/>
        </w:rPr>
        <w:t>–</w:t>
      </w:r>
      <w:r>
        <w:rPr>
          <w:rFonts w:hint="cs"/>
          <w:rtl/>
        </w:rPr>
        <w:t xml:space="preserve"> המערער וחברו ירו ירי מאיים לעבר בית לאחר מעשי אלימות ואיומים. הם ירו מאקדח 10 כדורים לעבר בית המתלונן וכדוראחד לשער הבית, ונדונו לעונשים של 65 חודשי מאסר (כולל הפעלת מאסר על תנאי ועבירות נוספות) ו-48 חודשי מאסר. הערעור נדחה. </w:t>
      </w:r>
    </w:p>
    <w:p w14:paraId="20AFE6AA" w14:textId="77777777" w:rsidR="00404D6F" w:rsidRPr="00FA2273" w:rsidRDefault="00E54AC2" w:rsidP="00404D6F">
      <w:pPr>
        <w:spacing w:after="240" w:line="360" w:lineRule="auto"/>
        <w:ind w:left="720"/>
        <w:jc w:val="both"/>
        <w:rPr>
          <w:rtl/>
        </w:rPr>
      </w:pPr>
      <w:hyperlink r:id="rId39" w:history="1">
        <w:r w:rsidRPr="00E54AC2">
          <w:rPr>
            <w:color w:val="0000FF"/>
            <w:u w:val="single"/>
            <w:rtl/>
          </w:rPr>
          <w:t>ת"פ (מחוזי חיפה) 31218-10-14</w:t>
        </w:r>
      </w:hyperlink>
      <w:r w:rsidR="00404D6F" w:rsidRPr="00FA2273">
        <w:rPr>
          <w:rtl/>
        </w:rPr>
        <w:t xml:space="preserve">, </w:t>
      </w:r>
      <w:r w:rsidR="00404D6F" w:rsidRPr="00FA2273">
        <w:rPr>
          <w:b/>
          <w:bCs/>
          <w:rtl/>
        </w:rPr>
        <w:t>מדינת ישראל נ' דיאב אסדי</w:t>
      </w:r>
      <w:r w:rsidR="00404D6F" w:rsidRPr="00FA2273">
        <w:rPr>
          <w:rtl/>
        </w:rPr>
        <w:t xml:space="preserve">, הנאשם הורשע בהחזקת רימון הלם, אשר בסמוך מאד להחזקתו הושלך לעבר בית המתלונן, נקבע מתחם שבין 8-20 חודשי מאסר </w:t>
      </w:r>
      <w:r w:rsidR="00404D6F">
        <w:rPr>
          <w:rFonts w:hint="cs"/>
          <w:rtl/>
        </w:rPr>
        <w:t>ב</w:t>
      </w:r>
      <w:r w:rsidR="00404D6F" w:rsidRPr="00FA2273">
        <w:rPr>
          <w:rtl/>
        </w:rPr>
        <w:t xml:space="preserve">פועל,  והנאשם נדון לתשעה חודשי מאסר בפועל ומאסר על תנאי. </w:t>
      </w:r>
    </w:p>
    <w:p w14:paraId="1730D217" w14:textId="77777777" w:rsidR="00404D6F" w:rsidRDefault="00E54AC2" w:rsidP="00404D6F">
      <w:pPr>
        <w:spacing w:after="120" w:line="360" w:lineRule="auto"/>
        <w:ind w:left="720"/>
        <w:jc w:val="both"/>
        <w:rPr>
          <w:rtl/>
        </w:rPr>
      </w:pPr>
      <w:hyperlink r:id="rId40" w:history="1">
        <w:r w:rsidRPr="00E54AC2">
          <w:rPr>
            <w:color w:val="0000FF"/>
            <w:u w:val="single"/>
            <w:rtl/>
          </w:rPr>
          <w:t>ת"פ (מחוזי נצרת) 19087-06-13</w:t>
        </w:r>
      </w:hyperlink>
      <w:r w:rsidR="00404D6F" w:rsidRPr="00C242DE">
        <w:rPr>
          <w:rtl/>
        </w:rPr>
        <w:t xml:space="preserve">, </w:t>
      </w:r>
      <w:r w:rsidR="00404D6F" w:rsidRPr="00FA2273">
        <w:rPr>
          <w:b/>
          <w:bCs/>
          <w:rtl/>
        </w:rPr>
        <w:t>מדינת ישראל נ' מנסור פואז</w:t>
      </w:r>
      <w:r w:rsidR="00404D6F" w:rsidRPr="00FA2273">
        <w:rPr>
          <w:rtl/>
        </w:rPr>
        <w:t>, הנאשם הורשע בנשיאה והובלת נשק ובמעשה פזיזות ורשלנות, באירוע שכלל זריקת רימון הלם לעבר אנשים</w:t>
      </w:r>
      <w:r w:rsidR="00404D6F">
        <w:rPr>
          <w:rFonts w:hint="cs"/>
          <w:rtl/>
        </w:rPr>
        <w:t>.</w:t>
      </w:r>
      <w:r w:rsidR="00404D6F" w:rsidRPr="00FA2273">
        <w:rPr>
          <w:rtl/>
        </w:rPr>
        <w:t xml:space="preserve"> לאחר תסקיר שלילי, נדון הנאשם לשמונה עשר חודשי מאסר בפועל, מאסר על תנאי וקנס.</w:t>
      </w:r>
    </w:p>
    <w:p w14:paraId="46F87706" w14:textId="77777777" w:rsidR="00404D6F" w:rsidRPr="00AE3A93" w:rsidRDefault="00E54AC2" w:rsidP="00404D6F">
      <w:pPr>
        <w:spacing w:after="120" w:line="360" w:lineRule="auto"/>
        <w:ind w:left="720"/>
        <w:jc w:val="both"/>
        <w:rPr>
          <w:rtl/>
        </w:rPr>
      </w:pPr>
      <w:hyperlink r:id="rId41" w:history="1">
        <w:r w:rsidRPr="00E54AC2">
          <w:rPr>
            <w:color w:val="0000FF"/>
            <w:u w:val="single"/>
            <w:rtl/>
          </w:rPr>
          <w:t>ת"פ (מחוזי נצרת) 33577-04-12</w:t>
        </w:r>
      </w:hyperlink>
      <w:r w:rsidR="00404D6F">
        <w:rPr>
          <w:rFonts w:hint="cs"/>
          <w:rtl/>
        </w:rPr>
        <w:t xml:space="preserve">, </w:t>
      </w:r>
      <w:r w:rsidR="00404D6F">
        <w:rPr>
          <w:rFonts w:hint="cs"/>
          <w:b/>
          <w:bCs/>
          <w:rtl/>
        </w:rPr>
        <w:t xml:space="preserve">מדינת ישראל נ' שלום שי בן שטרית </w:t>
      </w:r>
      <w:r w:rsidR="00404D6F">
        <w:rPr>
          <w:rFonts w:hint="cs"/>
          <w:rtl/>
        </w:rPr>
        <w:t xml:space="preserve"> - הנאשם הורשע בירי שלוש יריות לעבר המתלונן, שתיים חלפו בסמוך אליו והשלישית שרטה את ברכו של המתלונן. הנאשם לא נטל אחריות ובעל עבר פלילי כולל ריצוי שנות מאסר רבות. הוא נדון למאסר בפועל למשך ארבע שנים, מאסר על תנאי וקנס. </w:t>
      </w:r>
    </w:p>
    <w:p w14:paraId="44FB03A3" w14:textId="77777777" w:rsidR="00404D6F" w:rsidRDefault="00E54AC2" w:rsidP="00404D6F">
      <w:pPr>
        <w:spacing w:after="120" w:line="360" w:lineRule="auto"/>
        <w:ind w:left="720"/>
        <w:jc w:val="both"/>
        <w:rPr>
          <w:rtl/>
        </w:rPr>
      </w:pPr>
      <w:hyperlink r:id="rId42" w:history="1">
        <w:r w:rsidRPr="00E54AC2">
          <w:rPr>
            <w:color w:val="0000FF"/>
            <w:u w:val="single"/>
            <w:rtl/>
          </w:rPr>
          <w:t>ת"פ (מחוזי תל אביב) 50014/08</w:t>
        </w:r>
      </w:hyperlink>
      <w:r w:rsidR="00404D6F">
        <w:rPr>
          <w:rFonts w:hint="cs"/>
          <w:rtl/>
        </w:rPr>
        <w:t xml:space="preserve">, </w:t>
      </w:r>
      <w:r w:rsidR="00404D6F">
        <w:rPr>
          <w:rFonts w:hint="cs"/>
          <w:b/>
          <w:bCs/>
          <w:rtl/>
        </w:rPr>
        <w:t xml:space="preserve">מדינת ישראל נ' פלוני </w:t>
      </w:r>
      <w:r w:rsidR="00404D6F">
        <w:rPr>
          <w:b/>
          <w:bCs/>
          <w:rtl/>
        </w:rPr>
        <w:t>–</w:t>
      </w:r>
      <w:r w:rsidR="00404D6F">
        <w:rPr>
          <w:rFonts w:hint="cs"/>
          <w:b/>
          <w:bCs/>
          <w:rtl/>
        </w:rPr>
        <w:t xml:space="preserve"> קטין</w:t>
      </w:r>
      <w:r w:rsidR="00404D6F">
        <w:rPr>
          <w:rFonts w:hint="cs"/>
          <w:rtl/>
        </w:rPr>
        <w:t xml:space="preserve"> </w:t>
      </w:r>
      <w:r w:rsidR="00404D6F">
        <w:rPr>
          <w:rtl/>
        </w:rPr>
        <w:t>–</w:t>
      </w:r>
      <w:r w:rsidR="00404D6F">
        <w:rPr>
          <w:rFonts w:hint="cs"/>
          <w:rtl/>
        </w:rPr>
        <w:t xml:space="preserve"> הנאשם, קטין בן 17 בעל הרשעות קודמות, הורשע בירי 6 כדורים מאקדח חצי אוטומטי כשהוא מנסה לפגוע באלמוני וחבריו, ונדון ל-30 חודשי מאסר בפועל, מאסר על תנאי וקנס. </w:t>
      </w:r>
    </w:p>
    <w:p w14:paraId="6CC7519D" w14:textId="77777777" w:rsidR="00404D6F" w:rsidRPr="00814FD2" w:rsidRDefault="00E54AC2" w:rsidP="00404D6F">
      <w:pPr>
        <w:spacing w:after="120" w:line="360" w:lineRule="auto"/>
        <w:ind w:left="720"/>
        <w:jc w:val="both"/>
        <w:rPr>
          <w:rtl/>
        </w:rPr>
      </w:pPr>
      <w:hyperlink r:id="rId43" w:history="1">
        <w:r w:rsidRPr="00E54AC2">
          <w:rPr>
            <w:color w:val="0000FF"/>
            <w:u w:val="single"/>
            <w:rtl/>
          </w:rPr>
          <w:t>רע"פ 3271/17</w:t>
        </w:r>
      </w:hyperlink>
      <w:r w:rsidR="00404D6F">
        <w:rPr>
          <w:rFonts w:hint="cs"/>
          <w:rtl/>
        </w:rPr>
        <w:t xml:space="preserve">, </w:t>
      </w:r>
      <w:r w:rsidR="00404D6F">
        <w:rPr>
          <w:rFonts w:hint="cs"/>
          <w:b/>
          <w:bCs/>
          <w:rtl/>
        </w:rPr>
        <w:t xml:space="preserve">איתי עמיאל נ' מדינת ישראל </w:t>
      </w:r>
      <w:r w:rsidR="00404D6F">
        <w:rPr>
          <w:b/>
          <w:bCs/>
          <w:rtl/>
        </w:rPr>
        <w:softHyphen/>
      </w:r>
      <w:r w:rsidR="00404D6F">
        <w:rPr>
          <w:b/>
          <w:bCs/>
        </w:rPr>
        <w:t>–</w:t>
      </w:r>
      <w:r w:rsidR="00404D6F">
        <w:rPr>
          <w:rFonts w:hint="cs"/>
          <w:b/>
          <w:bCs/>
          <w:rtl/>
        </w:rPr>
        <w:t xml:space="preserve"> </w:t>
      </w:r>
      <w:r w:rsidR="00404D6F">
        <w:rPr>
          <w:rFonts w:hint="cs"/>
          <w:rtl/>
        </w:rPr>
        <w:t xml:space="preserve">המבקש, צעיר ללא עבר פלילי, הורשע במספר עבירות של מכירת סם מסוג קנבוס לסוכן משטרתי סמוי, בכמויות ובסכומים גדולים מאלה שבתיק שבפני. הוא נדון לשנת מאסר בפועל. בערעור לבית המשפט המחוזי הופחת עונשו ל-8 חודשי מאסר בשל הליך שיקום משמעותי שעבר. בקשת רשות ערעור לבית המשפט העליון נדחתה. </w:t>
      </w:r>
    </w:p>
    <w:p w14:paraId="3592E63A" w14:textId="77777777" w:rsidR="00404D6F" w:rsidRDefault="00E54AC2" w:rsidP="00404D6F">
      <w:pPr>
        <w:spacing w:after="120" w:line="360" w:lineRule="auto"/>
        <w:ind w:left="720"/>
        <w:jc w:val="both"/>
        <w:rPr>
          <w:rtl/>
        </w:rPr>
      </w:pPr>
      <w:hyperlink r:id="rId44" w:history="1">
        <w:r w:rsidRPr="00E54AC2">
          <w:rPr>
            <w:color w:val="0000FF"/>
            <w:u w:val="single"/>
            <w:rtl/>
          </w:rPr>
          <w:t>רע"פ 8478/02</w:t>
        </w:r>
      </w:hyperlink>
      <w:r w:rsidR="00404D6F">
        <w:rPr>
          <w:rFonts w:hint="cs"/>
          <w:rtl/>
        </w:rPr>
        <w:t xml:space="preserve">, </w:t>
      </w:r>
      <w:r w:rsidR="00404D6F">
        <w:rPr>
          <w:rFonts w:hint="cs"/>
          <w:b/>
          <w:bCs/>
          <w:rtl/>
        </w:rPr>
        <w:t xml:space="preserve">עאמר טנטש נ' מדינת ישראל </w:t>
      </w:r>
      <w:r w:rsidR="00404D6F">
        <w:rPr>
          <w:rtl/>
        </w:rPr>
        <w:t>–</w:t>
      </w:r>
      <w:r w:rsidR="00404D6F">
        <w:rPr>
          <w:rFonts w:hint="cs"/>
          <w:rtl/>
        </w:rPr>
        <w:t xml:space="preserve"> המבקש, צעיר ללא עבר פלילי, הורשע בשתי עבירות סחר בקנאביס לסוכן משטרתי סמוי ונדון ל-14 חודשי מאסר בפועל ומאסר על תנאי.  בקשת רשות ערעור שהגיש נדחתה. </w:t>
      </w:r>
    </w:p>
    <w:p w14:paraId="5F971204" w14:textId="77777777" w:rsidR="00404D6F" w:rsidRDefault="00E54AC2" w:rsidP="00404D6F">
      <w:pPr>
        <w:spacing w:after="120" w:line="360" w:lineRule="auto"/>
        <w:ind w:left="720"/>
        <w:jc w:val="both"/>
        <w:rPr>
          <w:rtl/>
        </w:rPr>
      </w:pPr>
      <w:hyperlink r:id="rId45" w:history="1">
        <w:r w:rsidRPr="00E54AC2">
          <w:rPr>
            <w:color w:val="0000FF"/>
            <w:u w:val="single"/>
            <w:rtl/>
          </w:rPr>
          <w:t>עפ"ג (מחוזי ירושלים) 13299-02-14</w:t>
        </w:r>
      </w:hyperlink>
      <w:r w:rsidR="00404D6F">
        <w:rPr>
          <w:rFonts w:hint="cs"/>
          <w:rtl/>
        </w:rPr>
        <w:t xml:space="preserve">, </w:t>
      </w:r>
      <w:r w:rsidR="00404D6F">
        <w:rPr>
          <w:rFonts w:hint="cs"/>
          <w:b/>
          <w:bCs/>
          <w:rtl/>
        </w:rPr>
        <w:t>מדינת ישראל נ' עזרא שמביק</w:t>
      </w:r>
      <w:r w:rsidR="00404D6F">
        <w:rPr>
          <w:rFonts w:hint="cs"/>
          <w:rtl/>
        </w:rPr>
        <w:t xml:space="preserve"> </w:t>
      </w:r>
      <w:r w:rsidR="00404D6F">
        <w:rPr>
          <w:rtl/>
        </w:rPr>
        <w:t>–</w:t>
      </w:r>
      <w:r w:rsidR="00404D6F">
        <w:rPr>
          <w:rFonts w:hint="cs"/>
          <w:rtl/>
        </w:rPr>
        <w:t xml:space="preserve"> המערער הורשע בשלוש עבירות סחר בקנאביס בכמויות גדולות בהרבה מהנדונות בתיק זה. לחובתו עבר מכביד ומאסרים. עונשו הוחמר ל-36 חודשי מאסר בפועל. </w:t>
      </w:r>
    </w:p>
    <w:p w14:paraId="419B0037" w14:textId="77777777" w:rsidR="00404D6F" w:rsidRDefault="00404D6F" w:rsidP="00404D6F">
      <w:pPr>
        <w:spacing w:after="120" w:line="360" w:lineRule="auto"/>
        <w:jc w:val="both"/>
        <w:rPr>
          <w:rtl/>
        </w:rPr>
      </w:pPr>
    </w:p>
    <w:p w14:paraId="726412DF" w14:textId="77777777" w:rsidR="00404D6F" w:rsidRDefault="00404D6F" w:rsidP="00404D6F">
      <w:pPr>
        <w:spacing w:after="120" w:line="360" w:lineRule="auto"/>
        <w:jc w:val="both"/>
        <w:rPr>
          <w:rtl/>
        </w:rPr>
      </w:pPr>
      <w:r>
        <w:rPr>
          <w:rFonts w:hint="cs"/>
          <w:rtl/>
        </w:rPr>
        <w:t>10.</w:t>
      </w:r>
      <w:r>
        <w:rPr>
          <w:rFonts w:hint="cs"/>
          <w:rtl/>
        </w:rPr>
        <w:tab/>
        <w:t xml:space="preserve">לאור כל האמור אני סבורה שמתחמי הענישה שיש לקבוע במקרה זה הם כדלקמן: </w:t>
      </w:r>
    </w:p>
    <w:p w14:paraId="0434ED80" w14:textId="77777777" w:rsidR="00404D6F" w:rsidRDefault="00404D6F" w:rsidP="00404D6F">
      <w:pPr>
        <w:spacing w:after="120" w:line="360" w:lineRule="auto"/>
        <w:jc w:val="both"/>
        <w:rPr>
          <w:rtl/>
        </w:rPr>
      </w:pPr>
      <w:r>
        <w:rPr>
          <w:rtl/>
        </w:rPr>
        <w:tab/>
      </w:r>
      <w:r>
        <w:rPr>
          <w:rFonts w:hint="cs"/>
          <w:rtl/>
        </w:rPr>
        <w:t xml:space="preserve">בתיק הנשק </w:t>
      </w:r>
      <w:r>
        <w:rPr>
          <w:rtl/>
        </w:rPr>
        <w:t>–</w:t>
      </w:r>
      <w:r>
        <w:rPr>
          <w:rFonts w:hint="cs"/>
          <w:rtl/>
        </w:rPr>
        <w:t xml:space="preserve"> מתחם כולל לשני האישומים הנע בין שתיים לארבע שנות מאסר. </w:t>
      </w:r>
    </w:p>
    <w:p w14:paraId="7D87FDF8" w14:textId="77777777" w:rsidR="00404D6F" w:rsidRDefault="00404D6F" w:rsidP="00404D6F">
      <w:pPr>
        <w:spacing w:after="120" w:line="360" w:lineRule="auto"/>
        <w:jc w:val="both"/>
        <w:rPr>
          <w:rtl/>
        </w:rPr>
      </w:pPr>
      <w:r>
        <w:rPr>
          <w:rtl/>
        </w:rPr>
        <w:tab/>
      </w:r>
      <w:r>
        <w:rPr>
          <w:rFonts w:hint="cs"/>
          <w:rtl/>
        </w:rPr>
        <w:t xml:space="preserve">בתיק הסמים </w:t>
      </w:r>
      <w:r>
        <w:rPr>
          <w:rtl/>
        </w:rPr>
        <w:t>–</w:t>
      </w:r>
      <w:r>
        <w:rPr>
          <w:rFonts w:hint="cs"/>
          <w:rtl/>
        </w:rPr>
        <w:t xml:space="preserve"> מתחם כולל שבין שנה לשנתיים מאסר. </w:t>
      </w:r>
    </w:p>
    <w:p w14:paraId="65271551" w14:textId="77777777" w:rsidR="00404D6F" w:rsidRDefault="00404D6F" w:rsidP="00404D6F">
      <w:pPr>
        <w:spacing w:after="120" w:line="360" w:lineRule="auto"/>
        <w:jc w:val="both"/>
        <w:rPr>
          <w:rtl/>
        </w:rPr>
      </w:pPr>
      <w:r>
        <w:rPr>
          <w:rtl/>
        </w:rPr>
        <w:tab/>
      </w:r>
      <w:r>
        <w:rPr>
          <w:rFonts w:hint="cs"/>
          <w:rtl/>
        </w:rPr>
        <w:t xml:space="preserve">בתיק הגניבה </w:t>
      </w:r>
      <w:r>
        <w:rPr>
          <w:rtl/>
        </w:rPr>
        <w:t>–</w:t>
      </w:r>
      <w:r>
        <w:rPr>
          <w:rFonts w:hint="cs"/>
          <w:rtl/>
        </w:rPr>
        <w:t xml:space="preserve"> מתחם שבין עונש שאינו כולל מאסר בפועל לבין מאסר קצר ופיצוי למתלונן.</w:t>
      </w:r>
    </w:p>
    <w:p w14:paraId="2769B8F1" w14:textId="77777777" w:rsidR="00404D6F" w:rsidRDefault="00404D6F" w:rsidP="00404D6F">
      <w:pPr>
        <w:spacing w:after="120" w:line="360" w:lineRule="auto"/>
        <w:jc w:val="both"/>
        <w:rPr>
          <w:rtl/>
        </w:rPr>
      </w:pPr>
    </w:p>
    <w:p w14:paraId="1DE8BA56" w14:textId="77777777" w:rsidR="00404D6F" w:rsidRDefault="00404D6F" w:rsidP="00404D6F">
      <w:pPr>
        <w:spacing w:after="120" w:line="360" w:lineRule="auto"/>
        <w:jc w:val="both"/>
        <w:rPr>
          <w:rtl/>
        </w:rPr>
      </w:pPr>
      <w:r>
        <w:rPr>
          <w:rtl/>
        </w:rPr>
        <w:tab/>
      </w:r>
      <w:r>
        <w:rPr>
          <w:rFonts w:hint="cs"/>
          <w:b/>
          <w:bCs/>
          <w:u w:val="single"/>
          <w:rtl/>
        </w:rPr>
        <w:t>העונש הראוי בתיק זה</w:t>
      </w:r>
    </w:p>
    <w:p w14:paraId="04414558" w14:textId="77777777" w:rsidR="00404D6F" w:rsidRDefault="00404D6F" w:rsidP="00404D6F">
      <w:pPr>
        <w:spacing w:after="120" w:line="360" w:lineRule="auto"/>
        <w:ind w:left="720" w:hanging="720"/>
        <w:jc w:val="both"/>
        <w:rPr>
          <w:rtl/>
        </w:rPr>
      </w:pPr>
      <w:r>
        <w:rPr>
          <w:rFonts w:hint="cs"/>
          <w:rtl/>
        </w:rPr>
        <w:t>11.</w:t>
      </w:r>
      <w:r>
        <w:rPr>
          <w:rFonts w:hint="cs"/>
          <w:rtl/>
        </w:rPr>
        <w:tab/>
        <w:t xml:space="preserve">בדיון בעניין המתחם עמדתי על החומרה שבריבוי עבירות וריבוי סוגי עבירות, המצביעה על מעורבות עמוקה בעולם העברייני. גם היכולת להשיג נשק מצביעה על מעורבות כזו, בעיקר כשמדובר בנשק מסוגים שונים. חומרה נוספת נובעת מעברו של הנאשם, אשר על אף גילו הצעיר כולל עשרות עבירות מסוגים שונים, כולל רכוש, אלימות וסמים וכן ריצוי של מספר תקופות מאסר. העובדה שהנאשם ביצע את העבירות השונות בסמוך לאחר ששוחרר ממעצר מצביעה על העדר עכבות וגבולות, והעדר ניסיון לנהל אורח חיים נורמטיבי, ולו לתקופה קצרה. </w:t>
      </w:r>
    </w:p>
    <w:p w14:paraId="570DFB1D" w14:textId="77777777" w:rsidR="00404D6F" w:rsidRDefault="00404D6F" w:rsidP="00404D6F">
      <w:pPr>
        <w:spacing w:after="120" w:line="360" w:lineRule="auto"/>
        <w:ind w:left="720"/>
        <w:jc w:val="both"/>
        <w:rPr>
          <w:rtl/>
        </w:rPr>
      </w:pPr>
      <w:r>
        <w:rPr>
          <w:rFonts w:hint="cs"/>
          <w:rtl/>
        </w:rPr>
        <w:t xml:space="preserve">בצד זאת עומדים לזכותו של הנאשם גילו הצעיר, המותיר פתח תקווה, תנאי החיים הקשים שליוו את הנאשם מראשית ילדותו, כך שנקודת הזינוק של חייו לא הקלה עימו. הודאתו של הנאשם בתיק המקורי שבפני ובשני התיקים הנוספים שצורפו הביאה לייעול וחסכון זמן משמעותי, ומצביעה על נטילת אחריות מצד הנאשם. יש לקוות כי יחד עם הבעת הרצון בשיקום, והעובדה שהנאשם הפסיק מרצונו את השימוש בסמים מאז מעצרו, כאמור בתסקיר, ניתן למצוא אצל הנאשם ניצנים של כוונה להביא לשינוי מהותי באורח חייו. </w:t>
      </w:r>
    </w:p>
    <w:p w14:paraId="4E675F93" w14:textId="77777777" w:rsidR="00404D6F" w:rsidRDefault="00404D6F" w:rsidP="00404D6F">
      <w:pPr>
        <w:spacing w:after="120" w:line="360" w:lineRule="auto"/>
        <w:jc w:val="both"/>
        <w:rPr>
          <w:rtl/>
        </w:rPr>
      </w:pPr>
    </w:p>
    <w:p w14:paraId="6ECA74A6" w14:textId="77777777" w:rsidR="00404D6F" w:rsidRDefault="00404D6F" w:rsidP="00404D6F">
      <w:pPr>
        <w:spacing w:after="120" w:line="360" w:lineRule="auto"/>
        <w:jc w:val="both"/>
        <w:rPr>
          <w:rtl/>
        </w:rPr>
      </w:pPr>
      <w:r>
        <w:rPr>
          <w:rFonts w:hint="cs"/>
          <w:rtl/>
        </w:rPr>
        <w:t>12.</w:t>
      </w:r>
      <w:r>
        <w:rPr>
          <w:rFonts w:hint="cs"/>
          <w:rtl/>
        </w:rPr>
        <w:tab/>
        <w:t xml:space="preserve">לאור כל האמור אני דנה את הנאשם כמפורט להלן: </w:t>
      </w:r>
    </w:p>
    <w:p w14:paraId="67E9F3DF" w14:textId="77777777" w:rsidR="00404D6F" w:rsidRDefault="00404D6F" w:rsidP="00404D6F">
      <w:pPr>
        <w:spacing w:after="120" w:line="360" w:lineRule="auto"/>
        <w:ind w:left="720" w:firstLine="90"/>
        <w:jc w:val="both"/>
        <w:rPr>
          <w:rtl/>
        </w:rPr>
      </w:pPr>
      <w:r>
        <w:rPr>
          <w:rFonts w:hint="cs"/>
          <w:rtl/>
        </w:rPr>
        <w:t>1.</w:t>
      </w:r>
      <w:r>
        <w:rPr>
          <w:rtl/>
        </w:rPr>
        <w:tab/>
      </w:r>
      <w:r w:rsidRPr="00361488">
        <w:rPr>
          <w:rFonts w:hint="cs"/>
          <w:b/>
          <w:bCs/>
          <w:rtl/>
        </w:rPr>
        <w:t>מאסר</w:t>
      </w:r>
      <w:r>
        <w:rPr>
          <w:rFonts w:hint="cs"/>
          <w:rtl/>
        </w:rPr>
        <w:t xml:space="preserve"> על תיק הנשק למשך שלוש שנים, מאסר על תיק הסמים למשך שנה וחצי, מאסר על תיק הגניבה למשך חודש. שישה חודשים מתוך תקופת המאסר תרוצה בחופף, והיתר במצטבר, כך שתקופת המאסר שהוטל על הנאשם בגין שלושת התיקים תעמוד על ארבע שנים וחודש אחד, שיימנו החל מיום מעצרו.</w:t>
      </w:r>
    </w:p>
    <w:p w14:paraId="153D9DB0" w14:textId="77777777" w:rsidR="00404D6F" w:rsidRDefault="00404D6F" w:rsidP="00404D6F">
      <w:pPr>
        <w:spacing w:after="120" w:line="360" w:lineRule="auto"/>
        <w:ind w:left="720"/>
        <w:jc w:val="both"/>
        <w:rPr>
          <w:b/>
          <w:bCs/>
          <w:rtl/>
        </w:rPr>
      </w:pPr>
      <w:r>
        <w:rPr>
          <w:rFonts w:hint="cs"/>
          <w:rtl/>
        </w:rPr>
        <w:t>2.</w:t>
      </w:r>
      <w:r>
        <w:rPr>
          <w:rFonts w:hint="cs"/>
          <w:rtl/>
        </w:rPr>
        <w:tab/>
      </w:r>
      <w:r w:rsidRPr="00361488">
        <w:rPr>
          <w:rFonts w:hint="cs"/>
          <w:b/>
          <w:bCs/>
          <w:rtl/>
        </w:rPr>
        <w:t xml:space="preserve">הפעלת מאסר על תנאי </w:t>
      </w:r>
      <w:r>
        <w:rPr>
          <w:rFonts w:hint="cs"/>
          <w:rtl/>
        </w:rPr>
        <w:t>לחמישה חודשים שהוטל על הנאשם ב</w:t>
      </w:r>
      <w:hyperlink r:id="rId46" w:history="1">
        <w:r w:rsidR="00E54AC2" w:rsidRPr="00E54AC2">
          <w:rPr>
            <w:color w:val="0000FF"/>
            <w:u w:val="single"/>
            <w:rtl/>
          </w:rPr>
          <w:t>ת"פ 58300-03-14</w:t>
        </w:r>
      </w:hyperlink>
      <w:r>
        <w:rPr>
          <w:rFonts w:hint="cs"/>
          <w:rtl/>
        </w:rPr>
        <w:t xml:space="preserve"> בבית משפט השלום לנוער בירושלים. </w:t>
      </w:r>
      <w:r w:rsidRPr="00361488">
        <w:rPr>
          <w:rFonts w:hint="cs"/>
          <w:b/>
          <w:bCs/>
          <w:rtl/>
        </w:rPr>
        <w:t>בסך הכל ירצה הנאשם</w:t>
      </w:r>
      <w:r>
        <w:rPr>
          <w:rFonts w:hint="cs"/>
          <w:b/>
          <w:bCs/>
          <w:rtl/>
        </w:rPr>
        <w:t xml:space="preserve"> מאסר למשך</w:t>
      </w:r>
      <w:r w:rsidRPr="00361488">
        <w:rPr>
          <w:rFonts w:hint="cs"/>
          <w:b/>
          <w:bCs/>
          <w:rtl/>
        </w:rPr>
        <w:t xml:space="preserve"> ארבע שנים ושישה חודשים מיום מעצרו. </w:t>
      </w:r>
    </w:p>
    <w:p w14:paraId="77D71D16" w14:textId="77777777" w:rsidR="00404D6F" w:rsidRDefault="00404D6F" w:rsidP="00404D6F">
      <w:pPr>
        <w:spacing w:after="120" w:line="360" w:lineRule="auto"/>
        <w:ind w:left="720"/>
        <w:jc w:val="both"/>
        <w:rPr>
          <w:rtl/>
        </w:rPr>
      </w:pPr>
      <w:r>
        <w:rPr>
          <w:rFonts w:hint="cs"/>
          <w:rtl/>
        </w:rPr>
        <w:t>3.</w:t>
      </w:r>
      <w:r>
        <w:rPr>
          <w:rFonts w:hint="cs"/>
          <w:b/>
          <w:bCs/>
          <w:rtl/>
        </w:rPr>
        <w:tab/>
        <w:t xml:space="preserve">מאסר על תנאי </w:t>
      </w:r>
      <w:r w:rsidRPr="00361488">
        <w:rPr>
          <w:rFonts w:hint="cs"/>
          <w:rtl/>
        </w:rPr>
        <w:t>ל</w:t>
      </w:r>
      <w:r>
        <w:rPr>
          <w:rFonts w:hint="cs"/>
          <w:rtl/>
        </w:rPr>
        <w:t xml:space="preserve">שישה חודשים למשך שלוש שנים על כל עבירה בנשק וכן על כל עבירת סמים שהיא פשע. </w:t>
      </w:r>
    </w:p>
    <w:p w14:paraId="1283BF05" w14:textId="77777777" w:rsidR="00404D6F" w:rsidRPr="00361488" w:rsidRDefault="00404D6F" w:rsidP="00404D6F">
      <w:pPr>
        <w:spacing w:after="120" w:line="360" w:lineRule="auto"/>
        <w:ind w:left="720"/>
        <w:jc w:val="both"/>
        <w:rPr>
          <w:rtl/>
        </w:rPr>
      </w:pPr>
      <w:r>
        <w:rPr>
          <w:rFonts w:hint="cs"/>
          <w:rtl/>
        </w:rPr>
        <w:t>4.</w:t>
      </w:r>
      <w:r>
        <w:rPr>
          <w:rtl/>
        </w:rPr>
        <w:tab/>
      </w:r>
      <w:r w:rsidRPr="00361488">
        <w:rPr>
          <w:rFonts w:hint="cs"/>
          <w:b/>
          <w:bCs/>
          <w:rtl/>
        </w:rPr>
        <w:t>פיצוי למתלונן</w:t>
      </w:r>
      <w:r>
        <w:rPr>
          <w:rFonts w:hint="cs"/>
          <w:rtl/>
        </w:rPr>
        <w:t xml:space="preserve"> בתיק הגניבה בסך 3,000 ₪, שישולם תוך 60 יום מהיום. </w:t>
      </w:r>
    </w:p>
    <w:p w14:paraId="6343D731" w14:textId="77777777" w:rsidR="00404D6F" w:rsidRDefault="00404D6F" w:rsidP="00404D6F">
      <w:pPr>
        <w:spacing w:after="120" w:line="360" w:lineRule="auto"/>
        <w:ind w:left="720"/>
        <w:jc w:val="both"/>
        <w:rPr>
          <w:b/>
          <w:bCs/>
          <w:rtl/>
        </w:rPr>
      </w:pPr>
      <w:r w:rsidRPr="000A2027">
        <w:rPr>
          <w:rFonts w:hint="cs"/>
          <w:b/>
          <w:bCs/>
          <w:rtl/>
        </w:rPr>
        <w:t xml:space="preserve">בעקבות בקשת הנאשם והמלצת קצין המבחן, מתבקש שב"ס לבחון בחיוב ולעשות את הנדרש כדי לשלב את הנאשם בהליך טיפולי ושיקומי מתאים במהלך תקופת מאסרו. </w:t>
      </w:r>
    </w:p>
    <w:p w14:paraId="3CA34B5E" w14:textId="77777777" w:rsidR="00404D6F" w:rsidRDefault="00404D6F" w:rsidP="00404D6F">
      <w:pPr>
        <w:spacing w:after="120" w:line="360" w:lineRule="auto"/>
        <w:ind w:left="720"/>
        <w:jc w:val="both"/>
        <w:rPr>
          <w:b/>
          <w:bCs/>
          <w:rtl/>
        </w:rPr>
      </w:pPr>
    </w:p>
    <w:p w14:paraId="5F8F2372" w14:textId="77777777" w:rsidR="00404D6F" w:rsidRPr="000A2027" w:rsidRDefault="00404D6F" w:rsidP="00404D6F">
      <w:pPr>
        <w:spacing w:after="120" w:line="360" w:lineRule="auto"/>
        <w:ind w:left="720"/>
        <w:jc w:val="both"/>
        <w:rPr>
          <w:rtl/>
        </w:rPr>
      </w:pPr>
      <w:r w:rsidRPr="000A2027">
        <w:rPr>
          <w:rFonts w:hint="cs"/>
          <w:rtl/>
        </w:rPr>
        <w:t xml:space="preserve">זכות ערעור לבית המשפט העליון תוך 45 יום. </w:t>
      </w:r>
    </w:p>
    <w:p w14:paraId="114FC580" w14:textId="77777777" w:rsidR="00404D6F" w:rsidRPr="00E54AC2" w:rsidRDefault="00E54AC2" w:rsidP="00404D6F">
      <w:pPr>
        <w:rPr>
          <w:color w:val="FFFFFF"/>
          <w:sz w:val="2"/>
          <w:szCs w:val="2"/>
          <w:rtl/>
        </w:rPr>
      </w:pPr>
      <w:r w:rsidRPr="00E54AC2">
        <w:rPr>
          <w:color w:val="FFFFFF"/>
          <w:sz w:val="2"/>
          <w:szCs w:val="2"/>
          <w:rtl/>
        </w:rPr>
        <w:t>5129371</w:t>
      </w:r>
    </w:p>
    <w:p w14:paraId="3C58875B" w14:textId="77777777" w:rsidR="00404D6F" w:rsidRPr="000A2027" w:rsidRDefault="00E54AC2" w:rsidP="00404D6F">
      <w:pPr>
        <w:rPr>
          <w:rFonts w:cs="FrankRuehl"/>
          <w:sz w:val="28"/>
          <w:szCs w:val="28"/>
          <w:rtl/>
        </w:rPr>
      </w:pPr>
      <w:r w:rsidRPr="00E54AC2">
        <w:rPr>
          <w:rFonts w:ascii="Arial" w:hAnsi="Arial"/>
          <w:color w:val="FFFFFF"/>
          <w:sz w:val="2"/>
          <w:szCs w:val="2"/>
          <w:rtl/>
        </w:rPr>
        <w:t>54678313</w:t>
      </w:r>
      <w:r>
        <w:rPr>
          <w:rFonts w:ascii="Arial" w:hAnsi="Arial"/>
          <w:rtl/>
        </w:rPr>
        <w:t xml:space="preserve">ניתן היום,  ג' תמוז תשע"ז, 27 יוני 2017, בנוכחות הצדדים. </w:t>
      </w:r>
    </w:p>
    <w:p w14:paraId="2B4D8F51" w14:textId="77777777" w:rsidR="00404D6F" w:rsidRDefault="00404D6F" w:rsidP="00404D6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97FE76C" w14:textId="77777777" w:rsidR="00404D6F" w:rsidRDefault="00404D6F" w:rsidP="00404D6F">
      <w:pPr>
        <w:jc w:val="center"/>
        <w:rPr>
          <w:rFonts w:ascii="Arial" w:hAnsi="Arial" w:cs="FrankRuehl"/>
          <w:sz w:val="28"/>
          <w:szCs w:val="28"/>
          <w:rtl/>
        </w:rPr>
      </w:pPr>
    </w:p>
    <w:p w14:paraId="1ADE01A3" w14:textId="77777777" w:rsidR="00404D6F" w:rsidRDefault="00404D6F" w:rsidP="00404D6F">
      <w:pPr>
        <w:rPr>
          <w:rFonts w:cs="FrankRuehl"/>
          <w:sz w:val="28"/>
          <w:szCs w:val="28"/>
          <w:rtl/>
        </w:rPr>
      </w:pPr>
    </w:p>
    <w:p w14:paraId="51F1972A" w14:textId="77777777" w:rsidR="00404D6F" w:rsidRPr="000B5E12" w:rsidRDefault="000B5E12" w:rsidP="00404D6F">
      <w:pPr>
        <w:pStyle w:val="a3"/>
        <w:jc w:val="center"/>
        <w:rPr>
          <w:color w:val="FFFFFF"/>
          <w:sz w:val="2"/>
          <w:szCs w:val="2"/>
          <w:rtl/>
        </w:rPr>
      </w:pPr>
      <w:r w:rsidRPr="000B5E12">
        <w:rPr>
          <w:color w:val="FFFFFF"/>
          <w:sz w:val="2"/>
          <w:szCs w:val="2"/>
          <w:rtl/>
        </w:rPr>
        <w:t>5129371</w:t>
      </w:r>
    </w:p>
    <w:p w14:paraId="3C411501" w14:textId="77777777" w:rsidR="001E39F7" w:rsidRPr="000B5E12" w:rsidRDefault="000B5E12" w:rsidP="00E54AC2">
      <w:pPr>
        <w:keepNext/>
        <w:rPr>
          <w:rFonts w:ascii="David" w:hAnsi="David"/>
          <w:color w:val="FFFFFF"/>
          <w:sz w:val="2"/>
          <w:szCs w:val="2"/>
          <w:rtl/>
        </w:rPr>
      </w:pPr>
      <w:r w:rsidRPr="000B5E12">
        <w:rPr>
          <w:rFonts w:ascii="David" w:hAnsi="David"/>
          <w:color w:val="FFFFFF"/>
          <w:sz w:val="2"/>
          <w:szCs w:val="2"/>
          <w:rtl/>
        </w:rPr>
        <w:t>54678313</w:t>
      </w:r>
    </w:p>
    <w:p w14:paraId="27CF8CAC" w14:textId="77777777" w:rsidR="00E54AC2" w:rsidRPr="00E54AC2" w:rsidRDefault="00E54AC2" w:rsidP="00E54AC2">
      <w:pPr>
        <w:keepNext/>
        <w:rPr>
          <w:rFonts w:ascii="David" w:hAnsi="David"/>
          <w:color w:val="000000"/>
          <w:sz w:val="22"/>
          <w:szCs w:val="22"/>
          <w:rtl/>
        </w:rPr>
      </w:pPr>
      <w:r w:rsidRPr="00E54AC2">
        <w:rPr>
          <w:rFonts w:ascii="David" w:hAnsi="David"/>
          <w:color w:val="000000"/>
          <w:sz w:val="22"/>
          <w:szCs w:val="22"/>
          <w:rtl/>
        </w:rPr>
        <w:t>חגית מאק קלמנוביץ 54678313</w:t>
      </w:r>
    </w:p>
    <w:p w14:paraId="60547CFF" w14:textId="77777777" w:rsidR="00E54AC2" w:rsidRDefault="00E54AC2" w:rsidP="00E54AC2">
      <w:r w:rsidRPr="00E54AC2">
        <w:rPr>
          <w:color w:val="000000"/>
          <w:rtl/>
        </w:rPr>
        <w:t>נוסח מסמך זה כפוף לשינויי ניסוח ועריכה</w:t>
      </w:r>
    </w:p>
    <w:p w14:paraId="244C2CAA" w14:textId="77777777" w:rsidR="00E54AC2" w:rsidRDefault="00E54AC2" w:rsidP="00E54AC2">
      <w:pPr>
        <w:rPr>
          <w:rtl/>
        </w:rPr>
      </w:pPr>
    </w:p>
    <w:p w14:paraId="195A2A0F" w14:textId="77777777" w:rsidR="00E54AC2" w:rsidRDefault="00E54AC2" w:rsidP="00E54AC2">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30C530C" w14:textId="77777777" w:rsidR="000B5E12" w:rsidRPr="000B5E12" w:rsidRDefault="000B5E12" w:rsidP="000B5E12">
      <w:pPr>
        <w:keepNext/>
        <w:rPr>
          <w:rFonts w:ascii="David" w:hAnsi="David"/>
          <w:color w:val="000000"/>
          <w:sz w:val="22"/>
          <w:szCs w:val="22"/>
          <w:rtl/>
        </w:rPr>
      </w:pPr>
    </w:p>
    <w:sectPr w:rsidR="000B5E12" w:rsidRPr="000B5E12" w:rsidSect="000B5E12">
      <w:headerReference w:type="even" r:id="rId48"/>
      <w:headerReference w:type="default" r:id="rId49"/>
      <w:footerReference w:type="even" r:id="rId50"/>
      <w:footerReference w:type="default" r:id="rId51"/>
      <w:pgSz w:w="11907" w:h="16840" w:code="9"/>
      <w:pgMar w:top="1701" w:right="1701" w:bottom="241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7D1C3" w14:textId="77777777" w:rsidR="00BD3AD7" w:rsidRDefault="00BD3AD7" w:rsidP="00D64823">
      <w:r>
        <w:separator/>
      </w:r>
    </w:p>
  </w:endnote>
  <w:endnote w:type="continuationSeparator" w:id="0">
    <w:p w14:paraId="67528CFF" w14:textId="77777777" w:rsidR="00BD3AD7" w:rsidRDefault="00BD3AD7" w:rsidP="00D64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DB9F" w14:textId="77777777" w:rsidR="000B5E12" w:rsidRDefault="000B5E12" w:rsidP="000B5E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CB2AC4" w14:textId="77777777" w:rsidR="00EC3649" w:rsidRPr="000B5E12" w:rsidRDefault="000B5E12" w:rsidP="000B5E12">
    <w:pPr>
      <w:pStyle w:val="a5"/>
      <w:pBdr>
        <w:top w:val="single" w:sz="4" w:space="1" w:color="auto"/>
        <w:between w:val="single" w:sz="4" w:space="0" w:color="auto"/>
      </w:pBdr>
      <w:spacing w:after="60"/>
      <w:jc w:val="center"/>
      <w:rPr>
        <w:rFonts w:ascii="FrankRuehl" w:hAnsi="FrankRuehl" w:cs="FrankRuehl"/>
        <w:color w:val="000000"/>
      </w:rPr>
    </w:pPr>
    <w:r w:rsidRPr="000B5E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61D0" w14:textId="77777777" w:rsidR="000B5E12" w:rsidRDefault="000B5E12" w:rsidP="000B5E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04EA">
      <w:rPr>
        <w:rFonts w:ascii="FrankRuehl" w:hAnsi="FrankRuehl" w:cs="FrankRuehl"/>
        <w:noProof/>
        <w:rtl/>
      </w:rPr>
      <w:t>1</w:t>
    </w:r>
    <w:r>
      <w:rPr>
        <w:rFonts w:ascii="FrankRuehl" w:hAnsi="FrankRuehl" w:cs="FrankRuehl"/>
        <w:rtl/>
      </w:rPr>
      <w:fldChar w:fldCharType="end"/>
    </w:r>
  </w:p>
  <w:p w14:paraId="57792A59" w14:textId="77777777" w:rsidR="00EC3649" w:rsidRPr="000B5E12" w:rsidRDefault="000B5E12" w:rsidP="000B5E12">
    <w:pPr>
      <w:pStyle w:val="a5"/>
      <w:pBdr>
        <w:top w:val="single" w:sz="4" w:space="1" w:color="auto"/>
        <w:between w:val="single" w:sz="4" w:space="0" w:color="auto"/>
      </w:pBdr>
      <w:spacing w:after="60"/>
      <w:jc w:val="center"/>
      <w:rPr>
        <w:rFonts w:ascii="FrankRuehl" w:hAnsi="FrankRuehl" w:cs="FrankRuehl"/>
        <w:color w:val="000000"/>
      </w:rPr>
    </w:pPr>
    <w:r w:rsidRPr="000B5E12">
      <w:rPr>
        <w:rFonts w:ascii="FrankRuehl" w:hAnsi="FrankRuehl" w:cs="FrankRuehl"/>
        <w:color w:val="000000"/>
      </w:rPr>
      <w:pict w14:anchorId="35583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5C01" w14:textId="77777777" w:rsidR="00BD3AD7" w:rsidRDefault="00BD3AD7" w:rsidP="00D64823">
      <w:r>
        <w:separator/>
      </w:r>
    </w:p>
  </w:footnote>
  <w:footnote w:type="continuationSeparator" w:id="0">
    <w:p w14:paraId="6B4BF164" w14:textId="77777777" w:rsidR="00BD3AD7" w:rsidRDefault="00BD3AD7" w:rsidP="00D64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3FCF" w14:textId="77777777" w:rsidR="00E54AC2" w:rsidRPr="000B5E12" w:rsidRDefault="000B5E12" w:rsidP="000B5E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42987-06-16</w:t>
    </w:r>
    <w:r>
      <w:rPr>
        <w:rFonts w:ascii="David" w:hAnsi="David"/>
        <w:color w:val="000000"/>
        <w:sz w:val="22"/>
        <w:szCs w:val="22"/>
        <w:rtl/>
      </w:rPr>
      <w:tab/>
      <w:t xml:space="preserve"> מדינת ישראל נ' אלירון גולד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6EF2" w14:textId="77777777" w:rsidR="00E54AC2" w:rsidRPr="000B5E12" w:rsidRDefault="000B5E12" w:rsidP="000B5E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42987-06-16</w:t>
    </w:r>
    <w:r>
      <w:rPr>
        <w:rFonts w:ascii="David" w:hAnsi="David"/>
        <w:color w:val="000000"/>
        <w:sz w:val="22"/>
        <w:szCs w:val="22"/>
        <w:rtl/>
      </w:rPr>
      <w:tab/>
      <w:t xml:space="preserve"> מדינת ישראל נ' אלירון גולד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4D6F"/>
    <w:rsid w:val="000B5E12"/>
    <w:rsid w:val="001E39F7"/>
    <w:rsid w:val="003004EA"/>
    <w:rsid w:val="00404D6F"/>
    <w:rsid w:val="00476E44"/>
    <w:rsid w:val="00BD3AD7"/>
    <w:rsid w:val="00C2424C"/>
    <w:rsid w:val="00D64823"/>
    <w:rsid w:val="00E54AC2"/>
    <w:rsid w:val="00EC3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EC61C6A"/>
  <w15:chartTrackingRefBased/>
  <w15:docId w15:val="{8257F723-D53C-4A20-B3D0-D3716404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4D6F"/>
    <w:pPr>
      <w:bidi/>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4D6F"/>
    <w:pPr>
      <w:tabs>
        <w:tab w:val="center" w:pos="4153"/>
        <w:tab w:val="right" w:pos="8306"/>
      </w:tabs>
    </w:pPr>
  </w:style>
  <w:style w:type="character" w:customStyle="1" w:styleId="a4">
    <w:name w:val="כותרת עליונה תו"/>
    <w:link w:val="a3"/>
    <w:rsid w:val="00404D6F"/>
    <w:rPr>
      <w:rFonts w:cs="David"/>
      <w:sz w:val="24"/>
      <w:szCs w:val="24"/>
    </w:rPr>
  </w:style>
  <w:style w:type="paragraph" w:styleId="a5">
    <w:name w:val="footer"/>
    <w:basedOn w:val="a"/>
    <w:link w:val="a6"/>
    <w:rsid w:val="00404D6F"/>
    <w:pPr>
      <w:tabs>
        <w:tab w:val="center" w:pos="4153"/>
        <w:tab w:val="right" w:pos="8306"/>
      </w:tabs>
    </w:pPr>
  </w:style>
  <w:style w:type="character" w:customStyle="1" w:styleId="a6">
    <w:name w:val="כותרת תחתונה תו"/>
    <w:link w:val="a5"/>
    <w:rsid w:val="00404D6F"/>
    <w:rPr>
      <w:rFonts w:cs="David"/>
      <w:sz w:val="24"/>
      <w:szCs w:val="24"/>
    </w:rPr>
  </w:style>
  <w:style w:type="table" w:styleId="a7">
    <w:name w:val="Table Grid"/>
    <w:basedOn w:val="a1"/>
    <w:rsid w:val="00404D6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4D6F"/>
  </w:style>
  <w:style w:type="character" w:styleId="Hyperlink">
    <w:name w:val="Hyperlink"/>
    <w:rsid w:val="00404D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4216/19;13a" TargetMode="External"/><Relationship Id="rId39" Type="http://schemas.openxmlformats.org/officeDocument/2006/relationships/hyperlink" Target="http://www.nevo.co.il/case/18105668" TargetMode="External"/><Relationship Id="rId21" Type="http://schemas.openxmlformats.org/officeDocument/2006/relationships/hyperlink" Target="http://www.nevo.co.il/law/70301/329.a.2" TargetMode="External"/><Relationship Id="rId34" Type="http://schemas.openxmlformats.org/officeDocument/2006/relationships/hyperlink" Target="http://www.nevo.co.il/case/21479656" TargetMode="External"/><Relationship Id="rId42" Type="http://schemas.openxmlformats.org/officeDocument/2006/relationships/hyperlink" Target="http://www.nevo.co.il/case/2250194"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4216/13a" TargetMode="External"/><Relationship Id="rId29" Type="http://schemas.openxmlformats.org/officeDocument/2006/relationships/hyperlink" Target="http://www.nevo.co.il/case/21931963" TargetMode="External"/><Relationship Id="rId11" Type="http://schemas.openxmlformats.org/officeDocument/2006/relationships/hyperlink" Target="http://www.nevo.co.il/law/70301/382.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3089283" TargetMode="External"/><Relationship Id="rId37" Type="http://schemas.openxmlformats.org/officeDocument/2006/relationships/hyperlink" Target="http://www.nevo.co.il/case/21760286" TargetMode="External"/><Relationship Id="rId40" Type="http://schemas.openxmlformats.org/officeDocument/2006/relationships/hyperlink" Target="http://www.nevo.co.il/case/7676477" TargetMode="External"/><Relationship Id="rId45" Type="http://schemas.openxmlformats.org/officeDocument/2006/relationships/hyperlink" Target="http://www.nevo.co.il/case/11300869"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329.a.2"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6130463"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382.a"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384" TargetMode="External"/><Relationship Id="rId35" Type="http://schemas.openxmlformats.org/officeDocument/2006/relationships/hyperlink" Target="http://www.nevo.co.il/case/5764932" TargetMode="External"/><Relationship Id="rId43" Type="http://schemas.openxmlformats.org/officeDocument/2006/relationships/hyperlink" Target="http://www.nevo.co.il/case/22536268" TargetMode="External"/><Relationship Id="rId48" Type="http://schemas.openxmlformats.org/officeDocument/2006/relationships/header" Target="header1.xml"/><Relationship Id="rId8" Type="http://schemas.openxmlformats.org/officeDocument/2006/relationships/hyperlink" Target="http://www.nevo.co.il/law/70301/144.b"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384" TargetMode="External"/><Relationship Id="rId17" Type="http://schemas.openxmlformats.org/officeDocument/2006/relationships/hyperlink" Target="http://www.nevo.co.il/law/4216/19" TargetMode="External"/><Relationship Id="rId25" Type="http://schemas.openxmlformats.org/officeDocument/2006/relationships/hyperlink" Target="http://www.nevo.co.il/case/21583584"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291305" TargetMode="External"/><Relationship Id="rId46" Type="http://schemas.openxmlformats.org/officeDocument/2006/relationships/hyperlink" Target="http://www.nevo.co.il/case/13089283" TargetMode="External"/><Relationship Id="rId20" Type="http://schemas.openxmlformats.org/officeDocument/2006/relationships/hyperlink" Target="http://www.nevo.co.il/law/70301/192" TargetMode="External"/><Relationship Id="rId41" Type="http://schemas.openxmlformats.org/officeDocument/2006/relationships/hyperlink" Target="http://www.nevo.co.il/case/424387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c"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4216/7.a.;7.c" TargetMode="External"/><Relationship Id="rId36" Type="http://schemas.openxmlformats.org/officeDocument/2006/relationships/hyperlink" Target="http://www.nevo.co.il/case/5724364"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2595</Words>
  <Characters>12977</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15541</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3145853</vt:i4>
      </vt:variant>
      <vt:variant>
        <vt:i4>120</vt:i4>
      </vt:variant>
      <vt:variant>
        <vt:i4>0</vt:i4>
      </vt:variant>
      <vt:variant>
        <vt:i4>5</vt:i4>
      </vt:variant>
      <vt:variant>
        <vt:lpwstr>http://www.nevo.co.il/case/13089283</vt:lpwstr>
      </vt:variant>
      <vt:variant>
        <vt:lpwstr/>
      </vt:variant>
      <vt:variant>
        <vt:i4>3407997</vt:i4>
      </vt:variant>
      <vt:variant>
        <vt:i4>117</vt:i4>
      </vt:variant>
      <vt:variant>
        <vt:i4>0</vt:i4>
      </vt:variant>
      <vt:variant>
        <vt:i4>5</vt:i4>
      </vt:variant>
      <vt:variant>
        <vt:lpwstr>http://www.nevo.co.il/case/11300869</vt:lpwstr>
      </vt:variant>
      <vt:variant>
        <vt:lpwstr/>
      </vt:variant>
      <vt:variant>
        <vt:i4>3276915</vt:i4>
      </vt:variant>
      <vt:variant>
        <vt:i4>114</vt:i4>
      </vt:variant>
      <vt:variant>
        <vt:i4>0</vt:i4>
      </vt:variant>
      <vt:variant>
        <vt:i4>5</vt:i4>
      </vt:variant>
      <vt:variant>
        <vt:lpwstr>http://www.nevo.co.il/case/6130463</vt:lpwstr>
      </vt:variant>
      <vt:variant>
        <vt:lpwstr/>
      </vt:variant>
      <vt:variant>
        <vt:i4>3604599</vt:i4>
      </vt:variant>
      <vt:variant>
        <vt:i4>111</vt:i4>
      </vt:variant>
      <vt:variant>
        <vt:i4>0</vt:i4>
      </vt:variant>
      <vt:variant>
        <vt:i4>5</vt:i4>
      </vt:variant>
      <vt:variant>
        <vt:lpwstr>http://www.nevo.co.il/case/22536268</vt:lpwstr>
      </vt:variant>
      <vt:variant>
        <vt:lpwstr/>
      </vt:variant>
      <vt:variant>
        <vt:i4>3276927</vt:i4>
      </vt:variant>
      <vt:variant>
        <vt:i4>108</vt:i4>
      </vt:variant>
      <vt:variant>
        <vt:i4>0</vt:i4>
      </vt:variant>
      <vt:variant>
        <vt:i4>5</vt:i4>
      </vt:variant>
      <vt:variant>
        <vt:lpwstr>http://www.nevo.co.il/case/2250194</vt:lpwstr>
      </vt:variant>
      <vt:variant>
        <vt:lpwstr/>
      </vt:variant>
      <vt:variant>
        <vt:i4>3145842</vt:i4>
      </vt:variant>
      <vt:variant>
        <vt:i4>105</vt:i4>
      </vt:variant>
      <vt:variant>
        <vt:i4>0</vt:i4>
      </vt:variant>
      <vt:variant>
        <vt:i4>5</vt:i4>
      </vt:variant>
      <vt:variant>
        <vt:lpwstr>http://www.nevo.co.il/case/4243878</vt:lpwstr>
      </vt:variant>
      <vt:variant>
        <vt:lpwstr/>
      </vt:variant>
      <vt:variant>
        <vt:i4>3342451</vt:i4>
      </vt:variant>
      <vt:variant>
        <vt:i4>102</vt:i4>
      </vt:variant>
      <vt:variant>
        <vt:i4>0</vt:i4>
      </vt:variant>
      <vt:variant>
        <vt:i4>5</vt:i4>
      </vt:variant>
      <vt:variant>
        <vt:lpwstr>http://www.nevo.co.il/case/7676477</vt:lpwstr>
      </vt:variant>
      <vt:variant>
        <vt:lpwstr/>
      </vt:variant>
      <vt:variant>
        <vt:i4>3342458</vt:i4>
      </vt:variant>
      <vt:variant>
        <vt:i4>99</vt:i4>
      </vt:variant>
      <vt:variant>
        <vt:i4>0</vt:i4>
      </vt:variant>
      <vt:variant>
        <vt:i4>5</vt:i4>
      </vt:variant>
      <vt:variant>
        <vt:lpwstr>http://www.nevo.co.il/case/18105668</vt:lpwstr>
      </vt:variant>
      <vt:variant>
        <vt:lpwstr/>
      </vt:variant>
      <vt:variant>
        <vt:i4>3211390</vt:i4>
      </vt:variant>
      <vt:variant>
        <vt:i4>96</vt:i4>
      </vt:variant>
      <vt:variant>
        <vt:i4>0</vt:i4>
      </vt:variant>
      <vt:variant>
        <vt:i4>5</vt:i4>
      </vt:variant>
      <vt:variant>
        <vt:lpwstr>http://www.nevo.co.il/case/20291305</vt:lpwstr>
      </vt:variant>
      <vt:variant>
        <vt:lpwstr/>
      </vt:variant>
      <vt:variant>
        <vt:i4>3997809</vt:i4>
      </vt:variant>
      <vt:variant>
        <vt:i4>93</vt:i4>
      </vt:variant>
      <vt:variant>
        <vt:i4>0</vt:i4>
      </vt:variant>
      <vt:variant>
        <vt:i4>5</vt:i4>
      </vt:variant>
      <vt:variant>
        <vt:lpwstr>http://www.nevo.co.il/case/21760286</vt:lpwstr>
      </vt:variant>
      <vt:variant>
        <vt:lpwstr/>
      </vt:variant>
      <vt:variant>
        <vt:i4>3145841</vt:i4>
      </vt:variant>
      <vt:variant>
        <vt:i4>90</vt:i4>
      </vt:variant>
      <vt:variant>
        <vt:i4>0</vt:i4>
      </vt:variant>
      <vt:variant>
        <vt:i4>5</vt:i4>
      </vt:variant>
      <vt:variant>
        <vt:lpwstr>http://www.nevo.co.il/case/5724364</vt:lpwstr>
      </vt:variant>
      <vt:variant>
        <vt:lpwstr/>
      </vt:variant>
      <vt:variant>
        <vt:i4>3670132</vt:i4>
      </vt:variant>
      <vt:variant>
        <vt:i4>87</vt:i4>
      </vt:variant>
      <vt:variant>
        <vt:i4>0</vt:i4>
      </vt:variant>
      <vt:variant>
        <vt:i4>5</vt:i4>
      </vt:variant>
      <vt:variant>
        <vt:lpwstr>http://www.nevo.co.il/case/5764932</vt:lpwstr>
      </vt:variant>
      <vt:variant>
        <vt:lpwstr/>
      </vt:variant>
      <vt:variant>
        <vt:i4>3801204</vt:i4>
      </vt:variant>
      <vt:variant>
        <vt:i4>84</vt:i4>
      </vt:variant>
      <vt:variant>
        <vt:i4>0</vt:i4>
      </vt:variant>
      <vt:variant>
        <vt:i4>5</vt:i4>
      </vt:variant>
      <vt:variant>
        <vt:lpwstr>http://www.nevo.co.il/case/21479656</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3145853</vt:i4>
      </vt:variant>
      <vt:variant>
        <vt:i4>78</vt:i4>
      </vt:variant>
      <vt:variant>
        <vt:i4>0</vt:i4>
      </vt:variant>
      <vt:variant>
        <vt:i4>5</vt:i4>
      </vt:variant>
      <vt:variant>
        <vt:lpwstr>http://www.nevo.co.il/case/13089283</vt:lpwstr>
      </vt:variant>
      <vt:variant>
        <vt:lpwstr/>
      </vt:variant>
      <vt:variant>
        <vt:i4>7995492</vt:i4>
      </vt:variant>
      <vt:variant>
        <vt:i4>75</vt:i4>
      </vt:variant>
      <vt:variant>
        <vt:i4>0</vt:i4>
      </vt:variant>
      <vt:variant>
        <vt:i4>5</vt:i4>
      </vt:variant>
      <vt:variant>
        <vt:lpwstr>http://www.nevo.co.il/law/70301</vt:lpwstr>
      </vt:variant>
      <vt:variant>
        <vt:lpwstr/>
      </vt:variant>
      <vt:variant>
        <vt:i4>7143526</vt:i4>
      </vt:variant>
      <vt:variant>
        <vt:i4>72</vt:i4>
      </vt:variant>
      <vt:variant>
        <vt:i4>0</vt:i4>
      </vt:variant>
      <vt:variant>
        <vt:i4>5</vt:i4>
      </vt:variant>
      <vt:variant>
        <vt:lpwstr>http://www.nevo.co.il/law/70301/384</vt:lpwstr>
      </vt:variant>
      <vt:variant>
        <vt:lpwstr/>
      </vt:variant>
      <vt:variant>
        <vt:i4>3932287</vt:i4>
      </vt:variant>
      <vt:variant>
        <vt:i4>69</vt:i4>
      </vt:variant>
      <vt:variant>
        <vt:i4>0</vt:i4>
      </vt:variant>
      <vt:variant>
        <vt:i4>5</vt:i4>
      </vt:variant>
      <vt:variant>
        <vt:lpwstr>http://www.nevo.co.il/case/21931963</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8257637</vt:i4>
      </vt:variant>
      <vt:variant>
        <vt:i4>63</vt:i4>
      </vt:variant>
      <vt:variant>
        <vt:i4>0</vt:i4>
      </vt:variant>
      <vt:variant>
        <vt:i4>5</vt:i4>
      </vt:variant>
      <vt:variant>
        <vt:lpwstr>http://www.nevo.co.il/law/4216</vt:lpwstr>
      </vt:variant>
      <vt:variant>
        <vt:lpwstr/>
      </vt:variant>
      <vt:variant>
        <vt:i4>4653122</vt:i4>
      </vt:variant>
      <vt:variant>
        <vt:i4>60</vt:i4>
      </vt:variant>
      <vt:variant>
        <vt:i4>0</vt:i4>
      </vt:variant>
      <vt:variant>
        <vt:i4>5</vt:i4>
      </vt:variant>
      <vt:variant>
        <vt:lpwstr>http://www.nevo.co.il/law/4216/19;13a</vt:lpwstr>
      </vt:variant>
      <vt:variant>
        <vt:lpwstr/>
      </vt:variant>
      <vt:variant>
        <vt:i4>3932280</vt:i4>
      </vt:variant>
      <vt:variant>
        <vt:i4>57</vt:i4>
      </vt:variant>
      <vt:variant>
        <vt:i4>0</vt:i4>
      </vt:variant>
      <vt:variant>
        <vt:i4>5</vt:i4>
      </vt:variant>
      <vt:variant>
        <vt:lpwstr>http://www.nevo.co.il/case/21583584</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4390996</vt:i4>
      </vt:variant>
      <vt:variant>
        <vt:i4>48</vt:i4>
      </vt:variant>
      <vt:variant>
        <vt:i4>0</vt:i4>
      </vt:variant>
      <vt:variant>
        <vt:i4>5</vt:i4>
      </vt:variant>
      <vt:variant>
        <vt:lpwstr>http://www.nevo.co.il/law/70301/382.a</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5177418</vt:i4>
      </vt:variant>
      <vt:variant>
        <vt:i4>33</vt:i4>
      </vt:variant>
      <vt:variant>
        <vt:i4>0</vt:i4>
      </vt:variant>
      <vt:variant>
        <vt:i4>5</vt:i4>
      </vt:variant>
      <vt:variant>
        <vt:lpwstr>http://www.nevo.co.il/law/4216/19</vt:lpwstr>
      </vt:variant>
      <vt:variant>
        <vt:lpwstr/>
      </vt:variant>
      <vt:variant>
        <vt:i4>3014777</vt:i4>
      </vt:variant>
      <vt:variant>
        <vt:i4>30</vt:i4>
      </vt:variant>
      <vt:variant>
        <vt:i4>0</vt:i4>
      </vt:variant>
      <vt:variant>
        <vt:i4>5</vt:i4>
      </vt:variant>
      <vt:variant>
        <vt:lpwstr>http://www.nevo.co.il/law/4216/13a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4390996</vt:i4>
      </vt:variant>
      <vt:variant>
        <vt:i4>15</vt:i4>
      </vt:variant>
      <vt:variant>
        <vt:i4>0</vt:i4>
      </vt:variant>
      <vt:variant>
        <vt:i4>5</vt:i4>
      </vt:variant>
      <vt:variant>
        <vt:lpwstr>http://www.nevo.co.il/law/70301/382.a</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2024-01-07T12:17:00Z</dcterms:created>
  <dcterms:modified xsi:type="dcterms:W3CDTF">2024-01-07T12:17:00Z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42987</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אלירון גולד;</vt:lpwstr>
  </property>
  <property fmtid="{D5CDD505-2E9C-101B-9397-08002B2CF9AE}" pid="10" name="LAWYER">
    <vt:lpwstr>שי עציון;אריאל הרמן </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20170627</vt:lpwstr>
  </property>
  <property fmtid="{D5CDD505-2E9C-101B-9397-08002B2CF9AE}" pid="14" name="TYPE_N_DATE">
    <vt:lpwstr>39020170627</vt:lpwstr>
  </property>
  <property fmtid="{D5CDD505-2E9C-101B-9397-08002B2CF9AE}" pid="15" name="CASESLISTTMP1">
    <vt:lpwstr>21583584;21931963;13089283:2;21479656;5764932;5724364;21760286;20291305;18105668;7676477;4243878;2250194;22536268;6130463;11300869</vt:lpwstr>
  </property>
  <property fmtid="{D5CDD505-2E9C-101B-9397-08002B2CF9AE}" pid="16" name="WORDNUMPAGES">
    <vt:lpwstr>8</vt:lpwstr>
  </property>
  <property fmtid="{D5CDD505-2E9C-101B-9397-08002B2CF9AE}" pid="17" name="TYPE_ABS_DATE">
    <vt:lpwstr>390020170627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70301/144.b;192;329.a.2;382.a;025;384</vt:lpwstr>
  </property>
  <property fmtid="{D5CDD505-2E9C-101B-9397-08002B2CF9AE}" pid="37" name="LAWLISTTMP2">
    <vt:lpwstr>4216/019;013a;007.a;007.c</vt:lpwstr>
  </property>
</Properties>
</file>