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464773" w:rsidRPr="00CD3320" w14:paraId="569F18BC" w14:textId="77777777" w:rsidTr="00E933AD">
        <w:trPr>
          <w:trHeight w:hRule="exact" w:val="418"/>
          <w:jc w:val="center"/>
        </w:trPr>
        <w:tc>
          <w:tcPr>
            <w:tcW w:w="8721" w:type="dxa"/>
            <w:gridSpan w:val="2"/>
          </w:tcPr>
          <w:p w14:paraId="2E5038C8" w14:textId="77777777" w:rsidR="00464773" w:rsidRPr="00CD3320" w:rsidRDefault="00464773" w:rsidP="00CD3320">
            <w:pPr>
              <w:pStyle w:val="a3"/>
              <w:jc w:val="center"/>
              <w:rPr>
                <w:rFonts w:ascii="Tahoma" w:hAnsi="Tahoma" w:cs="Tahoma"/>
                <w:color w:val="000080"/>
                <w:rtl/>
              </w:rPr>
            </w:pPr>
            <w:bookmarkStart w:id="0" w:name="LastJudge"/>
            <w:r w:rsidRPr="00CD3320">
              <w:rPr>
                <w:rFonts w:ascii="Tahoma" w:hAnsi="Tahoma" w:cs="Tahoma"/>
                <w:b/>
                <w:bCs/>
                <w:color w:val="000080"/>
                <w:rtl/>
              </w:rPr>
              <w:t>בית המשפט המחוזי בחיפה</w:t>
            </w:r>
          </w:p>
        </w:tc>
      </w:tr>
      <w:tr w:rsidR="00464773" w:rsidRPr="00CD3320" w14:paraId="36D7B701" w14:textId="77777777" w:rsidTr="00E933AD">
        <w:trPr>
          <w:trHeight w:val="337"/>
          <w:jc w:val="center"/>
        </w:trPr>
        <w:tc>
          <w:tcPr>
            <w:tcW w:w="5054" w:type="dxa"/>
          </w:tcPr>
          <w:p w14:paraId="3084DA76" w14:textId="77777777" w:rsidR="00464773" w:rsidRPr="00CD3320" w:rsidRDefault="00464773" w:rsidP="00CD3320">
            <w:pPr>
              <w:rPr>
                <w:rFonts w:cs="FrankRuehl"/>
                <w:sz w:val="28"/>
                <w:szCs w:val="28"/>
                <w:rtl/>
              </w:rPr>
            </w:pPr>
            <w:r w:rsidRPr="00CD3320">
              <w:rPr>
                <w:rFonts w:cs="FrankRuehl"/>
                <w:sz w:val="28"/>
                <w:szCs w:val="28"/>
                <w:rtl/>
              </w:rPr>
              <w:t>ת"פ</w:t>
            </w:r>
            <w:r w:rsidRPr="00CD3320">
              <w:rPr>
                <w:rFonts w:cs="FrankRuehl" w:hint="cs"/>
                <w:sz w:val="28"/>
                <w:szCs w:val="28"/>
                <w:rtl/>
              </w:rPr>
              <w:t xml:space="preserve"> </w:t>
            </w:r>
            <w:r w:rsidRPr="00CD3320">
              <w:rPr>
                <w:rFonts w:cs="FrankRuehl"/>
                <w:sz w:val="28"/>
                <w:szCs w:val="28"/>
                <w:rtl/>
              </w:rPr>
              <w:t>45228-07-16</w:t>
            </w:r>
            <w:r w:rsidRPr="00CD3320">
              <w:rPr>
                <w:rFonts w:cs="FrankRuehl" w:hint="cs"/>
                <w:sz w:val="28"/>
                <w:szCs w:val="28"/>
                <w:rtl/>
              </w:rPr>
              <w:t xml:space="preserve"> </w:t>
            </w:r>
            <w:r w:rsidRPr="00CD3320">
              <w:rPr>
                <w:rFonts w:cs="FrankRuehl"/>
                <w:sz w:val="28"/>
                <w:szCs w:val="28"/>
                <w:rtl/>
              </w:rPr>
              <w:t>מדינת ישראל נ' ג'בארין</w:t>
            </w:r>
          </w:p>
          <w:p w14:paraId="73BDA580" w14:textId="77777777" w:rsidR="00464773" w:rsidRPr="00CD3320" w:rsidRDefault="00464773" w:rsidP="00CD3320">
            <w:pPr>
              <w:pStyle w:val="a3"/>
              <w:rPr>
                <w:rFonts w:cs="FrankRuehl"/>
                <w:sz w:val="28"/>
                <w:szCs w:val="28"/>
                <w:rtl/>
              </w:rPr>
            </w:pPr>
          </w:p>
        </w:tc>
        <w:tc>
          <w:tcPr>
            <w:tcW w:w="3667" w:type="dxa"/>
          </w:tcPr>
          <w:p w14:paraId="4D830806" w14:textId="77777777" w:rsidR="00464773" w:rsidRPr="00CD3320" w:rsidRDefault="00464773" w:rsidP="00CD3320">
            <w:pPr>
              <w:pStyle w:val="a3"/>
              <w:jc w:val="right"/>
              <w:rPr>
                <w:rFonts w:cs="FrankRuehl"/>
                <w:sz w:val="28"/>
                <w:szCs w:val="28"/>
                <w:rtl/>
              </w:rPr>
            </w:pPr>
          </w:p>
        </w:tc>
      </w:tr>
    </w:tbl>
    <w:p w14:paraId="0C947FA0" w14:textId="77777777" w:rsidR="00464773" w:rsidRPr="00CD3320" w:rsidRDefault="00464773" w:rsidP="00464773">
      <w:pPr>
        <w:pStyle w:val="a3"/>
        <w:rPr>
          <w:rtl/>
        </w:rPr>
      </w:pPr>
      <w:r w:rsidRPr="00CD3320">
        <w:rPr>
          <w:rFonts w:hint="cs"/>
          <w:rtl/>
        </w:rPr>
        <w:t xml:space="preserve"> </w:t>
      </w:r>
    </w:p>
    <w:p w14:paraId="37F0E3EF" w14:textId="77777777" w:rsidR="00464773" w:rsidRPr="00CD3320" w:rsidRDefault="00464773" w:rsidP="0046477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464773" w:rsidRPr="00CD3320" w14:paraId="0AB072ED" w14:textId="77777777" w:rsidTr="00CD3320">
        <w:trPr>
          <w:trHeight w:val="295"/>
          <w:jc w:val="center"/>
        </w:trPr>
        <w:tc>
          <w:tcPr>
            <w:tcW w:w="1123" w:type="dxa"/>
            <w:tcBorders>
              <w:top w:val="nil"/>
              <w:left w:val="nil"/>
              <w:bottom w:val="nil"/>
              <w:right w:val="nil"/>
            </w:tcBorders>
            <w:shd w:val="clear" w:color="auto" w:fill="auto"/>
          </w:tcPr>
          <w:p w14:paraId="2F651441" w14:textId="77777777" w:rsidR="00464773" w:rsidRPr="00CD3320" w:rsidRDefault="00464773" w:rsidP="00CD3320">
            <w:pPr>
              <w:jc w:val="both"/>
              <w:rPr>
                <w:rFonts w:ascii="Arial" w:hAnsi="Arial"/>
                <w:b/>
                <w:bCs/>
                <w:sz w:val="26"/>
                <w:szCs w:val="26"/>
              </w:rPr>
            </w:pPr>
            <w:r w:rsidRPr="00CD3320">
              <w:rPr>
                <w:rFonts w:ascii="Arial" w:hAnsi="Arial" w:hint="cs"/>
                <w:b/>
                <w:bCs/>
                <w:sz w:val="26"/>
                <w:szCs w:val="26"/>
                <w:rtl/>
              </w:rPr>
              <w:t>ב</w:t>
            </w:r>
            <w:r w:rsidRPr="00CD3320">
              <w:rPr>
                <w:rFonts w:ascii="Arial" w:hAnsi="Arial"/>
                <w:b/>
                <w:bCs/>
                <w:sz w:val="26"/>
                <w:szCs w:val="26"/>
                <w:rtl/>
              </w:rPr>
              <w:t xml:space="preserve">פני </w:t>
            </w:r>
          </w:p>
        </w:tc>
        <w:tc>
          <w:tcPr>
            <w:tcW w:w="7697" w:type="dxa"/>
            <w:tcBorders>
              <w:top w:val="nil"/>
              <w:left w:val="nil"/>
              <w:bottom w:val="nil"/>
              <w:right w:val="nil"/>
            </w:tcBorders>
            <w:shd w:val="clear" w:color="auto" w:fill="auto"/>
          </w:tcPr>
          <w:p w14:paraId="53C6BF94" w14:textId="77777777" w:rsidR="00464773" w:rsidRPr="00CD3320" w:rsidRDefault="00464773" w:rsidP="00CD3320">
            <w:pPr>
              <w:spacing w:line="360" w:lineRule="auto"/>
              <w:rPr>
                <w:rFonts w:ascii="Arial" w:hAnsi="Arial"/>
                <w:b/>
                <w:bCs/>
                <w:sz w:val="26"/>
                <w:szCs w:val="26"/>
              </w:rPr>
            </w:pPr>
            <w:r w:rsidRPr="00CD3320">
              <w:rPr>
                <w:rFonts w:ascii="Arial" w:hAnsi="Arial" w:hint="cs"/>
                <w:b/>
                <w:bCs/>
                <w:sz w:val="26"/>
                <w:szCs w:val="26"/>
                <w:rtl/>
              </w:rPr>
              <w:t>כבוד ה</w:t>
            </w:r>
            <w:r w:rsidRPr="00CD3320">
              <w:rPr>
                <w:rFonts w:hint="cs"/>
                <w:b/>
                <w:bCs/>
                <w:sz w:val="26"/>
                <w:szCs w:val="26"/>
                <w:rtl/>
              </w:rPr>
              <w:t>שופט</w:t>
            </w:r>
            <w:r w:rsidRPr="00CD3320">
              <w:rPr>
                <w:rFonts w:ascii="Arial" w:hAnsi="Arial" w:hint="cs"/>
                <w:b/>
                <w:bCs/>
                <w:sz w:val="26"/>
                <w:szCs w:val="26"/>
                <w:rtl/>
              </w:rPr>
              <w:t xml:space="preserve">  </w:t>
            </w:r>
            <w:r w:rsidRPr="00CD3320">
              <w:rPr>
                <w:rFonts w:hint="cs"/>
                <w:b/>
                <w:bCs/>
                <w:sz w:val="26"/>
                <w:szCs w:val="26"/>
                <w:rtl/>
              </w:rPr>
              <w:t>אבי לוי</w:t>
            </w:r>
          </w:p>
        </w:tc>
      </w:tr>
      <w:tr w:rsidR="00464773" w:rsidRPr="00CD3320" w14:paraId="6EC02F22" w14:textId="77777777" w:rsidTr="00CD3320">
        <w:trPr>
          <w:trHeight w:val="355"/>
          <w:jc w:val="center"/>
        </w:trPr>
        <w:tc>
          <w:tcPr>
            <w:tcW w:w="1123" w:type="dxa"/>
            <w:tcBorders>
              <w:top w:val="nil"/>
              <w:left w:val="nil"/>
              <w:bottom w:val="nil"/>
              <w:right w:val="nil"/>
            </w:tcBorders>
            <w:shd w:val="clear" w:color="auto" w:fill="auto"/>
          </w:tcPr>
          <w:p w14:paraId="2E359FA0" w14:textId="77777777" w:rsidR="00464773" w:rsidRPr="00CD3320" w:rsidRDefault="00464773" w:rsidP="00CD3320">
            <w:pPr>
              <w:jc w:val="both"/>
              <w:rPr>
                <w:rFonts w:ascii="Arial" w:hAnsi="Arial"/>
                <w:b/>
                <w:bCs/>
                <w:sz w:val="26"/>
                <w:szCs w:val="26"/>
                <w:rtl/>
              </w:rPr>
            </w:pPr>
            <w:bookmarkStart w:id="1" w:name="FirstAppellant"/>
            <w:r w:rsidRPr="00CD3320">
              <w:rPr>
                <w:rFonts w:ascii="Arial" w:hAnsi="Arial" w:hint="cs"/>
                <w:b/>
                <w:bCs/>
                <w:sz w:val="26"/>
                <w:szCs w:val="26"/>
                <w:rtl/>
              </w:rPr>
              <w:t>המאשימה</w:t>
            </w:r>
          </w:p>
        </w:tc>
        <w:tc>
          <w:tcPr>
            <w:tcW w:w="7697" w:type="dxa"/>
            <w:tcBorders>
              <w:top w:val="nil"/>
              <w:left w:val="nil"/>
              <w:bottom w:val="nil"/>
              <w:right w:val="nil"/>
            </w:tcBorders>
            <w:shd w:val="clear" w:color="auto" w:fill="auto"/>
          </w:tcPr>
          <w:p w14:paraId="5A39996F" w14:textId="77777777" w:rsidR="00464773" w:rsidRPr="00CD3320" w:rsidRDefault="00464773" w:rsidP="00CD3320">
            <w:pPr>
              <w:jc w:val="center"/>
              <w:rPr>
                <w:rFonts w:ascii="Arial" w:hAnsi="Arial"/>
                <w:b/>
                <w:bCs/>
                <w:sz w:val="26"/>
                <w:szCs w:val="26"/>
              </w:rPr>
            </w:pPr>
            <w:r w:rsidRPr="00CD3320">
              <w:rPr>
                <w:rFonts w:hint="cs"/>
                <w:b/>
                <w:bCs/>
                <w:sz w:val="26"/>
                <w:szCs w:val="26"/>
                <w:rtl/>
              </w:rPr>
              <w:t>מדינת ישראל</w:t>
            </w:r>
          </w:p>
        </w:tc>
      </w:tr>
      <w:bookmarkEnd w:id="1"/>
      <w:tr w:rsidR="00464773" w:rsidRPr="00CD3320" w14:paraId="6CB3DBDE" w14:textId="77777777" w:rsidTr="00CD3320">
        <w:trPr>
          <w:trHeight w:val="355"/>
          <w:jc w:val="center"/>
        </w:trPr>
        <w:tc>
          <w:tcPr>
            <w:tcW w:w="1123" w:type="dxa"/>
            <w:tcBorders>
              <w:top w:val="nil"/>
              <w:left w:val="nil"/>
              <w:bottom w:val="nil"/>
              <w:right w:val="nil"/>
            </w:tcBorders>
            <w:shd w:val="clear" w:color="auto" w:fill="auto"/>
          </w:tcPr>
          <w:p w14:paraId="5DDD1633" w14:textId="77777777" w:rsidR="00464773" w:rsidRPr="00CD3320" w:rsidRDefault="00464773" w:rsidP="00CD3320">
            <w:pPr>
              <w:jc w:val="both"/>
              <w:rPr>
                <w:rFonts w:ascii="Arial" w:hAnsi="Arial"/>
                <w:b/>
                <w:bCs/>
                <w:sz w:val="26"/>
                <w:szCs w:val="26"/>
                <w:rtl/>
              </w:rPr>
            </w:pPr>
          </w:p>
        </w:tc>
        <w:tc>
          <w:tcPr>
            <w:tcW w:w="7697" w:type="dxa"/>
            <w:tcBorders>
              <w:top w:val="nil"/>
              <w:left w:val="nil"/>
              <w:bottom w:val="nil"/>
              <w:right w:val="nil"/>
            </w:tcBorders>
            <w:shd w:val="clear" w:color="auto" w:fill="auto"/>
          </w:tcPr>
          <w:p w14:paraId="05A97D45" w14:textId="77777777" w:rsidR="00464773" w:rsidRPr="00CD3320" w:rsidRDefault="00464773" w:rsidP="00CD3320">
            <w:pPr>
              <w:jc w:val="center"/>
              <w:rPr>
                <w:rFonts w:ascii="Arial" w:hAnsi="Arial"/>
                <w:b/>
                <w:bCs/>
                <w:sz w:val="26"/>
                <w:szCs w:val="26"/>
                <w:rtl/>
              </w:rPr>
            </w:pPr>
          </w:p>
          <w:p w14:paraId="52377245" w14:textId="77777777" w:rsidR="00464773" w:rsidRPr="00CD3320" w:rsidRDefault="00464773" w:rsidP="00CD3320">
            <w:pPr>
              <w:jc w:val="center"/>
              <w:rPr>
                <w:rFonts w:ascii="Arial" w:hAnsi="Arial"/>
                <w:b/>
                <w:bCs/>
                <w:sz w:val="26"/>
                <w:szCs w:val="26"/>
                <w:rtl/>
              </w:rPr>
            </w:pPr>
            <w:r w:rsidRPr="00CD3320">
              <w:rPr>
                <w:rFonts w:ascii="Arial" w:hAnsi="Arial"/>
                <w:b/>
                <w:bCs/>
                <w:sz w:val="26"/>
                <w:szCs w:val="26"/>
                <w:rtl/>
              </w:rPr>
              <w:t>נגד</w:t>
            </w:r>
          </w:p>
          <w:p w14:paraId="34278F5E" w14:textId="77777777" w:rsidR="00464773" w:rsidRPr="00CD3320" w:rsidRDefault="00464773" w:rsidP="00CD3320">
            <w:pPr>
              <w:jc w:val="both"/>
              <w:rPr>
                <w:rFonts w:ascii="Arial" w:hAnsi="Arial"/>
                <w:b/>
                <w:bCs/>
                <w:sz w:val="26"/>
                <w:szCs w:val="26"/>
              </w:rPr>
            </w:pPr>
          </w:p>
        </w:tc>
      </w:tr>
      <w:tr w:rsidR="00464773" w:rsidRPr="00CD3320" w14:paraId="383E6F26" w14:textId="77777777" w:rsidTr="00CD3320">
        <w:trPr>
          <w:trHeight w:val="355"/>
          <w:jc w:val="center"/>
        </w:trPr>
        <w:tc>
          <w:tcPr>
            <w:tcW w:w="1123" w:type="dxa"/>
            <w:tcBorders>
              <w:top w:val="nil"/>
              <w:left w:val="nil"/>
              <w:bottom w:val="nil"/>
              <w:right w:val="nil"/>
            </w:tcBorders>
            <w:shd w:val="clear" w:color="auto" w:fill="auto"/>
          </w:tcPr>
          <w:p w14:paraId="4B06C1DE" w14:textId="77777777" w:rsidR="00464773" w:rsidRPr="00CD3320" w:rsidRDefault="00464773" w:rsidP="00CD3320">
            <w:pPr>
              <w:rPr>
                <w:rFonts w:ascii="Arial" w:hAnsi="Arial"/>
                <w:b/>
                <w:bCs/>
                <w:sz w:val="26"/>
                <w:szCs w:val="26"/>
                <w:rtl/>
              </w:rPr>
            </w:pPr>
            <w:r w:rsidRPr="00CD3320">
              <w:rPr>
                <w:rFonts w:ascii="Arial" w:hAnsi="Arial" w:hint="cs"/>
                <w:b/>
                <w:bCs/>
                <w:sz w:val="26"/>
                <w:szCs w:val="26"/>
                <w:rtl/>
              </w:rPr>
              <w:t>הנאשם</w:t>
            </w:r>
          </w:p>
        </w:tc>
        <w:tc>
          <w:tcPr>
            <w:tcW w:w="7697" w:type="dxa"/>
            <w:tcBorders>
              <w:top w:val="nil"/>
              <w:left w:val="nil"/>
              <w:bottom w:val="nil"/>
              <w:right w:val="nil"/>
            </w:tcBorders>
            <w:shd w:val="clear" w:color="auto" w:fill="auto"/>
          </w:tcPr>
          <w:p w14:paraId="5D4842FB" w14:textId="77777777" w:rsidR="00464773" w:rsidRPr="00CD3320" w:rsidRDefault="00464773" w:rsidP="00CD3320">
            <w:pPr>
              <w:jc w:val="center"/>
              <w:rPr>
                <w:rFonts w:ascii="Arial" w:hAnsi="Arial"/>
                <w:b/>
                <w:bCs/>
                <w:sz w:val="26"/>
                <w:szCs w:val="26"/>
              </w:rPr>
            </w:pPr>
            <w:r w:rsidRPr="00CD3320">
              <w:rPr>
                <w:rFonts w:hint="cs"/>
                <w:b/>
                <w:bCs/>
                <w:sz w:val="26"/>
                <w:szCs w:val="26"/>
                <w:rtl/>
              </w:rPr>
              <w:t xml:space="preserve">מחמוד ג'בארין </w:t>
            </w:r>
          </w:p>
        </w:tc>
      </w:tr>
    </w:tbl>
    <w:p w14:paraId="4E3AE816" w14:textId="77777777" w:rsidR="00EE3BB1" w:rsidRDefault="00EE3BB1" w:rsidP="00464773">
      <w:pPr>
        <w:rPr>
          <w:rtl/>
        </w:rPr>
      </w:pPr>
      <w:bookmarkStart w:id="2" w:name="LawTable"/>
      <w:bookmarkEnd w:id="2"/>
    </w:p>
    <w:p w14:paraId="44E66151" w14:textId="77777777" w:rsidR="00EE3BB1" w:rsidRPr="00EE3BB1" w:rsidRDefault="00EE3BB1" w:rsidP="00EE3BB1">
      <w:pPr>
        <w:spacing w:after="120" w:line="240" w:lineRule="exact"/>
        <w:ind w:left="283" w:hanging="283"/>
        <w:jc w:val="both"/>
        <w:rPr>
          <w:rFonts w:ascii="FrankRuehl" w:hAnsi="FrankRuehl" w:cs="FrankRuehl"/>
          <w:rtl/>
        </w:rPr>
      </w:pPr>
    </w:p>
    <w:p w14:paraId="55304BA6" w14:textId="77777777" w:rsidR="00EE3BB1" w:rsidRPr="00EE3BB1" w:rsidRDefault="00EE3BB1" w:rsidP="00EE3BB1">
      <w:pPr>
        <w:spacing w:after="120" w:line="240" w:lineRule="exact"/>
        <w:ind w:left="283" w:hanging="283"/>
        <w:jc w:val="both"/>
        <w:rPr>
          <w:rFonts w:ascii="FrankRuehl" w:hAnsi="FrankRuehl" w:cs="FrankRuehl"/>
          <w:rtl/>
        </w:rPr>
      </w:pPr>
      <w:r w:rsidRPr="00EE3BB1">
        <w:rPr>
          <w:rFonts w:ascii="FrankRuehl" w:hAnsi="FrankRuehl" w:cs="FrankRuehl"/>
          <w:rtl/>
        </w:rPr>
        <w:t xml:space="preserve">חקיקה שאוזכרה: </w:t>
      </w:r>
    </w:p>
    <w:p w14:paraId="38D2F65F" w14:textId="77777777" w:rsidR="00EE3BB1" w:rsidRPr="00EE3BB1" w:rsidRDefault="00EE3BB1" w:rsidP="00EE3BB1">
      <w:pPr>
        <w:spacing w:after="120" w:line="240" w:lineRule="exact"/>
        <w:ind w:left="283" w:hanging="283"/>
        <w:jc w:val="both"/>
        <w:rPr>
          <w:rFonts w:ascii="FrankRuehl" w:hAnsi="FrankRuehl" w:cs="FrankRuehl"/>
          <w:rtl/>
        </w:rPr>
      </w:pPr>
      <w:hyperlink r:id="rId6" w:history="1">
        <w:r w:rsidRPr="00EE3BB1">
          <w:rPr>
            <w:rFonts w:ascii="FrankRuehl" w:hAnsi="FrankRuehl" w:cs="FrankRuehl"/>
            <w:color w:val="0000FF"/>
            <w:u w:val="single"/>
            <w:rtl/>
          </w:rPr>
          <w:t>חוק העונשין, תשל"ז-1977</w:t>
        </w:r>
      </w:hyperlink>
      <w:r w:rsidRPr="00EE3BB1">
        <w:rPr>
          <w:rFonts w:ascii="FrankRuehl" w:hAnsi="FrankRuehl" w:cs="FrankRuehl"/>
          <w:rtl/>
        </w:rPr>
        <w:t xml:space="preserve">: סע'  </w:t>
      </w:r>
      <w:hyperlink r:id="rId7" w:history="1">
        <w:r w:rsidRPr="00EE3BB1">
          <w:rPr>
            <w:rFonts w:ascii="FrankRuehl" w:hAnsi="FrankRuehl" w:cs="FrankRuehl"/>
            <w:color w:val="0000FF"/>
            <w:u w:val="single"/>
            <w:rtl/>
          </w:rPr>
          <w:t>40ב</w:t>
        </w:r>
      </w:hyperlink>
      <w:r w:rsidRPr="00EE3BB1">
        <w:rPr>
          <w:rFonts w:ascii="FrankRuehl" w:hAnsi="FrankRuehl" w:cs="FrankRuehl"/>
          <w:rtl/>
        </w:rPr>
        <w:t xml:space="preserve">, </w:t>
      </w:r>
      <w:hyperlink r:id="rId8" w:history="1">
        <w:r w:rsidRPr="00EE3BB1">
          <w:rPr>
            <w:rFonts w:ascii="FrankRuehl" w:hAnsi="FrankRuehl" w:cs="FrankRuehl"/>
            <w:color w:val="0000FF"/>
            <w:u w:val="single"/>
            <w:rtl/>
          </w:rPr>
          <w:t>40ט'</w:t>
        </w:r>
      </w:hyperlink>
      <w:r w:rsidRPr="00EE3BB1">
        <w:rPr>
          <w:rFonts w:ascii="FrankRuehl" w:hAnsi="FrankRuehl" w:cs="FrankRuehl"/>
          <w:rtl/>
        </w:rPr>
        <w:t xml:space="preserve">, </w:t>
      </w:r>
      <w:hyperlink r:id="rId9" w:history="1">
        <w:r w:rsidRPr="00EE3BB1">
          <w:rPr>
            <w:rFonts w:ascii="FrankRuehl" w:hAnsi="FrankRuehl" w:cs="FrankRuehl"/>
            <w:color w:val="0000FF"/>
            <w:u w:val="single"/>
            <w:rtl/>
          </w:rPr>
          <w:t>144</w:t>
        </w:r>
      </w:hyperlink>
      <w:r w:rsidRPr="00EE3BB1">
        <w:rPr>
          <w:rFonts w:ascii="FrankRuehl" w:hAnsi="FrankRuehl" w:cs="FrankRuehl"/>
          <w:rtl/>
        </w:rPr>
        <w:t xml:space="preserve">, </w:t>
      </w:r>
      <w:hyperlink r:id="rId10" w:history="1">
        <w:r w:rsidRPr="00EE3BB1">
          <w:rPr>
            <w:rFonts w:ascii="FrankRuehl" w:hAnsi="FrankRuehl" w:cs="FrankRuehl"/>
            <w:color w:val="0000FF"/>
            <w:u w:val="single"/>
            <w:rtl/>
          </w:rPr>
          <w:t>144(א)</w:t>
        </w:r>
      </w:hyperlink>
      <w:r w:rsidRPr="00EE3BB1">
        <w:rPr>
          <w:rFonts w:ascii="FrankRuehl" w:hAnsi="FrankRuehl" w:cs="FrankRuehl"/>
          <w:rtl/>
        </w:rPr>
        <w:t xml:space="preserve">, </w:t>
      </w:r>
      <w:hyperlink r:id="rId11" w:history="1">
        <w:r w:rsidRPr="00EE3BB1">
          <w:rPr>
            <w:rFonts w:ascii="FrankRuehl" w:hAnsi="FrankRuehl" w:cs="FrankRuehl"/>
            <w:color w:val="0000FF"/>
            <w:u w:val="single"/>
            <w:rtl/>
          </w:rPr>
          <w:t>144(ב)</w:t>
        </w:r>
      </w:hyperlink>
      <w:r w:rsidRPr="00EE3BB1">
        <w:rPr>
          <w:rFonts w:ascii="FrankRuehl" w:hAnsi="FrankRuehl" w:cs="FrankRuehl"/>
          <w:rtl/>
        </w:rPr>
        <w:t xml:space="preserve">, </w:t>
      </w:r>
      <w:hyperlink r:id="rId12" w:history="1">
        <w:r w:rsidRPr="00EE3BB1">
          <w:rPr>
            <w:rFonts w:ascii="FrankRuehl" w:hAnsi="FrankRuehl" w:cs="FrankRuehl"/>
            <w:color w:val="0000FF"/>
            <w:u w:val="single"/>
            <w:rtl/>
          </w:rPr>
          <w:t>40יא</w:t>
        </w:r>
      </w:hyperlink>
      <w:r w:rsidRPr="00EE3BB1">
        <w:rPr>
          <w:rFonts w:ascii="FrankRuehl" w:hAnsi="FrankRuehl" w:cs="FrankRuehl"/>
          <w:rtl/>
        </w:rPr>
        <w:t xml:space="preserve">, </w:t>
      </w:r>
      <w:hyperlink r:id="rId13" w:history="1">
        <w:r w:rsidRPr="00EE3BB1">
          <w:rPr>
            <w:rFonts w:ascii="FrankRuehl" w:hAnsi="FrankRuehl" w:cs="FrankRuehl"/>
            <w:color w:val="0000FF"/>
            <w:u w:val="single"/>
            <w:rtl/>
          </w:rPr>
          <w:t>א'1</w:t>
        </w:r>
      </w:hyperlink>
      <w:r w:rsidRPr="00EE3BB1">
        <w:rPr>
          <w:rFonts w:ascii="FrankRuehl" w:hAnsi="FrankRuehl" w:cs="FrankRuehl"/>
          <w:rtl/>
        </w:rPr>
        <w:t xml:space="preserve">, </w:t>
      </w:r>
      <w:hyperlink r:id="rId14" w:history="1">
        <w:r w:rsidRPr="00EE3BB1">
          <w:rPr>
            <w:rFonts w:ascii="FrankRuehl" w:hAnsi="FrankRuehl" w:cs="FrankRuehl"/>
            <w:color w:val="0000FF"/>
            <w:u w:val="single"/>
            <w:rtl/>
          </w:rPr>
          <w:t>בפרק ו'</w:t>
        </w:r>
      </w:hyperlink>
    </w:p>
    <w:p w14:paraId="104276E7" w14:textId="77777777" w:rsidR="00EE3BB1" w:rsidRPr="00EE3BB1" w:rsidRDefault="00EE3BB1" w:rsidP="00EE3BB1">
      <w:pPr>
        <w:spacing w:after="120" w:line="240" w:lineRule="exact"/>
        <w:ind w:left="283" w:hanging="283"/>
        <w:jc w:val="both"/>
        <w:rPr>
          <w:rFonts w:ascii="FrankRuehl" w:hAnsi="FrankRuehl" w:cs="FrankRuehl"/>
          <w:rtl/>
        </w:rPr>
      </w:pPr>
    </w:p>
    <w:p w14:paraId="60D82DF8" w14:textId="77777777" w:rsidR="00EE3BB1" w:rsidRPr="00EE3BB1" w:rsidRDefault="00EE3BB1" w:rsidP="00464773">
      <w:pPr>
        <w:rPr>
          <w:rtl/>
        </w:rPr>
      </w:pPr>
      <w:bookmarkStart w:id="3" w:name="LawTable_End"/>
      <w:bookmarkEnd w:id="3"/>
    </w:p>
    <w:p w14:paraId="606869D2" w14:textId="77777777" w:rsidR="00EE3BB1" w:rsidRPr="00EE3BB1" w:rsidRDefault="00EE3BB1" w:rsidP="00464773">
      <w:pPr>
        <w:rPr>
          <w:rtl/>
        </w:rPr>
      </w:pPr>
    </w:p>
    <w:p w14:paraId="20B07841" w14:textId="77777777" w:rsidR="00E933AD" w:rsidRDefault="00E933AD" w:rsidP="00464773">
      <w:pPr>
        <w:rPr>
          <w:rtl/>
        </w:rPr>
      </w:pPr>
    </w:p>
    <w:p w14:paraId="2D021CB9" w14:textId="77777777" w:rsidR="00E933AD" w:rsidRPr="00E933AD" w:rsidRDefault="00E933AD" w:rsidP="00E933AD">
      <w:pPr>
        <w:spacing w:after="120" w:line="240" w:lineRule="exact"/>
        <w:ind w:left="283" w:hanging="283"/>
        <w:jc w:val="both"/>
        <w:rPr>
          <w:rFonts w:ascii="FrankRuehl" w:hAnsi="FrankRuehl" w:cs="FrankRuehl"/>
          <w:rtl/>
        </w:rPr>
      </w:pPr>
    </w:p>
    <w:p w14:paraId="4514A725" w14:textId="77777777" w:rsidR="00E933AD" w:rsidRPr="00E933AD" w:rsidRDefault="00E933AD" w:rsidP="00E933AD">
      <w:pPr>
        <w:spacing w:after="120" w:line="240" w:lineRule="exact"/>
        <w:ind w:left="283" w:hanging="283"/>
        <w:jc w:val="both"/>
        <w:rPr>
          <w:rFonts w:ascii="FrankRuehl" w:hAnsi="FrankRuehl" w:cs="FrankRuehl"/>
          <w:rtl/>
        </w:rPr>
      </w:pPr>
      <w:r w:rsidRPr="00E933AD">
        <w:rPr>
          <w:rFonts w:ascii="FrankRuehl" w:hAnsi="FrankRuehl" w:cs="FrankRuehl"/>
          <w:rtl/>
        </w:rPr>
        <w:t xml:space="preserve">חקיקה שאוזכרה: </w:t>
      </w:r>
    </w:p>
    <w:p w14:paraId="445D0A49" w14:textId="77777777" w:rsidR="00CD3320" w:rsidRPr="00E933AD" w:rsidRDefault="00E933AD" w:rsidP="00E933AD">
      <w:pPr>
        <w:spacing w:after="120" w:line="240" w:lineRule="exact"/>
        <w:ind w:left="283" w:hanging="283"/>
        <w:jc w:val="both"/>
        <w:rPr>
          <w:rFonts w:ascii="FrankRuehl" w:hAnsi="FrankRuehl" w:cs="FrankRuehl" w:hint="cs"/>
          <w:rtl/>
        </w:rPr>
      </w:pPr>
      <w:hyperlink r:id="rId15" w:history="1">
        <w:r w:rsidRPr="00E933AD">
          <w:rPr>
            <w:rFonts w:ascii="FrankRuehl" w:hAnsi="FrankRuehl" w:cs="FrankRuehl"/>
            <w:color w:val="0000FF"/>
            <w:u w:val="single"/>
            <w:rtl/>
          </w:rPr>
          <w:t>חוק העונשין, תשל"ז-1977</w:t>
        </w:r>
      </w:hyperlink>
      <w:r w:rsidRPr="00E933AD">
        <w:rPr>
          <w:rFonts w:ascii="FrankRuehl" w:hAnsi="FrankRuehl" w:cs="FrankRuehl"/>
          <w:rtl/>
        </w:rPr>
        <w:t xml:space="preserve">: סע'  </w:t>
      </w:r>
      <w:hyperlink r:id="rId16" w:history="1">
        <w:r w:rsidRPr="00E933AD">
          <w:rPr>
            <w:rFonts w:ascii="FrankRuehl" w:hAnsi="FrankRuehl" w:cs="FrankRuehl"/>
            <w:color w:val="0000FF"/>
            <w:u w:val="single"/>
            <w:rtl/>
          </w:rPr>
          <w:t>40ב</w:t>
        </w:r>
      </w:hyperlink>
      <w:r w:rsidRPr="00E933AD">
        <w:rPr>
          <w:rFonts w:ascii="FrankRuehl" w:hAnsi="FrankRuehl" w:cs="FrankRuehl"/>
          <w:rtl/>
        </w:rPr>
        <w:t xml:space="preserve">, </w:t>
      </w:r>
      <w:hyperlink r:id="rId17" w:history="1">
        <w:r w:rsidRPr="00E933AD">
          <w:rPr>
            <w:rFonts w:ascii="FrankRuehl" w:hAnsi="FrankRuehl" w:cs="FrankRuehl"/>
            <w:color w:val="0000FF"/>
            <w:u w:val="single"/>
            <w:rtl/>
          </w:rPr>
          <w:t>40ט'</w:t>
        </w:r>
      </w:hyperlink>
      <w:r w:rsidRPr="00E933AD">
        <w:rPr>
          <w:rFonts w:ascii="FrankRuehl" w:hAnsi="FrankRuehl" w:cs="FrankRuehl"/>
          <w:rtl/>
        </w:rPr>
        <w:t xml:space="preserve">, </w:t>
      </w:r>
      <w:hyperlink r:id="rId18" w:history="1">
        <w:r w:rsidRPr="00E933AD">
          <w:rPr>
            <w:rFonts w:ascii="FrankRuehl" w:hAnsi="FrankRuehl" w:cs="FrankRuehl"/>
            <w:color w:val="0000FF"/>
            <w:u w:val="single"/>
            <w:rtl/>
          </w:rPr>
          <w:t>144</w:t>
        </w:r>
      </w:hyperlink>
      <w:r w:rsidRPr="00E933AD">
        <w:rPr>
          <w:rFonts w:ascii="FrankRuehl" w:hAnsi="FrankRuehl" w:cs="FrankRuehl"/>
          <w:rtl/>
        </w:rPr>
        <w:t xml:space="preserve">, </w:t>
      </w:r>
      <w:hyperlink r:id="rId19" w:history="1">
        <w:r w:rsidRPr="00E933AD">
          <w:rPr>
            <w:rFonts w:ascii="FrankRuehl" w:hAnsi="FrankRuehl" w:cs="FrankRuehl"/>
            <w:color w:val="0000FF"/>
            <w:u w:val="single"/>
            <w:rtl/>
          </w:rPr>
          <w:t>144(א)</w:t>
        </w:r>
      </w:hyperlink>
      <w:r w:rsidRPr="00E933AD">
        <w:rPr>
          <w:rFonts w:ascii="FrankRuehl" w:hAnsi="FrankRuehl" w:cs="FrankRuehl"/>
          <w:rtl/>
        </w:rPr>
        <w:t xml:space="preserve">, </w:t>
      </w:r>
      <w:hyperlink r:id="rId20" w:history="1">
        <w:r w:rsidRPr="00E933AD">
          <w:rPr>
            <w:rFonts w:ascii="FrankRuehl" w:hAnsi="FrankRuehl" w:cs="FrankRuehl"/>
            <w:color w:val="0000FF"/>
            <w:u w:val="single"/>
            <w:rtl/>
          </w:rPr>
          <w:t>144(ב)</w:t>
        </w:r>
      </w:hyperlink>
      <w:r w:rsidRPr="00E933AD">
        <w:rPr>
          <w:rFonts w:ascii="FrankRuehl" w:hAnsi="FrankRuehl" w:cs="FrankRuehl"/>
          <w:rtl/>
        </w:rPr>
        <w:t xml:space="preserve">, </w:t>
      </w:r>
      <w:hyperlink r:id="rId21" w:history="1">
        <w:r w:rsidRPr="00E933AD">
          <w:rPr>
            <w:rFonts w:ascii="FrankRuehl" w:hAnsi="FrankRuehl" w:cs="FrankRuehl"/>
            <w:color w:val="0000FF"/>
            <w:u w:val="single"/>
            <w:rtl/>
          </w:rPr>
          <w:t>40יא</w:t>
        </w:r>
      </w:hyperlink>
      <w:r w:rsidRPr="00E933AD">
        <w:rPr>
          <w:rFonts w:ascii="FrankRuehl" w:hAnsi="FrankRuehl" w:cs="FrankRuehl"/>
          <w:rtl/>
        </w:rPr>
        <w:t xml:space="preserve">, </w:t>
      </w:r>
      <w:hyperlink r:id="rId22" w:history="1">
        <w:r w:rsidRPr="00E933AD">
          <w:rPr>
            <w:rFonts w:ascii="FrankRuehl" w:hAnsi="FrankRuehl" w:cs="FrankRuehl"/>
            <w:color w:val="0000FF"/>
            <w:u w:val="single"/>
            <w:rtl/>
          </w:rPr>
          <w:t>א'1</w:t>
        </w:r>
      </w:hyperlink>
      <w:r w:rsidRPr="00E933AD">
        <w:rPr>
          <w:rFonts w:ascii="FrankRuehl" w:hAnsi="FrankRuehl" w:cs="FrankRuehl"/>
          <w:rtl/>
        </w:rPr>
        <w:t xml:space="preserve">, </w:t>
      </w:r>
      <w:hyperlink r:id="rId23" w:history="1">
        <w:r w:rsidRPr="00E933AD">
          <w:rPr>
            <w:rFonts w:ascii="FrankRuehl" w:hAnsi="FrankRuehl" w:cs="FrankRuehl"/>
            <w:color w:val="0000FF"/>
            <w:u w:val="single"/>
            <w:rtl/>
          </w:rPr>
          <w:t>בפרק ו'</w:t>
        </w:r>
      </w:hyperlink>
    </w:p>
    <w:p w14:paraId="4060762D" w14:textId="77777777" w:rsidR="00464773" w:rsidRPr="00CD3320" w:rsidRDefault="00464773" w:rsidP="0046477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4773" w14:paraId="3C9843F6" w14:textId="77777777" w:rsidTr="00CD3320">
        <w:trPr>
          <w:trHeight w:val="355"/>
          <w:jc w:val="center"/>
        </w:trPr>
        <w:tc>
          <w:tcPr>
            <w:tcW w:w="8820" w:type="dxa"/>
            <w:tcBorders>
              <w:top w:val="nil"/>
              <w:left w:val="nil"/>
              <w:bottom w:val="nil"/>
              <w:right w:val="nil"/>
            </w:tcBorders>
            <w:shd w:val="clear" w:color="auto" w:fill="auto"/>
          </w:tcPr>
          <w:p w14:paraId="4FA26627" w14:textId="77777777" w:rsidR="00CD3320" w:rsidRPr="00CD3320" w:rsidRDefault="00CD3320" w:rsidP="00CD3320">
            <w:pPr>
              <w:spacing w:line="360" w:lineRule="auto"/>
              <w:jc w:val="center"/>
              <w:rPr>
                <w:rFonts w:ascii="Arial" w:hAnsi="Arial" w:cs="FrankRuehl"/>
                <w:b/>
                <w:bCs/>
                <w:sz w:val="32"/>
                <w:szCs w:val="32"/>
                <w:u w:val="single"/>
                <w:rtl/>
              </w:rPr>
            </w:pPr>
            <w:bookmarkStart w:id="4" w:name="PsakDin" w:colFirst="0" w:colLast="0"/>
            <w:bookmarkEnd w:id="0"/>
            <w:r w:rsidRPr="00CD3320">
              <w:rPr>
                <w:rFonts w:ascii="Arial" w:hAnsi="Arial" w:cs="FrankRuehl"/>
                <w:b/>
                <w:bCs/>
                <w:sz w:val="32"/>
                <w:szCs w:val="32"/>
                <w:u w:val="single"/>
                <w:rtl/>
              </w:rPr>
              <w:t>גזר דין</w:t>
            </w:r>
          </w:p>
          <w:p w14:paraId="2435BCC9" w14:textId="77777777" w:rsidR="00464773" w:rsidRPr="00CD3320" w:rsidRDefault="00464773" w:rsidP="00CD3320">
            <w:pPr>
              <w:spacing w:line="360" w:lineRule="auto"/>
              <w:jc w:val="center"/>
              <w:rPr>
                <w:rFonts w:ascii="Arial" w:hAnsi="Arial" w:cs="FrankRuehl"/>
                <w:bCs/>
                <w:sz w:val="32"/>
                <w:szCs w:val="32"/>
                <w:u w:val="single"/>
                <w:rtl/>
              </w:rPr>
            </w:pPr>
          </w:p>
        </w:tc>
      </w:tr>
      <w:bookmarkEnd w:id="4"/>
    </w:tbl>
    <w:p w14:paraId="3873FF25" w14:textId="77777777" w:rsidR="00464773" w:rsidRPr="00B05847" w:rsidRDefault="00464773" w:rsidP="00464773">
      <w:pPr>
        <w:rPr>
          <w:rFonts w:ascii="Arial" w:hAnsi="Arial"/>
          <w:rtl/>
        </w:rPr>
      </w:pPr>
    </w:p>
    <w:p w14:paraId="551012EB" w14:textId="77777777" w:rsidR="00464773" w:rsidRPr="00B05847" w:rsidRDefault="00464773" w:rsidP="00464773">
      <w:pPr>
        <w:rPr>
          <w:rtl/>
        </w:rPr>
      </w:pPr>
    </w:p>
    <w:p w14:paraId="64B2B176" w14:textId="77777777" w:rsidR="00464773" w:rsidRDefault="00464773" w:rsidP="00464773">
      <w:pPr>
        <w:spacing w:line="360" w:lineRule="auto"/>
      </w:pPr>
      <w:r>
        <w:rPr>
          <w:rFonts w:hint="cs"/>
          <w:b/>
          <w:bCs/>
          <w:u w:val="single"/>
          <w:rtl/>
        </w:rPr>
        <w:t>כללי</w:t>
      </w:r>
    </w:p>
    <w:p w14:paraId="364EF1E1" w14:textId="77777777" w:rsidR="00464773" w:rsidRDefault="00464773" w:rsidP="00464773">
      <w:pPr>
        <w:spacing w:line="360" w:lineRule="auto"/>
        <w:jc w:val="both"/>
        <w:rPr>
          <w:rtl/>
        </w:rPr>
      </w:pPr>
      <w:bookmarkStart w:id="5" w:name="ABSTRACT_START"/>
      <w:bookmarkEnd w:id="5"/>
      <w:r>
        <w:rPr>
          <w:rFonts w:hint="cs"/>
          <w:rtl/>
        </w:rPr>
        <w:t xml:space="preserve">מחמוד ג'בארין, הנאשם שלפניי, נותן את הדין על מעשה עבירה, שאותו ביצע ביום 19.7.16 עת שהה בסמוך לבית דודו בכפר זלפה בשעת ליל. הוא נתפס אותה עת כשהוא </w:t>
      </w:r>
      <w:r>
        <w:rPr>
          <w:rFonts w:hint="cs"/>
          <w:b/>
          <w:bCs/>
          <w:rtl/>
        </w:rPr>
        <w:t xml:space="preserve">נושא על גופו אקדח מסוג </w:t>
      </w:r>
      <w:r>
        <w:rPr>
          <w:b/>
          <w:bCs/>
        </w:rPr>
        <w:t>FN</w:t>
      </w:r>
      <w:r>
        <w:rPr>
          <w:rFonts w:hint="cs"/>
          <w:b/>
          <w:bCs/>
          <w:rtl/>
        </w:rPr>
        <w:t>, טעון במחסנית ובה עשרה כדורי אקדח בקוטר 9 מ"מ</w:t>
      </w:r>
      <w:r>
        <w:rPr>
          <w:rFonts w:hint="cs"/>
          <w:rtl/>
        </w:rPr>
        <w:t xml:space="preserve">. שוטרים הגיעו אל סמוך לבית באותה שעה וכשהבחין בהם, הנאשם החל מתרחק מהם בהליכה מהירה. השוטרים דלקו אחריו; הוא נמלט מהם בריצה לתוך הבית. בבית, נכנס הנאשם לאחד מחדרי הבית והסליק את הנשק, המחסנית והכדורים מתחת לשמיכה שהיתה מונחת על מזרן בחדר. על מעשיו הללו הוא הורשע בעבירה של </w:t>
      </w:r>
      <w:r>
        <w:rPr>
          <w:rFonts w:hint="cs"/>
          <w:b/>
          <w:bCs/>
          <w:rtl/>
        </w:rPr>
        <w:t>נשיאת נשק שלא כדין</w:t>
      </w:r>
      <w:r>
        <w:rPr>
          <w:rFonts w:hint="cs"/>
          <w:rtl/>
        </w:rPr>
        <w:t xml:space="preserve">, לפי </w:t>
      </w:r>
      <w:hyperlink r:id="rId24" w:history="1">
        <w:r w:rsidR="00E933AD" w:rsidRPr="00E933AD">
          <w:rPr>
            <w:color w:val="0000FF"/>
            <w:u w:val="single"/>
            <w:rtl/>
          </w:rPr>
          <w:t>סעיף 144(ב)</w:t>
        </w:r>
      </w:hyperlink>
      <w:r>
        <w:rPr>
          <w:rFonts w:hint="cs"/>
          <w:rtl/>
        </w:rPr>
        <w:t>(רישא וסיפא) ל</w:t>
      </w:r>
      <w:hyperlink r:id="rId25" w:history="1">
        <w:r w:rsidR="00CD3320" w:rsidRPr="00CD3320">
          <w:rPr>
            <w:rStyle w:val="Hyperlink"/>
            <w:rFonts w:hint="eastAsia"/>
            <w:rtl/>
          </w:rPr>
          <w:t>חוק</w:t>
        </w:r>
        <w:r w:rsidR="00CD3320" w:rsidRPr="00CD3320">
          <w:rPr>
            <w:rStyle w:val="Hyperlink"/>
            <w:rtl/>
          </w:rPr>
          <w:t xml:space="preserve"> העונשין</w:t>
        </w:r>
      </w:hyperlink>
      <w:r>
        <w:rPr>
          <w:rFonts w:hint="cs"/>
          <w:rtl/>
        </w:rPr>
        <w:t>, התשל"ז-1977 (להלן: "</w:t>
      </w:r>
      <w:r>
        <w:rPr>
          <w:rFonts w:hint="cs"/>
          <w:b/>
          <w:bCs/>
          <w:rtl/>
        </w:rPr>
        <w:t>חוק העונשין"</w:t>
      </w:r>
      <w:r>
        <w:rPr>
          <w:rFonts w:hint="cs"/>
          <w:rtl/>
        </w:rPr>
        <w:t xml:space="preserve">).   </w:t>
      </w:r>
    </w:p>
    <w:p w14:paraId="0DA221CD" w14:textId="77777777" w:rsidR="00464773" w:rsidRDefault="00464773" w:rsidP="00464773">
      <w:pPr>
        <w:jc w:val="both"/>
        <w:rPr>
          <w:b/>
          <w:bCs/>
          <w:u w:val="single"/>
          <w:rtl/>
        </w:rPr>
      </w:pPr>
      <w:bookmarkStart w:id="6" w:name="ABSTRACT_END"/>
      <w:bookmarkEnd w:id="6"/>
    </w:p>
    <w:p w14:paraId="1FF77FE1" w14:textId="77777777" w:rsidR="00464773" w:rsidRDefault="00464773" w:rsidP="00464773">
      <w:pPr>
        <w:spacing w:line="360" w:lineRule="auto"/>
        <w:jc w:val="both"/>
        <w:rPr>
          <w:rtl/>
        </w:rPr>
      </w:pPr>
      <w:r>
        <w:rPr>
          <w:rFonts w:hint="cs"/>
          <w:b/>
          <w:bCs/>
          <w:u w:val="single"/>
          <w:rtl/>
        </w:rPr>
        <w:t>תסקיר שירות המבחן</w:t>
      </w:r>
    </w:p>
    <w:p w14:paraId="74F19C5F" w14:textId="77777777" w:rsidR="00464773" w:rsidRDefault="00464773" w:rsidP="00464773">
      <w:pPr>
        <w:spacing w:line="360" w:lineRule="auto"/>
        <w:jc w:val="both"/>
        <w:rPr>
          <w:rtl/>
        </w:rPr>
      </w:pPr>
      <w:r>
        <w:rPr>
          <w:rFonts w:hint="cs"/>
          <w:rtl/>
        </w:rPr>
        <w:lastRenderedPageBreak/>
        <w:t xml:space="preserve">בעניינו של הנאשם, הוזמן תסקיר מאת שירות המבחן. ממנו למדתי, כי הנאשם הוא כבן 30, נשוי ואב ל-2 בגילאי ½1 שנים ו-3 חודשים. הוא השלים 8 שנות-לימוד בלבד, ואינו יודע קרוא וכתוב. מגיל 13 החל לעבוד כתפסן באורח עקבי. בשנת 2015 נפצע בתאונת-עבודה וכתוצאה מכך סבל משברים באגן ובגפיים העליונות. הוא לא עבד בשל כך כשנה. ביום 20.11.16 הוא שב לתפקוד תעסוקתי. עברו הפלילי נקי. בפני שירות המבחן הביע הנאשם צער על התנהלותו וטען, שמצא את כלי-הנשק, אשר נתפס ברשותו כשעתיים טרם שנעצר. הוא טען, כי פעל בהעדר שיקול-דעת בנושא לנוכח הלחץ והחרדה אשר היו מנת חלקו כתוצאה מהחזקת הנשק. בפני שירות המבחן הוא הביע עמדות שאינן נותנות לגיטימציה להגמשת גבולות החוק. לדבריו, הוא אינו עומד בקשר עם גורמים עברייניים ואינו מצוי בסכסוך עם איש. חוויית המעצר וההליך המשפטי היוו עבורו גורם לביסוס ההרתעה והביאו לחשש ממעורבות נוספת בהתנהלות מפרת-חוק. עם זאת, צוינו כגורמי סיכון לגביו העדרה של יכולת להיתמך בגורמי-תמיכה במצבי-מצוקה רגשית וכן פער בין דיווחיו אודות התנהלותו ואורח חייו לבין מעורבותו בעבירה הנדונה כאן. לאור זאת, התקשה שירות המבחן להעריך באורח מדויק יותר את הסיכון להישנות עבירה דומה ולא נתן המלצה קונקרטית, העשויה לסייע בהפחתת הסיכון. </w:t>
      </w:r>
    </w:p>
    <w:p w14:paraId="7408ED35" w14:textId="77777777" w:rsidR="00464773" w:rsidRDefault="00464773" w:rsidP="00464773">
      <w:pPr>
        <w:jc w:val="both"/>
        <w:rPr>
          <w:b/>
          <w:bCs/>
          <w:u w:val="single"/>
          <w:rtl/>
        </w:rPr>
      </w:pPr>
    </w:p>
    <w:p w14:paraId="1580FE78" w14:textId="77777777" w:rsidR="00464773" w:rsidRDefault="00464773" w:rsidP="00464773">
      <w:pPr>
        <w:jc w:val="both"/>
        <w:rPr>
          <w:b/>
          <w:bCs/>
          <w:u w:val="single"/>
          <w:rtl/>
        </w:rPr>
      </w:pPr>
    </w:p>
    <w:p w14:paraId="10AF10F2" w14:textId="77777777" w:rsidR="00464773" w:rsidRDefault="00464773" w:rsidP="00464773">
      <w:pPr>
        <w:jc w:val="both"/>
        <w:rPr>
          <w:b/>
          <w:bCs/>
          <w:u w:val="single"/>
          <w:rtl/>
        </w:rPr>
      </w:pPr>
    </w:p>
    <w:p w14:paraId="2729D51B" w14:textId="77777777" w:rsidR="00464773" w:rsidRDefault="00464773" w:rsidP="00464773">
      <w:pPr>
        <w:spacing w:line="360" w:lineRule="auto"/>
        <w:jc w:val="both"/>
        <w:rPr>
          <w:rtl/>
        </w:rPr>
      </w:pPr>
      <w:r>
        <w:rPr>
          <w:rFonts w:hint="cs"/>
          <w:b/>
          <w:bCs/>
          <w:u w:val="single"/>
          <w:rtl/>
        </w:rPr>
        <w:t>טיעוני המדינה</w:t>
      </w:r>
    </w:p>
    <w:p w14:paraId="0AE12156" w14:textId="77777777" w:rsidR="00464773" w:rsidRDefault="00464773" w:rsidP="00464773">
      <w:pPr>
        <w:spacing w:line="360" w:lineRule="auto"/>
        <w:jc w:val="both"/>
        <w:rPr>
          <w:rtl/>
        </w:rPr>
      </w:pPr>
      <w:r>
        <w:rPr>
          <w:rFonts w:hint="cs"/>
          <w:rtl/>
        </w:rPr>
        <w:t xml:space="preserve">בא כוחה המלומד של המאשימה, עו"ד אור-זך, עמד בטיעוניו הכתובים על חומרת המעשה ועל הסיכון המשמעותי הטמון בו; הוא עמד על כך, שבכגון דא ראוי לייחס משקל כבד לאינטרס הציבורי ולהעדיפו על-פני הנסיבות האישיות. התובע הצביע על הערך החברתי הנפגע כאן – הבטחת שלום הציבור והגנה על חיי-אדם לנוכח תרומתו של זמינות נשק למעגל האלימות. התובע סבר, שהפגיעה בערך החברתי הוא משמעותי ולנוכח הפסיקה הנהוגה הצביע על </w:t>
      </w:r>
      <w:r>
        <w:rPr>
          <w:rFonts w:hint="cs"/>
          <w:b/>
          <w:bCs/>
          <w:rtl/>
        </w:rPr>
        <w:t>מתחם ענישה הולם הנע בין שתי שנות מאסר לבין 4 שנות מאסר</w:t>
      </w:r>
      <w:r>
        <w:rPr>
          <w:rFonts w:hint="cs"/>
          <w:rtl/>
        </w:rPr>
        <w:t xml:space="preserve">. התבקשתי אפוא להטיל עליו מאסר בגדרי אותו מתחם וכן מאסר על תנאי וקנס. </w:t>
      </w:r>
    </w:p>
    <w:p w14:paraId="79C8A061" w14:textId="77777777" w:rsidR="00464773" w:rsidRDefault="00464773" w:rsidP="00464773">
      <w:pPr>
        <w:jc w:val="both"/>
        <w:rPr>
          <w:b/>
          <w:bCs/>
          <w:u w:val="single"/>
          <w:rtl/>
        </w:rPr>
      </w:pPr>
    </w:p>
    <w:p w14:paraId="20BD95A9" w14:textId="77777777" w:rsidR="00464773" w:rsidRDefault="00464773" w:rsidP="00464773">
      <w:pPr>
        <w:spacing w:line="360" w:lineRule="auto"/>
        <w:jc w:val="both"/>
        <w:rPr>
          <w:rtl/>
        </w:rPr>
      </w:pPr>
      <w:r>
        <w:rPr>
          <w:rFonts w:hint="cs"/>
          <w:b/>
          <w:bCs/>
          <w:u w:val="single"/>
          <w:rtl/>
        </w:rPr>
        <w:t>טיעוני הסנגור</w:t>
      </w:r>
    </w:p>
    <w:p w14:paraId="242347F1" w14:textId="77777777" w:rsidR="00464773" w:rsidRDefault="00464773" w:rsidP="00464773">
      <w:pPr>
        <w:spacing w:line="360" w:lineRule="auto"/>
        <w:jc w:val="both"/>
        <w:rPr>
          <w:rtl/>
        </w:rPr>
      </w:pPr>
      <w:r>
        <w:rPr>
          <w:rFonts w:hint="cs"/>
          <w:rtl/>
        </w:rPr>
        <w:t xml:space="preserve">הסנגור המלומד, עו"ד בויראת, עתר שלא למצות את הדין עם מרשו. הוא עמד על נסיבותיו האישיות: היות אביו אדם מבוגר וקטוע גפיים כשהנאשם הוא הסועד אותו; היותו אב לשני ילדים קטנים; הבעת הצער מצדו וקבלת האחריות; היות המעצר גורם הרתעתי לגביו; ההודאה מיד בתחילת המשפט; יציבותו התעסוקתית מאז שהחל לעבוד כנער. הסנגור הפנה אל שורה ארוכה של פסקי-דין, שבהם לא הוטלו עונשי מאסר לריצוי מאחורי סורג ובריח במקרים שכאלה; הוא עמד על כך שלא נעשה כאן כל שימוש בנשק, אלא בהחזקתו ובנשיאתו ללא כל עבירה נלווית. לאור כל אלה ביקש הסנגור שאסתפק בהטלת עונש מאסר לריצוי בעבודות שירות. </w:t>
      </w:r>
    </w:p>
    <w:p w14:paraId="788BB054" w14:textId="77777777" w:rsidR="00464773" w:rsidRDefault="00464773" w:rsidP="00464773">
      <w:pPr>
        <w:jc w:val="both"/>
        <w:rPr>
          <w:b/>
          <w:bCs/>
          <w:u w:val="single"/>
          <w:rtl/>
        </w:rPr>
      </w:pPr>
    </w:p>
    <w:p w14:paraId="21F8872B" w14:textId="77777777" w:rsidR="00464773" w:rsidRDefault="00464773" w:rsidP="00464773">
      <w:pPr>
        <w:spacing w:line="360" w:lineRule="auto"/>
        <w:jc w:val="both"/>
        <w:rPr>
          <w:rtl/>
        </w:rPr>
      </w:pPr>
      <w:r>
        <w:rPr>
          <w:rFonts w:hint="cs"/>
          <w:b/>
          <w:bCs/>
          <w:u w:val="single"/>
          <w:rtl/>
        </w:rPr>
        <w:t>הנאשם בדברו האחרון</w:t>
      </w:r>
    </w:p>
    <w:p w14:paraId="566651D0" w14:textId="77777777" w:rsidR="00464773" w:rsidRDefault="00464773" w:rsidP="00464773">
      <w:pPr>
        <w:jc w:val="both"/>
        <w:rPr>
          <w:rtl/>
        </w:rPr>
      </w:pPr>
      <w:r>
        <w:rPr>
          <w:rFonts w:hint="cs"/>
          <w:rtl/>
        </w:rPr>
        <w:t xml:space="preserve">בדברו האחרון הביע הנאשם צער וחרטה על המעשה. </w:t>
      </w:r>
    </w:p>
    <w:p w14:paraId="2E5D868F" w14:textId="77777777" w:rsidR="00464773" w:rsidRDefault="00464773" w:rsidP="00464773">
      <w:pPr>
        <w:jc w:val="both"/>
        <w:rPr>
          <w:b/>
          <w:bCs/>
          <w:u w:val="single"/>
          <w:rtl/>
        </w:rPr>
      </w:pPr>
    </w:p>
    <w:p w14:paraId="54FFE84D" w14:textId="77777777" w:rsidR="00464773" w:rsidRDefault="00464773" w:rsidP="00464773">
      <w:pPr>
        <w:spacing w:line="360" w:lineRule="auto"/>
        <w:jc w:val="both"/>
        <w:rPr>
          <w:rtl/>
        </w:rPr>
      </w:pPr>
      <w:r>
        <w:rPr>
          <w:rFonts w:hint="cs"/>
          <w:b/>
          <w:bCs/>
          <w:u w:val="single"/>
          <w:rtl/>
        </w:rPr>
        <w:t>דיון והכרעה</w:t>
      </w:r>
    </w:p>
    <w:p w14:paraId="787FAF55" w14:textId="77777777" w:rsidR="00464773" w:rsidRDefault="00464773" w:rsidP="00464773">
      <w:pPr>
        <w:spacing w:line="360" w:lineRule="auto"/>
        <w:jc w:val="both"/>
        <w:rPr>
          <w:rtl/>
        </w:rPr>
      </w:pPr>
      <w:r>
        <w:rPr>
          <w:rFonts w:hint="cs"/>
          <w:rtl/>
        </w:rPr>
        <w:t xml:space="preserve">הנאשם שלפניי נתפס כשהוא נושא ברשותו אקדח טעון במחסנית הטומנת בחובה 10 כדורים בקוטר של 9 מ"מ. כאשר אנשי משטרה קרבו לעברו הוא נמלט מהם וניסה להסתיר את כלי-הנשק בבית דודו. הוא נעצר ומקץ כחודש של מעצר ממשי שוחרר למעצר בית. כעת, לאחר שכתב-האישום בעניינו תוקן הוא הודה במיוחס לו. הגיעה השעה לגזור כעת את דינו. </w:t>
      </w:r>
    </w:p>
    <w:p w14:paraId="55763628" w14:textId="77777777" w:rsidR="00464773" w:rsidRDefault="00464773" w:rsidP="00464773">
      <w:pPr>
        <w:spacing w:line="360" w:lineRule="auto"/>
        <w:jc w:val="both"/>
        <w:rPr>
          <w:rtl/>
        </w:rPr>
      </w:pPr>
    </w:p>
    <w:p w14:paraId="33087420" w14:textId="77777777" w:rsidR="00464773" w:rsidRDefault="00464773" w:rsidP="00464773">
      <w:pPr>
        <w:spacing w:line="360" w:lineRule="auto"/>
        <w:jc w:val="both"/>
        <w:rPr>
          <w:rtl/>
        </w:rPr>
      </w:pPr>
      <w:r>
        <w:rPr>
          <w:rFonts w:hint="cs"/>
          <w:rtl/>
        </w:rPr>
        <w:t xml:space="preserve">כמצוות </w:t>
      </w:r>
      <w:hyperlink r:id="rId26" w:history="1">
        <w:r w:rsidR="00E933AD" w:rsidRPr="00E933AD">
          <w:rPr>
            <w:color w:val="0000FF"/>
            <w:u w:val="single"/>
            <w:rtl/>
          </w:rPr>
          <w:t>סימן א'1</w:t>
        </w:r>
      </w:hyperlink>
      <w:r>
        <w:rPr>
          <w:rFonts w:hint="cs"/>
          <w:rtl/>
        </w:rPr>
        <w:t xml:space="preserve"> </w:t>
      </w:r>
      <w:hyperlink r:id="rId27" w:history="1">
        <w:r w:rsidR="00E933AD" w:rsidRPr="00E933AD">
          <w:rPr>
            <w:color w:val="0000FF"/>
            <w:u w:val="single"/>
            <w:rtl/>
          </w:rPr>
          <w:t>בפרק ו'</w:t>
        </w:r>
      </w:hyperlink>
      <w:r>
        <w:rPr>
          <w:rFonts w:hint="cs"/>
          <w:rtl/>
        </w:rPr>
        <w:t xml:space="preserve"> שב</w:t>
      </w:r>
      <w:hyperlink r:id="rId28"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שעניינו הבניית שיקול-הדעת השיפוטי בענישה על בית-המשפט לקבוע את העונש המתאים לנאשם שלפניו בהתאם לעקרונות והשיקולים המנחים בענישה כפי שהללו קבועים באותו סימן ותוך מתן המשקל שיש לתת לשיקולים הללו וליחס ביניהם כקבוע בו. </w:t>
      </w:r>
    </w:p>
    <w:p w14:paraId="665BB010" w14:textId="77777777" w:rsidR="00464773" w:rsidRDefault="00464773" w:rsidP="00464773">
      <w:pPr>
        <w:spacing w:line="360" w:lineRule="auto"/>
        <w:jc w:val="both"/>
        <w:rPr>
          <w:rtl/>
        </w:rPr>
      </w:pPr>
    </w:p>
    <w:p w14:paraId="667E37BE" w14:textId="77777777" w:rsidR="00464773" w:rsidRDefault="00464773" w:rsidP="00464773">
      <w:pPr>
        <w:spacing w:line="360" w:lineRule="auto"/>
        <w:jc w:val="both"/>
        <w:rPr>
          <w:rtl/>
        </w:rPr>
      </w:pPr>
      <w:r>
        <w:rPr>
          <w:rFonts w:hint="cs"/>
          <w:rtl/>
        </w:rPr>
        <w:t xml:space="preserve">כידוע, העיקרון המנחה בענישה הוא קיומו של יחס הולם בין חומרת מעשה העבירה, בנסיבותיו ומידת אשמו של הנאשם ובין סוג ומידת העונש המוטל עליו (ראו </w:t>
      </w:r>
      <w:hyperlink r:id="rId29" w:history="1">
        <w:r w:rsidR="00E933AD" w:rsidRPr="00E933AD">
          <w:rPr>
            <w:color w:val="0000FF"/>
            <w:u w:val="single"/>
            <w:rtl/>
          </w:rPr>
          <w:t>סעיף 40ב</w:t>
        </w:r>
      </w:hyperlink>
      <w:r>
        <w:rPr>
          <w:rFonts w:hint="cs"/>
          <w:rtl/>
        </w:rPr>
        <w:t xml:space="preserve"> ל</w:t>
      </w:r>
      <w:hyperlink r:id="rId30"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w:t>
      </w:r>
    </w:p>
    <w:p w14:paraId="132D5D60" w14:textId="77777777" w:rsidR="00464773" w:rsidRDefault="00464773" w:rsidP="00464773">
      <w:pPr>
        <w:spacing w:line="360" w:lineRule="auto"/>
        <w:jc w:val="both"/>
        <w:rPr>
          <w:rtl/>
        </w:rPr>
      </w:pPr>
      <w:r>
        <w:rPr>
          <w:rFonts w:hint="cs"/>
          <w:rtl/>
        </w:rPr>
        <w:t xml:space="preserve">תהליך מציאת העונש המתאים מתחיל בקביעת מתחם עונש הולם למעשה העבירה שאותו ביצע הנאשם מתוך התחשבות בערך החברתי שנפגע מביצוע העבירה, במידת הפגיעה בו, במדיניות הענישה הנהוגה ובנסיבות הקשורות בביצוע העבירה. </w:t>
      </w:r>
    </w:p>
    <w:p w14:paraId="4E63EE30" w14:textId="77777777" w:rsidR="00464773" w:rsidRDefault="00464773" w:rsidP="00464773">
      <w:pPr>
        <w:spacing w:line="360" w:lineRule="auto"/>
        <w:jc w:val="both"/>
        <w:rPr>
          <w:rtl/>
        </w:rPr>
      </w:pPr>
      <w:r>
        <w:rPr>
          <w:rFonts w:hint="cs"/>
          <w:rtl/>
        </w:rPr>
        <w:t xml:space="preserve">נצא, אפוא, למסענו בקביעת מתחם העונש ההולם את העבירה. </w:t>
      </w:r>
    </w:p>
    <w:p w14:paraId="6AB577C2" w14:textId="77777777" w:rsidR="00464773" w:rsidRDefault="00464773" w:rsidP="00464773">
      <w:pPr>
        <w:jc w:val="both"/>
        <w:rPr>
          <w:b/>
          <w:bCs/>
          <w:u w:val="single"/>
          <w:rtl/>
        </w:rPr>
      </w:pPr>
    </w:p>
    <w:p w14:paraId="4EC042E3" w14:textId="77777777" w:rsidR="00464773" w:rsidRDefault="00464773" w:rsidP="00464773">
      <w:pPr>
        <w:spacing w:line="360" w:lineRule="auto"/>
        <w:jc w:val="both"/>
        <w:rPr>
          <w:b/>
          <w:bCs/>
          <w:u w:val="single"/>
          <w:rtl/>
        </w:rPr>
      </w:pPr>
      <w:r>
        <w:rPr>
          <w:rFonts w:hint="cs"/>
          <w:b/>
          <w:bCs/>
          <w:u w:val="single"/>
          <w:rtl/>
        </w:rPr>
        <w:t>מתחם העונש ההולם</w:t>
      </w:r>
    </w:p>
    <w:p w14:paraId="40D2F082" w14:textId="77777777" w:rsidR="00464773" w:rsidRDefault="00464773" w:rsidP="00464773">
      <w:pPr>
        <w:spacing w:line="360" w:lineRule="auto"/>
        <w:jc w:val="both"/>
        <w:rPr>
          <w:rtl/>
        </w:rPr>
      </w:pPr>
      <w:r>
        <w:rPr>
          <w:rFonts w:hint="cs"/>
          <w:b/>
          <w:bCs/>
          <w:u w:val="single"/>
          <w:rtl/>
        </w:rPr>
        <w:t>הערכים המוגנים ומידת הפגיעה בהם</w:t>
      </w:r>
    </w:p>
    <w:p w14:paraId="7761703C" w14:textId="77777777" w:rsidR="00464773" w:rsidRDefault="00464773" w:rsidP="00464773">
      <w:pPr>
        <w:spacing w:line="360" w:lineRule="auto"/>
        <w:jc w:val="both"/>
        <w:rPr>
          <w:rtl/>
        </w:rPr>
      </w:pPr>
      <w:r>
        <w:rPr>
          <w:rFonts w:hint="cs"/>
          <w:rtl/>
        </w:rPr>
        <w:t xml:space="preserve">כפי שצוין, הערכים החברתיים שבהם פגע הנאשם במעשהו הם הבטחת שלום הציבור ובטחונו, הסדר הציבורי והגנה על חיי-אדם, שכן ערכים אלו כולם נתונים בסיכון מקום בו מוחזק נשק שלא כחוק. כידוע, זמינותו של נשק מגדילה את הסיכון להתפתחות אירועים אלימים ולהגברת חומרתם. מידת הפגיעה בערכים אלו, בהתחשב באופי הנשק שהוחזק, בהיותו טעון במחסנית בכדורים ובכך שהנשק נישא והוסתר כאשר אנשי כוחות המשטרה קרבו אל הנאשם היא בינונית. </w:t>
      </w:r>
    </w:p>
    <w:p w14:paraId="701B92CC" w14:textId="77777777" w:rsidR="00464773" w:rsidRDefault="00464773" w:rsidP="00464773">
      <w:pPr>
        <w:jc w:val="both"/>
        <w:rPr>
          <w:b/>
          <w:bCs/>
          <w:u w:val="single"/>
          <w:rtl/>
        </w:rPr>
      </w:pPr>
    </w:p>
    <w:p w14:paraId="6CDB969D" w14:textId="77777777" w:rsidR="00464773" w:rsidRDefault="00464773" w:rsidP="00464773">
      <w:pPr>
        <w:spacing w:line="360" w:lineRule="auto"/>
        <w:jc w:val="both"/>
        <w:rPr>
          <w:rtl/>
        </w:rPr>
      </w:pPr>
      <w:r>
        <w:rPr>
          <w:rFonts w:hint="cs"/>
          <w:b/>
          <w:bCs/>
          <w:u w:val="single"/>
          <w:rtl/>
        </w:rPr>
        <w:t>מדיניות הענישה</w:t>
      </w:r>
    </w:p>
    <w:p w14:paraId="3F2E04A3" w14:textId="77777777" w:rsidR="00464773" w:rsidRDefault="00464773" w:rsidP="00464773">
      <w:pPr>
        <w:spacing w:line="360" w:lineRule="auto"/>
        <w:jc w:val="both"/>
        <w:rPr>
          <w:rtl/>
        </w:rPr>
      </w:pPr>
      <w:r>
        <w:rPr>
          <w:rFonts w:hint="cs"/>
          <w:rtl/>
        </w:rPr>
        <w:t xml:space="preserve">בתי-המשפט בכלל ובית-המשפט העליון בראשם קבעו מדיניות ענישה מחמירה, ביחס לכל מי שנותן ידו להחזקת נשק ללא היתר כדין, להובלתו ולנשיאתו. מדיניות מחמירה זו מתחייבת מריבוי המקרים שבהם נעשה שימוש בנשק, המוחזק שלא כחוק במסגרת אירועים אלימים על רקעים שונים ומשונים באורח שיש בו כדי לקפד חיי-אדם או לסכנם. עמדה על כך כב' השופטת ארבל ב- </w:t>
      </w:r>
      <w:hyperlink r:id="rId31" w:history="1">
        <w:r w:rsidR="00CD3320" w:rsidRPr="00CD3320">
          <w:rPr>
            <w:rStyle w:val="Hyperlink"/>
            <w:rFonts w:hint="eastAsia"/>
            <w:rtl/>
          </w:rPr>
          <w:t>ע</w:t>
        </w:r>
        <w:r w:rsidR="00CD3320" w:rsidRPr="00CD3320">
          <w:rPr>
            <w:rStyle w:val="Hyperlink"/>
            <w:rtl/>
          </w:rPr>
          <w:t>"פ 4945/13</w:t>
        </w:r>
      </w:hyperlink>
      <w:r>
        <w:rPr>
          <w:rFonts w:hint="cs"/>
          <w:rtl/>
        </w:rPr>
        <w:t xml:space="preserve"> </w:t>
      </w:r>
      <w:r>
        <w:rPr>
          <w:rFonts w:hint="cs"/>
          <w:b/>
          <w:bCs/>
          <w:rtl/>
        </w:rPr>
        <w:t>מדינת ישראל נ'</w:t>
      </w:r>
      <w:r>
        <w:rPr>
          <w:rFonts w:hint="cs"/>
          <w:rtl/>
        </w:rPr>
        <w:t xml:space="preserve"> </w:t>
      </w:r>
      <w:r>
        <w:rPr>
          <w:rFonts w:ascii="Arial" w:hAnsi="Arial" w:hint="cs"/>
          <w:b/>
          <w:bCs/>
          <w:color w:val="333333"/>
          <w:rtl/>
        </w:rPr>
        <w:t xml:space="preserve">עבד אלכרים סלימאן </w:t>
      </w:r>
      <w:r>
        <w:rPr>
          <w:rFonts w:ascii="Arial" w:hAnsi="Arial" w:hint="cs"/>
          <w:rtl/>
        </w:rPr>
        <w:t>(ניתן ביום 19.01.14)</w:t>
      </w:r>
      <w:r>
        <w:rPr>
          <w:rFonts w:hint="cs"/>
          <w:rtl/>
        </w:rPr>
        <w:t xml:space="preserve">, בציינה כדלהלן: </w:t>
      </w:r>
    </w:p>
    <w:p w14:paraId="6374C7F1" w14:textId="77777777" w:rsidR="00464773" w:rsidRDefault="00464773" w:rsidP="00464773">
      <w:pPr>
        <w:jc w:val="both"/>
        <w:rPr>
          <w:rtl/>
        </w:rPr>
      </w:pPr>
    </w:p>
    <w:p w14:paraId="12274384" w14:textId="77777777" w:rsidR="00464773" w:rsidRDefault="00464773" w:rsidP="00464773">
      <w:pPr>
        <w:spacing w:line="276" w:lineRule="auto"/>
        <w:ind w:left="1513" w:right="1418"/>
        <w:jc w:val="both"/>
        <w:rPr>
          <w:rFonts w:cs="Miriam"/>
          <w:rtl/>
        </w:rPr>
      </w:pPr>
      <w:r>
        <w:rPr>
          <w:rFonts w:cs="Miriam" w:hint="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tl/>
        </w:rPr>
        <w:t xml:space="preserve"> </w:t>
      </w:r>
      <w:r>
        <w:rPr>
          <w:rFonts w:cs="Miriam" w:hint="cs"/>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755E610" w14:textId="77777777" w:rsidR="00464773" w:rsidRDefault="00464773" w:rsidP="00464773">
      <w:pPr>
        <w:spacing w:line="276" w:lineRule="auto"/>
        <w:ind w:left="1513" w:right="1418"/>
        <w:jc w:val="both"/>
        <w:rPr>
          <w:rFonts w:cs="Miriam"/>
          <w:rtl/>
        </w:rPr>
      </w:pPr>
    </w:p>
    <w:p w14:paraId="0567B5C1" w14:textId="77777777" w:rsidR="00464773" w:rsidRDefault="00464773" w:rsidP="00464773">
      <w:pPr>
        <w:spacing w:line="360" w:lineRule="auto"/>
        <w:jc w:val="both"/>
        <w:rPr>
          <w:rtl/>
        </w:rPr>
      </w:pPr>
      <w:r>
        <w:rPr>
          <w:rFonts w:hint="cs"/>
          <w:rtl/>
        </w:rPr>
        <w:t xml:space="preserve">עמד על כך גם כב' השופט י' עמית ב- </w:t>
      </w:r>
      <w:hyperlink r:id="rId32" w:history="1">
        <w:r w:rsidR="00CD3320" w:rsidRPr="00CD3320">
          <w:rPr>
            <w:rStyle w:val="Hyperlink"/>
            <w:rFonts w:hint="eastAsia"/>
            <w:rtl/>
          </w:rPr>
          <w:t>ע</w:t>
        </w:r>
        <w:r w:rsidR="00CD3320" w:rsidRPr="00CD3320">
          <w:rPr>
            <w:rStyle w:val="Hyperlink"/>
            <w:rtl/>
          </w:rPr>
          <w:t>"פ 2398/14</w:t>
        </w:r>
      </w:hyperlink>
      <w:r>
        <w:rPr>
          <w:rFonts w:hint="cs"/>
          <w:rtl/>
        </w:rPr>
        <w:t xml:space="preserve"> </w:t>
      </w:r>
      <w:r>
        <w:rPr>
          <w:rFonts w:hint="cs"/>
          <w:b/>
          <w:bCs/>
          <w:rtl/>
        </w:rPr>
        <w:t>אלהזייל נ' מדינת ישראל</w:t>
      </w:r>
      <w:r>
        <w:rPr>
          <w:rFonts w:hint="cs"/>
          <w:rtl/>
        </w:rPr>
        <w:t xml:space="preserve"> (ניתן ביום 8.7.14), בציינו כדלהלן: </w:t>
      </w:r>
    </w:p>
    <w:p w14:paraId="76B45A97" w14:textId="77777777" w:rsidR="00464773" w:rsidRDefault="00464773" w:rsidP="00464773">
      <w:pPr>
        <w:spacing w:line="276" w:lineRule="auto"/>
        <w:ind w:left="1513" w:right="993"/>
        <w:jc w:val="both"/>
        <w:rPr>
          <w:rFonts w:cs="Miriam"/>
          <w:rtl/>
        </w:rPr>
      </w:pPr>
      <w:r>
        <w:rPr>
          <w:rFonts w:cs="Miriam" w:hint="cs"/>
          <w:rtl/>
        </w:rPr>
        <w:t xml:space="preserve">"..אחזור ואדגיש את מדיניות ההחמרה בעבירות נשק, שבאה לידי ביטוי בשורה ארוכה של פסקי דין של בית משפט זה בשנים האחרונות (ראו, לדוגמה, </w:t>
      </w:r>
      <w:hyperlink r:id="rId33" w:history="1">
        <w:r w:rsidR="00CD3320" w:rsidRPr="00CD3320">
          <w:rPr>
            <w:rStyle w:val="Hyperlink"/>
            <w:rFonts w:cs="Miriam" w:hint="eastAsia"/>
            <w:rtl/>
          </w:rPr>
          <w:t>ע</w:t>
        </w:r>
        <w:r w:rsidR="00CD3320" w:rsidRPr="00CD3320">
          <w:rPr>
            <w:rStyle w:val="Hyperlink"/>
            <w:rFonts w:cs="Miriam"/>
            <w:rtl/>
          </w:rPr>
          <w:t>"פ 4945/13</w:t>
        </w:r>
      </w:hyperlink>
      <w:r>
        <w:rPr>
          <w:rFonts w:cs="Miriam" w:hint="cs"/>
          <w:rtl/>
        </w:rPr>
        <w:t xml:space="preserve"> </w:t>
      </w:r>
      <w:r>
        <w:rPr>
          <w:rFonts w:cs="Miriam" w:hint="cs"/>
          <w:sz w:val="28"/>
          <w:rtl/>
        </w:rPr>
        <w:t>מדינת ישראל נ' עבד אלכרים סלימאן</w:t>
      </w:r>
      <w:r>
        <w:rPr>
          <w:rFonts w:cs="Miriam" w:hint="cs"/>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00045CE1" w14:textId="77777777" w:rsidR="00464773" w:rsidRPr="00BA66A9" w:rsidRDefault="00464773" w:rsidP="00464773">
      <w:pPr>
        <w:jc w:val="both"/>
        <w:rPr>
          <w:rFonts w:ascii="Calibri" w:eastAsia="Calibri" w:hAnsi="Calibri"/>
          <w:b/>
          <w:bCs/>
          <w:u w:val="single"/>
          <w:rtl/>
        </w:rPr>
      </w:pPr>
    </w:p>
    <w:p w14:paraId="426BC754" w14:textId="77777777" w:rsidR="00464773" w:rsidRDefault="00464773" w:rsidP="00464773">
      <w:pPr>
        <w:spacing w:line="360" w:lineRule="auto"/>
        <w:jc w:val="both"/>
        <w:rPr>
          <w:rtl/>
        </w:rPr>
      </w:pPr>
      <w:r>
        <w:rPr>
          <w:rFonts w:hint="cs"/>
          <w:rtl/>
        </w:rPr>
        <w:t xml:space="preserve">על מנת לשרטט כדבעי את מתחם העונש ההולם בעניינו של הנאשם, עיינתי בפסיקה רחבה העוסקת בעבירות הזהות לנידון דידן. אציין את המובן מאליו, מדיניות הענישה הנהוגה במקרים אלו הינה מגוונת. ברי, כי תלויה היא </w:t>
      </w:r>
      <w:r>
        <w:rPr>
          <w:rFonts w:hint="cs"/>
          <w:b/>
          <w:bCs/>
          <w:rtl/>
        </w:rPr>
        <w:t xml:space="preserve">בנסיבותיו </w:t>
      </w:r>
      <w:r>
        <w:rPr>
          <w:rFonts w:hint="cs"/>
          <w:rtl/>
        </w:rPr>
        <w:t>של כל מקרה ומקרה</w:t>
      </w:r>
      <w:r w:rsidRPr="00560851">
        <w:rPr>
          <w:rFonts w:hint="cs"/>
          <w:rtl/>
        </w:rPr>
        <w:t>.</w:t>
      </w:r>
    </w:p>
    <w:p w14:paraId="3BCAC612" w14:textId="77777777" w:rsidR="00464773" w:rsidRDefault="00464773" w:rsidP="00464773">
      <w:pPr>
        <w:spacing w:line="360" w:lineRule="auto"/>
        <w:jc w:val="both"/>
        <w:rPr>
          <w:b/>
          <w:bCs/>
          <w:u w:val="single"/>
          <w:rtl/>
        </w:rPr>
      </w:pPr>
    </w:p>
    <w:p w14:paraId="6D1D7F19" w14:textId="77777777" w:rsidR="00464773" w:rsidRDefault="00464773" w:rsidP="00464773">
      <w:pPr>
        <w:spacing w:line="360" w:lineRule="auto"/>
        <w:jc w:val="both"/>
        <w:rPr>
          <w:rtl/>
        </w:rPr>
      </w:pPr>
      <w:r>
        <w:rPr>
          <w:rFonts w:hint="cs"/>
          <w:rtl/>
        </w:rPr>
        <w:t xml:space="preserve">כך למשל, בפרשה שנדונה במסגרת </w:t>
      </w:r>
      <w:hyperlink r:id="rId34" w:history="1">
        <w:r w:rsidR="00CD3320" w:rsidRPr="00CD3320">
          <w:rPr>
            <w:rStyle w:val="Hyperlink"/>
            <w:rFonts w:hint="eastAsia"/>
            <w:rtl/>
          </w:rPr>
          <w:t>ע</w:t>
        </w:r>
        <w:r w:rsidR="00CD3320" w:rsidRPr="00CD3320">
          <w:rPr>
            <w:rStyle w:val="Hyperlink"/>
            <w:rtl/>
          </w:rPr>
          <w:t>"פ 3156/11</w:t>
        </w:r>
      </w:hyperlink>
      <w:r>
        <w:rPr>
          <w:rFonts w:hint="cs"/>
          <w:rtl/>
        </w:rPr>
        <w:t xml:space="preserve"> </w:t>
      </w:r>
      <w:r>
        <w:rPr>
          <w:rFonts w:hint="cs"/>
          <w:b/>
          <w:bCs/>
          <w:rtl/>
        </w:rPr>
        <w:t>זראיעה נ' מדינת ישראל</w:t>
      </w:r>
      <w:r>
        <w:rPr>
          <w:rFonts w:hint="cs"/>
          <w:rtl/>
        </w:rPr>
        <w:t xml:space="preserve"> (ניתן ביום 21.02.12), דחה בית המשפט העליון ערעור על גזר דינו של בית המשפט המחוזי בנצרת, במסגרתו הושת על המערער </w:t>
      </w:r>
      <w:r>
        <w:rPr>
          <w:rFonts w:hint="cs"/>
          <w:b/>
          <w:bCs/>
          <w:rtl/>
        </w:rPr>
        <w:t>עונש מאסר בן 24 חודשים לריצוי בפועל.</w:t>
      </w:r>
      <w:r>
        <w:rPr>
          <w:rFonts w:hint="cs"/>
          <w:rtl/>
        </w:rPr>
        <w:t xml:space="preserve"> עונש זה הוטל על המערער בגין ביצוען, על פי הודאתו, של עבירות שעניינן </w:t>
      </w:r>
      <w:r>
        <w:rPr>
          <w:rFonts w:hint="cs"/>
          <w:b/>
          <w:bCs/>
          <w:rtl/>
        </w:rPr>
        <w:t>נשיאת והובלת נשק</w:t>
      </w:r>
      <w:r>
        <w:rPr>
          <w:rFonts w:hint="cs"/>
          <w:rtl/>
        </w:rPr>
        <w:t xml:space="preserve"> ו</w:t>
      </w:r>
      <w:r>
        <w:rPr>
          <w:rFonts w:hint="cs"/>
          <w:b/>
          <w:bCs/>
          <w:rtl/>
        </w:rPr>
        <w:t>הסתייעות ברכב לביצוע פשע</w:t>
      </w:r>
      <w:r>
        <w:rPr>
          <w:rFonts w:hint="cs"/>
          <w:rtl/>
        </w:rPr>
        <w:t xml:space="preserve">. עובדות המקרה לימדו, כי המערער נסע ברכבו, לאחר שהסליק בו אקדח, מחסנית טעונה בכדורי אקדח בקוטר </w:t>
      </w:r>
      <w:smartTag w:uri="urn:schemas-microsoft-com:office:smarttags" w:element="metricconverter">
        <w:smartTagPr>
          <w:attr w:name="ProductID" w:val="9 מ&quot;מ"/>
        </w:smartTagPr>
        <w:r>
          <w:rPr>
            <w:rFonts w:hint="cs"/>
            <w:rtl/>
          </w:rPr>
          <w:t>9 מ"מ</w:t>
        </w:r>
      </w:smartTag>
      <w:r>
        <w:rPr>
          <w:rFonts w:hint="cs"/>
          <w:rtl/>
        </w:rPr>
        <w:t xml:space="preserve"> וקופסאות עם כדורי אקדח בקוטר </w:t>
      </w:r>
      <w:smartTag w:uri="urn:schemas-microsoft-com:office:smarttags" w:element="metricconverter">
        <w:smartTagPr>
          <w:attr w:name="ProductID" w:val="9 מ&quot;מ"/>
        </w:smartTagPr>
        <w:r>
          <w:rPr>
            <w:rFonts w:hint="cs"/>
            <w:rtl/>
          </w:rPr>
          <w:t>9 מ"מ</w:t>
        </w:r>
      </w:smartTag>
      <w:r>
        <w:rPr>
          <w:rFonts w:hint="cs"/>
          <w:rtl/>
        </w:rPr>
        <w:t>. האקדח והתחמושת נתפסו בחיפוש שגרתי שביצעה המשטרה ברכב.</w:t>
      </w:r>
    </w:p>
    <w:p w14:paraId="1FA1C4C4" w14:textId="77777777" w:rsidR="00464773" w:rsidRDefault="00464773" w:rsidP="00464773">
      <w:pPr>
        <w:spacing w:line="360" w:lineRule="auto"/>
        <w:jc w:val="both"/>
        <w:rPr>
          <w:rtl/>
        </w:rPr>
      </w:pPr>
      <w:r>
        <w:rPr>
          <w:rFonts w:hint="cs"/>
          <w:rtl/>
        </w:rPr>
        <w:t xml:space="preserve">בפרשה שנדונה במסגרת </w:t>
      </w:r>
      <w:hyperlink r:id="rId35" w:history="1">
        <w:r w:rsidR="00CD3320" w:rsidRPr="00CD3320">
          <w:rPr>
            <w:rStyle w:val="Hyperlink"/>
            <w:rFonts w:hint="eastAsia"/>
            <w:rtl/>
          </w:rPr>
          <w:t>ע</w:t>
        </w:r>
        <w:r w:rsidR="00CD3320" w:rsidRPr="00CD3320">
          <w:rPr>
            <w:rStyle w:val="Hyperlink"/>
            <w:rtl/>
          </w:rPr>
          <w:t>"פ 3877/16</w:t>
        </w:r>
      </w:hyperlink>
      <w:r>
        <w:rPr>
          <w:rFonts w:hint="cs"/>
          <w:rtl/>
        </w:rPr>
        <w:t xml:space="preserve">  </w:t>
      </w:r>
      <w:r>
        <w:rPr>
          <w:rFonts w:hint="cs"/>
          <w:b/>
          <w:bCs/>
          <w:rtl/>
        </w:rPr>
        <w:t>פאדי ג'באלי נ' מדינת ישראל</w:t>
      </w:r>
      <w:r>
        <w:rPr>
          <w:rFonts w:hint="cs"/>
          <w:rtl/>
        </w:rPr>
        <w:t xml:space="preserve"> (ניתן ביום 17.11.16), דחה בית המשפט העליון ערעור על גזר דינו של בית המשפט המחוזי מרכז -לוד, במסגרתו הושת על המערער (</w:t>
      </w:r>
      <w:r>
        <w:rPr>
          <w:rFonts w:hint="cs"/>
          <w:b/>
          <w:bCs/>
          <w:rtl/>
        </w:rPr>
        <w:t>בעל עבר פלילי מכביד)</w:t>
      </w:r>
      <w:r>
        <w:rPr>
          <w:rFonts w:hint="cs"/>
          <w:rtl/>
        </w:rPr>
        <w:t xml:space="preserve"> </w:t>
      </w:r>
      <w:r>
        <w:rPr>
          <w:rFonts w:hint="cs"/>
          <w:b/>
          <w:bCs/>
          <w:rtl/>
        </w:rPr>
        <w:t>עונש מאסר בן 34 חודשים לריצוי בפועל.</w:t>
      </w:r>
      <w:r>
        <w:rPr>
          <w:rFonts w:hint="cs"/>
          <w:rtl/>
        </w:rPr>
        <w:t xml:space="preserve"> עונש זה הוטל על המערער בגין ביצועה, על פי הודאתו, של עבירה שעניינה </w:t>
      </w:r>
      <w:r>
        <w:rPr>
          <w:rFonts w:hint="cs"/>
          <w:b/>
          <w:bCs/>
          <w:rtl/>
        </w:rPr>
        <w:t xml:space="preserve">נשיאת נשק </w:t>
      </w:r>
      <w:r>
        <w:rPr>
          <w:rFonts w:hint="cs"/>
          <w:rtl/>
        </w:rPr>
        <w:t xml:space="preserve">לפי </w:t>
      </w:r>
      <w:hyperlink r:id="rId36" w:history="1">
        <w:r w:rsidR="00E933AD" w:rsidRPr="00E933AD">
          <w:rPr>
            <w:color w:val="0000FF"/>
            <w:u w:val="single"/>
            <w:rtl/>
          </w:rPr>
          <w:t>סעיף 144(ב)</w:t>
        </w:r>
      </w:hyperlink>
      <w:r>
        <w:rPr>
          <w:rFonts w:hint="cs"/>
          <w:rtl/>
        </w:rPr>
        <w:t xml:space="preserve"> ל</w:t>
      </w:r>
      <w:hyperlink r:id="rId37" w:history="1">
        <w:r w:rsidR="00CD3320" w:rsidRPr="00CD3320">
          <w:rPr>
            <w:rStyle w:val="Hyperlink"/>
            <w:rFonts w:hint="eastAsia"/>
            <w:rtl/>
          </w:rPr>
          <w:t>חוק</w:t>
        </w:r>
        <w:r w:rsidR="00CD3320" w:rsidRPr="00CD3320">
          <w:rPr>
            <w:rStyle w:val="Hyperlink"/>
            <w:rtl/>
          </w:rPr>
          <w:t xml:space="preserve"> העונשין</w:t>
        </w:r>
      </w:hyperlink>
      <w:r>
        <w:rPr>
          <w:rFonts w:hint="cs"/>
          <w:rtl/>
        </w:rPr>
        <w:t>. עובדות המקרה לימדו, כי בין המערער לבין קרוב משפחתו התגלע סכסוך. על רקע זה, השניים קבעו להיפגש בעיר טייבה לשם יישוב הסכסוך. המערער נסע ברכבו למקום המפגש יחד עם קרוב משפחתו ר'.ג' (קטין) כשהוא נושא עמו ברכב אקדח טעון במחסנית שהכילה 14 כדורים. כאן המקום לציין כי סוג כלי הנשק היה  אקדח מסוג "גלוק", אשר נגנב חודשים אחדים קודם לכן בהתפרצות לדירה בהוד השרון.  כשהגיעו למקום המפגש, עצר המערער סמוך לרכב שבו ישבו קרובי משפחתו. הוא החביא את האקדח במכנסיו והתקרב יחד עם הקטין אל הרכב. באותו שלב הגיעו למקום שוטרים שהורו למערער ולקטין להרים ידיים, אך המערער כרע לכיוון הרצפה והשליך את האקדח מאחורי גבו. בית המשפט העליון דחה כאמור את הערעור. צוין, כי על אף גילו הצעיר למערער עבר פלילי מכביד ביותר ואת העבירה ביצע שבועות ספורים בלבד לאחר שסיים לרצות עונש מאסר ארוך.</w:t>
      </w:r>
    </w:p>
    <w:p w14:paraId="1C064F39" w14:textId="77777777" w:rsidR="00464773" w:rsidRDefault="00464773" w:rsidP="00464773">
      <w:pPr>
        <w:spacing w:line="360" w:lineRule="auto"/>
        <w:jc w:val="both"/>
        <w:rPr>
          <w:rFonts w:cs="FrankRuehl"/>
          <w:sz w:val="28"/>
          <w:szCs w:val="28"/>
          <w:rtl/>
        </w:rPr>
      </w:pPr>
    </w:p>
    <w:p w14:paraId="391A0424" w14:textId="77777777" w:rsidR="00464773" w:rsidRDefault="00464773" w:rsidP="00464773">
      <w:pPr>
        <w:spacing w:line="360" w:lineRule="auto"/>
        <w:jc w:val="both"/>
        <w:rPr>
          <w:rFonts w:cs="FrankRuehl"/>
          <w:sz w:val="28"/>
          <w:szCs w:val="28"/>
          <w:rtl/>
        </w:rPr>
      </w:pPr>
      <w:r>
        <w:rPr>
          <w:rFonts w:hint="cs"/>
          <w:rtl/>
        </w:rPr>
        <w:t xml:space="preserve">בפרשה שנדונה במסגרת </w:t>
      </w:r>
      <w:hyperlink r:id="rId38" w:history="1">
        <w:r w:rsidR="00CD3320" w:rsidRPr="00CD3320">
          <w:rPr>
            <w:rStyle w:val="Hyperlink"/>
            <w:rFonts w:hint="eastAsia"/>
            <w:rtl/>
          </w:rPr>
          <w:t>ע</w:t>
        </w:r>
        <w:r w:rsidR="00CD3320" w:rsidRPr="00CD3320">
          <w:rPr>
            <w:rStyle w:val="Hyperlink"/>
            <w:rtl/>
          </w:rPr>
          <w:t>"פ 2839/05</w:t>
        </w:r>
      </w:hyperlink>
      <w:r>
        <w:rPr>
          <w:rFonts w:hint="cs"/>
          <w:rtl/>
        </w:rPr>
        <w:t xml:space="preserve"> </w:t>
      </w:r>
      <w:r>
        <w:rPr>
          <w:rFonts w:hint="cs"/>
          <w:b/>
          <w:bCs/>
          <w:rtl/>
        </w:rPr>
        <w:t>ראיד עבד אל קאדר נ' מדינת ישראל</w:t>
      </w:r>
      <w:r>
        <w:rPr>
          <w:rFonts w:hint="cs"/>
          <w:rtl/>
        </w:rPr>
        <w:t xml:space="preserve"> (ניתן ביום 17.11.05), דחה בית המשפט העליון ערעור על פסק של בית המשפט המחוזי בתל אביב, במסגרתו הושת על המערער (</w:t>
      </w:r>
      <w:r>
        <w:rPr>
          <w:rFonts w:hint="cs"/>
          <w:b/>
          <w:bCs/>
          <w:rtl/>
        </w:rPr>
        <w:t>בעל עבר פלילי)</w:t>
      </w:r>
      <w:r>
        <w:rPr>
          <w:rFonts w:hint="cs"/>
          <w:rtl/>
        </w:rPr>
        <w:t xml:space="preserve"> </w:t>
      </w:r>
      <w:r>
        <w:rPr>
          <w:rFonts w:hint="cs"/>
          <w:b/>
          <w:bCs/>
          <w:rtl/>
        </w:rPr>
        <w:t>עונש מאסר בן 36 חודשים לריצוי בפועל.</w:t>
      </w:r>
      <w:r>
        <w:rPr>
          <w:rFonts w:hint="cs"/>
          <w:rtl/>
        </w:rPr>
        <w:t xml:space="preserve"> עונש זה הוטל על המערער בגין ביצועה של עבירה שעניינה </w:t>
      </w:r>
      <w:r>
        <w:rPr>
          <w:rFonts w:hint="cs"/>
          <w:b/>
          <w:bCs/>
          <w:rtl/>
        </w:rPr>
        <w:t xml:space="preserve">נשיאת נשק שלא כדין </w:t>
      </w:r>
      <w:r>
        <w:rPr>
          <w:rFonts w:hint="cs"/>
          <w:rtl/>
        </w:rPr>
        <w:t xml:space="preserve">לפי </w:t>
      </w:r>
      <w:hyperlink r:id="rId39" w:history="1">
        <w:r w:rsidR="00E933AD" w:rsidRPr="00E933AD">
          <w:rPr>
            <w:color w:val="0000FF"/>
            <w:u w:val="single"/>
            <w:rtl/>
          </w:rPr>
          <w:t>סעיף 144(ב)</w:t>
        </w:r>
      </w:hyperlink>
      <w:r>
        <w:rPr>
          <w:rFonts w:hint="cs"/>
          <w:rtl/>
        </w:rPr>
        <w:t xml:space="preserve"> ל</w:t>
      </w:r>
      <w:hyperlink r:id="rId40"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עובדות המקרה לימדו, כי בשביל כורכר המצוי בטייבה, חסמו שוטרים את דרכו של רכב שעורר את חשדם. השוטרים ניגשו למערער שישב במושב האחורי ברכב והוא בתגובה השליך מידו אקדח ובו  מחסנית המכילה 13 כדורים. </w:t>
      </w:r>
      <w:r>
        <w:rPr>
          <w:rFonts w:cs="FrankRuehl" w:hint="cs"/>
          <w:sz w:val="28"/>
          <w:szCs w:val="28"/>
          <w:rtl/>
        </w:rPr>
        <w:t xml:space="preserve"> </w:t>
      </w:r>
    </w:p>
    <w:p w14:paraId="361DA907" w14:textId="77777777" w:rsidR="00464773" w:rsidRDefault="00464773" w:rsidP="00464773">
      <w:pPr>
        <w:spacing w:line="360" w:lineRule="auto"/>
        <w:jc w:val="both"/>
        <w:rPr>
          <w:rFonts w:cs="FrankRuehl"/>
          <w:sz w:val="28"/>
          <w:szCs w:val="28"/>
          <w:rtl/>
        </w:rPr>
      </w:pPr>
    </w:p>
    <w:p w14:paraId="2AEA441E" w14:textId="77777777" w:rsidR="00464773" w:rsidRDefault="00464773" w:rsidP="00464773">
      <w:pPr>
        <w:spacing w:line="360" w:lineRule="auto"/>
        <w:jc w:val="both"/>
        <w:rPr>
          <w:b/>
          <w:bCs/>
          <w:rtl/>
        </w:rPr>
      </w:pPr>
      <w:r>
        <w:rPr>
          <w:rFonts w:hint="cs"/>
          <w:rtl/>
        </w:rPr>
        <w:t xml:space="preserve">בפרשה נוספת שנדונה במסגרת </w:t>
      </w:r>
      <w:hyperlink r:id="rId41" w:history="1">
        <w:r w:rsidR="00CD3320" w:rsidRPr="00CD3320">
          <w:rPr>
            <w:rStyle w:val="Hyperlink"/>
            <w:rFonts w:hint="eastAsia"/>
            <w:rtl/>
          </w:rPr>
          <w:t>ע</w:t>
        </w:r>
        <w:r w:rsidR="00CD3320" w:rsidRPr="00CD3320">
          <w:rPr>
            <w:rStyle w:val="Hyperlink"/>
            <w:rtl/>
          </w:rPr>
          <w:t>"פ 2198/08</w:t>
        </w:r>
      </w:hyperlink>
      <w:r>
        <w:rPr>
          <w:rFonts w:hint="cs"/>
          <w:rtl/>
        </w:rPr>
        <w:t xml:space="preserve"> </w:t>
      </w:r>
      <w:r>
        <w:rPr>
          <w:rFonts w:hint="cs"/>
          <w:b/>
          <w:bCs/>
          <w:rtl/>
        </w:rPr>
        <w:t xml:space="preserve">יוסף עוואדה נ' מדינת ישראל </w:t>
      </w:r>
      <w:r>
        <w:rPr>
          <w:rFonts w:hint="cs"/>
          <w:rtl/>
        </w:rPr>
        <w:t>(ניתן ביום</w:t>
      </w:r>
      <w:r>
        <w:rPr>
          <w:rFonts w:hint="cs"/>
          <w:b/>
          <w:bCs/>
          <w:rtl/>
        </w:rPr>
        <w:t xml:space="preserve"> </w:t>
      </w:r>
      <w:r>
        <w:rPr>
          <w:rFonts w:hint="cs"/>
          <w:rtl/>
        </w:rPr>
        <w:t>8.6.08)</w:t>
      </w:r>
      <w:r>
        <w:rPr>
          <w:rFonts w:hint="cs"/>
          <w:b/>
          <w:bCs/>
          <w:rtl/>
        </w:rPr>
        <w:t xml:space="preserve"> </w:t>
      </w:r>
      <w:r>
        <w:rPr>
          <w:rFonts w:hint="cs"/>
          <w:rtl/>
        </w:rPr>
        <w:t xml:space="preserve">דחה בית המשפט העליון ערעור על גזר דינו של בית המשפט המחוזי בנצרת, במסגרתו הושת על המערער </w:t>
      </w:r>
      <w:r>
        <w:rPr>
          <w:rFonts w:hint="cs"/>
          <w:b/>
          <w:bCs/>
          <w:rtl/>
        </w:rPr>
        <w:t>עונש מאסר בן 8 חודשים לריצוי בפועל.</w:t>
      </w:r>
      <w:r>
        <w:rPr>
          <w:rFonts w:hint="cs"/>
          <w:rtl/>
        </w:rPr>
        <w:t xml:space="preserve"> עונש זה הוטל על המערער בגין ביצועה, על פי הודאתו, של עבירה שעניינה </w:t>
      </w:r>
      <w:r>
        <w:rPr>
          <w:rFonts w:hint="cs"/>
          <w:b/>
          <w:bCs/>
          <w:rtl/>
        </w:rPr>
        <w:t xml:space="preserve">נשיאת נשק </w:t>
      </w:r>
      <w:r>
        <w:rPr>
          <w:rFonts w:hint="cs"/>
          <w:rtl/>
        </w:rPr>
        <w:t xml:space="preserve">לפי </w:t>
      </w:r>
      <w:hyperlink r:id="rId42" w:history="1">
        <w:r w:rsidR="00E933AD" w:rsidRPr="00E933AD">
          <w:rPr>
            <w:color w:val="0000FF"/>
            <w:u w:val="single"/>
            <w:rtl/>
          </w:rPr>
          <w:t>סעיף 144(ב)</w:t>
        </w:r>
      </w:hyperlink>
      <w:r>
        <w:rPr>
          <w:rFonts w:hint="cs"/>
          <w:rtl/>
        </w:rPr>
        <w:t xml:space="preserve"> ל</w:t>
      </w:r>
      <w:hyperlink r:id="rId43" w:history="1">
        <w:r w:rsidR="00CD3320" w:rsidRPr="00CD3320">
          <w:rPr>
            <w:rStyle w:val="Hyperlink"/>
            <w:rFonts w:hint="eastAsia"/>
            <w:rtl/>
          </w:rPr>
          <w:t>חוק</w:t>
        </w:r>
        <w:r w:rsidR="00CD3320" w:rsidRPr="00CD3320">
          <w:rPr>
            <w:rStyle w:val="Hyperlink"/>
            <w:rtl/>
          </w:rPr>
          <w:t xml:space="preserve"> העונשין</w:t>
        </w:r>
      </w:hyperlink>
      <w:r>
        <w:rPr>
          <w:rFonts w:hint="cs"/>
          <w:rtl/>
        </w:rPr>
        <w:t>. עובדות המקרה לימדו, כי בלשי משטרת נצרת הגיעו בחצות הליל, למבנה שבונה המערער בכפר כנא. באותה עת ישב במקום המערער יחד עם שלושה אחרים כשהוא נושא על גופו אקדח בקוטר 9 מ"מ. משנכנסו השוטרים לחדר בו ישבו הארבעה כיוון המערער את האקדח שנשא לעברו של אחד השוטרים ודרך אותו. השוטר צעק לעבר המערער "עצור משטרה", דרך אקדחו וכיוון אותו לעבר המערער. בתגובה לכך זרק המערער את האקדח מעבר לחלון.</w:t>
      </w:r>
      <w:r>
        <w:rPr>
          <w:rFonts w:hint="cs"/>
          <w:b/>
          <w:bCs/>
          <w:rtl/>
        </w:rPr>
        <w:t xml:space="preserve"> </w:t>
      </w:r>
    </w:p>
    <w:p w14:paraId="7843ECD1" w14:textId="77777777" w:rsidR="00464773" w:rsidRDefault="00464773" w:rsidP="00464773">
      <w:pPr>
        <w:spacing w:line="360" w:lineRule="auto"/>
        <w:jc w:val="both"/>
        <w:rPr>
          <w:b/>
          <w:bCs/>
          <w:rtl/>
        </w:rPr>
      </w:pPr>
    </w:p>
    <w:p w14:paraId="60E0F76C" w14:textId="77777777" w:rsidR="00464773" w:rsidRDefault="00464773" w:rsidP="00464773">
      <w:pPr>
        <w:spacing w:line="360" w:lineRule="auto"/>
        <w:jc w:val="both"/>
        <w:rPr>
          <w:rtl/>
        </w:rPr>
      </w:pPr>
      <w:r>
        <w:rPr>
          <w:rFonts w:hint="cs"/>
          <w:rtl/>
        </w:rPr>
        <w:t xml:space="preserve">במסגרת </w:t>
      </w:r>
      <w:hyperlink r:id="rId44" w:history="1">
        <w:r w:rsidR="00CD3320" w:rsidRPr="00CD3320">
          <w:rPr>
            <w:rStyle w:val="Hyperlink"/>
            <w:rFonts w:hint="eastAsia"/>
            <w:rtl/>
          </w:rPr>
          <w:t>תיק</w:t>
        </w:r>
        <w:r w:rsidR="00CD3320" w:rsidRPr="00CD3320">
          <w:rPr>
            <w:rStyle w:val="Hyperlink"/>
            <w:rtl/>
          </w:rPr>
          <w:t xml:space="preserve"> פלילי 9111-02-15</w:t>
        </w:r>
      </w:hyperlink>
      <w:r>
        <w:rPr>
          <w:rFonts w:hint="cs"/>
          <w:rtl/>
        </w:rPr>
        <w:t xml:space="preserve"> </w:t>
      </w:r>
      <w:r>
        <w:rPr>
          <w:rFonts w:hint="cs"/>
          <w:b/>
          <w:bCs/>
          <w:rtl/>
        </w:rPr>
        <w:t>מדינת ישראל נ' חאסרמה</w:t>
      </w:r>
      <w:r>
        <w:rPr>
          <w:rFonts w:hint="cs"/>
          <w:rtl/>
        </w:rPr>
        <w:t xml:space="preserve"> (ניתן ביום 20.9.15) גזר בית המשפט המחוזי בחיפה על הנאשם  עונש מאסר בן </w:t>
      </w:r>
      <w:r>
        <w:rPr>
          <w:rFonts w:hint="cs"/>
          <w:b/>
          <w:bCs/>
          <w:rtl/>
        </w:rPr>
        <w:t>10 חודשים לריצוי בפועל</w:t>
      </w:r>
      <w:r>
        <w:rPr>
          <w:rFonts w:hint="cs"/>
          <w:rtl/>
        </w:rPr>
        <w:t xml:space="preserve"> בגין ביצוען של שתי עבירות בנשק - האחת, לפי  </w:t>
      </w:r>
      <w:hyperlink r:id="rId45" w:history="1">
        <w:r w:rsidR="00E933AD" w:rsidRPr="00E933AD">
          <w:rPr>
            <w:color w:val="0000FF"/>
            <w:u w:val="single"/>
            <w:rtl/>
          </w:rPr>
          <w:t>סעיף 144(א)</w:t>
        </w:r>
      </w:hyperlink>
      <w:r>
        <w:rPr>
          <w:rFonts w:hint="cs"/>
          <w:rtl/>
        </w:rPr>
        <w:t xml:space="preserve"> ל</w:t>
      </w:r>
      <w:hyperlink r:id="rId46"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והשנייה לפי </w:t>
      </w:r>
      <w:hyperlink r:id="rId47" w:history="1">
        <w:r w:rsidR="00E933AD" w:rsidRPr="00E933AD">
          <w:rPr>
            <w:color w:val="0000FF"/>
            <w:u w:val="single"/>
            <w:rtl/>
          </w:rPr>
          <w:t>סעיף 144(ב)</w:t>
        </w:r>
      </w:hyperlink>
      <w:r>
        <w:rPr>
          <w:rFonts w:hint="cs"/>
          <w:rtl/>
        </w:rPr>
        <w:t xml:space="preserve"> לחוק העונשין. עובדות המקרה בפרשה זו היו אלו:  עת הגיעו שוטרים לסוכת אבלים של משפחת חסארמה, בכפר בענה, במטרה לעכב את יוסף חסארמה לחקירה, הבחין בהם הנאשם שהיה במתחם והחל במנוסה מהם כאשר הוא נושא ומחזיק אקדח מסוג </w:t>
      </w:r>
      <w:r>
        <w:t>FN</w:t>
      </w:r>
      <w:r>
        <w:rPr>
          <w:rFonts w:hint="cs"/>
          <w:rtl/>
        </w:rPr>
        <w:t xml:space="preserve"> ומחסנית עם 13 כדורים 9 מ"מ. במהלך המנוסה מהשוטרים זרק הנאשם את האקדח והמחסנית.  </w:t>
      </w:r>
    </w:p>
    <w:p w14:paraId="3180E0D9" w14:textId="77777777" w:rsidR="00464773" w:rsidRDefault="00464773" w:rsidP="00464773">
      <w:pPr>
        <w:spacing w:line="360" w:lineRule="auto"/>
        <w:jc w:val="both"/>
        <w:rPr>
          <w:rtl/>
        </w:rPr>
      </w:pPr>
    </w:p>
    <w:p w14:paraId="383EACEA" w14:textId="77777777" w:rsidR="00464773" w:rsidRDefault="00464773" w:rsidP="00464773">
      <w:pPr>
        <w:spacing w:line="360" w:lineRule="auto"/>
        <w:jc w:val="both"/>
        <w:rPr>
          <w:rtl/>
        </w:rPr>
      </w:pPr>
      <w:r>
        <w:rPr>
          <w:rFonts w:hint="cs"/>
          <w:rtl/>
        </w:rPr>
        <w:t xml:space="preserve">ראו גם: </w:t>
      </w:r>
      <w:hyperlink r:id="rId48" w:history="1">
        <w:r w:rsidR="00CD3320" w:rsidRPr="00CD3320">
          <w:rPr>
            <w:rStyle w:val="Hyperlink"/>
            <w:rFonts w:hint="eastAsia"/>
            <w:rtl/>
          </w:rPr>
          <w:t>תיק</w:t>
        </w:r>
        <w:r w:rsidR="00CD3320" w:rsidRPr="00CD3320">
          <w:rPr>
            <w:rStyle w:val="Hyperlink"/>
            <w:rtl/>
          </w:rPr>
          <w:t xml:space="preserve"> פלילי 20604-12-09</w:t>
        </w:r>
      </w:hyperlink>
      <w:r>
        <w:rPr>
          <w:rFonts w:hint="cs"/>
          <w:rtl/>
        </w:rPr>
        <w:t xml:space="preserve"> </w:t>
      </w:r>
      <w:r>
        <w:rPr>
          <w:rFonts w:hint="cs"/>
          <w:b/>
          <w:bCs/>
          <w:rtl/>
        </w:rPr>
        <w:t>מדינת ישראל נ' קסם אזולאי</w:t>
      </w:r>
      <w:r>
        <w:rPr>
          <w:rFonts w:hint="cs"/>
          <w:rtl/>
        </w:rPr>
        <w:t xml:space="preserve"> (ניתן ביום 28.6.10) במסגרתו גזר בית המשפט המחוזי בתל אביב על הנאשם, במסגרת הסדר טיעון, עונש מאסר בן  </w:t>
      </w:r>
      <w:r>
        <w:rPr>
          <w:rFonts w:hint="cs"/>
          <w:b/>
          <w:bCs/>
          <w:rtl/>
        </w:rPr>
        <w:t>16 חודשים לריצוי בפועל,</w:t>
      </w:r>
      <w:r>
        <w:rPr>
          <w:rFonts w:hint="cs"/>
          <w:rtl/>
        </w:rPr>
        <w:t xml:space="preserve"> בגין ביצועה של עבירה שעניינה נשיאת נשק שלא כדין לפי </w:t>
      </w:r>
      <w:hyperlink r:id="rId49" w:history="1">
        <w:r w:rsidR="00E933AD" w:rsidRPr="00E933AD">
          <w:rPr>
            <w:color w:val="0000FF"/>
            <w:u w:val="single"/>
            <w:rtl/>
          </w:rPr>
          <w:t>סעיף 144(ב)</w:t>
        </w:r>
      </w:hyperlink>
      <w:r>
        <w:rPr>
          <w:rFonts w:hint="cs"/>
          <w:rtl/>
        </w:rPr>
        <w:t xml:space="preserve"> ל</w:t>
      </w:r>
      <w:hyperlink r:id="rId50" w:history="1">
        <w:r w:rsidR="00CD3320" w:rsidRPr="00CD3320">
          <w:rPr>
            <w:rStyle w:val="Hyperlink"/>
            <w:rFonts w:hint="eastAsia"/>
            <w:rtl/>
          </w:rPr>
          <w:t>חוק</w:t>
        </w:r>
        <w:r w:rsidR="00CD3320" w:rsidRPr="00CD3320">
          <w:rPr>
            <w:rStyle w:val="Hyperlink"/>
            <w:rtl/>
          </w:rPr>
          <w:t xml:space="preserve"> העונשין</w:t>
        </w:r>
      </w:hyperlink>
      <w:r>
        <w:rPr>
          <w:rFonts w:hint="cs"/>
          <w:rtl/>
        </w:rPr>
        <w:t>.</w:t>
      </w:r>
    </w:p>
    <w:p w14:paraId="577C5CCE" w14:textId="77777777" w:rsidR="00464773" w:rsidRDefault="00464773" w:rsidP="00464773">
      <w:pPr>
        <w:jc w:val="both"/>
        <w:rPr>
          <w:b/>
          <w:bCs/>
          <w:u w:val="single"/>
          <w:rtl/>
        </w:rPr>
      </w:pPr>
    </w:p>
    <w:p w14:paraId="590135D5" w14:textId="77777777" w:rsidR="00464773" w:rsidRDefault="00464773" w:rsidP="00464773">
      <w:pPr>
        <w:spacing w:line="360" w:lineRule="auto"/>
        <w:jc w:val="both"/>
        <w:rPr>
          <w:rtl/>
        </w:rPr>
      </w:pPr>
      <w:r>
        <w:rPr>
          <w:rFonts w:hint="cs"/>
          <w:b/>
          <w:bCs/>
          <w:u w:val="single"/>
          <w:rtl/>
        </w:rPr>
        <w:t>נסיבות הקשורות בביצוע העבירה (</w:t>
      </w:r>
      <w:hyperlink r:id="rId51" w:history="1">
        <w:r w:rsidR="00E933AD" w:rsidRPr="00E933AD">
          <w:rPr>
            <w:b/>
            <w:bCs/>
            <w:color w:val="0000FF"/>
            <w:u w:val="single"/>
            <w:rtl/>
          </w:rPr>
          <w:t>סעיף 40ט'</w:t>
        </w:r>
      </w:hyperlink>
      <w:r>
        <w:rPr>
          <w:rFonts w:hint="cs"/>
          <w:b/>
          <w:bCs/>
          <w:u w:val="single"/>
          <w:rtl/>
        </w:rPr>
        <w:t xml:space="preserve"> ל</w:t>
      </w:r>
      <w:hyperlink r:id="rId52" w:history="1">
        <w:r w:rsidR="00CD3320" w:rsidRPr="00CD3320">
          <w:rPr>
            <w:rStyle w:val="Hyperlink"/>
            <w:rFonts w:hint="eastAsia"/>
            <w:b/>
            <w:bCs/>
            <w:rtl/>
          </w:rPr>
          <w:t>חוק</w:t>
        </w:r>
        <w:r w:rsidR="00CD3320" w:rsidRPr="00CD3320">
          <w:rPr>
            <w:rStyle w:val="Hyperlink"/>
            <w:b/>
            <w:bCs/>
            <w:rtl/>
          </w:rPr>
          <w:t xml:space="preserve"> העונשין</w:t>
        </w:r>
      </w:hyperlink>
      <w:r>
        <w:rPr>
          <w:rFonts w:hint="cs"/>
          <w:b/>
          <w:bCs/>
          <w:u w:val="single"/>
          <w:rtl/>
        </w:rPr>
        <w:t>)</w:t>
      </w:r>
    </w:p>
    <w:p w14:paraId="1E7B14E8" w14:textId="77777777" w:rsidR="00464773" w:rsidRDefault="00464773" w:rsidP="00464773">
      <w:pPr>
        <w:spacing w:line="360" w:lineRule="auto"/>
        <w:jc w:val="both"/>
        <w:rPr>
          <w:rtl/>
        </w:rPr>
      </w:pPr>
      <w:r>
        <w:rPr>
          <w:rFonts w:hint="cs"/>
          <w:rtl/>
        </w:rPr>
        <w:t xml:space="preserve">בהתאם לעובדות כתב-האישום, אין ניתן לייחס לנאשם תכנון ארוך-טווח קודם לביצוע העבירה. עם זאת, מתוך תיאור הדברים, אין ניתן להתייחס אל מעשה-העבירה כמעידה רגעית, שכן </w:t>
      </w:r>
      <w:r>
        <w:rPr>
          <w:rFonts w:hint="cs"/>
          <w:b/>
          <w:bCs/>
          <w:rtl/>
        </w:rPr>
        <w:t>הנאשם טרח להתחמק מאנשי-המשטרה</w:t>
      </w:r>
      <w:r>
        <w:rPr>
          <w:rFonts w:hint="cs"/>
          <w:rtl/>
        </w:rPr>
        <w:t xml:space="preserve"> ואף </w:t>
      </w:r>
      <w:r>
        <w:rPr>
          <w:rFonts w:hint="cs"/>
          <w:b/>
          <w:bCs/>
          <w:rtl/>
        </w:rPr>
        <w:t>הסתיר את הנשק בחדר בבית דודו</w:t>
      </w:r>
      <w:r>
        <w:rPr>
          <w:rFonts w:hint="cs"/>
          <w:rtl/>
        </w:rPr>
        <w:t xml:space="preserve">. הנאשם עבר את העבירה לבדו. </w:t>
      </w:r>
      <w:r>
        <w:rPr>
          <w:rFonts w:hint="cs"/>
          <w:b/>
          <w:bCs/>
          <w:rtl/>
        </w:rPr>
        <w:t xml:space="preserve">נזק משמעותי עלול היה להיגרם </w:t>
      </w:r>
      <w:r>
        <w:rPr>
          <w:rFonts w:hint="cs"/>
          <w:rtl/>
        </w:rPr>
        <w:t xml:space="preserve">אילו הנאשם המשיך להחזיק בכלי-נשק לא חוקי וזה עלול היה להתגלגל כך לידיים בלתי-מוסמכות אחרות. </w:t>
      </w:r>
      <w:r>
        <w:rPr>
          <w:rFonts w:hint="cs"/>
          <w:b/>
          <w:bCs/>
          <w:rtl/>
        </w:rPr>
        <w:t>בפועל, לא גרמו מעשיו של הנאשם לנזק.</w:t>
      </w:r>
      <w:r>
        <w:rPr>
          <w:rFonts w:hint="cs"/>
          <w:rtl/>
        </w:rPr>
        <w:t xml:space="preserve"> אין בחומר ראיה ברורה, המלמדת על מניעיו של הנאשם בביצוע המעשה. </w:t>
      </w:r>
    </w:p>
    <w:p w14:paraId="72DDCAAA" w14:textId="77777777" w:rsidR="00464773" w:rsidRDefault="00464773" w:rsidP="00464773">
      <w:pPr>
        <w:spacing w:line="360" w:lineRule="auto"/>
        <w:jc w:val="both"/>
        <w:rPr>
          <w:rtl/>
        </w:rPr>
      </w:pPr>
    </w:p>
    <w:p w14:paraId="41B4D96A" w14:textId="77777777" w:rsidR="00464773" w:rsidRDefault="00464773" w:rsidP="00464773">
      <w:pPr>
        <w:spacing w:line="360" w:lineRule="auto"/>
        <w:jc w:val="both"/>
        <w:rPr>
          <w:rtl/>
        </w:rPr>
      </w:pPr>
      <w:r>
        <w:rPr>
          <w:rFonts w:hint="cs"/>
          <w:rtl/>
        </w:rPr>
        <w:t xml:space="preserve">הנאשם טען בפני קצין המבחן שמצא את כלי-הנשק. טענה זו לא זכתה לאמון מלא מצד קצין המבחן. אין בכוונתי לקבוע מסמרות בעניין זה בשלב הנוכחי. הנאשם הבין את המעשה ועשאו מתוך שליטה. </w:t>
      </w:r>
    </w:p>
    <w:p w14:paraId="52058283" w14:textId="77777777" w:rsidR="00464773" w:rsidRDefault="00464773" w:rsidP="00464773">
      <w:pPr>
        <w:spacing w:line="360" w:lineRule="auto"/>
        <w:jc w:val="both"/>
        <w:rPr>
          <w:b/>
          <w:bCs/>
          <w:rtl/>
        </w:rPr>
      </w:pPr>
      <w:r>
        <w:rPr>
          <w:rFonts w:hint="cs"/>
          <w:b/>
          <w:bCs/>
          <w:rtl/>
        </w:rPr>
        <w:t xml:space="preserve">בהתחשב בכל אלה, מצאתי כי מתחם העונש ההולם בעניינו נע בין 10 לבין 30 חודשי מאסר לריצוי בפועל. </w:t>
      </w:r>
    </w:p>
    <w:p w14:paraId="386CAE9C" w14:textId="77777777" w:rsidR="00464773" w:rsidRDefault="00464773" w:rsidP="00464773">
      <w:pPr>
        <w:spacing w:line="360" w:lineRule="auto"/>
        <w:jc w:val="both"/>
        <w:rPr>
          <w:b/>
          <w:bCs/>
          <w:rtl/>
        </w:rPr>
      </w:pPr>
    </w:p>
    <w:p w14:paraId="3C737A67" w14:textId="77777777" w:rsidR="00464773" w:rsidRDefault="00464773" w:rsidP="00464773">
      <w:pPr>
        <w:spacing w:line="360" w:lineRule="auto"/>
        <w:jc w:val="both"/>
        <w:rPr>
          <w:rtl/>
        </w:rPr>
      </w:pPr>
      <w:r>
        <w:rPr>
          <w:rFonts w:hint="cs"/>
          <w:rtl/>
        </w:rPr>
        <w:t xml:space="preserve">מכאן, ראוי לעבור לבחון את העונש המתאים לנאשם שלפניי בהתחשב בנסיבותיו האישיות. </w:t>
      </w:r>
    </w:p>
    <w:p w14:paraId="352B9231" w14:textId="77777777" w:rsidR="00464773" w:rsidRDefault="00464773" w:rsidP="00464773">
      <w:pPr>
        <w:spacing w:line="360" w:lineRule="auto"/>
        <w:jc w:val="both"/>
        <w:rPr>
          <w:rtl/>
        </w:rPr>
      </w:pPr>
    </w:p>
    <w:p w14:paraId="6394344C" w14:textId="77777777" w:rsidR="00464773" w:rsidRDefault="00464773" w:rsidP="00464773">
      <w:pPr>
        <w:spacing w:line="360" w:lineRule="auto"/>
        <w:jc w:val="both"/>
        <w:rPr>
          <w:rtl/>
        </w:rPr>
      </w:pPr>
      <w:r>
        <w:rPr>
          <w:rFonts w:hint="cs"/>
          <w:b/>
          <w:bCs/>
          <w:u w:val="single"/>
          <w:rtl/>
        </w:rPr>
        <w:t xml:space="preserve">נסיבות שאינן קשורות בביצוע העבירה </w:t>
      </w:r>
      <w:r>
        <w:rPr>
          <w:rFonts w:hint="cs"/>
          <w:rtl/>
        </w:rPr>
        <w:t>(</w:t>
      </w:r>
      <w:hyperlink r:id="rId53" w:history="1">
        <w:r w:rsidR="00E933AD" w:rsidRPr="00E933AD">
          <w:rPr>
            <w:color w:val="0000FF"/>
            <w:u w:val="single"/>
            <w:rtl/>
          </w:rPr>
          <w:t>סעיף 40יא</w:t>
        </w:r>
      </w:hyperlink>
      <w:r>
        <w:rPr>
          <w:rFonts w:hint="cs"/>
          <w:rtl/>
        </w:rPr>
        <w:t xml:space="preserve"> ל</w:t>
      </w:r>
      <w:hyperlink r:id="rId54" w:history="1">
        <w:r w:rsidR="00CD3320" w:rsidRPr="00CD3320">
          <w:rPr>
            <w:rStyle w:val="Hyperlink"/>
            <w:rFonts w:hint="eastAsia"/>
            <w:rtl/>
          </w:rPr>
          <w:t>חוק</w:t>
        </w:r>
        <w:r w:rsidR="00CD3320" w:rsidRPr="00CD3320">
          <w:rPr>
            <w:rStyle w:val="Hyperlink"/>
            <w:rtl/>
          </w:rPr>
          <w:t xml:space="preserve"> העונשין</w:t>
        </w:r>
      </w:hyperlink>
      <w:r>
        <w:rPr>
          <w:rFonts w:hint="cs"/>
          <w:rtl/>
        </w:rPr>
        <w:t>)</w:t>
      </w:r>
    </w:p>
    <w:p w14:paraId="47A720EC" w14:textId="77777777" w:rsidR="00464773" w:rsidRDefault="00464773" w:rsidP="00464773">
      <w:pPr>
        <w:spacing w:line="360" w:lineRule="auto"/>
        <w:jc w:val="both"/>
        <w:rPr>
          <w:rtl/>
        </w:rPr>
      </w:pPr>
      <w:r>
        <w:rPr>
          <w:rFonts w:hint="cs"/>
          <w:rtl/>
        </w:rPr>
        <w:t>עונש מאסר ודאי יפגע בנאשם שלפניי, שהוא בחור צעיר (כבן 30) ואב לשני ילדים רכים. בוודאי שיש בריצוי עונש מאסר כדי לפגוע במשפחתו, התלויה בו כלכלית רגשית ומוראלית. כתוצאה מביצוע העבירה ומההרשעה נגרמו לנאשם נזקים:</w:t>
      </w:r>
    </w:p>
    <w:p w14:paraId="71A6EB5A" w14:textId="77777777" w:rsidR="00464773" w:rsidRDefault="00464773" w:rsidP="00464773">
      <w:pPr>
        <w:spacing w:line="360" w:lineRule="auto"/>
        <w:jc w:val="both"/>
        <w:rPr>
          <w:rtl/>
        </w:rPr>
      </w:pPr>
      <w:r>
        <w:rPr>
          <w:rFonts w:hint="cs"/>
          <w:rtl/>
        </w:rPr>
        <w:t xml:space="preserve">הוא נעצר במעצר ממשי משך כחודש ימים (18.8.16-19.7.16); אחר-כך, הוא שוחרר בתנאים מגבילים. מובן, כי הגבלות אלו על חירותו פגעו פגיעה קשה ברצף התעסוקתי בו שהה הנאשם (רצף אשר מלכתחילה נקטע כתוצאה מפציעה קשה בתאונת-עבודה בשנת 2015). </w:t>
      </w:r>
      <w:r>
        <w:rPr>
          <w:rFonts w:hint="cs"/>
          <w:b/>
          <w:bCs/>
          <w:rtl/>
        </w:rPr>
        <w:t>הנאשם נטל אחריות מלאה על מעשיו</w:t>
      </w:r>
      <w:r>
        <w:rPr>
          <w:rFonts w:hint="cs"/>
          <w:rtl/>
        </w:rPr>
        <w:t xml:space="preserve"> ועשה מאמצים על-מנת לחזור למוטב. </w:t>
      </w:r>
      <w:r>
        <w:rPr>
          <w:rFonts w:hint="cs"/>
          <w:b/>
          <w:bCs/>
          <w:rtl/>
        </w:rPr>
        <w:t>הוא הודה באשמה ובכך הביע חרטה וחסך זמן שיפוטי</w:t>
      </w:r>
      <w:r>
        <w:rPr>
          <w:rFonts w:hint="cs"/>
          <w:rtl/>
        </w:rPr>
        <w:t xml:space="preserve">, אשר היה כרוך בניהול משפט הוכחות בעניינו. </w:t>
      </w:r>
      <w:r>
        <w:rPr>
          <w:rFonts w:hint="cs"/>
          <w:b/>
          <w:bCs/>
          <w:rtl/>
        </w:rPr>
        <w:t>נסיבות חייו, כ</w:t>
      </w:r>
      <w:r>
        <w:rPr>
          <w:rFonts w:hint="cs"/>
          <w:rtl/>
        </w:rPr>
        <w:t xml:space="preserve">מתואר בתסקיר שירות המבחן, </w:t>
      </w:r>
      <w:r>
        <w:rPr>
          <w:rFonts w:hint="cs"/>
          <w:b/>
          <w:bCs/>
          <w:rtl/>
        </w:rPr>
        <w:t>לא היו קלות</w:t>
      </w:r>
      <w:r>
        <w:rPr>
          <w:rFonts w:hint="cs"/>
          <w:rtl/>
        </w:rPr>
        <w:t xml:space="preserve"> וודאי שהללו השפיעו על דרך התנהלותו. </w:t>
      </w:r>
      <w:r>
        <w:rPr>
          <w:rFonts w:hint="cs"/>
          <w:b/>
          <w:bCs/>
          <w:rtl/>
        </w:rPr>
        <w:t>עברו הפלילי נקי</w:t>
      </w:r>
      <w:r>
        <w:rPr>
          <w:rFonts w:hint="cs"/>
          <w:rtl/>
        </w:rPr>
        <w:t xml:space="preserve">; האמור בנסיבה חשובה, אשר צריך שתילקח בחשבון לטובתו. </w:t>
      </w:r>
    </w:p>
    <w:p w14:paraId="2B9FD1EF" w14:textId="77777777" w:rsidR="00464773" w:rsidRDefault="00464773" w:rsidP="00464773">
      <w:pPr>
        <w:jc w:val="both"/>
        <w:rPr>
          <w:b/>
          <w:bCs/>
          <w:u w:val="single"/>
          <w:rtl/>
        </w:rPr>
      </w:pPr>
    </w:p>
    <w:p w14:paraId="2D458994" w14:textId="77777777" w:rsidR="00464773" w:rsidRDefault="00464773" w:rsidP="00464773">
      <w:pPr>
        <w:spacing w:line="360" w:lineRule="auto"/>
        <w:jc w:val="both"/>
        <w:rPr>
          <w:rtl/>
        </w:rPr>
      </w:pPr>
      <w:r>
        <w:rPr>
          <w:rFonts w:hint="cs"/>
          <w:b/>
          <w:bCs/>
          <w:u w:val="single"/>
          <w:rtl/>
        </w:rPr>
        <w:t>גזירת העונש</w:t>
      </w:r>
    </w:p>
    <w:p w14:paraId="5FBBBEBE" w14:textId="77777777" w:rsidR="00464773" w:rsidRDefault="00464773" w:rsidP="00464773">
      <w:pPr>
        <w:spacing w:line="360" w:lineRule="auto"/>
        <w:jc w:val="both"/>
        <w:rPr>
          <w:rtl/>
        </w:rPr>
      </w:pPr>
      <w:r>
        <w:rPr>
          <w:rFonts w:hint="cs"/>
          <w:rtl/>
        </w:rPr>
        <w:t>בבואי לגזור את דינו של הנאשם לפניי שקלתי בכובד ראש את עתירת הסנגורים המלומדים, כי אסתפק בהטלת עונש מאסר לריצוי בדרך של עבודות שירות על הנאשם. הם סברו, שבהתחשב ברמת הענישה הנהוגה בכגון דא ובשים לב לנתוניו האישיים של הנאשם, להודאתו, להעדרו של עבר פלילי ולעובדה ששהה במעצר ממשי חודש ימים ובמעצר בית מלא כשלושה חודשים נוספים, החזרתו אל מאחורי סורג ובריח תהווה עונש בלתי-מידתי, מופרז ומוגזם. עם כל הצער שבדבר וחרף הרצון לסלול עבור הנאשם דרך שיקומית (</w:t>
      </w:r>
      <w:r>
        <w:rPr>
          <w:rFonts w:hint="cs"/>
          <w:b/>
          <w:bCs/>
          <w:rtl/>
        </w:rPr>
        <w:t>גם בהעדרה של המלצה ברוח זו מצדו של שירות המבחן</w:t>
      </w:r>
      <w:r w:rsidRPr="00794BEA">
        <w:rPr>
          <w:rFonts w:hint="cs"/>
          <w:rtl/>
        </w:rPr>
        <w:t>)</w:t>
      </w:r>
      <w:r>
        <w:rPr>
          <w:rFonts w:hint="cs"/>
          <w:rtl/>
        </w:rPr>
        <w:t xml:space="preserve"> סברתי שמשהורשע הנאשם בעבירה שעניינה נשיאת נשק שלא כחוק, הטלת עונש מאסר לריצוי בדרך של עבודות שירות תהא צעד בלתי-מידתי ומופרז לקולה, צעד אשר יחטיא כליל את דרכי הענישה וההרתעה ההכרחיים בכגון דא, מפאת שורת הטעמים, אשר צוינו בהרחבה בפסיקת בית-המשפט העליון אשר צוטטה לעיל. </w:t>
      </w:r>
    </w:p>
    <w:p w14:paraId="40915FE8" w14:textId="77777777" w:rsidR="00464773" w:rsidRDefault="00464773" w:rsidP="00464773">
      <w:pPr>
        <w:spacing w:line="360" w:lineRule="auto"/>
        <w:jc w:val="both"/>
        <w:rPr>
          <w:rtl/>
        </w:rPr>
      </w:pPr>
      <w:r>
        <w:rPr>
          <w:rFonts w:hint="cs"/>
          <w:rtl/>
        </w:rPr>
        <w:t xml:space="preserve">הנסיבות האישיות של הנאשם, אשר להן נודע, בלי ספק, משמעות ומשקל לקולה יוכלו למתן מאוד את </w:t>
      </w:r>
      <w:r>
        <w:rPr>
          <w:rFonts w:hint="cs"/>
          <w:b/>
          <w:bCs/>
          <w:rtl/>
        </w:rPr>
        <w:t>משך</w:t>
      </w:r>
      <w:r>
        <w:rPr>
          <w:rFonts w:hint="cs"/>
          <w:rtl/>
        </w:rPr>
        <w:t xml:space="preserve"> תקופת המאסר אשר בכוונתי לגזור לנאשם. </w:t>
      </w:r>
    </w:p>
    <w:p w14:paraId="24191BCD" w14:textId="77777777" w:rsidR="00464773" w:rsidRDefault="00464773" w:rsidP="00464773">
      <w:pPr>
        <w:spacing w:line="360" w:lineRule="auto"/>
        <w:jc w:val="both"/>
        <w:rPr>
          <w:rtl/>
        </w:rPr>
      </w:pPr>
    </w:p>
    <w:p w14:paraId="724C5D1D" w14:textId="77777777" w:rsidR="00464773" w:rsidRDefault="00464773" w:rsidP="00464773">
      <w:pPr>
        <w:jc w:val="both"/>
        <w:rPr>
          <w:rtl/>
        </w:rPr>
      </w:pPr>
      <w:r>
        <w:rPr>
          <w:rFonts w:hint="cs"/>
          <w:rtl/>
        </w:rPr>
        <w:t xml:space="preserve">בהתחשב במכלול, מוטלים על הנאשם עונשים כדלקמן – </w:t>
      </w:r>
    </w:p>
    <w:p w14:paraId="769D12F9" w14:textId="77777777" w:rsidR="00464773" w:rsidRDefault="00464773" w:rsidP="00464773">
      <w:pPr>
        <w:jc w:val="both"/>
        <w:rPr>
          <w:rtl/>
        </w:rPr>
      </w:pPr>
    </w:p>
    <w:p w14:paraId="02EDDAF7" w14:textId="77777777" w:rsidR="00464773" w:rsidRDefault="00464773" w:rsidP="00464773">
      <w:pPr>
        <w:spacing w:line="360" w:lineRule="auto"/>
        <w:jc w:val="both"/>
        <w:rPr>
          <w:rtl/>
        </w:rPr>
      </w:pPr>
      <w:r w:rsidRPr="009B1327">
        <w:rPr>
          <w:rFonts w:hint="cs"/>
          <w:b/>
          <w:bCs/>
          <w:rtl/>
        </w:rPr>
        <w:t>א</w:t>
      </w:r>
      <w:r>
        <w:rPr>
          <w:rFonts w:hint="cs"/>
          <w:rtl/>
        </w:rPr>
        <w:t xml:space="preserve">. 12 חודשי מאסר לריצוי בפועל בניכוי 30 ימים מעצרו הסגור מיום 19.7.16 ועד יום 18.8.16. </w:t>
      </w:r>
    </w:p>
    <w:p w14:paraId="79F5D69F" w14:textId="77777777" w:rsidR="00464773" w:rsidRDefault="00464773" w:rsidP="00464773">
      <w:pPr>
        <w:spacing w:line="360" w:lineRule="auto"/>
        <w:jc w:val="both"/>
        <w:rPr>
          <w:rtl/>
        </w:rPr>
      </w:pPr>
    </w:p>
    <w:p w14:paraId="67378800" w14:textId="77777777" w:rsidR="00464773" w:rsidRDefault="00464773" w:rsidP="00464773">
      <w:pPr>
        <w:spacing w:line="360" w:lineRule="auto"/>
        <w:jc w:val="both"/>
        <w:rPr>
          <w:rtl/>
        </w:rPr>
      </w:pPr>
      <w:r w:rsidRPr="009B1327">
        <w:rPr>
          <w:rFonts w:hint="cs"/>
          <w:b/>
          <w:bCs/>
          <w:rtl/>
        </w:rPr>
        <w:t>ב</w:t>
      </w:r>
      <w:r>
        <w:rPr>
          <w:rFonts w:hint="cs"/>
          <w:rtl/>
        </w:rPr>
        <w:t xml:space="preserve">. 18 חודשי מאסר על-תנאי שלא יעבור במשך 3 שנים עבירה על </w:t>
      </w:r>
      <w:hyperlink r:id="rId55" w:history="1">
        <w:r w:rsidR="00E933AD" w:rsidRPr="00E933AD">
          <w:rPr>
            <w:color w:val="0000FF"/>
            <w:u w:val="single"/>
            <w:rtl/>
          </w:rPr>
          <w:t>סעיף 144</w:t>
        </w:r>
      </w:hyperlink>
      <w:r>
        <w:rPr>
          <w:rFonts w:hint="cs"/>
          <w:rtl/>
        </w:rPr>
        <w:t xml:space="preserve"> ל</w:t>
      </w:r>
      <w:hyperlink r:id="rId56"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w:t>
      </w:r>
    </w:p>
    <w:p w14:paraId="58694AAE" w14:textId="77777777" w:rsidR="00464773" w:rsidRDefault="00464773" w:rsidP="00464773">
      <w:pPr>
        <w:spacing w:line="360" w:lineRule="auto"/>
        <w:jc w:val="both"/>
        <w:rPr>
          <w:rtl/>
        </w:rPr>
      </w:pPr>
    </w:p>
    <w:p w14:paraId="5A62D784" w14:textId="77777777" w:rsidR="00464773" w:rsidRDefault="00464773" w:rsidP="00464773">
      <w:pPr>
        <w:spacing w:line="360" w:lineRule="auto"/>
        <w:jc w:val="both"/>
        <w:rPr>
          <w:rtl/>
        </w:rPr>
      </w:pPr>
      <w:r w:rsidRPr="009B1327">
        <w:rPr>
          <w:rFonts w:hint="cs"/>
          <w:b/>
          <w:bCs/>
          <w:rtl/>
        </w:rPr>
        <w:t>ג</w:t>
      </w:r>
      <w:r>
        <w:rPr>
          <w:rFonts w:hint="cs"/>
          <w:rtl/>
        </w:rPr>
        <w:t xml:space="preserve">. קנס בסך 1,500 ₪, שישולם עד יום 1.1.18. לא ישולם הקנס במועדו, ירצה הנאשם 15 ימי מאסר תמורתו. </w:t>
      </w:r>
    </w:p>
    <w:p w14:paraId="1CF2C8C8" w14:textId="77777777" w:rsidR="00464773" w:rsidRDefault="00464773" w:rsidP="00464773">
      <w:pPr>
        <w:spacing w:line="360" w:lineRule="auto"/>
        <w:jc w:val="both"/>
        <w:rPr>
          <w:rtl/>
        </w:rPr>
      </w:pPr>
    </w:p>
    <w:p w14:paraId="290D74BA" w14:textId="77777777" w:rsidR="00464773" w:rsidRPr="00B05847" w:rsidRDefault="00464773" w:rsidP="00464773">
      <w:pPr>
        <w:spacing w:line="360" w:lineRule="auto"/>
        <w:jc w:val="both"/>
        <w:rPr>
          <w:rtl/>
        </w:rPr>
      </w:pPr>
      <w:r w:rsidRPr="00511CA6">
        <w:rPr>
          <w:rFonts w:hint="cs"/>
          <w:b/>
          <w:bCs/>
          <w:rtl/>
        </w:rPr>
        <w:t>זכות ערעור כחוק</w:t>
      </w:r>
      <w:r w:rsidRPr="009B1327">
        <w:rPr>
          <w:rFonts w:hint="cs"/>
          <w:rtl/>
        </w:rPr>
        <w:t xml:space="preserve">. </w:t>
      </w:r>
    </w:p>
    <w:p w14:paraId="0443D5C5" w14:textId="77777777" w:rsidR="00464773" w:rsidRPr="00CD3320" w:rsidRDefault="00CD3320" w:rsidP="00464773">
      <w:pPr>
        <w:rPr>
          <w:color w:val="FFFFFF"/>
          <w:sz w:val="2"/>
          <w:szCs w:val="2"/>
          <w:rtl/>
        </w:rPr>
      </w:pPr>
      <w:r w:rsidRPr="00CD3320">
        <w:rPr>
          <w:color w:val="FFFFFF"/>
          <w:sz w:val="2"/>
          <w:szCs w:val="2"/>
          <w:rtl/>
        </w:rPr>
        <w:t>5129371</w:t>
      </w:r>
    </w:p>
    <w:p w14:paraId="396CA402" w14:textId="77777777" w:rsidR="00464773" w:rsidRDefault="00CD3320" w:rsidP="00464773">
      <w:pPr>
        <w:rPr>
          <w:rFonts w:cs="FrankRuehl"/>
          <w:sz w:val="28"/>
          <w:szCs w:val="28"/>
          <w:rtl/>
        </w:rPr>
      </w:pPr>
      <w:r w:rsidRPr="00CD3320">
        <w:rPr>
          <w:rFonts w:ascii="Arial" w:hAnsi="Arial"/>
          <w:color w:val="FFFFFF"/>
          <w:sz w:val="2"/>
          <w:szCs w:val="2"/>
          <w:rtl/>
        </w:rPr>
        <w:t>54678313</w:t>
      </w:r>
      <w:r>
        <w:rPr>
          <w:rFonts w:ascii="Arial" w:hAnsi="Arial"/>
          <w:rtl/>
        </w:rPr>
        <w:t xml:space="preserve">ניתן היום, ד' אייר תשע"ז, 30 אפריל 2017. </w:t>
      </w:r>
    </w:p>
    <w:p w14:paraId="17DCB878" w14:textId="77777777" w:rsidR="00464773" w:rsidRDefault="00464773" w:rsidP="0046477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99DA1F9" w14:textId="77777777" w:rsidR="00464773" w:rsidRDefault="00464773" w:rsidP="00464773">
      <w:pPr>
        <w:jc w:val="center"/>
        <w:rPr>
          <w:rFonts w:ascii="Arial" w:hAnsi="Arial" w:cs="FrankRuehl"/>
          <w:sz w:val="28"/>
          <w:szCs w:val="28"/>
          <w:rtl/>
        </w:rPr>
      </w:pPr>
    </w:p>
    <w:p w14:paraId="7F5B80C8" w14:textId="77777777" w:rsidR="00464773" w:rsidRDefault="00464773" w:rsidP="00464773">
      <w:pPr>
        <w:rPr>
          <w:rFonts w:cs="FrankRuehl"/>
          <w:sz w:val="28"/>
          <w:szCs w:val="28"/>
          <w:rtl/>
        </w:rPr>
      </w:pPr>
    </w:p>
    <w:p w14:paraId="746862C0" w14:textId="77777777" w:rsidR="00464773" w:rsidRPr="00E933AD" w:rsidRDefault="00E933AD" w:rsidP="00464773">
      <w:pPr>
        <w:pStyle w:val="a3"/>
        <w:jc w:val="center"/>
        <w:rPr>
          <w:color w:val="FFFFFF"/>
          <w:sz w:val="2"/>
          <w:szCs w:val="2"/>
          <w:rtl/>
        </w:rPr>
      </w:pPr>
      <w:r w:rsidRPr="00E933AD">
        <w:rPr>
          <w:color w:val="FFFFFF"/>
          <w:sz w:val="2"/>
          <w:szCs w:val="2"/>
          <w:rtl/>
        </w:rPr>
        <w:t>5129371</w:t>
      </w:r>
    </w:p>
    <w:p w14:paraId="63A167BE" w14:textId="77777777" w:rsidR="00CD3320" w:rsidRPr="00E933AD" w:rsidRDefault="00E933AD" w:rsidP="00CD3320">
      <w:pPr>
        <w:keepNext/>
        <w:rPr>
          <w:rFonts w:ascii="David" w:hAnsi="David"/>
          <w:color w:val="FFFFFF"/>
          <w:sz w:val="2"/>
          <w:szCs w:val="2"/>
          <w:rtl/>
        </w:rPr>
      </w:pPr>
      <w:r w:rsidRPr="00E933AD">
        <w:rPr>
          <w:rFonts w:ascii="David" w:hAnsi="David"/>
          <w:color w:val="FFFFFF"/>
          <w:sz w:val="2"/>
          <w:szCs w:val="2"/>
          <w:rtl/>
        </w:rPr>
        <w:t>54678313</w:t>
      </w:r>
    </w:p>
    <w:p w14:paraId="4215D7F0" w14:textId="77777777" w:rsidR="00CD3320" w:rsidRPr="00CD3320" w:rsidRDefault="00CD3320" w:rsidP="00CD3320">
      <w:pPr>
        <w:keepNext/>
        <w:rPr>
          <w:rFonts w:ascii="David" w:hAnsi="David"/>
          <w:color w:val="000000"/>
          <w:sz w:val="22"/>
          <w:szCs w:val="22"/>
          <w:rtl/>
        </w:rPr>
      </w:pPr>
      <w:r w:rsidRPr="00CD3320">
        <w:rPr>
          <w:rFonts w:ascii="David" w:hAnsi="David"/>
          <w:color w:val="000000"/>
          <w:sz w:val="22"/>
          <w:szCs w:val="22"/>
          <w:rtl/>
        </w:rPr>
        <w:t>אבי לוי 54678313</w:t>
      </w:r>
    </w:p>
    <w:p w14:paraId="5B09EBF3" w14:textId="77777777" w:rsidR="00CD3320" w:rsidRDefault="00CD3320" w:rsidP="00CD3320">
      <w:pPr>
        <w:rPr>
          <w:color w:val="000000"/>
          <w:rtl/>
        </w:rPr>
      </w:pPr>
      <w:r w:rsidRPr="00CD3320">
        <w:rPr>
          <w:color w:val="000000"/>
          <w:rtl/>
        </w:rPr>
        <w:t>נוסח מסמך זה כפוף לשינויי ניסוח ועריכה</w:t>
      </w:r>
    </w:p>
    <w:p w14:paraId="26ADBA59" w14:textId="77777777" w:rsidR="00CD3320" w:rsidRDefault="00CD3320" w:rsidP="00CD3320">
      <w:pPr>
        <w:rPr>
          <w:rtl/>
        </w:rPr>
      </w:pPr>
    </w:p>
    <w:p w14:paraId="71D29F7A" w14:textId="77777777" w:rsidR="00CD3320" w:rsidRDefault="00CD3320" w:rsidP="00CD3320">
      <w:pPr>
        <w:jc w:val="center"/>
        <w:rPr>
          <w:color w:val="0000FF"/>
          <w:u w:val="single"/>
          <w:rtl/>
        </w:rPr>
      </w:pPr>
      <w:hyperlink r:id="rId57" w:history="1">
        <w:r>
          <w:rPr>
            <w:rStyle w:val="Hyperlink"/>
            <w:rtl/>
          </w:rPr>
          <w:t>בעניין עריכה ושינויים במסמכי פסיקה, חקיקה ועוד באתר נבו – הקש כאן</w:t>
        </w:r>
      </w:hyperlink>
    </w:p>
    <w:p w14:paraId="383CFF89" w14:textId="77777777" w:rsidR="00782CAD" w:rsidRPr="00CD3320" w:rsidRDefault="00782CAD" w:rsidP="00E933AD">
      <w:pPr>
        <w:rPr>
          <w:color w:val="0000FF"/>
          <w:u w:val="single"/>
        </w:rPr>
      </w:pPr>
    </w:p>
    <w:sectPr w:rsidR="00782CAD" w:rsidRPr="00CD3320" w:rsidSect="00E933A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3286" w14:textId="77777777" w:rsidR="00827A7C" w:rsidRDefault="00827A7C">
      <w:r>
        <w:separator/>
      </w:r>
    </w:p>
  </w:endnote>
  <w:endnote w:type="continuationSeparator" w:id="0">
    <w:p w14:paraId="1ABE20F9" w14:textId="77777777" w:rsidR="00827A7C" w:rsidRDefault="0082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77A2" w14:textId="77777777" w:rsidR="00607BC6" w:rsidRDefault="00607BC6" w:rsidP="00E933A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083016" w14:textId="77777777" w:rsidR="00607BC6" w:rsidRPr="00E933AD" w:rsidRDefault="00607BC6" w:rsidP="00E933AD">
    <w:pPr>
      <w:pStyle w:val="a4"/>
      <w:pBdr>
        <w:top w:val="single" w:sz="4" w:space="1" w:color="auto"/>
        <w:between w:val="single" w:sz="4" w:space="0" w:color="auto"/>
      </w:pBdr>
      <w:spacing w:after="60"/>
      <w:jc w:val="center"/>
      <w:rPr>
        <w:rFonts w:ascii="FrankRuehl" w:hAnsi="FrankRuehl" w:cs="FrankRuehl"/>
        <w:color w:val="000000"/>
      </w:rPr>
    </w:pPr>
    <w:r w:rsidRPr="00E933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7B7B" w14:textId="77777777" w:rsidR="00607BC6" w:rsidRDefault="00607BC6" w:rsidP="00E933A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1C13">
      <w:rPr>
        <w:rFonts w:ascii="FrankRuehl" w:hAnsi="FrankRuehl" w:cs="FrankRuehl"/>
        <w:noProof/>
        <w:rtl/>
      </w:rPr>
      <w:t>1</w:t>
    </w:r>
    <w:r>
      <w:rPr>
        <w:rFonts w:ascii="FrankRuehl" w:hAnsi="FrankRuehl" w:cs="FrankRuehl"/>
        <w:rtl/>
      </w:rPr>
      <w:fldChar w:fldCharType="end"/>
    </w:r>
  </w:p>
  <w:p w14:paraId="675DF80C" w14:textId="77777777" w:rsidR="00607BC6" w:rsidRPr="00E933AD" w:rsidRDefault="00607BC6" w:rsidP="00E933AD">
    <w:pPr>
      <w:pStyle w:val="a4"/>
      <w:pBdr>
        <w:top w:val="single" w:sz="4" w:space="1" w:color="auto"/>
        <w:between w:val="single" w:sz="4" w:space="0" w:color="auto"/>
      </w:pBdr>
      <w:spacing w:after="60"/>
      <w:jc w:val="center"/>
      <w:rPr>
        <w:rFonts w:ascii="FrankRuehl" w:hAnsi="FrankRuehl" w:cs="FrankRuehl"/>
        <w:color w:val="000000"/>
      </w:rPr>
    </w:pPr>
    <w:r w:rsidRPr="00E933AD">
      <w:rPr>
        <w:rFonts w:ascii="FrankRuehl" w:hAnsi="FrankRuehl" w:cs="FrankRuehl"/>
        <w:color w:val="000000"/>
      </w:rPr>
      <w:pict w14:anchorId="26EBF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3873" w14:textId="77777777" w:rsidR="00827A7C" w:rsidRDefault="00827A7C">
      <w:r>
        <w:separator/>
      </w:r>
    </w:p>
  </w:footnote>
  <w:footnote w:type="continuationSeparator" w:id="0">
    <w:p w14:paraId="3C535643" w14:textId="77777777" w:rsidR="00827A7C" w:rsidRDefault="00827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1624B" w14:textId="77777777" w:rsidR="00607BC6" w:rsidRPr="00E933AD" w:rsidRDefault="00607BC6" w:rsidP="00E93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45228-07-16</w:t>
    </w:r>
    <w:r>
      <w:rPr>
        <w:rFonts w:ascii="David" w:hAnsi="David"/>
        <w:color w:val="000000"/>
        <w:sz w:val="22"/>
        <w:szCs w:val="22"/>
        <w:rtl/>
      </w:rPr>
      <w:tab/>
      <w:t xml:space="preserve"> מדינת ישראל נ' מחמוד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D97B" w14:textId="77777777" w:rsidR="00607BC6" w:rsidRPr="00E933AD" w:rsidRDefault="00607BC6" w:rsidP="00E93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45228-07-16</w:t>
    </w:r>
    <w:r>
      <w:rPr>
        <w:rFonts w:ascii="David" w:hAnsi="David"/>
        <w:color w:val="000000"/>
        <w:sz w:val="22"/>
        <w:szCs w:val="22"/>
        <w:rtl/>
      </w:rPr>
      <w:tab/>
      <w:t xml:space="preserve"> מדינת ישראל נ' מחמוד ג'בארין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4773"/>
    <w:rsid w:val="000673F7"/>
    <w:rsid w:val="0007727A"/>
    <w:rsid w:val="002015AB"/>
    <w:rsid w:val="002E1A1A"/>
    <w:rsid w:val="003F1C13"/>
    <w:rsid w:val="00464773"/>
    <w:rsid w:val="00607BC6"/>
    <w:rsid w:val="006253D2"/>
    <w:rsid w:val="00782CAD"/>
    <w:rsid w:val="00827A7C"/>
    <w:rsid w:val="008C49A0"/>
    <w:rsid w:val="0091237F"/>
    <w:rsid w:val="00CD3320"/>
    <w:rsid w:val="00E933AD"/>
    <w:rsid w:val="00EE3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F005867"/>
  <w15:chartTrackingRefBased/>
  <w15:docId w15:val="{75FBD980-11DA-48A2-BF66-F190A058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477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64773"/>
    <w:pPr>
      <w:tabs>
        <w:tab w:val="center" w:pos="4153"/>
        <w:tab w:val="right" w:pos="8306"/>
      </w:tabs>
    </w:pPr>
  </w:style>
  <w:style w:type="paragraph" w:styleId="a4">
    <w:name w:val="footer"/>
    <w:basedOn w:val="a"/>
    <w:rsid w:val="00464773"/>
    <w:pPr>
      <w:tabs>
        <w:tab w:val="center" w:pos="4153"/>
        <w:tab w:val="right" w:pos="8306"/>
      </w:tabs>
    </w:pPr>
  </w:style>
  <w:style w:type="character" w:styleId="a5">
    <w:name w:val="page number"/>
    <w:basedOn w:val="a0"/>
    <w:rsid w:val="00464773"/>
  </w:style>
  <w:style w:type="character" w:styleId="Hyperlink">
    <w:name w:val="Hyperlink"/>
    <w:rsid w:val="00CD3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a1S" TargetMode="External"/><Relationship Id="rId18" Type="http://schemas.openxmlformats.org/officeDocument/2006/relationships/hyperlink" Target="http://www.nevo.co.il/law/70301/144" TargetMode="External"/><Relationship Id="rId26" Type="http://schemas.openxmlformats.org/officeDocument/2006/relationships/hyperlink" Target="http://www.nevo.co.il/law/70301/a1S" TargetMode="External"/><Relationship Id="rId39" Type="http://schemas.openxmlformats.org/officeDocument/2006/relationships/hyperlink" Target="http://www.nevo.co.il/law/70301/144.b" TargetMode="External"/><Relationship Id="rId21" Type="http://schemas.openxmlformats.org/officeDocument/2006/relationships/hyperlink" Target="http://www.nevo.co.il/law/70301/40ja" TargetMode="External"/><Relationship Id="rId34" Type="http://schemas.openxmlformats.org/officeDocument/2006/relationships/hyperlink" Target="http://www.nevo.co.il/case/5878682"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40b"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13093744"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a" TargetMode="External"/><Relationship Id="rId53" Type="http://schemas.openxmlformats.org/officeDocument/2006/relationships/hyperlink" Target="http://www.nevo.co.il/law/70301/40ja"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144.a" TargetMode="External"/><Relationship Id="rId14" Type="http://schemas.openxmlformats.org/officeDocument/2006/relationships/hyperlink" Target="http://www.nevo.co.il/law/70301/fC" TargetMode="External"/><Relationship Id="rId22" Type="http://schemas.openxmlformats.org/officeDocument/2006/relationships/hyperlink" Target="http://www.nevo.co.il/law/70301/a1S" TargetMode="External"/><Relationship Id="rId27" Type="http://schemas.openxmlformats.org/officeDocument/2006/relationships/hyperlink" Target="http://www.nevo.co.il/law/70301/f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1474168"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4812721"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40i" TargetMode="External"/><Relationship Id="rId51" Type="http://schemas.openxmlformats.org/officeDocument/2006/relationships/hyperlink" Target="http://www.nevo.co.il/law/70301/40i"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7791493" TargetMode="External"/><Relationship Id="rId38" Type="http://schemas.openxmlformats.org/officeDocument/2006/relationships/hyperlink" Target="http://www.nevo.co.il/case/5859902" TargetMode="External"/><Relationship Id="rId46" Type="http://schemas.openxmlformats.org/officeDocument/2006/relationships/hyperlink" Target="http://www.nevo.co.il/law/70301" TargetMode="External"/><Relationship Id="rId59" Type="http://schemas.openxmlformats.org/officeDocument/2006/relationships/header" Target="header2.xml"/><Relationship Id="rId20" Type="http://schemas.openxmlformats.org/officeDocument/2006/relationships/hyperlink" Target="http://www.nevo.co.il/law/70301/144.b" TargetMode="External"/><Relationship Id="rId41" Type="http://schemas.openxmlformats.org/officeDocument/2006/relationships/hyperlink" Target="http://www.nevo.co.il/case/5818242"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f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7791493" TargetMode="External"/><Relationship Id="rId44" Type="http://schemas.openxmlformats.org/officeDocument/2006/relationships/hyperlink" Target="http://www.nevo.co.il/case/20009157"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2696</Words>
  <Characters>13480</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16144</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7995492</vt:i4>
      </vt:variant>
      <vt:variant>
        <vt:i4>144</vt:i4>
      </vt:variant>
      <vt:variant>
        <vt:i4>0</vt:i4>
      </vt:variant>
      <vt:variant>
        <vt:i4>5</vt:i4>
      </vt:variant>
      <vt:variant>
        <vt:lpwstr>http://www.nevo.co.il/law/70301</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3342460</vt:i4>
      </vt:variant>
      <vt:variant>
        <vt:i4>126</vt:i4>
      </vt:variant>
      <vt:variant>
        <vt:i4>0</vt:i4>
      </vt:variant>
      <vt:variant>
        <vt:i4>5</vt:i4>
      </vt:variant>
      <vt:variant>
        <vt:lpwstr>http://www.nevo.co.il/case/4812721</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4063349</vt:i4>
      </vt:variant>
      <vt:variant>
        <vt:i4>114</vt:i4>
      </vt:variant>
      <vt:variant>
        <vt:i4>0</vt:i4>
      </vt:variant>
      <vt:variant>
        <vt:i4>5</vt:i4>
      </vt:variant>
      <vt:variant>
        <vt:lpwstr>http://www.nevo.co.il/case/20009157</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3407984</vt:i4>
      </vt:variant>
      <vt:variant>
        <vt:i4>105</vt:i4>
      </vt:variant>
      <vt:variant>
        <vt:i4>0</vt:i4>
      </vt:variant>
      <vt:variant>
        <vt:i4>5</vt:i4>
      </vt:variant>
      <vt:variant>
        <vt:lpwstr>http://www.nevo.co.il/case/5818242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3866741</vt:i4>
      </vt:variant>
      <vt:variant>
        <vt:i4>96</vt:i4>
      </vt:variant>
      <vt:variant>
        <vt:i4>0</vt:i4>
      </vt:variant>
      <vt:variant>
        <vt:i4>5</vt:i4>
      </vt:variant>
      <vt:variant>
        <vt:lpwstr>http://www.nevo.co.il/case/5859902</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3407987</vt:i4>
      </vt:variant>
      <vt:variant>
        <vt:i4>87</vt:i4>
      </vt:variant>
      <vt:variant>
        <vt:i4>0</vt:i4>
      </vt:variant>
      <vt:variant>
        <vt:i4>5</vt:i4>
      </vt:variant>
      <vt:variant>
        <vt:lpwstr>http://www.nevo.co.il/case/21474168</vt:lpwstr>
      </vt:variant>
      <vt:variant>
        <vt:lpwstr/>
      </vt:variant>
      <vt:variant>
        <vt:i4>3539068</vt:i4>
      </vt:variant>
      <vt:variant>
        <vt:i4>84</vt:i4>
      </vt:variant>
      <vt:variant>
        <vt:i4>0</vt:i4>
      </vt:variant>
      <vt:variant>
        <vt:i4>5</vt:i4>
      </vt:variant>
      <vt:variant>
        <vt:lpwstr>http://www.nevo.co.il/case/5878682</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3539065</vt:i4>
      </vt:variant>
      <vt:variant>
        <vt:i4>78</vt:i4>
      </vt:variant>
      <vt:variant>
        <vt:i4>0</vt:i4>
      </vt:variant>
      <vt:variant>
        <vt:i4>5</vt:i4>
      </vt:variant>
      <vt:variant>
        <vt:lpwstr>http://www.nevo.co.il/case/13093744</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3538995</vt:i4>
      </vt:variant>
      <vt:variant>
        <vt:i4>63</vt:i4>
      </vt:variant>
      <vt:variant>
        <vt:i4>0</vt:i4>
      </vt:variant>
      <vt:variant>
        <vt:i4>5</vt:i4>
      </vt:variant>
      <vt:variant>
        <vt:lpwstr>http://www.nevo.co.il/law/70301/fC</vt:lpwstr>
      </vt:variant>
      <vt:variant>
        <vt:lpwstr/>
      </vt:variant>
      <vt:variant>
        <vt:i4>6553652</vt:i4>
      </vt:variant>
      <vt:variant>
        <vt:i4>60</vt:i4>
      </vt:variant>
      <vt:variant>
        <vt:i4>0</vt:i4>
      </vt:variant>
      <vt:variant>
        <vt:i4>5</vt:i4>
      </vt:variant>
      <vt:variant>
        <vt:lpwstr>http://www.nevo.co.il/law/70301/a1S</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3538995</vt:i4>
      </vt:variant>
      <vt:variant>
        <vt:i4>51</vt:i4>
      </vt:variant>
      <vt:variant>
        <vt:i4>0</vt:i4>
      </vt:variant>
      <vt:variant>
        <vt:i4>5</vt:i4>
      </vt:variant>
      <vt:variant>
        <vt:lpwstr>http://www.nevo.co.il/law/70301/fC</vt:lpwstr>
      </vt:variant>
      <vt:variant>
        <vt:lpwstr/>
      </vt:variant>
      <vt:variant>
        <vt:i4>6553652</vt:i4>
      </vt:variant>
      <vt:variant>
        <vt:i4>48</vt:i4>
      </vt:variant>
      <vt:variant>
        <vt:i4>0</vt:i4>
      </vt:variant>
      <vt:variant>
        <vt:i4>5</vt:i4>
      </vt:variant>
      <vt:variant>
        <vt:lpwstr>http://www.nevo.co.il/law/70301/a1S</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3538995</vt:i4>
      </vt:variant>
      <vt:variant>
        <vt:i4>24</vt:i4>
      </vt:variant>
      <vt:variant>
        <vt:i4>0</vt:i4>
      </vt:variant>
      <vt:variant>
        <vt:i4>5</vt:i4>
      </vt:variant>
      <vt:variant>
        <vt:lpwstr>http://www.nevo.co.il/law/70301/fC</vt:lpwstr>
      </vt:variant>
      <vt:variant>
        <vt:lpwstr/>
      </vt:variant>
      <vt:variant>
        <vt:i4>6553652</vt:i4>
      </vt:variant>
      <vt:variant>
        <vt:i4>21</vt:i4>
      </vt:variant>
      <vt:variant>
        <vt:i4>0</vt:i4>
      </vt:variant>
      <vt:variant>
        <vt:i4>5</vt:i4>
      </vt:variant>
      <vt:variant>
        <vt:lpwstr>http://www.nevo.co.il/law/70301/a1S</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2024-01-07T12:18:00Z</dcterms:created>
  <dcterms:modified xsi:type="dcterms:W3CDTF">2024-01-07T12:18:00Z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45228</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מחמוד ג'בארין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20170430</vt:lpwstr>
  </property>
  <property fmtid="{D5CDD505-2E9C-101B-9397-08002B2CF9AE}" pid="13" name="TYPE_N_DATE">
    <vt:lpwstr>39020170430</vt:lpwstr>
  </property>
  <property fmtid="{D5CDD505-2E9C-101B-9397-08002B2CF9AE}" pid="14" name="WORDNUMPAGES">
    <vt:lpwstr>7</vt:lpwstr>
  </property>
  <property fmtid="{D5CDD505-2E9C-101B-9397-08002B2CF9AE}" pid="15" name="TYPE_ABS_DATE">
    <vt:lpwstr>390020170430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7791493:2;13093744;5878682;21474168;5859902;5818242;20009157;4812721</vt:lpwstr>
  </property>
  <property fmtid="{D5CDD505-2E9C-101B-9397-08002B2CF9AE}" pid="36" name="LAWLISTTMP1">
    <vt:lpwstr>70301/040b;040i;144;144.a;144.b:6;40ja;a1S;fC</vt:lpwstr>
  </property>
</Properties>
</file>