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131"/>
        <w:gridCol w:w="3730"/>
      </w:tblGrid>
      <w:tr w:rsidR="000D10C9" w:rsidRPr="0053413F" w14:paraId="14E5A54C" w14:textId="77777777" w:rsidTr="0053413F">
        <w:trPr>
          <w:trHeight w:hRule="exact" w:val="418"/>
          <w:jc w:val="center"/>
        </w:trPr>
        <w:tc>
          <w:tcPr>
            <w:tcW w:w="8861" w:type="dxa"/>
            <w:gridSpan w:val="2"/>
          </w:tcPr>
          <w:p w14:paraId="5C5DC89A" w14:textId="77777777" w:rsidR="000D10C9" w:rsidRPr="0053413F" w:rsidRDefault="000D10C9" w:rsidP="0053413F">
            <w:pPr>
              <w:pStyle w:val="a3"/>
              <w:jc w:val="center"/>
              <w:rPr>
                <w:rFonts w:ascii="Tahoma" w:hAnsi="Tahoma"/>
                <w:color w:val="000080"/>
                <w:sz w:val="32"/>
                <w:szCs w:val="32"/>
                <w:rtl/>
              </w:rPr>
            </w:pPr>
            <w:bookmarkStart w:id="0" w:name="LastJudge"/>
            <w:r w:rsidRPr="0053413F">
              <w:rPr>
                <w:rFonts w:ascii="Tahoma" w:hAnsi="Tahoma"/>
                <w:b/>
                <w:bCs/>
                <w:color w:val="000080"/>
                <w:sz w:val="32"/>
                <w:szCs w:val="32"/>
                <w:rtl/>
              </w:rPr>
              <w:t>בית המשפט המחוזי בתל אביב - יפו</w:t>
            </w:r>
          </w:p>
        </w:tc>
      </w:tr>
      <w:tr w:rsidR="000D10C9" w:rsidRPr="0053413F" w14:paraId="60B59C2D" w14:textId="77777777" w:rsidTr="0053413F">
        <w:trPr>
          <w:trHeight w:val="337"/>
          <w:jc w:val="center"/>
        </w:trPr>
        <w:tc>
          <w:tcPr>
            <w:tcW w:w="5131" w:type="dxa"/>
          </w:tcPr>
          <w:p w14:paraId="490316EC" w14:textId="77777777" w:rsidR="000D10C9" w:rsidRPr="0053413F" w:rsidRDefault="000D10C9" w:rsidP="0053413F">
            <w:pPr>
              <w:rPr>
                <w:b/>
                <w:bCs/>
                <w:rtl/>
              </w:rPr>
            </w:pPr>
            <w:r w:rsidRPr="0053413F">
              <w:rPr>
                <w:b/>
                <w:bCs/>
                <w:rtl/>
              </w:rPr>
              <w:t>ת"פ</w:t>
            </w:r>
            <w:r w:rsidRPr="0053413F">
              <w:rPr>
                <w:rFonts w:hint="cs"/>
                <w:b/>
                <w:bCs/>
                <w:rtl/>
              </w:rPr>
              <w:t xml:space="preserve"> </w:t>
            </w:r>
            <w:r w:rsidRPr="0053413F">
              <w:rPr>
                <w:b/>
                <w:bCs/>
                <w:rtl/>
              </w:rPr>
              <w:t>56385-11-16</w:t>
            </w:r>
            <w:r w:rsidRPr="0053413F">
              <w:rPr>
                <w:rFonts w:hint="cs"/>
                <w:b/>
                <w:bCs/>
                <w:rtl/>
              </w:rPr>
              <w:t xml:space="preserve"> </w:t>
            </w:r>
            <w:r w:rsidRPr="0053413F">
              <w:rPr>
                <w:b/>
                <w:bCs/>
                <w:rtl/>
              </w:rPr>
              <w:t>מדינת ישראל נ' רחייל</w:t>
            </w:r>
          </w:p>
          <w:p w14:paraId="16932C0F" w14:textId="77777777" w:rsidR="000D10C9" w:rsidRPr="0053413F" w:rsidRDefault="000D10C9" w:rsidP="0053413F">
            <w:pPr>
              <w:pStyle w:val="a3"/>
              <w:rPr>
                <w:b/>
                <w:bCs/>
                <w:rtl/>
              </w:rPr>
            </w:pPr>
          </w:p>
        </w:tc>
        <w:tc>
          <w:tcPr>
            <w:tcW w:w="3730" w:type="dxa"/>
          </w:tcPr>
          <w:p w14:paraId="270E0A80" w14:textId="77777777" w:rsidR="000D10C9" w:rsidRPr="0053413F" w:rsidRDefault="000D10C9" w:rsidP="0053413F">
            <w:pPr>
              <w:pStyle w:val="a3"/>
              <w:jc w:val="right"/>
              <w:rPr>
                <w:b/>
                <w:bCs/>
                <w:rtl/>
              </w:rPr>
            </w:pPr>
            <w:r w:rsidRPr="0053413F">
              <w:rPr>
                <w:rFonts w:hint="cs"/>
                <w:b/>
                <w:bCs/>
                <w:rtl/>
              </w:rPr>
              <w:t>22 במרץ 2017</w:t>
            </w:r>
          </w:p>
        </w:tc>
      </w:tr>
    </w:tbl>
    <w:p w14:paraId="323555B9" w14:textId="77777777" w:rsidR="000D10C9" w:rsidRPr="0053413F" w:rsidRDefault="000D10C9" w:rsidP="000D10C9">
      <w:pPr>
        <w:pStyle w:val="a3"/>
        <w:rPr>
          <w:rtl/>
        </w:rPr>
      </w:pPr>
      <w:r w:rsidRPr="0053413F">
        <w:rPr>
          <w:rFonts w:hint="cs"/>
          <w:rtl/>
        </w:rPr>
        <w:t xml:space="preserve"> </w:t>
      </w:r>
    </w:p>
    <w:p w14:paraId="432658D9" w14:textId="77777777" w:rsidR="000D10C9" w:rsidRPr="0053413F" w:rsidRDefault="000D10C9" w:rsidP="000D10C9">
      <w:pPr>
        <w:rPr>
          <w:color w:val="000000"/>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0"/>
        <w:gridCol w:w="4295"/>
        <w:gridCol w:w="3405"/>
      </w:tblGrid>
      <w:tr w:rsidR="000D10C9" w:rsidRPr="0053413F" w14:paraId="2CD87D8D" w14:textId="77777777" w:rsidTr="0053413F">
        <w:trPr>
          <w:trHeight w:val="295"/>
          <w:jc w:val="center"/>
        </w:trPr>
        <w:tc>
          <w:tcPr>
            <w:tcW w:w="8820" w:type="dxa"/>
            <w:gridSpan w:val="3"/>
            <w:tcBorders>
              <w:top w:val="nil"/>
              <w:left w:val="nil"/>
              <w:bottom w:val="nil"/>
              <w:right w:val="nil"/>
            </w:tcBorders>
            <w:shd w:val="clear" w:color="auto" w:fill="auto"/>
          </w:tcPr>
          <w:p w14:paraId="312B50FA" w14:textId="77777777" w:rsidR="000D10C9" w:rsidRPr="0053413F" w:rsidRDefault="000D10C9" w:rsidP="0053413F">
            <w:pPr>
              <w:jc w:val="both"/>
              <w:rPr>
                <w:rFonts w:ascii="Arial" w:hAnsi="Arial"/>
                <w:b/>
                <w:bCs/>
                <w:color w:val="000000"/>
                <w:rtl/>
              </w:rPr>
            </w:pPr>
            <w:r w:rsidRPr="0053413F">
              <w:rPr>
                <w:rFonts w:ascii="Arial" w:hAnsi="Arial" w:hint="cs"/>
                <w:b/>
                <w:bCs/>
                <w:color w:val="000000"/>
                <w:rtl/>
              </w:rPr>
              <w:t>ל</w:t>
            </w:r>
            <w:r w:rsidRPr="0053413F">
              <w:rPr>
                <w:rFonts w:ascii="Arial" w:hAnsi="Arial"/>
                <w:b/>
                <w:bCs/>
                <w:color w:val="000000"/>
                <w:rtl/>
              </w:rPr>
              <w:t xml:space="preserve">פני </w:t>
            </w:r>
            <w:r w:rsidRPr="0053413F">
              <w:rPr>
                <w:rFonts w:ascii="Arial" w:hAnsi="Arial" w:hint="cs"/>
                <w:b/>
                <w:bCs/>
                <w:color w:val="000000"/>
                <w:rtl/>
              </w:rPr>
              <w:t>כבוד ה</w:t>
            </w:r>
            <w:r w:rsidRPr="0053413F">
              <w:rPr>
                <w:rFonts w:ascii="Arial" w:hAnsi="Arial"/>
                <w:b/>
                <w:bCs/>
                <w:color w:val="000000"/>
                <w:rtl/>
              </w:rPr>
              <w:t>שופט</w:t>
            </w:r>
            <w:r w:rsidRPr="0053413F">
              <w:rPr>
                <w:rFonts w:ascii="Arial" w:hAnsi="Arial" w:hint="cs"/>
                <w:b/>
                <w:bCs/>
                <w:color w:val="000000"/>
                <w:rtl/>
              </w:rPr>
              <w:t xml:space="preserve">  </w:t>
            </w:r>
            <w:r w:rsidRPr="0053413F">
              <w:rPr>
                <w:rFonts w:ascii="Arial" w:hAnsi="Arial"/>
                <w:b/>
                <w:bCs/>
                <w:color w:val="000000"/>
                <w:rtl/>
              </w:rPr>
              <w:t>בני שגיא</w:t>
            </w:r>
          </w:p>
          <w:p w14:paraId="65CE5FFC" w14:textId="77777777" w:rsidR="000D10C9" w:rsidRPr="0053413F" w:rsidRDefault="000D10C9" w:rsidP="0053413F">
            <w:pPr>
              <w:rPr>
                <w:color w:val="000000"/>
                <w:rtl/>
              </w:rPr>
            </w:pPr>
          </w:p>
          <w:p w14:paraId="3945263B" w14:textId="77777777" w:rsidR="000D10C9" w:rsidRPr="0053413F" w:rsidRDefault="000D10C9" w:rsidP="0053413F">
            <w:pPr>
              <w:jc w:val="both"/>
              <w:rPr>
                <w:rFonts w:ascii="Arial" w:hAnsi="Arial"/>
                <w:color w:val="000000"/>
              </w:rPr>
            </w:pPr>
          </w:p>
        </w:tc>
      </w:tr>
      <w:tr w:rsidR="000D10C9" w:rsidRPr="0053413F" w14:paraId="7190AEEA" w14:textId="77777777" w:rsidTr="0053413F">
        <w:trPr>
          <w:trHeight w:val="355"/>
          <w:jc w:val="center"/>
        </w:trPr>
        <w:tc>
          <w:tcPr>
            <w:tcW w:w="1120" w:type="dxa"/>
            <w:tcBorders>
              <w:top w:val="nil"/>
              <w:left w:val="nil"/>
              <w:bottom w:val="nil"/>
              <w:right w:val="nil"/>
            </w:tcBorders>
            <w:shd w:val="clear" w:color="auto" w:fill="auto"/>
          </w:tcPr>
          <w:p w14:paraId="08555514" w14:textId="77777777" w:rsidR="000D10C9" w:rsidRPr="0053413F" w:rsidRDefault="000D10C9" w:rsidP="0053413F">
            <w:pPr>
              <w:jc w:val="both"/>
              <w:rPr>
                <w:rFonts w:ascii="Arial" w:hAnsi="Arial"/>
                <w:b/>
                <w:bCs/>
                <w:color w:val="000000"/>
              </w:rPr>
            </w:pPr>
            <w:bookmarkStart w:id="1" w:name="FirstLawyer"/>
          </w:p>
        </w:tc>
        <w:tc>
          <w:tcPr>
            <w:tcW w:w="4295" w:type="dxa"/>
            <w:tcBorders>
              <w:top w:val="nil"/>
              <w:left w:val="nil"/>
              <w:bottom w:val="nil"/>
              <w:right w:val="nil"/>
            </w:tcBorders>
            <w:shd w:val="clear" w:color="auto" w:fill="auto"/>
          </w:tcPr>
          <w:p w14:paraId="4CADA559" w14:textId="77777777" w:rsidR="000D10C9" w:rsidRPr="0053413F" w:rsidRDefault="000D10C9" w:rsidP="0053413F">
            <w:pPr>
              <w:rPr>
                <w:rFonts w:ascii="Arial" w:hAnsi="Arial"/>
                <w:b/>
                <w:bCs/>
                <w:color w:val="000000"/>
                <w:rtl/>
              </w:rPr>
            </w:pPr>
          </w:p>
          <w:p w14:paraId="3CAD334E" w14:textId="77777777" w:rsidR="000D10C9" w:rsidRPr="0053413F" w:rsidRDefault="000D10C9" w:rsidP="0053413F">
            <w:pPr>
              <w:rPr>
                <w:b/>
                <w:bCs/>
                <w:color w:val="000000"/>
                <w:rtl/>
              </w:rPr>
            </w:pPr>
            <w:r w:rsidRPr="0053413F">
              <w:rPr>
                <w:rFonts w:ascii="Arial" w:hAnsi="Arial"/>
                <w:b/>
                <w:bCs/>
                <w:color w:val="000000"/>
                <w:rtl/>
              </w:rPr>
              <w:t>מדינת ישראל</w:t>
            </w:r>
          </w:p>
          <w:p w14:paraId="5B96075C" w14:textId="77777777" w:rsidR="000D10C9" w:rsidRPr="0053413F" w:rsidRDefault="000D10C9" w:rsidP="0053413F">
            <w:pPr>
              <w:rPr>
                <w:b/>
                <w:bCs/>
                <w:color w:val="000000"/>
                <w:rtl/>
              </w:rPr>
            </w:pPr>
          </w:p>
          <w:p w14:paraId="25A52DF7" w14:textId="77777777" w:rsidR="000D10C9" w:rsidRPr="0053413F" w:rsidRDefault="000D10C9" w:rsidP="0053413F">
            <w:pPr>
              <w:rPr>
                <w:color w:val="000000"/>
              </w:rPr>
            </w:pPr>
            <w:r w:rsidRPr="0053413F">
              <w:rPr>
                <w:rFonts w:hint="cs"/>
                <w:color w:val="000000"/>
                <w:rtl/>
              </w:rPr>
              <w:t>ע"י ב"כ עו"ד מיכאל כהן</w:t>
            </w:r>
          </w:p>
        </w:tc>
        <w:tc>
          <w:tcPr>
            <w:tcW w:w="3405" w:type="dxa"/>
            <w:tcBorders>
              <w:top w:val="nil"/>
              <w:left w:val="nil"/>
              <w:bottom w:val="nil"/>
              <w:right w:val="nil"/>
            </w:tcBorders>
            <w:shd w:val="clear" w:color="auto" w:fill="auto"/>
          </w:tcPr>
          <w:p w14:paraId="4CE11287" w14:textId="77777777" w:rsidR="000D10C9" w:rsidRPr="0053413F" w:rsidRDefault="000D10C9" w:rsidP="0053413F">
            <w:pPr>
              <w:jc w:val="both"/>
              <w:rPr>
                <w:rFonts w:ascii="Arial" w:hAnsi="Arial"/>
                <w:color w:val="000000"/>
              </w:rPr>
            </w:pPr>
          </w:p>
        </w:tc>
      </w:tr>
      <w:tr w:rsidR="000D10C9" w:rsidRPr="0053413F" w14:paraId="0F06FC2D" w14:textId="77777777" w:rsidTr="0053413F">
        <w:trPr>
          <w:trHeight w:val="355"/>
          <w:jc w:val="center"/>
        </w:trPr>
        <w:tc>
          <w:tcPr>
            <w:tcW w:w="1120" w:type="dxa"/>
            <w:tcBorders>
              <w:top w:val="nil"/>
              <w:left w:val="nil"/>
              <w:bottom w:val="nil"/>
              <w:right w:val="nil"/>
            </w:tcBorders>
            <w:shd w:val="clear" w:color="auto" w:fill="auto"/>
          </w:tcPr>
          <w:p w14:paraId="56933A19" w14:textId="77777777" w:rsidR="000D10C9" w:rsidRPr="0053413F" w:rsidRDefault="000D10C9" w:rsidP="0053413F">
            <w:pPr>
              <w:jc w:val="both"/>
              <w:rPr>
                <w:rFonts w:ascii="Arial" w:hAnsi="Arial"/>
                <w:color w:val="000000"/>
                <w:rtl/>
              </w:rPr>
            </w:pPr>
            <w:bookmarkStart w:id="2" w:name="FirstAppellant" w:colFirst="0" w:colLast="1"/>
            <w:bookmarkEnd w:id="1"/>
          </w:p>
        </w:tc>
        <w:tc>
          <w:tcPr>
            <w:tcW w:w="4295" w:type="dxa"/>
            <w:tcBorders>
              <w:top w:val="nil"/>
              <w:left w:val="nil"/>
              <w:bottom w:val="nil"/>
              <w:right w:val="nil"/>
            </w:tcBorders>
            <w:shd w:val="clear" w:color="auto" w:fill="auto"/>
          </w:tcPr>
          <w:p w14:paraId="6928AAEB" w14:textId="77777777" w:rsidR="000D10C9" w:rsidRPr="0053413F" w:rsidRDefault="000D10C9" w:rsidP="0053413F">
            <w:pPr>
              <w:rPr>
                <w:rFonts w:ascii="Arial" w:hAnsi="Arial"/>
                <w:color w:val="000000"/>
                <w:rtl/>
              </w:rPr>
            </w:pPr>
          </w:p>
        </w:tc>
        <w:tc>
          <w:tcPr>
            <w:tcW w:w="3405" w:type="dxa"/>
            <w:tcBorders>
              <w:top w:val="nil"/>
              <w:left w:val="nil"/>
              <w:bottom w:val="nil"/>
              <w:right w:val="nil"/>
            </w:tcBorders>
            <w:shd w:val="clear" w:color="auto" w:fill="auto"/>
          </w:tcPr>
          <w:p w14:paraId="5831F168" w14:textId="77777777" w:rsidR="000D10C9" w:rsidRPr="0053413F" w:rsidRDefault="000D10C9" w:rsidP="0053413F">
            <w:pPr>
              <w:rPr>
                <w:rFonts w:ascii="Arial" w:hAnsi="Arial"/>
                <w:b/>
                <w:bCs/>
                <w:color w:val="000000"/>
                <w:rtl/>
              </w:rPr>
            </w:pPr>
            <w:r w:rsidRPr="0053413F">
              <w:rPr>
                <w:rFonts w:ascii="Arial" w:hAnsi="Arial" w:hint="cs"/>
                <w:b/>
                <w:bCs/>
                <w:color w:val="000000"/>
                <w:rtl/>
              </w:rPr>
              <w:t>המאשימה</w:t>
            </w:r>
          </w:p>
        </w:tc>
      </w:tr>
      <w:tr w:rsidR="000D10C9" w:rsidRPr="0053413F" w14:paraId="490506C4" w14:textId="77777777" w:rsidTr="0053413F">
        <w:trPr>
          <w:trHeight w:val="355"/>
          <w:jc w:val="center"/>
        </w:trPr>
        <w:tc>
          <w:tcPr>
            <w:tcW w:w="1120" w:type="dxa"/>
            <w:tcBorders>
              <w:top w:val="nil"/>
              <w:left w:val="nil"/>
              <w:bottom w:val="nil"/>
              <w:right w:val="nil"/>
            </w:tcBorders>
            <w:shd w:val="clear" w:color="auto" w:fill="auto"/>
          </w:tcPr>
          <w:p w14:paraId="1A04F236" w14:textId="77777777" w:rsidR="000D10C9" w:rsidRPr="0053413F" w:rsidRDefault="000D10C9" w:rsidP="0053413F">
            <w:pPr>
              <w:jc w:val="both"/>
              <w:rPr>
                <w:rFonts w:ascii="Arial" w:hAnsi="Arial"/>
                <w:color w:val="000000"/>
                <w:rtl/>
              </w:rPr>
            </w:pPr>
          </w:p>
        </w:tc>
        <w:tc>
          <w:tcPr>
            <w:tcW w:w="7700" w:type="dxa"/>
            <w:gridSpan w:val="2"/>
            <w:tcBorders>
              <w:top w:val="nil"/>
              <w:left w:val="nil"/>
              <w:bottom w:val="nil"/>
              <w:right w:val="nil"/>
            </w:tcBorders>
            <w:shd w:val="clear" w:color="auto" w:fill="auto"/>
          </w:tcPr>
          <w:p w14:paraId="4ACCCD5F" w14:textId="77777777" w:rsidR="000D10C9" w:rsidRPr="0053413F" w:rsidRDefault="000D10C9" w:rsidP="0053413F">
            <w:pPr>
              <w:jc w:val="center"/>
              <w:rPr>
                <w:rFonts w:ascii="Arial" w:hAnsi="Arial"/>
                <w:b/>
                <w:bCs/>
                <w:color w:val="000000"/>
                <w:rtl/>
              </w:rPr>
            </w:pPr>
          </w:p>
          <w:p w14:paraId="2DEF817E" w14:textId="77777777" w:rsidR="000D10C9" w:rsidRPr="0053413F" w:rsidRDefault="000D10C9" w:rsidP="0053413F">
            <w:pPr>
              <w:rPr>
                <w:rFonts w:ascii="Arial" w:hAnsi="Arial"/>
                <w:b/>
                <w:bCs/>
                <w:color w:val="000000"/>
                <w:rtl/>
              </w:rPr>
            </w:pPr>
            <w:r w:rsidRPr="0053413F">
              <w:rPr>
                <w:rFonts w:ascii="Arial" w:hAnsi="Arial" w:hint="cs"/>
                <w:b/>
                <w:bCs/>
                <w:color w:val="000000"/>
                <w:rtl/>
              </w:rPr>
              <w:t xml:space="preserve">                    </w:t>
            </w:r>
            <w:r w:rsidRPr="0053413F">
              <w:rPr>
                <w:rFonts w:ascii="Arial" w:hAnsi="Arial"/>
                <w:b/>
                <w:bCs/>
                <w:color w:val="000000"/>
                <w:rtl/>
              </w:rPr>
              <w:t>נגד</w:t>
            </w:r>
          </w:p>
          <w:p w14:paraId="5847794B" w14:textId="77777777" w:rsidR="000D10C9" w:rsidRPr="0053413F" w:rsidRDefault="000D10C9" w:rsidP="0053413F">
            <w:pPr>
              <w:jc w:val="both"/>
              <w:rPr>
                <w:rFonts w:ascii="Arial" w:hAnsi="Arial"/>
                <w:color w:val="000000"/>
              </w:rPr>
            </w:pPr>
          </w:p>
        </w:tc>
      </w:tr>
      <w:bookmarkEnd w:id="2"/>
      <w:tr w:rsidR="000D10C9" w:rsidRPr="0053413F" w14:paraId="13CFCB6E" w14:textId="77777777" w:rsidTr="0053413F">
        <w:trPr>
          <w:trHeight w:val="355"/>
          <w:jc w:val="center"/>
        </w:trPr>
        <w:tc>
          <w:tcPr>
            <w:tcW w:w="1120" w:type="dxa"/>
            <w:tcBorders>
              <w:top w:val="nil"/>
              <w:left w:val="nil"/>
              <w:bottom w:val="nil"/>
              <w:right w:val="nil"/>
            </w:tcBorders>
            <w:shd w:val="clear" w:color="auto" w:fill="auto"/>
          </w:tcPr>
          <w:p w14:paraId="60E162D8" w14:textId="77777777" w:rsidR="000D10C9" w:rsidRPr="0053413F" w:rsidRDefault="000D10C9" w:rsidP="0053413F">
            <w:pPr>
              <w:rPr>
                <w:rFonts w:ascii="Arial" w:hAnsi="Arial"/>
                <w:color w:val="000000"/>
                <w:rtl/>
              </w:rPr>
            </w:pPr>
          </w:p>
        </w:tc>
        <w:tc>
          <w:tcPr>
            <w:tcW w:w="4295" w:type="dxa"/>
            <w:tcBorders>
              <w:top w:val="nil"/>
              <w:left w:val="nil"/>
              <w:bottom w:val="nil"/>
              <w:right w:val="nil"/>
            </w:tcBorders>
            <w:shd w:val="clear" w:color="auto" w:fill="auto"/>
          </w:tcPr>
          <w:p w14:paraId="4199E9E9" w14:textId="77777777" w:rsidR="000D10C9" w:rsidRPr="0053413F" w:rsidRDefault="000D10C9" w:rsidP="0053413F">
            <w:pPr>
              <w:rPr>
                <w:b/>
                <w:bCs/>
                <w:color w:val="000000"/>
                <w:rtl/>
              </w:rPr>
            </w:pPr>
            <w:r w:rsidRPr="0053413F">
              <w:rPr>
                <w:rFonts w:ascii="Arial" w:hAnsi="Arial"/>
                <w:b/>
                <w:bCs/>
                <w:color w:val="000000"/>
                <w:rtl/>
              </w:rPr>
              <w:t xml:space="preserve">עבדול רחמן רחייל </w:t>
            </w:r>
          </w:p>
          <w:p w14:paraId="48AF69A2" w14:textId="77777777" w:rsidR="000D10C9" w:rsidRPr="0053413F" w:rsidRDefault="000D10C9" w:rsidP="0053413F">
            <w:pPr>
              <w:rPr>
                <w:b/>
                <w:bCs/>
                <w:color w:val="000000"/>
                <w:rtl/>
              </w:rPr>
            </w:pPr>
          </w:p>
          <w:p w14:paraId="0C744B77" w14:textId="77777777" w:rsidR="000D10C9" w:rsidRPr="0053413F" w:rsidRDefault="000D10C9" w:rsidP="0053413F">
            <w:pPr>
              <w:rPr>
                <w:color w:val="000000"/>
                <w:rtl/>
              </w:rPr>
            </w:pPr>
            <w:r w:rsidRPr="0053413F">
              <w:rPr>
                <w:rFonts w:hint="cs"/>
                <w:color w:val="000000"/>
                <w:rtl/>
              </w:rPr>
              <w:t>ע"י ב"כ עו"ד מחמוד נעאמנה</w:t>
            </w:r>
          </w:p>
        </w:tc>
        <w:tc>
          <w:tcPr>
            <w:tcW w:w="3405" w:type="dxa"/>
            <w:tcBorders>
              <w:top w:val="nil"/>
              <w:left w:val="nil"/>
              <w:bottom w:val="nil"/>
              <w:right w:val="nil"/>
            </w:tcBorders>
            <w:shd w:val="clear" w:color="auto" w:fill="auto"/>
          </w:tcPr>
          <w:p w14:paraId="647FBF03" w14:textId="77777777" w:rsidR="000D10C9" w:rsidRPr="0053413F" w:rsidRDefault="000D10C9" w:rsidP="0053413F">
            <w:pPr>
              <w:jc w:val="right"/>
              <w:rPr>
                <w:rFonts w:ascii="Arial" w:hAnsi="Arial"/>
                <w:color w:val="000000"/>
              </w:rPr>
            </w:pPr>
          </w:p>
        </w:tc>
      </w:tr>
      <w:tr w:rsidR="000D10C9" w:rsidRPr="0053413F" w14:paraId="06328702" w14:textId="77777777" w:rsidTr="0053413F">
        <w:trPr>
          <w:trHeight w:val="355"/>
          <w:jc w:val="center"/>
        </w:trPr>
        <w:tc>
          <w:tcPr>
            <w:tcW w:w="1120" w:type="dxa"/>
            <w:tcBorders>
              <w:top w:val="nil"/>
              <w:left w:val="nil"/>
              <w:bottom w:val="nil"/>
              <w:right w:val="nil"/>
            </w:tcBorders>
            <w:shd w:val="clear" w:color="auto" w:fill="auto"/>
          </w:tcPr>
          <w:p w14:paraId="25BBFFAC" w14:textId="77777777" w:rsidR="000D10C9" w:rsidRPr="0053413F" w:rsidRDefault="000D10C9" w:rsidP="0053413F">
            <w:pPr>
              <w:jc w:val="both"/>
              <w:rPr>
                <w:rFonts w:ascii="Arial" w:hAnsi="Arial"/>
                <w:color w:val="000000"/>
                <w:sz w:val="26"/>
                <w:szCs w:val="26"/>
                <w:rtl/>
              </w:rPr>
            </w:pPr>
          </w:p>
        </w:tc>
        <w:tc>
          <w:tcPr>
            <w:tcW w:w="4295" w:type="dxa"/>
            <w:tcBorders>
              <w:top w:val="nil"/>
              <w:left w:val="nil"/>
              <w:bottom w:val="nil"/>
              <w:right w:val="nil"/>
            </w:tcBorders>
            <w:shd w:val="clear" w:color="auto" w:fill="auto"/>
          </w:tcPr>
          <w:p w14:paraId="384C329D" w14:textId="77777777" w:rsidR="000D10C9" w:rsidRPr="0053413F" w:rsidRDefault="000D10C9" w:rsidP="0053413F">
            <w:pPr>
              <w:rPr>
                <w:rFonts w:ascii="Arial" w:hAnsi="Arial"/>
                <w:color w:val="000000"/>
                <w:sz w:val="26"/>
                <w:szCs w:val="26"/>
              </w:rPr>
            </w:pPr>
          </w:p>
        </w:tc>
        <w:tc>
          <w:tcPr>
            <w:tcW w:w="3405" w:type="dxa"/>
            <w:tcBorders>
              <w:top w:val="nil"/>
              <w:left w:val="nil"/>
              <w:bottom w:val="nil"/>
              <w:right w:val="nil"/>
            </w:tcBorders>
            <w:shd w:val="clear" w:color="auto" w:fill="auto"/>
          </w:tcPr>
          <w:p w14:paraId="5E3E95AA" w14:textId="77777777" w:rsidR="000D10C9" w:rsidRPr="0053413F" w:rsidRDefault="000D10C9" w:rsidP="0053413F">
            <w:pPr>
              <w:rPr>
                <w:rFonts w:ascii="Arial" w:hAnsi="Arial"/>
                <w:b/>
                <w:bCs/>
                <w:color w:val="000000"/>
                <w:sz w:val="26"/>
                <w:szCs w:val="26"/>
                <w:rtl/>
              </w:rPr>
            </w:pPr>
            <w:r w:rsidRPr="0053413F">
              <w:rPr>
                <w:rFonts w:ascii="Arial" w:hAnsi="Arial" w:hint="cs"/>
                <w:b/>
                <w:bCs/>
                <w:color w:val="000000"/>
                <w:sz w:val="26"/>
                <w:szCs w:val="26"/>
                <w:rtl/>
              </w:rPr>
              <w:t>הנאשם</w:t>
            </w:r>
          </w:p>
          <w:p w14:paraId="2200726D" w14:textId="77777777" w:rsidR="000D10C9" w:rsidRPr="0053413F" w:rsidRDefault="000D10C9" w:rsidP="0053413F">
            <w:pPr>
              <w:rPr>
                <w:rFonts w:ascii="Arial" w:hAnsi="Arial"/>
                <w:b/>
                <w:bCs/>
                <w:color w:val="000000"/>
                <w:sz w:val="26"/>
                <w:szCs w:val="26"/>
              </w:rPr>
            </w:pPr>
          </w:p>
        </w:tc>
      </w:tr>
    </w:tbl>
    <w:p w14:paraId="5B720F2C" w14:textId="77777777" w:rsidR="006B39FB" w:rsidRDefault="006B39FB" w:rsidP="000D10C9">
      <w:pPr>
        <w:rPr>
          <w:color w:val="000000"/>
          <w:rtl/>
        </w:rPr>
      </w:pPr>
      <w:bookmarkStart w:id="3" w:name="LawTable"/>
      <w:bookmarkEnd w:id="3"/>
    </w:p>
    <w:p w14:paraId="41BCF4B5" w14:textId="77777777" w:rsidR="006B39FB" w:rsidRPr="006B39FB" w:rsidRDefault="006B39FB" w:rsidP="006B39FB">
      <w:pPr>
        <w:spacing w:after="120" w:line="240" w:lineRule="exact"/>
        <w:ind w:left="283" w:hanging="283"/>
        <w:jc w:val="both"/>
        <w:rPr>
          <w:rFonts w:ascii="FrankRuehl" w:hAnsi="FrankRuehl" w:cs="FrankRuehl"/>
          <w:color w:val="000000"/>
          <w:rtl/>
        </w:rPr>
      </w:pPr>
    </w:p>
    <w:p w14:paraId="0904A8E9" w14:textId="77777777" w:rsidR="006B39FB" w:rsidRPr="006B39FB" w:rsidRDefault="006B39FB" w:rsidP="006B39FB">
      <w:pPr>
        <w:spacing w:after="120" w:line="240" w:lineRule="exact"/>
        <w:ind w:left="283" w:hanging="283"/>
        <w:jc w:val="both"/>
        <w:rPr>
          <w:rFonts w:ascii="FrankRuehl" w:hAnsi="FrankRuehl" w:cs="FrankRuehl"/>
          <w:color w:val="000000"/>
          <w:rtl/>
        </w:rPr>
      </w:pPr>
      <w:r w:rsidRPr="006B39FB">
        <w:rPr>
          <w:rFonts w:ascii="FrankRuehl" w:hAnsi="FrankRuehl" w:cs="FrankRuehl"/>
          <w:color w:val="000000"/>
          <w:rtl/>
        </w:rPr>
        <w:t xml:space="preserve">חקיקה שאוזכרה: </w:t>
      </w:r>
    </w:p>
    <w:p w14:paraId="12D0AE5E" w14:textId="77777777" w:rsidR="000D10C9" w:rsidRPr="006B39FB" w:rsidRDefault="006B39FB" w:rsidP="006B39FB">
      <w:pPr>
        <w:spacing w:after="120" w:line="240" w:lineRule="exact"/>
        <w:ind w:left="283" w:hanging="283"/>
        <w:jc w:val="both"/>
        <w:rPr>
          <w:rFonts w:ascii="FrankRuehl" w:hAnsi="FrankRuehl" w:cs="FrankRuehl" w:hint="cs"/>
        </w:rPr>
      </w:pPr>
      <w:hyperlink r:id="rId6" w:history="1">
        <w:r w:rsidRPr="006B39FB">
          <w:rPr>
            <w:rFonts w:ascii="FrankRuehl" w:hAnsi="FrankRuehl" w:cs="FrankRuehl"/>
            <w:color w:val="0000FF"/>
            <w:u w:val="single"/>
            <w:rtl/>
          </w:rPr>
          <w:t>חוק העונשין, תשל"ז-1977</w:t>
        </w:r>
      </w:hyperlink>
      <w:r w:rsidRPr="006B39FB">
        <w:rPr>
          <w:rFonts w:ascii="FrankRuehl" w:hAnsi="FrankRuehl" w:cs="FrankRuehl"/>
          <w:rtl/>
        </w:rPr>
        <w:t xml:space="preserve">: סע'  </w:t>
      </w:r>
      <w:hyperlink r:id="rId7" w:history="1">
        <w:r w:rsidRPr="006B39FB">
          <w:rPr>
            <w:rFonts w:ascii="FrankRuehl" w:hAnsi="FrankRuehl" w:cs="FrankRuehl"/>
            <w:color w:val="0000FF"/>
            <w:u w:val="single"/>
            <w:rtl/>
          </w:rPr>
          <w:t>144(א)</w:t>
        </w:r>
      </w:hyperlink>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D10C9" w:rsidRPr="001F390D" w14:paraId="00602884" w14:textId="77777777" w:rsidTr="0053413F">
        <w:trPr>
          <w:trHeight w:val="355"/>
          <w:jc w:val="center"/>
        </w:trPr>
        <w:tc>
          <w:tcPr>
            <w:tcW w:w="8820" w:type="dxa"/>
            <w:tcBorders>
              <w:top w:val="nil"/>
              <w:left w:val="nil"/>
              <w:bottom w:val="nil"/>
              <w:right w:val="nil"/>
            </w:tcBorders>
            <w:shd w:val="clear" w:color="auto" w:fill="auto"/>
          </w:tcPr>
          <w:p w14:paraId="6ABDF6B5" w14:textId="77777777" w:rsidR="0053413F" w:rsidRPr="0053413F" w:rsidRDefault="0053413F" w:rsidP="0053413F">
            <w:pPr>
              <w:jc w:val="center"/>
              <w:rPr>
                <w:rFonts w:ascii="Arial" w:hAnsi="Arial"/>
                <w:b/>
                <w:bCs/>
                <w:color w:val="000000"/>
                <w:sz w:val="28"/>
                <w:szCs w:val="28"/>
                <w:u w:val="single"/>
                <w:rtl/>
              </w:rPr>
            </w:pPr>
            <w:bookmarkStart w:id="4" w:name="PsakDin" w:colFirst="0" w:colLast="0"/>
            <w:bookmarkEnd w:id="0"/>
            <w:r w:rsidRPr="0053413F">
              <w:rPr>
                <w:rFonts w:ascii="Arial" w:hAnsi="Arial"/>
                <w:b/>
                <w:bCs/>
                <w:color w:val="000000"/>
                <w:sz w:val="28"/>
                <w:szCs w:val="28"/>
                <w:u w:val="single"/>
                <w:rtl/>
              </w:rPr>
              <w:t>גזר דין</w:t>
            </w:r>
          </w:p>
          <w:p w14:paraId="14AE5E31" w14:textId="77777777" w:rsidR="000D10C9" w:rsidRPr="0053413F" w:rsidRDefault="000D10C9" w:rsidP="0053413F">
            <w:pPr>
              <w:jc w:val="center"/>
              <w:rPr>
                <w:rFonts w:ascii="Arial" w:hAnsi="Arial"/>
                <w:bCs/>
                <w:color w:val="000000"/>
                <w:sz w:val="28"/>
                <w:szCs w:val="28"/>
                <w:u w:val="single"/>
                <w:rtl/>
              </w:rPr>
            </w:pPr>
          </w:p>
        </w:tc>
      </w:tr>
      <w:bookmarkEnd w:id="4"/>
    </w:tbl>
    <w:p w14:paraId="03FEF19A" w14:textId="77777777" w:rsidR="000D10C9" w:rsidRPr="000C4EC5" w:rsidRDefault="000D10C9" w:rsidP="000D10C9">
      <w:pPr>
        <w:rPr>
          <w:rFonts w:ascii="Arial" w:hAnsi="Arial"/>
          <w:color w:val="000000"/>
          <w:rtl/>
        </w:rPr>
      </w:pPr>
    </w:p>
    <w:p w14:paraId="66874369" w14:textId="77777777" w:rsidR="000D10C9" w:rsidRPr="000C4EC5" w:rsidRDefault="000D10C9" w:rsidP="000D10C9">
      <w:pPr>
        <w:spacing w:line="360" w:lineRule="auto"/>
        <w:ind w:left="720"/>
        <w:jc w:val="both"/>
        <w:rPr>
          <w:rFonts w:ascii="Arial (W1)" w:hAnsi="Arial (W1)"/>
          <w:color w:val="000000"/>
          <w:u w:val="single"/>
          <w:rtl/>
        </w:rPr>
      </w:pPr>
      <w:r w:rsidRPr="000C4EC5">
        <w:rPr>
          <w:rFonts w:ascii="Arial (W1)" w:hAnsi="Arial (W1)" w:hint="cs"/>
          <w:color w:val="000000"/>
          <w:u w:val="single"/>
          <w:rtl/>
        </w:rPr>
        <w:t>כללי</w:t>
      </w:r>
    </w:p>
    <w:p w14:paraId="6E3210A2" w14:textId="77777777" w:rsidR="000D10C9" w:rsidRPr="000C4EC5" w:rsidRDefault="000D10C9" w:rsidP="000D10C9">
      <w:pPr>
        <w:spacing w:line="360" w:lineRule="auto"/>
        <w:ind w:left="720" w:hanging="720"/>
        <w:rPr>
          <w:rFonts w:ascii="Arial (W1)" w:hAnsi="Arial (W1)"/>
          <w:color w:val="000000"/>
          <w:rtl/>
        </w:rPr>
      </w:pPr>
      <w:r w:rsidRPr="000C4EC5">
        <w:rPr>
          <w:rFonts w:ascii="Arial (W1)" w:hAnsi="Arial (W1)" w:hint="cs"/>
          <w:color w:val="000000"/>
          <w:rtl/>
        </w:rPr>
        <w:tab/>
      </w:r>
    </w:p>
    <w:p w14:paraId="11B509B8" w14:textId="77777777" w:rsidR="000D10C9" w:rsidRPr="000C4EC5" w:rsidRDefault="000D10C9" w:rsidP="000D10C9">
      <w:pPr>
        <w:spacing w:line="360" w:lineRule="auto"/>
        <w:ind w:left="720" w:hanging="720"/>
        <w:rPr>
          <w:rFonts w:ascii="Arial (W1)" w:hAnsi="Arial (W1)"/>
          <w:color w:val="000000"/>
          <w:rtl/>
        </w:rPr>
      </w:pPr>
      <w:r w:rsidRPr="000C4EC5">
        <w:rPr>
          <w:rFonts w:ascii="Arial (W1)" w:hAnsi="Arial (W1)" w:hint="cs"/>
          <w:color w:val="000000"/>
          <w:rtl/>
        </w:rPr>
        <w:t>1.</w:t>
      </w:r>
      <w:r w:rsidRPr="000C4EC5">
        <w:rPr>
          <w:rFonts w:ascii="Arial (W1)" w:hAnsi="Arial (W1)" w:hint="cs"/>
          <w:color w:val="000000"/>
          <w:rtl/>
        </w:rPr>
        <w:tab/>
      </w:r>
      <w:bookmarkStart w:id="5" w:name="ABSTRACT_START"/>
      <w:bookmarkEnd w:id="5"/>
      <w:r w:rsidRPr="000C4EC5">
        <w:rPr>
          <w:rFonts w:ascii="Arial (W1)" w:hAnsi="Arial (W1)" w:hint="cs"/>
          <w:color w:val="000000"/>
          <w:rtl/>
        </w:rPr>
        <w:t xml:space="preserve">הנאשם הורשע על יסוד הודאתו בעבירה של החזקת נשק שלא כדין,  לפי </w:t>
      </w:r>
      <w:hyperlink r:id="rId8" w:history="1">
        <w:r w:rsidR="006B39FB" w:rsidRPr="006B39FB">
          <w:rPr>
            <w:rFonts w:ascii="Arial (W1)" w:hAnsi="Arial (W1)" w:hint="eastAsia"/>
            <w:color w:val="0000FF"/>
            <w:u w:val="single"/>
            <w:rtl/>
          </w:rPr>
          <w:t>סעיף</w:t>
        </w:r>
        <w:r w:rsidR="006B39FB" w:rsidRPr="006B39FB">
          <w:rPr>
            <w:rFonts w:ascii="Arial (W1)" w:hAnsi="Arial (W1)"/>
            <w:color w:val="0000FF"/>
            <w:u w:val="single"/>
            <w:rtl/>
          </w:rPr>
          <w:t xml:space="preserve"> 144(</w:t>
        </w:r>
        <w:r w:rsidR="006B39FB" w:rsidRPr="006B39FB">
          <w:rPr>
            <w:rFonts w:ascii="Arial (W1)" w:hAnsi="Arial (W1)" w:hint="eastAsia"/>
            <w:color w:val="0000FF"/>
            <w:u w:val="single"/>
            <w:rtl/>
          </w:rPr>
          <w:t>א</w:t>
        </w:r>
        <w:r w:rsidR="006B39FB" w:rsidRPr="006B39FB">
          <w:rPr>
            <w:rFonts w:ascii="Arial (W1)" w:hAnsi="Arial (W1)"/>
            <w:color w:val="0000FF"/>
            <w:u w:val="single"/>
            <w:rtl/>
          </w:rPr>
          <w:t>)</w:t>
        </w:r>
      </w:hyperlink>
      <w:r w:rsidRPr="000C4EC5">
        <w:rPr>
          <w:rFonts w:ascii="Arial (W1)" w:hAnsi="Arial (W1)" w:hint="cs"/>
          <w:color w:val="000000"/>
          <w:rtl/>
        </w:rPr>
        <w:t xml:space="preserve"> רישא ל</w:t>
      </w:r>
      <w:hyperlink r:id="rId9" w:history="1">
        <w:r w:rsidR="0053413F" w:rsidRPr="0053413F">
          <w:rPr>
            <w:rStyle w:val="Hyperlink"/>
            <w:rFonts w:ascii="Arial (W1)" w:hAnsi="Arial (W1)" w:hint="eastAsia"/>
            <w:rtl/>
          </w:rPr>
          <w:t>חוק</w:t>
        </w:r>
        <w:r w:rsidR="0053413F" w:rsidRPr="0053413F">
          <w:rPr>
            <w:rStyle w:val="Hyperlink"/>
            <w:rFonts w:ascii="Arial (W1)" w:hAnsi="Arial (W1)"/>
            <w:rtl/>
          </w:rPr>
          <w:t xml:space="preserve"> </w:t>
        </w:r>
        <w:r w:rsidR="0053413F" w:rsidRPr="0053413F">
          <w:rPr>
            <w:rStyle w:val="Hyperlink"/>
            <w:rFonts w:ascii="Arial (W1)" w:hAnsi="Arial (W1)" w:hint="eastAsia"/>
            <w:rtl/>
          </w:rPr>
          <w:t>העונשין</w:t>
        </w:r>
      </w:hyperlink>
      <w:r w:rsidRPr="000C4EC5">
        <w:rPr>
          <w:rFonts w:ascii="Arial (W1)" w:hAnsi="Arial (W1)" w:hint="cs"/>
          <w:color w:val="000000"/>
          <w:rtl/>
        </w:rPr>
        <w:t xml:space="preserve"> תשל"ז-1977. </w:t>
      </w:r>
    </w:p>
    <w:p w14:paraId="69429CDA" w14:textId="77777777" w:rsidR="000D10C9" w:rsidRPr="000C4EC5" w:rsidRDefault="000D10C9" w:rsidP="000D10C9">
      <w:pPr>
        <w:spacing w:line="360" w:lineRule="auto"/>
        <w:ind w:left="720" w:hanging="720"/>
        <w:rPr>
          <w:rFonts w:ascii="Arial (W1)" w:hAnsi="Arial (W1)"/>
          <w:color w:val="000000"/>
          <w:rtl/>
        </w:rPr>
      </w:pPr>
    </w:p>
    <w:p w14:paraId="3B883C33" w14:textId="77777777" w:rsidR="000D10C9" w:rsidRPr="000C4EC5" w:rsidRDefault="000D10C9" w:rsidP="000D10C9">
      <w:pPr>
        <w:spacing w:line="360" w:lineRule="auto"/>
        <w:ind w:left="720" w:hanging="720"/>
        <w:jc w:val="both"/>
        <w:rPr>
          <w:rFonts w:ascii="Arial (W1)" w:hAnsi="Arial (W1)"/>
          <w:color w:val="000000"/>
          <w:rtl/>
        </w:rPr>
      </w:pPr>
      <w:r w:rsidRPr="000C4EC5">
        <w:rPr>
          <w:rFonts w:ascii="Arial (W1)" w:hAnsi="Arial (W1)"/>
          <w:color w:val="000000"/>
          <w:rtl/>
        </w:rPr>
        <w:tab/>
      </w:r>
      <w:r w:rsidRPr="000C4EC5">
        <w:rPr>
          <w:rFonts w:ascii="Arial (W1)" w:hAnsi="Arial (W1)" w:hint="cs"/>
          <w:color w:val="000000"/>
          <w:rtl/>
        </w:rPr>
        <w:t xml:space="preserve">במסגרת הסדר הטיעון שגובש בין הצדדים תוקן כתב האישום, אולם לא גובשה הסכמה לעניין העונש, ובהקשר זה, טען כל צד על-פי מיטב שיקול דעתו. </w:t>
      </w:r>
    </w:p>
    <w:p w14:paraId="747A44AB" w14:textId="77777777" w:rsidR="000D10C9" w:rsidRPr="000C4EC5" w:rsidRDefault="000D10C9" w:rsidP="000D10C9">
      <w:pPr>
        <w:spacing w:line="360" w:lineRule="auto"/>
        <w:ind w:left="720" w:hanging="720"/>
        <w:jc w:val="both"/>
        <w:rPr>
          <w:rFonts w:ascii="Arial (W1)" w:hAnsi="Arial (W1)"/>
          <w:color w:val="000000"/>
          <w:rtl/>
        </w:rPr>
      </w:pPr>
    </w:p>
    <w:p w14:paraId="11A953A7" w14:textId="77777777" w:rsidR="000D10C9" w:rsidRPr="000C4EC5" w:rsidRDefault="000D10C9" w:rsidP="000D10C9">
      <w:pPr>
        <w:spacing w:line="360" w:lineRule="auto"/>
        <w:ind w:left="720" w:hanging="720"/>
        <w:jc w:val="both"/>
        <w:rPr>
          <w:rFonts w:ascii="Arial (W1)" w:hAnsi="Arial (W1)"/>
          <w:color w:val="000000"/>
          <w:rtl/>
        </w:rPr>
      </w:pPr>
      <w:r w:rsidRPr="000C4EC5">
        <w:rPr>
          <w:rFonts w:ascii="Arial (W1)" w:hAnsi="Arial (W1)"/>
          <w:color w:val="000000"/>
          <w:rtl/>
        </w:rPr>
        <w:tab/>
      </w:r>
      <w:r w:rsidRPr="000C4EC5">
        <w:rPr>
          <w:rFonts w:ascii="Arial (W1)" w:hAnsi="Arial (W1)" w:hint="cs"/>
          <w:color w:val="000000"/>
          <w:rtl/>
        </w:rPr>
        <w:t xml:space="preserve">על-פי האמור בכתב האישום, ביום 14.10.07 נגנב אקדח מסוג "יריחו" מבעליו, וביום 18.11.16 החזיק הנאשם באקדח הגנוב, בכיס מעילו, כשהוא דרוך, טעון ומוכן לירי. </w:t>
      </w:r>
    </w:p>
    <w:p w14:paraId="27FAE724" w14:textId="77777777" w:rsidR="000D10C9" w:rsidRPr="000C4EC5" w:rsidRDefault="000D10C9" w:rsidP="000D10C9">
      <w:pPr>
        <w:spacing w:line="360" w:lineRule="auto"/>
        <w:ind w:left="720" w:hanging="720"/>
        <w:jc w:val="both"/>
        <w:rPr>
          <w:rFonts w:ascii="Arial (W1)" w:hAnsi="Arial (W1)"/>
          <w:color w:val="000000"/>
          <w:rtl/>
        </w:rPr>
      </w:pPr>
    </w:p>
    <w:p w14:paraId="5F820FC4" w14:textId="77777777" w:rsidR="000D10C9" w:rsidRPr="000C4EC5" w:rsidRDefault="000D10C9" w:rsidP="000D10C9">
      <w:pPr>
        <w:spacing w:line="360" w:lineRule="auto"/>
        <w:ind w:left="720" w:hanging="720"/>
        <w:jc w:val="both"/>
        <w:rPr>
          <w:rFonts w:ascii="Arial (W1)" w:hAnsi="Arial (W1)"/>
          <w:color w:val="000000"/>
          <w:u w:val="single"/>
          <w:rtl/>
        </w:rPr>
      </w:pPr>
      <w:bookmarkStart w:id="6" w:name="ABSTRACT_END"/>
      <w:bookmarkEnd w:id="6"/>
      <w:r w:rsidRPr="000C4EC5">
        <w:rPr>
          <w:rFonts w:ascii="Arial (W1)" w:hAnsi="Arial (W1)"/>
          <w:color w:val="000000"/>
          <w:rtl/>
        </w:rPr>
        <w:tab/>
      </w:r>
      <w:r w:rsidRPr="000C4EC5">
        <w:rPr>
          <w:rFonts w:ascii="Arial (W1)" w:hAnsi="Arial (W1)" w:hint="cs"/>
          <w:color w:val="000000"/>
          <w:u w:val="single"/>
          <w:rtl/>
        </w:rPr>
        <w:t>טיעוני הצדדים</w:t>
      </w:r>
    </w:p>
    <w:p w14:paraId="1BA3BB2E" w14:textId="77777777" w:rsidR="000D10C9" w:rsidRPr="000C4EC5" w:rsidRDefault="000D10C9" w:rsidP="000D10C9">
      <w:pPr>
        <w:spacing w:line="360" w:lineRule="auto"/>
        <w:ind w:left="720" w:hanging="720"/>
        <w:jc w:val="both"/>
        <w:rPr>
          <w:rFonts w:ascii="Arial (W1)" w:hAnsi="Arial (W1)"/>
          <w:color w:val="000000"/>
          <w:rtl/>
        </w:rPr>
      </w:pPr>
    </w:p>
    <w:p w14:paraId="7350998B" w14:textId="77777777" w:rsidR="000D10C9" w:rsidRPr="000C4EC5" w:rsidRDefault="000D10C9" w:rsidP="000D10C9">
      <w:pPr>
        <w:spacing w:line="360" w:lineRule="auto"/>
        <w:ind w:left="720" w:hanging="720"/>
        <w:jc w:val="both"/>
        <w:rPr>
          <w:rFonts w:ascii="Arial (W1)" w:hAnsi="Arial (W1)"/>
          <w:color w:val="000000"/>
          <w:rtl/>
        </w:rPr>
      </w:pPr>
      <w:r w:rsidRPr="000C4EC5">
        <w:rPr>
          <w:rFonts w:ascii="Arial (W1)" w:hAnsi="Arial (W1)" w:hint="cs"/>
          <w:color w:val="000000"/>
          <w:rtl/>
        </w:rPr>
        <w:t>2.</w:t>
      </w:r>
      <w:r w:rsidRPr="000C4EC5">
        <w:rPr>
          <w:rFonts w:ascii="Arial (W1)" w:hAnsi="Arial (W1)" w:hint="cs"/>
          <w:color w:val="000000"/>
          <w:rtl/>
        </w:rPr>
        <w:tab/>
        <w:t xml:space="preserve">לשיטת התביעה, יש לראות בנסיבות ההחזקה, כפי שתוארו בכתב האישום, כבעלות פוטנציאל משמעותי לפגוע בביטחון הציבור, וככאלה המצדיקות השתת עונש מאסר משמעותי. נטען, כי בנסיבות קלות יותר קבעו בתי המשפט מתחם עונש הולם הנע בין שנת מאסר לשלוש שנות מאסר, כאשר במקרה שלפנינו, יש לקבוע מתחם גבוה במעט מאותו מתחם שנקבע. התובע, עו"ד מיכאל כהן, הפנה למספר רב של פסקי דין, </w:t>
      </w:r>
      <w:r w:rsidRPr="000C4EC5">
        <w:rPr>
          <w:rFonts w:ascii="Arial (W1)" w:hAnsi="Arial (W1)" w:hint="cs"/>
          <w:color w:val="000000"/>
          <w:rtl/>
        </w:rPr>
        <w:lastRenderedPageBreak/>
        <w:t xml:space="preserve">וסבר כי גם אם משקללים את הודאת הנאשם ונסיבותיו האישיות, הרי לאור עברו הפלילי, יש מקום להטלת עונש מאסר המצוי בשליש העליון של מתחם הענישה, בצירוף לקנס ומאסר מותנה. </w:t>
      </w:r>
    </w:p>
    <w:p w14:paraId="761F4E6C" w14:textId="77777777" w:rsidR="000D10C9" w:rsidRPr="000C4EC5" w:rsidRDefault="000D10C9" w:rsidP="000D10C9">
      <w:pPr>
        <w:spacing w:line="360" w:lineRule="auto"/>
        <w:ind w:left="720" w:hanging="720"/>
        <w:jc w:val="both"/>
        <w:rPr>
          <w:rFonts w:ascii="Arial (W1)" w:hAnsi="Arial (W1)"/>
          <w:color w:val="000000"/>
          <w:rtl/>
        </w:rPr>
      </w:pPr>
    </w:p>
    <w:p w14:paraId="2A1078DA" w14:textId="77777777" w:rsidR="000D10C9" w:rsidRPr="000C4EC5" w:rsidRDefault="000D10C9" w:rsidP="000D10C9">
      <w:pPr>
        <w:spacing w:line="360" w:lineRule="auto"/>
        <w:ind w:left="720" w:hanging="720"/>
        <w:jc w:val="both"/>
        <w:rPr>
          <w:rFonts w:ascii="Arial (W1)" w:hAnsi="Arial (W1)"/>
          <w:color w:val="000000"/>
          <w:rtl/>
        </w:rPr>
      </w:pPr>
    </w:p>
    <w:p w14:paraId="54F90129" w14:textId="77777777" w:rsidR="000D10C9" w:rsidRPr="000C4EC5" w:rsidRDefault="000D10C9" w:rsidP="000D10C9">
      <w:pPr>
        <w:spacing w:line="360" w:lineRule="auto"/>
        <w:ind w:left="720" w:hanging="720"/>
        <w:jc w:val="both"/>
        <w:rPr>
          <w:rFonts w:ascii="Arial (W1)" w:hAnsi="Arial (W1)"/>
          <w:color w:val="000000"/>
          <w:rtl/>
        </w:rPr>
      </w:pPr>
    </w:p>
    <w:p w14:paraId="6FAE640C" w14:textId="77777777" w:rsidR="000D10C9" w:rsidRPr="000C4EC5" w:rsidRDefault="000D10C9" w:rsidP="000D10C9">
      <w:pPr>
        <w:spacing w:line="360" w:lineRule="auto"/>
        <w:ind w:left="720" w:hanging="720"/>
        <w:jc w:val="both"/>
        <w:rPr>
          <w:rFonts w:ascii="Arial (W1)" w:hAnsi="Arial (W1)"/>
          <w:color w:val="000000"/>
          <w:rtl/>
        </w:rPr>
      </w:pPr>
      <w:r w:rsidRPr="000C4EC5">
        <w:rPr>
          <w:rFonts w:ascii="Arial (W1)" w:hAnsi="Arial (W1)" w:hint="cs"/>
          <w:color w:val="000000"/>
          <w:rtl/>
        </w:rPr>
        <w:t>3.</w:t>
      </w:r>
      <w:r w:rsidRPr="000C4EC5">
        <w:rPr>
          <w:rFonts w:ascii="Arial (W1)" w:hAnsi="Arial (W1)" w:hint="cs"/>
          <w:color w:val="000000"/>
          <w:rtl/>
        </w:rPr>
        <w:tab/>
        <w:t>הסניגור, עו"ד נעאמנה, עתר להשתת עונש נמוך באופן משמעותי מהעונש לו עתרה התביעה, תוך הפניית בית המשפט לפסקי דין התומכים בעמדתו. הוסבר, כי מניתוח הנסיבות ורף הענישה שנקבע בפסיקה, יש לקבוע מתחם עונש הולם הנע בין מאסר לתקופה אותה ניתן לרצות בדרך של עבודות שירות (ברף התחתון) ועד 12 חודשי מאסר (ברף העליון). הסנגור התייחס לנסיבותיו האישיות של הנאשם, לאירוע המוחי שעבר (הוצגו מסמכים), לאירוע בו נדקר בבית המעצר, למצבו המשפחתי (נשוי ואב לחמישה ילדים שהגדול ביניהם בן 7.5), וכן למשקל הנמוך שיש ליתן לעברו הפלילי הישן. על יסוד הנתונים שפורטו לעיל, סבר הסנגור כי יש מקום להשתת ענישה המשקפת את תקופת מעצרו של הנאשם (כחמישה חודשים), ולכל היותר, בתוספת מצומצמת בלבד.</w:t>
      </w:r>
    </w:p>
    <w:p w14:paraId="10411E9E" w14:textId="77777777" w:rsidR="000D10C9" w:rsidRPr="000C4EC5" w:rsidRDefault="000D10C9" w:rsidP="000D10C9">
      <w:pPr>
        <w:spacing w:line="360" w:lineRule="auto"/>
        <w:ind w:left="720"/>
        <w:jc w:val="both"/>
        <w:rPr>
          <w:rFonts w:ascii="Arial (W1)" w:hAnsi="Arial (W1)"/>
          <w:color w:val="000000"/>
          <w:rtl/>
        </w:rPr>
      </w:pPr>
    </w:p>
    <w:p w14:paraId="2D40496C" w14:textId="77777777" w:rsidR="000D10C9" w:rsidRPr="000C4EC5" w:rsidRDefault="000D10C9" w:rsidP="000D10C9">
      <w:pPr>
        <w:spacing w:line="360" w:lineRule="auto"/>
        <w:ind w:left="720"/>
        <w:jc w:val="both"/>
        <w:rPr>
          <w:rFonts w:ascii="Arial (W1)" w:hAnsi="Arial (W1)"/>
          <w:color w:val="000000"/>
          <w:u w:val="single"/>
          <w:rtl/>
        </w:rPr>
      </w:pPr>
      <w:r w:rsidRPr="000C4EC5">
        <w:rPr>
          <w:rFonts w:ascii="Arial (W1)" w:hAnsi="Arial (W1)" w:hint="cs"/>
          <w:color w:val="000000"/>
          <w:u w:val="single"/>
          <w:rtl/>
        </w:rPr>
        <w:t>דיון והכרעה</w:t>
      </w:r>
    </w:p>
    <w:p w14:paraId="164D8CA7" w14:textId="77777777" w:rsidR="000D10C9" w:rsidRPr="000C4EC5" w:rsidRDefault="000D10C9" w:rsidP="000D10C9">
      <w:pPr>
        <w:spacing w:line="360" w:lineRule="auto"/>
        <w:ind w:left="720"/>
        <w:jc w:val="both"/>
        <w:rPr>
          <w:rFonts w:ascii="Arial (W1)" w:hAnsi="Arial (W1)"/>
          <w:color w:val="000000"/>
          <w:rtl/>
        </w:rPr>
      </w:pPr>
    </w:p>
    <w:p w14:paraId="3819A308" w14:textId="77777777" w:rsidR="000D10C9" w:rsidRPr="000C4EC5" w:rsidRDefault="000D10C9" w:rsidP="000D10C9">
      <w:pPr>
        <w:spacing w:line="360" w:lineRule="auto"/>
        <w:ind w:left="720" w:hanging="720"/>
        <w:jc w:val="both"/>
        <w:rPr>
          <w:rFonts w:ascii="Arial (W1)" w:hAnsi="Arial (W1)"/>
          <w:color w:val="000000"/>
        </w:rPr>
      </w:pPr>
      <w:r w:rsidRPr="000C4EC5">
        <w:rPr>
          <w:rFonts w:ascii="Arial (W1)" w:hAnsi="Arial (W1)" w:hint="cs"/>
          <w:color w:val="000000"/>
          <w:rtl/>
        </w:rPr>
        <w:t>4.</w:t>
      </w:r>
      <w:r w:rsidRPr="000C4EC5">
        <w:rPr>
          <w:rFonts w:ascii="Arial (W1)" w:hAnsi="Arial (W1)" w:hint="cs"/>
          <w:color w:val="000000"/>
          <w:rtl/>
        </w:rPr>
        <w:tab/>
        <w:t xml:space="preserve">דומה כי אין צורך להכביר מילים על החומרה הרבה הקיימת בעבירות נשק, עבירות אשר טומנות בחובן פוטנציאל גבוה לפגיעה בגוף, ומקימות סיכון ממשי וחמור לציבור. </w:t>
      </w:r>
    </w:p>
    <w:p w14:paraId="4A9044DE" w14:textId="77777777" w:rsidR="000D10C9" w:rsidRPr="000C4EC5" w:rsidRDefault="000D10C9" w:rsidP="000D10C9">
      <w:pPr>
        <w:spacing w:line="360" w:lineRule="auto"/>
        <w:ind w:left="720" w:hanging="720"/>
        <w:jc w:val="both"/>
        <w:rPr>
          <w:rFonts w:ascii="Arial (W1)" w:hAnsi="Arial (W1)"/>
          <w:color w:val="000000"/>
          <w:rtl/>
        </w:rPr>
      </w:pPr>
    </w:p>
    <w:p w14:paraId="1BAEE61F" w14:textId="77777777" w:rsidR="000D10C9" w:rsidRPr="000C4EC5" w:rsidRDefault="000D10C9" w:rsidP="000D10C9">
      <w:pPr>
        <w:spacing w:line="360" w:lineRule="auto"/>
        <w:ind w:left="720"/>
        <w:jc w:val="both"/>
        <w:rPr>
          <w:rFonts w:ascii="Arial (W1)" w:hAnsi="Arial (W1)"/>
          <w:color w:val="000000"/>
          <w:rtl/>
        </w:rPr>
      </w:pPr>
      <w:r w:rsidRPr="000C4EC5">
        <w:rPr>
          <w:rFonts w:ascii="Arial (W1)" w:hAnsi="Arial (W1)" w:hint="cs"/>
          <w:color w:val="000000"/>
          <w:rtl/>
        </w:rPr>
        <w:t>עמד על כך בית המשפט העליון ב</w:t>
      </w:r>
      <w:hyperlink r:id="rId10" w:history="1">
        <w:r w:rsidR="0053413F" w:rsidRPr="0053413F">
          <w:rPr>
            <w:rStyle w:val="Hyperlink"/>
            <w:rFonts w:ascii="Arial (W1)" w:hAnsi="Arial (W1)" w:hint="eastAsia"/>
            <w:rtl/>
          </w:rPr>
          <w:t>ע</w:t>
        </w:r>
        <w:r w:rsidR="0053413F" w:rsidRPr="0053413F">
          <w:rPr>
            <w:rStyle w:val="Hyperlink"/>
            <w:rFonts w:ascii="Arial (W1)" w:hAnsi="Arial (W1)"/>
            <w:rtl/>
          </w:rPr>
          <w:t>"</w:t>
        </w:r>
        <w:r w:rsidR="0053413F" w:rsidRPr="0053413F">
          <w:rPr>
            <w:rStyle w:val="Hyperlink"/>
            <w:rFonts w:ascii="Arial (W1)" w:hAnsi="Arial (W1)" w:hint="eastAsia"/>
            <w:rtl/>
          </w:rPr>
          <w:t>פ</w:t>
        </w:r>
        <w:r w:rsidR="0053413F" w:rsidRPr="0053413F">
          <w:rPr>
            <w:rStyle w:val="Hyperlink"/>
            <w:rFonts w:ascii="Arial (W1)" w:hAnsi="Arial (W1)"/>
            <w:rtl/>
          </w:rPr>
          <w:t xml:space="preserve"> 5120/11</w:t>
        </w:r>
      </w:hyperlink>
      <w:r w:rsidRPr="000C4EC5">
        <w:rPr>
          <w:rFonts w:ascii="Arial (W1)" w:hAnsi="Arial (W1)" w:hint="cs"/>
          <w:color w:val="000000"/>
          <w:rtl/>
        </w:rPr>
        <w:t xml:space="preserve"> </w:t>
      </w:r>
      <w:r w:rsidRPr="000C4EC5">
        <w:rPr>
          <w:rFonts w:ascii="Arial (W1)" w:hAnsi="Arial (W1)" w:hint="cs"/>
          <w:b/>
          <w:bCs/>
          <w:color w:val="000000"/>
          <w:rtl/>
        </w:rPr>
        <w:t xml:space="preserve">שתיווי נ' מדינת ישראל </w:t>
      </w:r>
      <w:r w:rsidRPr="000C4EC5">
        <w:rPr>
          <w:rFonts w:ascii="Arial (W1)" w:hAnsi="Arial (W1)" w:hint="cs"/>
          <w:color w:val="000000"/>
          <w:rtl/>
        </w:rPr>
        <w:t xml:space="preserve">(18.12.2011) שם נקבעו הדברים הבאים: </w:t>
      </w:r>
    </w:p>
    <w:p w14:paraId="1FBEF533" w14:textId="77777777" w:rsidR="000D10C9" w:rsidRPr="000C4EC5" w:rsidRDefault="000D10C9" w:rsidP="000D10C9">
      <w:pPr>
        <w:spacing w:line="360" w:lineRule="auto"/>
        <w:ind w:left="720"/>
        <w:jc w:val="both"/>
        <w:rPr>
          <w:rFonts w:ascii="Arial (W1)" w:hAnsi="Arial (W1)"/>
          <w:color w:val="000000"/>
          <w:rtl/>
        </w:rPr>
      </w:pPr>
    </w:p>
    <w:p w14:paraId="7BD1795E" w14:textId="77777777" w:rsidR="000D10C9" w:rsidRPr="000C4EC5" w:rsidRDefault="000D10C9" w:rsidP="000D10C9">
      <w:pPr>
        <w:spacing w:line="360" w:lineRule="auto"/>
        <w:ind w:left="720"/>
        <w:jc w:val="both"/>
        <w:rPr>
          <w:rFonts w:ascii="Arial (W1)" w:hAnsi="Arial (W1)"/>
          <w:b/>
          <w:bCs/>
          <w:color w:val="000000"/>
          <w:rtl/>
        </w:rPr>
      </w:pPr>
      <w:r w:rsidRPr="000C4EC5">
        <w:rPr>
          <w:rFonts w:ascii="Arial (W1)" w:hAnsi="Arial (W1)" w:hint="cs"/>
          <w:b/>
          <w:bCs/>
          <w:color w:val="000000"/>
          <w:rtl/>
        </w:rPr>
        <w:t>"לא אחת עמד בית משפט זה על החומרה היתרה הנודעת לעבירות נשק בכלל ולעבירת החזקת נשק שלא כדין בפרט המקימה סיכון ממשי וחמור לציבור ויוצרת פוטנציאל להסלמה עבריינית ולפיכך מחייבת ליתן ביטוי עונשי הולם ומרתיע באמצעות הרחקת מבצעי העבירה מן החברה לתקופת מאסר ממשית לריצוי  בפועל"</w:t>
      </w:r>
      <w:r w:rsidRPr="000C4EC5">
        <w:rPr>
          <w:rFonts w:ascii="Arial (W1)" w:hAnsi="Arial (W1)" w:hint="cs"/>
          <w:color w:val="000000"/>
          <w:rtl/>
        </w:rPr>
        <w:t xml:space="preserve">. </w:t>
      </w:r>
    </w:p>
    <w:p w14:paraId="2E2A152B" w14:textId="77777777" w:rsidR="000D10C9" w:rsidRPr="000C4EC5" w:rsidRDefault="000D10C9" w:rsidP="000D10C9">
      <w:pPr>
        <w:spacing w:line="360" w:lineRule="auto"/>
        <w:ind w:left="720"/>
        <w:jc w:val="both"/>
        <w:rPr>
          <w:rFonts w:ascii="Arial (W1)" w:hAnsi="Arial (W1)"/>
          <w:color w:val="000000"/>
          <w:rtl/>
        </w:rPr>
      </w:pPr>
    </w:p>
    <w:p w14:paraId="1F7ADC94" w14:textId="77777777" w:rsidR="000D10C9" w:rsidRPr="000C4EC5" w:rsidRDefault="000D10C9" w:rsidP="000D10C9">
      <w:pPr>
        <w:spacing w:line="360" w:lineRule="auto"/>
        <w:ind w:left="720" w:hanging="720"/>
        <w:jc w:val="both"/>
        <w:rPr>
          <w:rFonts w:ascii="Arial (W1)" w:hAnsi="Arial (W1)"/>
          <w:color w:val="000000"/>
          <w:rtl/>
        </w:rPr>
      </w:pPr>
      <w:r w:rsidRPr="000C4EC5">
        <w:rPr>
          <w:rFonts w:ascii="Arial (W1)" w:hAnsi="Arial (W1)" w:hint="cs"/>
          <w:color w:val="000000"/>
          <w:rtl/>
        </w:rPr>
        <w:t>5.</w:t>
      </w:r>
      <w:r w:rsidRPr="000C4EC5">
        <w:rPr>
          <w:rFonts w:ascii="Arial (W1)" w:hAnsi="Arial (W1)" w:hint="cs"/>
          <w:color w:val="000000"/>
          <w:rtl/>
        </w:rPr>
        <w:tab/>
        <w:t xml:space="preserve">בענייננו, וכפי שטען התובע, בקביעת המתחם יש מקום ליתן ביטוי לעובדה כי הנשק הוחזק כשהוא דרוך, טעון ומוכן לירי, אף שלא צוין בכתב האישום הרקע להחזקתו או נתון בדבר כוונה לעשות בו שימוש. </w:t>
      </w:r>
    </w:p>
    <w:p w14:paraId="476CD7F5" w14:textId="77777777" w:rsidR="000D10C9" w:rsidRPr="000C4EC5" w:rsidRDefault="000D10C9" w:rsidP="000D10C9">
      <w:pPr>
        <w:spacing w:line="360" w:lineRule="auto"/>
        <w:ind w:left="720"/>
        <w:jc w:val="both"/>
        <w:rPr>
          <w:rFonts w:ascii="Arial (W1)" w:hAnsi="Arial (W1)"/>
          <w:color w:val="000000"/>
          <w:rtl/>
        </w:rPr>
      </w:pPr>
    </w:p>
    <w:p w14:paraId="35A5A2B4" w14:textId="77777777" w:rsidR="000D10C9" w:rsidRPr="000C4EC5" w:rsidRDefault="000D10C9" w:rsidP="000D10C9">
      <w:pPr>
        <w:spacing w:line="360" w:lineRule="auto"/>
        <w:ind w:left="720" w:hanging="720"/>
        <w:jc w:val="both"/>
        <w:rPr>
          <w:rFonts w:ascii="Arial (W1)" w:hAnsi="Arial (W1)"/>
          <w:color w:val="000000"/>
          <w:rtl/>
        </w:rPr>
      </w:pPr>
      <w:r w:rsidRPr="000C4EC5">
        <w:rPr>
          <w:rFonts w:ascii="Arial (W1)" w:hAnsi="Arial (W1)" w:hint="cs"/>
          <w:color w:val="000000"/>
          <w:rtl/>
        </w:rPr>
        <w:t>6.</w:t>
      </w:r>
      <w:r w:rsidRPr="000C4EC5">
        <w:rPr>
          <w:rFonts w:ascii="Arial (W1)" w:hAnsi="Arial (W1)" w:hint="cs"/>
          <w:color w:val="000000"/>
          <w:rtl/>
        </w:rPr>
        <w:tab/>
        <w:t>מתוך כלל פסקי הדין שהוגשו על-ידי הצדדים, ואחרים שאותרו על ידי, ראיתי לציין את פסקי הדין הבאים כרלוונטיים לקביעת מתחם העונש ההולם:</w:t>
      </w:r>
    </w:p>
    <w:p w14:paraId="2E5F9EEB" w14:textId="77777777" w:rsidR="000D10C9" w:rsidRPr="000C4EC5" w:rsidRDefault="000D10C9" w:rsidP="000D10C9">
      <w:pPr>
        <w:spacing w:line="360" w:lineRule="auto"/>
        <w:ind w:left="720"/>
        <w:jc w:val="both"/>
        <w:rPr>
          <w:rFonts w:ascii="Arial (W1)" w:hAnsi="Arial (W1)"/>
          <w:color w:val="000000"/>
          <w:rtl/>
        </w:rPr>
      </w:pPr>
    </w:p>
    <w:p w14:paraId="25607ACF" w14:textId="77777777" w:rsidR="000D10C9" w:rsidRPr="000C4EC5" w:rsidRDefault="000D10C9" w:rsidP="000D10C9">
      <w:pPr>
        <w:spacing w:line="360" w:lineRule="auto"/>
        <w:ind w:left="720" w:hanging="720"/>
        <w:jc w:val="both"/>
        <w:rPr>
          <w:rFonts w:ascii="Arial (W1)" w:hAnsi="Arial (W1)"/>
          <w:color w:val="000000"/>
          <w:rtl/>
        </w:rPr>
      </w:pPr>
      <w:r w:rsidRPr="000C4EC5">
        <w:rPr>
          <w:rFonts w:hint="cs"/>
          <w:color w:val="000000"/>
          <w:rtl/>
        </w:rPr>
        <w:tab/>
      </w:r>
      <w:hyperlink r:id="rId11" w:history="1">
        <w:r w:rsidR="0053413F" w:rsidRPr="0053413F">
          <w:rPr>
            <w:rStyle w:val="Hyperlink"/>
            <w:rFonts w:ascii="Arial (W1)" w:hAnsi="Arial (W1)" w:hint="eastAsia"/>
            <w:rtl/>
          </w:rPr>
          <w:t>רע</w:t>
        </w:r>
        <w:r w:rsidR="0053413F" w:rsidRPr="0053413F">
          <w:rPr>
            <w:rStyle w:val="Hyperlink"/>
            <w:rFonts w:ascii="Arial (W1)" w:hAnsi="Arial (W1)"/>
            <w:rtl/>
          </w:rPr>
          <w:t>"</w:t>
        </w:r>
        <w:r w:rsidR="0053413F" w:rsidRPr="0053413F">
          <w:rPr>
            <w:rStyle w:val="Hyperlink"/>
            <w:rFonts w:ascii="Arial (W1)" w:hAnsi="Arial (W1)" w:hint="eastAsia"/>
            <w:rtl/>
          </w:rPr>
          <w:t>פ</w:t>
        </w:r>
        <w:r w:rsidR="0053413F" w:rsidRPr="0053413F">
          <w:rPr>
            <w:rStyle w:val="Hyperlink"/>
            <w:rFonts w:ascii="Arial (W1)" w:hAnsi="Arial (W1)"/>
            <w:rtl/>
          </w:rPr>
          <w:t xml:space="preserve"> 2281/15</w:t>
        </w:r>
      </w:hyperlink>
      <w:r w:rsidRPr="000C4EC5">
        <w:rPr>
          <w:rFonts w:ascii="Arial (W1)" w:hAnsi="Arial (W1)" w:hint="cs"/>
          <w:color w:val="000000"/>
          <w:rtl/>
        </w:rPr>
        <w:t xml:space="preserve"> </w:t>
      </w:r>
      <w:r w:rsidRPr="000C4EC5">
        <w:rPr>
          <w:rFonts w:ascii="Arial (W1)" w:hAnsi="Arial (W1)" w:hint="cs"/>
          <w:b/>
          <w:bCs/>
          <w:color w:val="000000"/>
          <w:rtl/>
        </w:rPr>
        <w:t xml:space="preserve">חדיג'ה נ' מדינת ישראל </w:t>
      </w:r>
      <w:r w:rsidRPr="000C4EC5">
        <w:rPr>
          <w:rFonts w:ascii="Arial (W1)" w:hAnsi="Arial (W1)" w:hint="cs"/>
          <w:color w:val="000000"/>
          <w:rtl/>
        </w:rPr>
        <w:t xml:space="preserve">(27.4.2015) שם הורשע הנאשם </w:t>
      </w:r>
      <w:r w:rsidRPr="000C4EC5">
        <w:rPr>
          <w:rFonts w:ascii="Arial (W1)" w:hAnsi="Arial (W1)" w:hint="cs"/>
          <w:b/>
          <w:bCs/>
          <w:color w:val="000000"/>
          <w:rtl/>
        </w:rPr>
        <w:t>בהחזקת נשק</w:t>
      </w:r>
      <w:r w:rsidRPr="000C4EC5">
        <w:rPr>
          <w:rFonts w:ascii="Arial (W1)" w:hAnsi="Arial (W1)" w:hint="cs"/>
          <w:color w:val="000000"/>
          <w:rtl/>
        </w:rPr>
        <w:t xml:space="preserve"> (אקדח, שתי מחסניות ו-18 כדורים) כשהם עטופים בשקית ומוטמנים באדמה. בית משפט השלום גזר על הנאשם שישה חודשי מאסר לריצוי בפועל, אולם בית המשפט המחוזי קיבל את ערעור המדינה, והעמיד את העונש על</w:t>
      </w:r>
      <w:r w:rsidRPr="000C4EC5">
        <w:rPr>
          <w:rFonts w:ascii="Arial (W1)" w:hAnsi="Arial (W1)" w:hint="cs"/>
          <w:b/>
          <w:bCs/>
          <w:color w:val="000000"/>
          <w:rtl/>
        </w:rPr>
        <w:t xml:space="preserve"> 10 חודשי מאסר</w:t>
      </w:r>
      <w:r w:rsidRPr="000C4EC5">
        <w:rPr>
          <w:rFonts w:ascii="Arial (W1)" w:hAnsi="Arial (W1)" w:hint="cs"/>
          <w:color w:val="000000"/>
          <w:rtl/>
        </w:rPr>
        <w:t xml:space="preserve">. בית המשפט העליון דחה את בקשת רשות הערעור, תוך שציין כי העונש שהושת על הנאשם אינו חורג ממדיניות הענישה המקובלת. </w:t>
      </w:r>
    </w:p>
    <w:p w14:paraId="01541E16" w14:textId="77777777" w:rsidR="000D10C9" w:rsidRPr="000C4EC5" w:rsidRDefault="000D10C9" w:rsidP="000D10C9">
      <w:pPr>
        <w:spacing w:line="360" w:lineRule="auto"/>
        <w:ind w:left="720" w:hanging="720"/>
        <w:jc w:val="both"/>
        <w:rPr>
          <w:rFonts w:ascii="Arial (W1)" w:hAnsi="Arial (W1)"/>
          <w:color w:val="000000"/>
          <w:rtl/>
        </w:rPr>
      </w:pPr>
    </w:p>
    <w:p w14:paraId="1312DF07" w14:textId="77777777" w:rsidR="000D10C9" w:rsidRPr="000C4EC5" w:rsidRDefault="000D10C9" w:rsidP="000D10C9">
      <w:pPr>
        <w:spacing w:line="360" w:lineRule="auto"/>
        <w:ind w:left="720" w:hanging="720"/>
        <w:jc w:val="both"/>
        <w:rPr>
          <w:rFonts w:ascii="Arial (W1)" w:hAnsi="Arial (W1)"/>
          <w:color w:val="000000"/>
          <w:rtl/>
        </w:rPr>
      </w:pPr>
      <w:r w:rsidRPr="000C4EC5">
        <w:rPr>
          <w:rFonts w:ascii="Arial (W1)" w:hAnsi="Arial (W1)" w:hint="cs"/>
          <w:color w:val="000000"/>
          <w:rtl/>
        </w:rPr>
        <w:lastRenderedPageBreak/>
        <w:tab/>
      </w:r>
      <w:hyperlink r:id="rId12" w:history="1">
        <w:r w:rsidR="0053413F" w:rsidRPr="0053413F">
          <w:rPr>
            <w:rStyle w:val="Hyperlink"/>
            <w:rFonts w:ascii="Arial (W1)" w:hAnsi="Arial (W1)" w:hint="eastAsia"/>
            <w:rtl/>
          </w:rPr>
          <w:t>ע</w:t>
        </w:r>
        <w:r w:rsidR="0053413F" w:rsidRPr="0053413F">
          <w:rPr>
            <w:rStyle w:val="Hyperlink"/>
            <w:rFonts w:ascii="Arial (W1)" w:hAnsi="Arial (W1)"/>
            <w:rtl/>
          </w:rPr>
          <w:t>"</w:t>
        </w:r>
        <w:r w:rsidR="0053413F" w:rsidRPr="0053413F">
          <w:rPr>
            <w:rStyle w:val="Hyperlink"/>
            <w:rFonts w:ascii="Arial (W1)" w:hAnsi="Arial (W1)" w:hint="eastAsia"/>
            <w:rtl/>
          </w:rPr>
          <w:t>פ</w:t>
        </w:r>
        <w:r w:rsidR="0053413F" w:rsidRPr="0053413F">
          <w:rPr>
            <w:rStyle w:val="Hyperlink"/>
            <w:rFonts w:ascii="Arial (W1)" w:hAnsi="Arial (W1)"/>
            <w:rtl/>
          </w:rPr>
          <w:t xml:space="preserve"> 2398/14</w:t>
        </w:r>
      </w:hyperlink>
      <w:r w:rsidRPr="000C4EC5">
        <w:rPr>
          <w:rFonts w:ascii="Arial (W1)" w:hAnsi="Arial (W1)" w:hint="cs"/>
          <w:color w:val="000000"/>
          <w:rtl/>
        </w:rPr>
        <w:t xml:space="preserve"> </w:t>
      </w:r>
      <w:r w:rsidRPr="000C4EC5">
        <w:rPr>
          <w:rFonts w:ascii="Arial (W1)" w:hAnsi="Arial (W1)" w:hint="cs"/>
          <w:b/>
          <w:bCs/>
          <w:color w:val="000000"/>
          <w:rtl/>
        </w:rPr>
        <w:t xml:space="preserve">אלהוזייל נ' מדינת ישראל </w:t>
      </w:r>
      <w:r w:rsidRPr="000C4EC5">
        <w:rPr>
          <w:rFonts w:ascii="Arial (W1)" w:hAnsi="Arial (W1)" w:hint="cs"/>
          <w:color w:val="000000"/>
          <w:rtl/>
        </w:rPr>
        <w:t xml:space="preserve">(8.7.2014) שם הורשע הנאשם בעבירה של </w:t>
      </w:r>
      <w:r w:rsidRPr="000C4EC5">
        <w:rPr>
          <w:rFonts w:ascii="Arial (W1)" w:hAnsi="Arial (W1)" w:hint="cs"/>
          <w:b/>
          <w:bCs/>
          <w:color w:val="000000"/>
          <w:rtl/>
        </w:rPr>
        <w:t>החזקת נשק</w:t>
      </w:r>
      <w:r w:rsidRPr="000C4EC5">
        <w:rPr>
          <w:rFonts w:ascii="Arial (W1)" w:hAnsi="Arial (W1)" w:hint="cs"/>
          <w:color w:val="000000"/>
          <w:rtl/>
        </w:rPr>
        <w:t xml:space="preserve"> (אקדח, מחסנית עם 8 כדורים וקופסה ובה 38 כדורים נוספים). בית המשפט המחוזי הטיל עונש של </w:t>
      </w:r>
      <w:r w:rsidRPr="000C4EC5">
        <w:rPr>
          <w:rFonts w:ascii="Arial (W1)" w:hAnsi="Arial (W1)" w:hint="cs"/>
          <w:b/>
          <w:bCs/>
          <w:color w:val="000000"/>
          <w:rtl/>
        </w:rPr>
        <w:t>13 חודשי מאסר</w:t>
      </w:r>
      <w:r w:rsidRPr="000C4EC5">
        <w:rPr>
          <w:rFonts w:ascii="Arial (W1)" w:hAnsi="Arial (W1)" w:hint="cs"/>
          <w:color w:val="000000"/>
          <w:rtl/>
        </w:rPr>
        <w:t xml:space="preserve">, ובית המשפט העליון דחה את הערעור. </w:t>
      </w:r>
    </w:p>
    <w:p w14:paraId="5602C963" w14:textId="77777777" w:rsidR="000D10C9" w:rsidRPr="000C4EC5" w:rsidRDefault="000D10C9" w:rsidP="000D10C9">
      <w:pPr>
        <w:spacing w:line="360" w:lineRule="auto"/>
        <w:ind w:left="720" w:hanging="720"/>
        <w:jc w:val="both"/>
        <w:rPr>
          <w:rFonts w:ascii="Arial (W1)" w:hAnsi="Arial (W1)"/>
          <w:color w:val="000000"/>
          <w:rtl/>
        </w:rPr>
      </w:pPr>
      <w:r w:rsidRPr="000C4EC5">
        <w:rPr>
          <w:rFonts w:ascii="Arial (W1)" w:hAnsi="Arial (W1)" w:hint="cs"/>
          <w:color w:val="000000"/>
          <w:rtl/>
        </w:rPr>
        <w:tab/>
      </w:r>
      <w:r w:rsidRPr="000C4EC5">
        <w:rPr>
          <w:rFonts w:ascii="Arial (W1)" w:hAnsi="Arial (W1)" w:hint="cs"/>
          <w:color w:val="000000"/>
          <w:rtl/>
        </w:rPr>
        <w:tab/>
      </w:r>
    </w:p>
    <w:p w14:paraId="43F4C8FF" w14:textId="77777777" w:rsidR="000D10C9" w:rsidRPr="000C4EC5" w:rsidRDefault="0053413F" w:rsidP="000D10C9">
      <w:pPr>
        <w:spacing w:line="360" w:lineRule="auto"/>
        <w:ind w:left="720"/>
        <w:jc w:val="both"/>
        <w:rPr>
          <w:rFonts w:ascii="Arial (W1)" w:hAnsi="Arial (W1)"/>
          <w:color w:val="000000"/>
          <w:rtl/>
        </w:rPr>
      </w:pPr>
      <w:hyperlink r:id="rId13" w:history="1">
        <w:r w:rsidRPr="0053413F">
          <w:rPr>
            <w:rStyle w:val="Hyperlink"/>
            <w:rFonts w:ascii="Arial (W1)" w:hAnsi="Arial (W1)" w:hint="eastAsia"/>
            <w:rtl/>
          </w:rPr>
          <w:t>ע</w:t>
        </w:r>
        <w:r w:rsidRPr="0053413F">
          <w:rPr>
            <w:rStyle w:val="Hyperlink"/>
            <w:rFonts w:ascii="Arial (W1)" w:hAnsi="Arial (W1)"/>
            <w:rtl/>
          </w:rPr>
          <w:t>"</w:t>
        </w:r>
        <w:r w:rsidRPr="0053413F">
          <w:rPr>
            <w:rStyle w:val="Hyperlink"/>
            <w:rFonts w:ascii="Arial (W1)" w:hAnsi="Arial (W1)" w:hint="eastAsia"/>
            <w:rtl/>
          </w:rPr>
          <w:t>פ</w:t>
        </w:r>
        <w:r w:rsidRPr="0053413F">
          <w:rPr>
            <w:rStyle w:val="Hyperlink"/>
            <w:rFonts w:ascii="Arial (W1)" w:hAnsi="Arial (W1)"/>
            <w:rtl/>
          </w:rPr>
          <w:t xml:space="preserve"> 4329/10</w:t>
        </w:r>
      </w:hyperlink>
      <w:r w:rsidR="000D10C9" w:rsidRPr="000C4EC5">
        <w:rPr>
          <w:rFonts w:ascii="Arial (W1)" w:hAnsi="Arial (W1)" w:hint="cs"/>
          <w:color w:val="000000"/>
          <w:rtl/>
        </w:rPr>
        <w:t xml:space="preserve"> </w:t>
      </w:r>
      <w:r w:rsidR="000D10C9" w:rsidRPr="000C4EC5">
        <w:rPr>
          <w:rFonts w:ascii="Arial (W1)" w:hAnsi="Arial (W1)" w:hint="cs"/>
          <w:b/>
          <w:bCs/>
          <w:color w:val="000000"/>
          <w:rtl/>
        </w:rPr>
        <w:t>אסמאעיל נ' מדינת ישראל</w:t>
      </w:r>
      <w:r w:rsidR="000D10C9" w:rsidRPr="000C4EC5">
        <w:rPr>
          <w:rFonts w:ascii="Arial (W1)" w:hAnsi="Arial (W1)" w:hint="cs"/>
          <w:color w:val="000000"/>
          <w:rtl/>
        </w:rPr>
        <w:t xml:space="preserve"> (14.11.2010) שם דובר בנאשם אשר הורשע </w:t>
      </w:r>
      <w:r w:rsidR="000D10C9" w:rsidRPr="000C4EC5">
        <w:rPr>
          <w:rFonts w:ascii="Arial (W1)" w:hAnsi="Arial (W1)" w:hint="cs"/>
          <w:b/>
          <w:bCs/>
          <w:color w:val="000000"/>
          <w:rtl/>
        </w:rPr>
        <w:t>בהחזקה ונשיאה של נשק</w:t>
      </w:r>
      <w:r w:rsidR="000D10C9" w:rsidRPr="000C4EC5">
        <w:rPr>
          <w:rFonts w:ascii="Arial (W1)" w:hAnsi="Arial (W1)" w:hint="cs"/>
          <w:color w:val="000000"/>
          <w:rtl/>
        </w:rPr>
        <w:t xml:space="preserve"> (אקדח טעון) והוטלו עליו </w:t>
      </w:r>
      <w:r w:rsidR="000D10C9" w:rsidRPr="000C4EC5">
        <w:rPr>
          <w:rFonts w:ascii="Arial (W1)" w:hAnsi="Arial (W1)" w:hint="cs"/>
          <w:b/>
          <w:bCs/>
          <w:color w:val="000000"/>
          <w:rtl/>
        </w:rPr>
        <w:t>20 חודשי מאסר</w:t>
      </w:r>
      <w:r w:rsidR="000D10C9" w:rsidRPr="000C4EC5">
        <w:rPr>
          <w:rFonts w:ascii="Arial (W1)" w:hAnsi="Arial (W1)" w:hint="cs"/>
          <w:color w:val="000000"/>
          <w:rtl/>
        </w:rPr>
        <w:t xml:space="preserve">. בית המשפט העליון דחה את הערעור אף שדובר בנאשם צעיר ונורמטיבי ללא עבר פלילי, אשר קיבל אחריות על מעשיו. לציין, כי מקרה זה חמור מענייננו, נוכח הרשעת הנאשם שם בעבירה של נשיאת נשק, מעבר לעבירת ההחזקה בה הורשע הנאשם שבפניי. </w:t>
      </w:r>
    </w:p>
    <w:p w14:paraId="20CFC1B2" w14:textId="77777777" w:rsidR="000D10C9" w:rsidRPr="000C4EC5" w:rsidRDefault="000D10C9" w:rsidP="000D10C9">
      <w:pPr>
        <w:spacing w:line="360" w:lineRule="auto"/>
        <w:ind w:left="720"/>
        <w:jc w:val="both"/>
        <w:rPr>
          <w:rFonts w:ascii="Arial (W1)" w:hAnsi="Arial (W1)"/>
          <w:color w:val="000000"/>
          <w:rtl/>
        </w:rPr>
      </w:pPr>
    </w:p>
    <w:p w14:paraId="5D468215" w14:textId="77777777" w:rsidR="000D10C9" w:rsidRPr="000C4EC5" w:rsidRDefault="0053413F" w:rsidP="000D10C9">
      <w:pPr>
        <w:spacing w:line="360" w:lineRule="auto"/>
        <w:ind w:left="720"/>
        <w:jc w:val="both"/>
        <w:rPr>
          <w:rFonts w:ascii="Arial (W1)" w:hAnsi="Arial (W1)"/>
          <w:color w:val="000000"/>
          <w:rtl/>
        </w:rPr>
      </w:pPr>
      <w:hyperlink r:id="rId14" w:history="1">
        <w:r w:rsidRPr="0053413F">
          <w:rPr>
            <w:rStyle w:val="Hyperlink"/>
            <w:rFonts w:ascii="Arial (W1)" w:hAnsi="Arial (W1)" w:hint="eastAsia"/>
            <w:rtl/>
          </w:rPr>
          <w:t>רע</w:t>
        </w:r>
        <w:r w:rsidRPr="0053413F">
          <w:rPr>
            <w:rStyle w:val="Hyperlink"/>
            <w:rFonts w:ascii="Arial (W1)" w:hAnsi="Arial (W1)"/>
            <w:rtl/>
          </w:rPr>
          <w:t>"</w:t>
        </w:r>
        <w:r w:rsidRPr="0053413F">
          <w:rPr>
            <w:rStyle w:val="Hyperlink"/>
            <w:rFonts w:ascii="Arial (W1)" w:hAnsi="Arial (W1)" w:hint="eastAsia"/>
            <w:rtl/>
          </w:rPr>
          <w:t>פ</w:t>
        </w:r>
        <w:r w:rsidRPr="0053413F">
          <w:rPr>
            <w:rStyle w:val="Hyperlink"/>
            <w:rFonts w:ascii="Arial (W1)" w:hAnsi="Arial (W1)"/>
            <w:rtl/>
          </w:rPr>
          <w:t xml:space="preserve"> 1246/17</w:t>
        </w:r>
      </w:hyperlink>
      <w:r w:rsidR="000D10C9" w:rsidRPr="000C4EC5">
        <w:rPr>
          <w:rFonts w:ascii="Arial (W1)" w:hAnsi="Arial (W1)" w:hint="cs"/>
          <w:color w:val="000000"/>
          <w:rtl/>
        </w:rPr>
        <w:t xml:space="preserve"> </w:t>
      </w:r>
      <w:r w:rsidR="000D10C9" w:rsidRPr="000C4EC5">
        <w:rPr>
          <w:rFonts w:ascii="Arial (W1)" w:hAnsi="Arial (W1)" w:hint="cs"/>
          <w:b/>
          <w:bCs/>
          <w:color w:val="000000"/>
          <w:rtl/>
        </w:rPr>
        <w:t xml:space="preserve">מטר נ' מדינת ישראל </w:t>
      </w:r>
      <w:r w:rsidR="000D10C9" w:rsidRPr="000C4EC5">
        <w:rPr>
          <w:rFonts w:ascii="Arial (W1)" w:hAnsi="Arial (W1)" w:hint="cs"/>
          <w:color w:val="000000"/>
          <w:rtl/>
        </w:rPr>
        <w:t xml:space="preserve">(12.3.2017) שם הורשע הנאשם בעבירה של החזקת נשק והחזקת אביזר לנשק, וזאת ביחס להחזקת אקדח, שתי מחסניות וקופסת כדורים. לציין, כי באותו מקרה החזיק הנאשם את הנשק בביתו, כשהוא טעון במחסנית, ולצידו מחסנית נוספת מלאה בכדורים. בית משפט השלום גזר על הנאשם עונש של שישה חודשי מאסר לריצוי בדרך של עבודות שירות, אולם בית המשפט המחוזי קיבל את ערעור המדינה, העמיד את הרף התחתון של מתחם הענישה על </w:t>
      </w:r>
      <w:r w:rsidR="000D10C9" w:rsidRPr="000C4EC5">
        <w:rPr>
          <w:rFonts w:ascii="Arial (W1)" w:hAnsi="Arial (W1)" w:hint="cs"/>
          <w:b/>
          <w:bCs/>
          <w:color w:val="000000"/>
          <w:rtl/>
        </w:rPr>
        <w:t>תשעה חודשי מאסר</w:t>
      </w:r>
      <w:r w:rsidR="000D10C9" w:rsidRPr="000C4EC5">
        <w:rPr>
          <w:rFonts w:ascii="Arial (W1)" w:hAnsi="Arial (W1)" w:hint="cs"/>
          <w:color w:val="000000"/>
          <w:rtl/>
        </w:rPr>
        <w:t xml:space="preserve">, וגזר עונש זה על הנאשם. בית המשפט העליון דחה את בקשת רשות הערעור שהוגשה על-ידי הנאשם, וקבע כי מדובר בעונש הולם שאינו מצדיק התערבות. </w:t>
      </w:r>
    </w:p>
    <w:p w14:paraId="74F95736" w14:textId="77777777" w:rsidR="000D10C9" w:rsidRPr="000C4EC5" w:rsidRDefault="000D10C9" w:rsidP="000D10C9">
      <w:pPr>
        <w:spacing w:line="360" w:lineRule="auto"/>
        <w:ind w:left="720"/>
        <w:jc w:val="both"/>
        <w:rPr>
          <w:rFonts w:ascii="Arial (W1)" w:hAnsi="Arial (W1)"/>
          <w:color w:val="000000"/>
          <w:rtl/>
        </w:rPr>
      </w:pPr>
    </w:p>
    <w:p w14:paraId="1C93AEED" w14:textId="77777777" w:rsidR="000D10C9" w:rsidRPr="000C4EC5" w:rsidRDefault="0053413F" w:rsidP="000D10C9">
      <w:pPr>
        <w:spacing w:line="360" w:lineRule="auto"/>
        <w:ind w:left="720"/>
        <w:jc w:val="both"/>
        <w:rPr>
          <w:rFonts w:ascii="Arial (W1)" w:hAnsi="Arial (W1)"/>
          <w:color w:val="000000"/>
          <w:rtl/>
        </w:rPr>
      </w:pPr>
      <w:hyperlink r:id="rId15" w:history="1">
        <w:r w:rsidRPr="0053413F">
          <w:rPr>
            <w:rStyle w:val="Hyperlink"/>
            <w:rFonts w:ascii="Arial (W1)" w:hAnsi="Arial (W1)" w:hint="eastAsia"/>
            <w:rtl/>
          </w:rPr>
          <w:t>רע</w:t>
        </w:r>
        <w:r w:rsidRPr="0053413F">
          <w:rPr>
            <w:rStyle w:val="Hyperlink"/>
            <w:rFonts w:ascii="Arial (W1)" w:hAnsi="Arial (W1)"/>
            <w:rtl/>
          </w:rPr>
          <w:t>"</w:t>
        </w:r>
        <w:r w:rsidRPr="0053413F">
          <w:rPr>
            <w:rStyle w:val="Hyperlink"/>
            <w:rFonts w:ascii="Arial (W1)" w:hAnsi="Arial (W1)" w:hint="eastAsia"/>
            <w:rtl/>
          </w:rPr>
          <w:t>פ</w:t>
        </w:r>
        <w:r w:rsidRPr="0053413F">
          <w:rPr>
            <w:rStyle w:val="Hyperlink"/>
            <w:rFonts w:ascii="Arial (W1)" w:hAnsi="Arial (W1)"/>
            <w:rtl/>
          </w:rPr>
          <w:t xml:space="preserve"> 4559/16</w:t>
        </w:r>
      </w:hyperlink>
      <w:r w:rsidR="000D10C9" w:rsidRPr="000C4EC5">
        <w:rPr>
          <w:rFonts w:ascii="Arial (W1)" w:hAnsi="Arial (W1)" w:hint="cs"/>
          <w:color w:val="000000"/>
          <w:rtl/>
        </w:rPr>
        <w:t xml:space="preserve"> </w:t>
      </w:r>
      <w:r w:rsidR="000D10C9" w:rsidRPr="000C4EC5">
        <w:rPr>
          <w:rFonts w:ascii="Arial (W1)" w:hAnsi="Arial (W1)" w:hint="cs"/>
          <w:b/>
          <w:bCs/>
          <w:color w:val="000000"/>
          <w:rtl/>
        </w:rPr>
        <w:t xml:space="preserve">נוסיראת נ' מדינת ישראל </w:t>
      </w:r>
      <w:r w:rsidR="000D10C9" w:rsidRPr="000C4EC5">
        <w:rPr>
          <w:rFonts w:ascii="Arial (W1)" w:hAnsi="Arial (W1)" w:hint="cs"/>
          <w:color w:val="000000"/>
          <w:rtl/>
        </w:rPr>
        <w:t xml:space="preserve">(22.6.2016) שם הורשע הנאשם בעבירה של החזקת נשק ותחמושת, תוך שבית משפט השלום קבע מתחם הנע בין תשעה חודשי מאסר לעשרים וארבעה חודשי מאסר, ואגב כך, חרג לקולא מהמתחם והשית על הנאשם שישה חודשי מאסר לריצוי בדרך של עבודות שרות. בית המשפט המחוזי קיבל את ערעור המדינה, וקבע כי מדיניות הענישה הנוהגת מצדיקה הטלת עונש מאסר לריצוי בפועל גם על מי שזו עבירתו הראשונה, מה גם שלא הייתה הצדקה לחרוג ממתחם העונש ההולם שנקבע, ועל כן הטיל על הנאשם </w:t>
      </w:r>
      <w:r w:rsidR="000D10C9" w:rsidRPr="000C4EC5">
        <w:rPr>
          <w:rFonts w:ascii="Arial (W1)" w:hAnsi="Arial (W1)" w:hint="cs"/>
          <w:b/>
          <w:bCs/>
          <w:color w:val="000000"/>
          <w:rtl/>
        </w:rPr>
        <w:t>תשעה חודשי מאסר</w:t>
      </w:r>
      <w:r w:rsidR="000D10C9" w:rsidRPr="000C4EC5">
        <w:rPr>
          <w:rFonts w:ascii="Arial (W1)" w:hAnsi="Arial (W1)" w:hint="cs"/>
          <w:color w:val="000000"/>
          <w:rtl/>
        </w:rPr>
        <w:t xml:space="preserve">. בית המשפט העליון דחה את בקשת רשות הערעור שהגיש הנאשם. </w:t>
      </w:r>
    </w:p>
    <w:p w14:paraId="68AA7AC2" w14:textId="77777777" w:rsidR="000D10C9" w:rsidRPr="000C4EC5" w:rsidRDefault="000D10C9" w:rsidP="000D10C9">
      <w:pPr>
        <w:spacing w:line="360" w:lineRule="auto"/>
        <w:ind w:left="720"/>
        <w:jc w:val="both"/>
        <w:rPr>
          <w:rFonts w:ascii="Arial (W1)" w:hAnsi="Arial (W1)"/>
          <w:color w:val="000000"/>
          <w:rtl/>
        </w:rPr>
      </w:pPr>
    </w:p>
    <w:p w14:paraId="6F345B4F" w14:textId="77777777" w:rsidR="000D10C9" w:rsidRPr="000C4EC5" w:rsidRDefault="0053413F" w:rsidP="000D10C9">
      <w:pPr>
        <w:spacing w:line="360" w:lineRule="auto"/>
        <w:ind w:left="720"/>
        <w:jc w:val="both"/>
        <w:rPr>
          <w:rFonts w:ascii="Arial (W1)" w:hAnsi="Arial (W1)"/>
          <w:color w:val="000000"/>
          <w:rtl/>
        </w:rPr>
      </w:pPr>
      <w:hyperlink r:id="rId16" w:history="1">
        <w:r w:rsidRPr="0053413F">
          <w:rPr>
            <w:rStyle w:val="Hyperlink"/>
            <w:rFonts w:ascii="Arial (W1)" w:hAnsi="Arial (W1)" w:hint="eastAsia"/>
            <w:rtl/>
          </w:rPr>
          <w:t>ע</w:t>
        </w:r>
        <w:r w:rsidRPr="0053413F">
          <w:rPr>
            <w:rStyle w:val="Hyperlink"/>
            <w:rFonts w:ascii="Arial (W1)" w:hAnsi="Arial (W1)"/>
            <w:rtl/>
          </w:rPr>
          <w:t>"</w:t>
        </w:r>
        <w:r w:rsidRPr="0053413F">
          <w:rPr>
            <w:rStyle w:val="Hyperlink"/>
            <w:rFonts w:ascii="Arial (W1)" w:hAnsi="Arial (W1)" w:hint="eastAsia"/>
            <w:rtl/>
          </w:rPr>
          <w:t>פ</w:t>
        </w:r>
        <w:r w:rsidRPr="0053413F">
          <w:rPr>
            <w:rStyle w:val="Hyperlink"/>
            <w:rFonts w:ascii="Arial (W1)" w:hAnsi="Arial (W1)"/>
            <w:rtl/>
          </w:rPr>
          <w:t xml:space="preserve"> 3288/14</w:t>
        </w:r>
      </w:hyperlink>
      <w:r w:rsidR="000D10C9" w:rsidRPr="000C4EC5">
        <w:rPr>
          <w:rFonts w:ascii="Arial (W1)" w:hAnsi="Arial (W1)" w:hint="cs"/>
          <w:color w:val="000000"/>
          <w:rtl/>
        </w:rPr>
        <w:t xml:space="preserve"> </w:t>
      </w:r>
      <w:r w:rsidR="000D10C9" w:rsidRPr="000C4EC5">
        <w:rPr>
          <w:rFonts w:ascii="Arial (W1)" w:hAnsi="Arial (W1)" w:hint="cs"/>
          <w:b/>
          <w:bCs/>
          <w:color w:val="000000"/>
          <w:rtl/>
        </w:rPr>
        <w:t>מדינת ישראל נ' קריספיל</w:t>
      </w:r>
      <w:r w:rsidR="000D10C9" w:rsidRPr="000C4EC5">
        <w:rPr>
          <w:rFonts w:ascii="Arial (W1)" w:hAnsi="Arial (W1)" w:hint="cs"/>
          <w:color w:val="000000"/>
          <w:rtl/>
        </w:rPr>
        <w:t xml:space="preserve"> (24.8.2014) שם הורשע הנאשם בעבירות של החזקת נשק שלא ברשות, והחזקת נכס חשוד כגנוב, וזאת לאחר שנסע לכתובת מסוימת בעיר עפולה, נכנס לדירה ויצא ממנה כעבור מספר דקות, כשהוא מחזיק בידו שקית ובה אקדח טעון ומשתיק קול. בית המשפט המחוזי קבע כי מתחם העונש ההולם נע בין שישה חודשי מאסר לעשרים ושניים חודשי מאסר, והטיל על הנאשם עונש של תשעה חודשי מאסר. בית המשפט העליון ציין כי בשנים האחרונות חלה עליה מטרידה בכל הקשור להחזקת נשק שלא כדין, סחר בנשק והובלת נשק, ועמד על חומרת עבירות אלה נוכח פוטנציאל ההרס הטמון בכלי הנשק, הכולל גם אפשרות לפגיעה עיוורת באנשים מן היישוב. על יסוד נימוקים אלה, ונוספים, קיבל בית המשפט העליון את ערעור המדינה והעמיד את עונשו של הנאשם על </w:t>
      </w:r>
      <w:r w:rsidR="000D10C9" w:rsidRPr="000C4EC5">
        <w:rPr>
          <w:rFonts w:ascii="Arial (W1)" w:hAnsi="Arial (W1)" w:hint="cs"/>
          <w:b/>
          <w:bCs/>
          <w:color w:val="000000"/>
          <w:rtl/>
        </w:rPr>
        <w:t>שמונה עשר חודשי מאסר</w:t>
      </w:r>
      <w:r w:rsidR="000D10C9" w:rsidRPr="000C4EC5">
        <w:rPr>
          <w:rFonts w:ascii="Arial (W1)" w:hAnsi="Arial (W1)" w:hint="cs"/>
          <w:color w:val="000000"/>
          <w:rtl/>
        </w:rPr>
        <w:t>.</w:t>
      </w:r>
    </w:p>
    <w:p w14:paraId="469FE90C" w14:textId="77777777" w:rsidR="000D10C9" w:rsidRPr="000C4EC5" w:rsidRDefault="000D10C9" w:rsidP="000D10C9">
      <w:pPr>
        <w:spacing w:line="360" w:lineRule="auto"/>
        <w:ind w:left="720"/>
        <w:jc w:val="both"/>
        <w:rPr>
          <w:rFonts w:ascii="Arial (W1)" w:hAnsi="Arial (W1)"/>
          <w:color w:val="000000"/>
          <w:rtl/>
        </w:rPr>
      </w:pPr>
    </w:p>
    <w:p w14:paraId="7FBC5B3B" w14:textId="77777777" w:rsidR="000D10C9" w:rsidRPr="000C4EC5" w:rsidRDefault="000D10C9" w:rsidP="000D10C9">
      <w:pPr>
        <w:spacing w:line="360" w:lineRule="auto"/>
        <w:ind w:left="720"/>
        <w:jc w:val="both"/>
        <w:rPr>
          <w:rFonts w:ascii="Arial (W1)" w:hAnsi="Arial (W1)"/>
          <w:color w:val="000000"/>
          <w:rtl/>
        </w:rPr>
      </w:pPr>
      <w:r w:rsidRPr="000C4EC5">
        <w:rPr>
          <w:rFonts w:ascii="Arial (W1)" w:hAnsi="Arial (W1)" w:hint="cs"/>
          <w:color w:val="000000"/>
          <w:rtl/>
        </w:rPr>
        <w:t xml:space="preserve">טרם אחתום חלק זה של סקירת הפסיקה, אציין כי באותם מקרים שהתבררו תחילה בבתי משפט השלום, והענישה בהם הוחמרה בבתי המשפט המחוזיים (ובדוגמאות שפורטו, ל </w:t>
      </w:r>
      <w:r w:rsidRPr="000C4EC5">
        <w:rPr>
          <w:rFonts w:ascii="Arial (W1)" w:hAnsi="Arial (W1)"/>
          <w:color w:val="000000"/>
          <w:rtl/>
        </w:rPr>
        <w:t>–</w:t>
      </w:r>
      <w:r w:rsidRPr="000C4EC5">
        <w:rPr>
          <w:rFonts w:ascii="Arial (W1)" w:hAnsi="Arial (W1)" w:hint="cs"/>
          <w:color w:val="000000"/>
          <w:rtl/>
        </w:rPr>
        <w:t xml:space="preserve"> 9 חודשי מאסר) יש לזכור כי ענישה זו, מטבעה, לוקחת בחשבון כי ערכאת הערעור אינה ממצה את הדין. </w:t>
      </w:r>
    </w:p>
    <w:p w14:paraId="7804D985" w14:textId="77777777" w:rsidR="000D10C9" w:rsidRPr="000C4EC5" w:rsidRDefault="000D10C9" w:rsidP="000D10C9">
      <w:pPr>
        <w:spacing w:line="360" w:lineRule="auto"/>
        <w:ind w:left="720"/>
        <w:jc w:val="both"/>
        <w:rPr>
          <w:rFonts w:ascii="Arial (W1)" w:hAnsi="Arial (W1)"/>
          <w:color w:val="000000"/>
          <w:rtl/>
        </w:rPr>
      </w:pPr>
    </w:p>
    <w:p w14:paraId="6D19C384" w14:textId="77777777" w:rsidR="000D10C9" w:rsidRPr="000C4EC5" w:rsidRDefault="000D10C9" w:rsidP="000D10C9">
      <w:pPr>
        <w:spacing w:line="360" w:lineRule="auto"/>
        <w:ind w:left="720" w:hanging="720"/>
        <w:jc w:val="both"/>
        <w:rPr>
          <w:rFonts w:ascii="Arial (W1)" w:hAnsi="Arial (W1)"/>
          <w:color w:val="000000"/>
          <w:rtl/>
        </w:rPr>
      </w:pPr>
      <w:r w:rsidRPr="000C4EC5">
        <w:rPr>
          <w:rFonts w:ascii="Arial (W1)" w:hAnsi="Arial (W1)" w:hint="cs"/>
          <w:color w:val="000000"/>
          <w:rtl/>
        </w:rPr>
        <w:t>7.</w:t>
      </w:r>
      <w:r w:rsidRPr="000C4EC5">
        <w:rPr>
          <w:rFonts w:ascii="Arial (W1)" w:hAnsi="Arial (W1)" w:hint="cs"/>
          <w:color w:val="000000"/>
          <w:rtl/>
        </w:rPr>
        <w:tab/>
        <w:t xml:space="preserve">על יסוד האמור לעיל, ולאחר שלקחתי בחשבון את עוצמת הפגיעה בערכים המוגנים, את נסיבות ביצוע העבירה, ואת רף הענישה שנקבע בפסיקה, סבורני כי יש לקבוע </w:t>
      </w:r>
      <w:r w:rsidRPr="000C4EC5">
        <w:rPr>
          <w:rFonts w:ascii="Arial (W1)" w:hAnsi="Arial (W1)" w:hint="cs"/>
          <w:b/>
          <w:bCs/>
          <w:color w:val="000000"/>
          <w:rtl/>
        </w:rPr>
        <w:t>מתחם עונש הולם הנע בין תשעה חודשי מאסר לבין שלושים חודשי מאסר</w:t>
      </w:r>
      <w:r w:rsidRPr="000C4EC5">
        <w:rPr>
          <w:rFonts w:ascii="Arial (W1)" w:hAnsi="Arial (W1)" w:hint="cs"/>
          <w:color w:val="000000"/>
          <w:rtl/>
        </w:rPr>
        <w:t xml:space="preserve">. </w:t>
      </w:r>
    </w:p>
    <w:p w14:paraId="106E9711" w14:textId="77777777" w:rsidR="000D10C9" w:rsidRPr="000C4EC5" w:rsidRDefault="000D10C9" w:rsidP="000D10C9">
      <w:pPr>
        <w:spacing w:line="360" w:lineRule="auto"/>
        <w:jc w:val="both"/>
        <w:rPr>
          <w:rFonts w:ascii="Arial (W1)" w:hAnsi="Arial (W1)"/>
          <w:color w:val="000000"/>
          <w:rtl/>
        </w:rPr>
      </w:pPr>
    </w:p>
    <w:p w14:paraId="7DA6213E" w14:textId="77777777" w:rsidR="000D10C9" w:rsidRPr="000C4EC5" w:rsidRDefault="000D10C9" w:rsidP="000D10C9">
      <w:pPr>
        <w:spacing w:line="360" w:lineRule="auto"/>
        <w:ind w:left="720" w:hanging="720"/>
        <w:jc w:val="both"/>
        <w:rPr>
          <w:rFonts w:ascii="Arial (W1)" w:hAnsi="Arial (W1)"/>
          <w:color w:val="000000"/>
          <w:rtl/>
        </w:rPr>
      </w:pPr>
      <w:r w:rsidRPr="000C4EC5">
        <w:rPr>
          <w:rFonts w:ascii="Arial (W1)" w:hAnsi="Arial (W1)" w:hint="cs"/>
          <w:color w:val="000000"/>
          <w:rtl/>
        </w:rPr>
        <w:t>8.</w:t>
      </w:r>
      <w:r w:rsidRPr="000C4EC5">
        <w:rPr>
          <w:rFonts w:ascii="Arial (W1)" w:hAnsi="Arial (W1)" w:hint="cs"/>
          <w:color w:val="000000"/>
          <w:rtl/>
        </w:rPr>
        <w:tab/>
        <w:t xml:space="preserve">כעת, יש לבחון את העונש המתאים לנאשם בגדרו של מתחם העונש ההולם, וזאת תוך מתן משקל לנתונים הבאים: </w:t>
      </w:r>
    </w:p>
    <w:p w14:paraId="69563EF5" w14:textId="77777777" w:rsidR="000D10C9" w:rsidRPr="000C4EC5" w:rsidRDefault="000D10C9" w:rsidP="000D10C9">
      <w:pPr>
        <w:spacing w:line="360" w:lineRule="auto"/>
        <w:ind w:left="720"/>
        <w:jc w:val="both"/>
        <w:rPr>
          <w:rFonts w:ascii="Arial (W1)" w:hAnsi="Arial (W1)"/>
          <w:color w:val="000000"/>
          <w:rtl/>
        </w:rPr>
      </w:pPr>
    </w:p>
    <w:p w14:paraId="2CBA2B86" w14:textId="77777777" w:rsidR="000D10C9" w:rsidRPr="000C4EC5" w:rsidRDefault="000D10C9" w:rsidP="000D10C9">
      <w:pPr>
        <w:spacing w:line="360" w:lineRule="auto"/>
        <w:ind w:left="720"/>
        <w:jc w:val="both"/>
        <w:rPr>
          <w:rFonts w:ascii="Arial (W1)" w:hAnsi="Arial (W1)"/>
          <w:color w:val="000000"/>
          <w:rtl/>
        </w:rPr>
      </w:pPr>
      <w:r w:rsidRPr="000C4EC5">
        <w:rPr>
          <w:rFonts w:ascii="Arial (W1)" w:hAnsi="Arial (W1)" w:hint="cs"/>
          <w:color w:val="000000"/>
          <w:rtl/>
        </w:rPr>
        <w:t xml:space="preserve">(א) הודאת הנאשם ולקיחת האחריות - אין חולק כי מדובר בנתון המצדיק הקלה בעונש, הן נוכח מוטיב החיסכון בזמן הציבורי, אך בעיקר נוכח מוטיב ההפנמה והרכנת הראש הטמון בו; </w:t>
      </w:r>
    </w:p>
    <w:p w14:paraId="7D248A71" w14:textId="77777777" w:rsidR="000D10C9" w:rsidRPr="000C4EC5" w:rsidRDefault="000D10C9" w:rsidP="000D10C9">
      <w:pPr>
        <w:spacing w:line="360" w:lineRule="auto"/>
        <w:ind w:left="720"/>
        <w:jc w:val="both"/>
        <w:rPr>
          <w:rFonts w:ascii="Arial (W1)" w:hAnsi="Arial (W1)"/>
          <w:color w:val="000000"/>
          <w:rtl/>
        </w:rPr>
      </w:pPr>
    </w:p>
    <w:p w14:paraId="7DE01E4A" w14:textId="77777777" w:rsidR="000D10C9" w:rsidRPr="000C4EC5" w:rsidRDefault="000D10C9" w:rsidP="000D10C9">
      <w:pPr>
        <w:spacing w:line="360" w:lineRule="auto"/>
        <w:ind w:left="720"/>
        <w:jc w:val="both"/>
        <w:rPr>
          <w:rFonts w:ascii="Arial (W1)" w:hAnsi="Arial (W1)"/>
          <w:color w:val="000000"/>
          <w:rtl/>
        </w:rPr>
      </w:pPr>
      <w:r w:rsidRPr="000C4EC5">
        <w:rPr>
          <w:rFonts w:ascii="Arial (W1)" w:hAnsi="Arial (W1)" w:hint="cs"/>
          <w:color w:val="000000"/>
          <w:rtl/>
        </w:rPr>
        <w:t xml:space="preserve">(ב) </w:t>
      </w:r>
      <w:r w:rsidRPr="000C4EC5">
        <w:rPr>
          <w:rFonts w:ascii="Arial (W1)" w:hAnsi="Arial (W1)" w:hint="cs"/>
          <w:b/>
          <w:bCs/>
          <w:color w:val="000000"/>
          <w:rtl/>
        </w:rPr>
        <w:t>מצבו הרפואי של הנאשם</w:t>
      </w:r>
      <w:r w:rsidRPr="000C4EC5">
        <w:rPr>
          <w:rFonts w:ascii="Arial (W1)" w:hAnsi="Arial (W1)" w:hint="cs"/>
          <w:color w:val="000000"/>
          <w:rtl/>
        </w:rPr>
        <w:t xml:space="preserve"> - עיון במסמכים הרפואיים שהוגשו על-ידי הסנגור, מלמד כי מדובר בנאשם בן 34, אשר עבר בסוף שנת 2015 אירוע מוחי משמעותי, והיה מונשם משך תקופה ממושכת. כחלק מאותו אירוע סבל הנאשם מפרכוסים ופגיעה בגפיים, ועל-פי המסמכים הרפואיים שהוגשו נותר נזק נוירולוגי מסוים המצריך המשך טיפול על ידי גורמים שונים</w:t>
      </w:r>
      <w:r>
        <w:rPr>
          <w:rFonts w:hint="cs"/>
          <w:rtl/>
        </w:rPr>
        <w:t xml:space="preserve">, </w:t>
      </w:r>
      <w:r w:rsidRPr="000C4EC5">
        <w:rPr>
          <w:rFonts w:ascii="Arial (W1)" w:hAnsi="Arial (W1)"/>
          <w:color w:val="000000"/>
          <w:rtl/>
        </w:rPr>
        <w:t>על אף שהנאשם עבר הליך שיקום</w:t>
      </w:r>
      <w:r w:rsidRPr="000C4EC5">
        <w:rPr>
          <w:rFonts w:ascii="Arial (W1)" w:hAnsi="Arial (W1)" w:hint="cs"/>
          <w:color w:val="000000"/>
          <w:rtl/>
        </w:rPr>
        <w:t xml:space="preserve">. זאת ועוד, במהלך החזקתו של הנאשם בבית המעצר בתיק הנוכחי, הוא הובהל לבית החולים לאחר שנדקר דקירות סכין מרובות, כאשר במהלך האשפוז ובהיותו מונשם לקה באוטם מוחי (ראה אסופת המסמכים הרפואיים </w:t>
      </w:r>
      <w:r w:rsidRPr="000C4EC5">
        <w:rPr>
          <w:rFonts w:ascii="Arial (W1)" w:hAnsi="Arial (W1)"/>
          <w:color w:val="000000"/>
          <w:rtl/>
        </w:rPr>
        <w:t>–</w:t>
      </w:r>
      <w:r w:rsidRPr="000C4EC5">
        <w:rPr>
          <w:rFonts w:ascii="Arial (W1)" w:hAnsi="Arial (W1)" w:hint="cs"/>
          <w:color w:val="000000"/>
          <w:rtl/>
        </w:rPr>
        <w:t xml:space="preserve"> נע/1).</w:t>
      </w:r>
    </w:p>
    <w:p w14:paraId="19F6E5DC" w14:textId="77777777" w:rsidR="000D10C9" w:rsidRPr="000C4EC5" w:rsidRDefault="000D10C9" w:rsidP="000D10C9">
      <w:pPr>
        <w:spacing w:line="360" w:lineRule="auto"/>
        <w:ind w:left="720"/>
        <w:jc w:val="both"/>
        <w:rPr>
          <w:rFonts w:ascii="Arial (W1)" w:hAnsi="Arial (W1)"/>
          <w:color w:val="000000"/>
          <w:rtl/>
        </w:rPr>
      </w:pPr>
    </w:p>
    <w:p w14:paraId="2FDCEED5" w14:textId="77777777" w:rsidR="000D10C9" w:rsidRPr="000C4EC5" w:rsidRDefault="000D10C9" w:rsidP="000D10C9">
      <w:pPr>
        <w:spacing w:line="360" w:lineRule="auto"/>
        <w:ind w:left="720"/>
        <w:jc w:val="both"/>
        <w:rPr>
          <w:rFonts w:ascii="Arial (W1)" w:hAnsi="Arial (W1)"/>
          <w:color w:val="000000"/>
          <w:rtl/>
        </w:rPr>
      </w:pPr>
      <w:r w:rsidRPr="000C4EC5">
        <w:rPr>
          <w:rFonts w:ascii="Arial (W1)" w:hAnsi="Arial (W1)" w:hint="cs"/>
          <w:color w:val="000000"/>
          <w:rtl/>
        </w:rPr>
        <w:t xml:space="preserve">(ג) </w:t>
      </w:r>
      <w:r w:rsidRPr="000C4EC5">
        <w:rPr>
          <w:rFonts w:ascii="Arial (W1)" w:hAnsi="Arial (W1)" w:hint="cs"/>
          <w:b/>
          <w:bCs/>
          <w:color w:val="000000"/>
          <w:rtl/>
        </w:rPr>
        <w:t>נסיבות אישיות</w:t>
      </w:r>
      <w:r w:rsidRPr="000C4EC5">
        <w:rPr>
          <w:rFonts w:ascii="Arial (W1)" w:hAnsi="Arial (W1)" w:hint="cs"/>
          <w:color w:val="000000"/>
          <w:rtl/>
        </w:rPr>
        <w:t xml:space="preserve"> - הנאשם נשוי, ואב לחמישה ילדים קטנים (הגדול </w:t>
      </w:r>
      <w:r w:rsidRPr="000C4EC5">
        <w:rPr>
          <w:rFonts w:ascii="Arial (W1)" w:hAnsi="Arial (W1)"/>
          <w:color w:val="000000"/>
          <w:rtl/>
        </w:rPr>
        <w:t>–</w:t>
      </w:r>
      <w:r w:rsidRPr="000C4EC5">
        <w:rPr>
          <w:rFonts w:ascii="Arial (W1)" w:hAnsi="Arial (W1)" w:hint="cs"/>
          <w:color w:val="000000"/>
          <w:rtl/>
        </w:rPr>
        <w:t xml:space="preserve"> בן 7.5 שנים). בהינתן האמור, ולאחר ששמעתי את עדותה של אשתו אודות השפעת הענישה על התא המשפחתי וילדיהם הקטינים, ראיתי ליתן משקל מסוים לקולא לנתונים האמורים. </w:t>
      </w:r>
    </w:p>
    <w:p w14:paraId="49C326E9" w14:textId="77777777" w:rsidR="000D10C9" w:rsidRPr="000C4EC5" w:rsidRDefault="000D10C9" w:rsidP="000D10C9">
      <w:pPr>
        <w:spacing w:line="360" w:lineRule="auto"/>
        <w:ind w:left="720"/>
        <w:jc w:val="both"/>
        <w:rPr>
          <w:rFonts w:ascii="Arial (W1)" w:hAnsi="Arial (W1)"/>
          <w:color w:val="000000"/>
          <w:rtl/>
        </w:rPr>
      </w:pPr>
    </w:p>
    <w:p w14:paraId="5EB8A810" w14:textId="77777777" w:rsidR="000D10C9" w:rsidRPr="000C4EC5" w:rsidRDefault="000D10C9" w:rsidP="000D10C9">
      <w:pPr>
        <w:spacing w:line="360" w:lineRule="auto"/>
        <w:ind w:left="720"/>
        <w:jc w:val="both"/>
        <w:rPr>
          <w:rFonts w:ascii="Arial (W1)" w:hAnsi="Arial (W1)"/>
          <w:color w:val="000000"/>
          <w:rtl/>
        </w:rPr>
      </w:pPr>
      <w:r w:rsidRPr="000C4EC5">
        <w:rPr>
          <w:rFonts w:ascii="Arial (W1)" w:hAnsi="Arial (W1)" w:hint="cs"/>
          <w:color w:val="000000"/>
          <w:rtl/>
        </w:rPr>
        <w:t xml:space="preserve">(ד) </w:t>
      </w:r>
      <w:r w:rsidRPr="000C4EC5">
        <w:rPr>
          <w:rFonts w:ascii="Arial (W1)" w:hAnsi="Arial (W1)" w:hint="cs"/>
          <w:b/>
          <w:bCs/>
          <w:color w:val="000000"/>
          <w:rtl/>
        </w:rPr>
        <w:t>עבר פלילי</w:t>
      </w:r>
      <w:r w:rsidRPr="000C4EC5">
        <w:rPr>
          <w:rFonts w:ascii="Arial (W1)" w:hAnsi="Arial (W1)" w:hint="cs"/>
          <w:color w:val="000000"/>
          <w:rtl/>
        </w:rPr>
        <w:t xml:space="preserve"> - לנאשם הרשעות קודמות במגוון עבירות, ודי בכך לכאורה כדי להצדיק קביעת עונש מתאים שאינו משקף את הרף התחתון של מתחם הענישה. עם זאת, רובם המכריע של הרשעות הנאשם הן הרשעות ישנות ועל כן, משקלו של העבר הפלילי בקביעת העונש המתאים אינו רב (הרשעה אחרונה משקפת עבירה של החזקת סם לצריכה עצמית שבוצעה לפני כ-7 שנים, וההרשעה הקודמת לכך משקפת עבירות רכוש שבוצעו לפני כ-14 שנים ובגינן הוארך עונש מותנה). </w:t>
      </w:r>
    </w:p>
    <w:p w14:paraId="6D144B78" w14:textId="77777777" w:rsidR="000D10C9" w:rsidRPr="000C4EC5" w:rsidRDefault="000D10C9" w:rsidP="000D10C9">
      <w:pPr>
        <w:spacing w:line="360" w:lineRule="auto"/>
        <w:ind w:left="720"/>
        <w:jc w:val="both"/>
        <w:rPr>
          <w:rFonts w:ascii="Arial (W1)" w:hAnsi="Arial (W1)"/>
          <w:color w:val="000000"/>
          <w:rtl/>
        </w:rPr>
      </w:pPr>
    </w:p>
    <w:p w14:paraId="3EA03CBF" w14:textId="77777777" w:rsidR="000D10C9" w:rsidRPr="000C4EC5" w:rsidRDefault="000D10C9" w:rsidP="000D10C9">
      <w:pPr>
        <w:spacing w:line="360" w:lineRule="auto"/>
        <w:ind w:left="720"/>
        <w:jc w:val="both"/>
        <w:rPr>
          <w:rFonts w:ascii="Arial (W1)" w:hAnsi="Arial (W1)"/>
          <w:color w:val="000000"/>
          <w:u w:val="single"/>
          <w:rtl/>
        </w:rPr>
      </w:pPr>
      <w:r w:rsidRPr="000C4EC5">
        <w:rPr>
          <w:rFonts w:ascii="Arial (W1)" w:hAnsi="Arial (W1)" w:hint="cs"/>
          <w:color w:val="000000"/>
          <w:u w:val="single"/>
          <w:rtl/>
        </w:rPr>
        <w:t>סיכום</w:t>
      </w:r>
    </w:p>
    <w:p w14:paraId="2447327F" w14:textId="77777777" w:rsidR="000D10C9" w:rsidRPr="000C4EC5" w:rsidRDefault="000D10C9" w:rsidP="000D10C9">
      <w:pPr>
        <w:spacing w:line="360" w:lineRule="auto"/>
        <w:jc w:val="both"/>
        <w:rPr>
          <w:rFonts w:ascii="Arial (W1)" w:hAnsi="Arial (W1)"/>
          <w:color w:val="000000"/>
          <w:rtl/>
        </w:rPr>
      </w:pPr>
    </w:p>
    <w:p w14:paraId="5A68F413" w14:textId="77777777" w:rsidR="000D10C9" w:rsidRPr="000C4EC5" w:rsidRDefault="000D10C9" w:rsidP="000D10C9">
      <w:pPr>
        <w:spacing w:line="360" w:lineRule="auto"/>
        <w:ind w:left="720" w:hanging="720"/>
        <w:jc w:val="both"/>
        <w:rPr>
          <w:rFonts w:ascii="Arial (W1)" w:hAnsi="Arial (W1)"/>
          <w:color w:val="000000"/>
          <w:rtl/>
        </w:rPr>
      </w:pPr>
      <w:r w:rsidRPr="000C4EC5">
        <w:rPr>
          <w:rFonts w:ascii="Arial (W1)" w:hAnsi="Arial (W1)" w:hint="cs"/>
          <w:color w:val="000000"/>
          <w:rtl/>
        </w:rPr>
        <w:t>9.</w:t>
      </w:r>
      <w:r w:rsidRPr="000C4EC5">
        <w:rPr>
          <w:rFonts w:ascii="Arial (W1)" w:hAnsi="Arial (W1)" w:hint="cs"/>
          <w:color w:val="000000"/>
          <w:rtl/>
        </w:rPr>
        <w:tab/>
        <w:t>לאחר ששקלתי את השיקולים השונים, ראיתי להטיל את העונשים הבאים:</w:t>
      </w:r>
    </w:p>
    <w:p w14:paraId="076850C0" w14:textId="77777777" w:rsidR="000D10C9" w:rsidRPr="000C4EC5" w:rsidRDefault="000D10C9" w:rsidP="000D10C9">
      <w:pPr>
        <w:spacing w:line="360" w:lineRule="auto"/>
        <w:ind w:left="720" w:hanging="720"/>
        <w:jc w:val="both"/>
        <w:rPr>
          <w:rFonts w:ascii="Arial (W1)" w:hAnsi="Arial (W1)"/>
          <w:color w:val="000000"/>
          <w:rtl/>
        </w:rPr>
      </w:pPr>
    </w:p>
    <w:p w14:paraId="47EE930B" w14:textId="77777777" w:rsidR="000D10C9" w:rsidRPr="000C4EC5" w:rsidRDefault="000D10C9" w:rsidP="000D10C9">
      <w:pPr>
        <w:spacing w:line="360" w:lineRule="auto"/>
        <w:ind w:left="720" w:hanging="720"/>
        <w:jc w:val="both"/>
        <w:rPr>
          <w:rFonts w:ascii="Arial (W1)" w:hAnsi="Arial (W1)"/>
          <w:color w:val="000000"/>
          <w:rtl/>
        </w:rPr>
      </w:pPr>
      <w:r w:rsidRPr="000C4EC5">
        <w:rPr>
          <w:rFonts w:ascii="Arial (W1)" w:hAnsi="Arial (W1)"/>
          <w:color w:val="000000"/>
          <w:rtl/>
        </w:rPr>
        <w:tab/>
      </w:r>
      <w:r w:rsidRPr="000C4EC5">
        <w:rPr>
          <w:rFonts w:ascii="Arial (W1)" w:hAnsi="Arial (W1)" w:hint="cs"/>
          <w:color w:val="000000"/>
          <w:rtl/>
        </w:rPr>
        <w:t>(א) 11 חודשי מאסר לריצוי בפועל, החל מיום מעצרו 18.11.16.</w:t>
      </w:r>
    </w:p>
    <w:p w14:paraId="268BD6CD" w14:textId="77777777" w:rsidR="000D10C9" w:rsidRPr="000C4EC5" w:rsidRDefault="000D10C9" w:rsidP="000D10C9">
      <w:pPr>
        <w:spacing w:line="360" w:lineRule="auto"/>
        <w:ind w:left="720" w:hanging="720"/>
        <w:jc w:val="both"/>
        <w:rPr>
          <w:rFonts w:ascii="Arial (W1)" w:hAnsi="Arial (W1)"/>
          <w:color w:val="000000"/>
          <w:rtl/>
        </w:rPr>
      </w:pPr>
    </w:p>
    <w:p w14:paraId="5DBC4D17" w14:textId="77777777" w:rsidR="000D10C9" w:rsidRPr="000C4EC5" w:rsidRDefault="000D10C9" w:rsidP="000D10C9">
      <w:pPr>
        <w:spacing w:line="360" w:lineRule="auto"/>
        <w:ind w:left="720" w:hanging="720"/>
        <w:jc w:val="both"/>
        <w:rPr>
          <w:rFonts w:ascii="Arial (W1)" w:hAnsi="Arial (W1)"/>
          <w:color w:val="000000"/>
          <w:rtl/>
        </w:rPr>
      </w:pPr>
      <w:r w:rsidRPr="000C4EC5">
        <w:rPr>
          <w:rFonts w:ascii="Arial (W1)" w:hAnsi="Arial (W1)"/>
          <w:color w:val="000000"/>
          <w:rtl/>
        </w:rPr>
        <w:tab/>
      </w:r>
      <w:r w:rsidRPr="000C4EC5">
        <w:rPr>
          <w:rFonts w:ascii="Arial (W1)" w:hAnsi="Arial (W1)" w:hint="cs"/>
          <w:color w:val="000000"/>
          <w:rtl/>
        </w:rPr>
        <w:t>(ב) 6 חודשי מאסר אולם הנאשם לא יישא עונש זה אלא אם יעבור, תוך 3 שנים מיום שחרורו, את העבירה בה הורשע או סיוע לעבירה זו.</w:t>
      </w:r>
    </w:p>
    <w:p w14:paraId="1BE6444C" w14:textId="77777777" w:rsidR="000D10C9" w:rsidRPr="000C4EC5" w:rsidRDefault="000D10C9" w:rsidP="000D10C9">
      <w:pPr>
        <w:spacing w:line="360" w:lineRule="auto"/>
        <w:ind w:left="720" w:hanging="720"/>
        <w:jc w:val="both"/>
        <w:rPr>
          <w:rFonts w:ascii="Arial (W1)" w:hAnsi="Arial (W1)"/>
          <w:color w:val="000000"/>
          <w:rtl/>
        </w:rPr>
      </w:pPr>
    </w:p>
    <w:p w14:paraId="6BD6E263" w14:textId="77777777" w:rsidR="000D10C9" w:rsidRPr="000C4EC5" w:rsidRDefault="000D10C9" w:rsidP="000D10C9">
      <w:pPr>
        <w:spacing w:line="360" w:lineRule="auto"/>
        <w:ind w:left="720" w:hanging="720"/>
        <w:jc w:val="both"/>
        <w:rPr>
          <w:rFonts w:ascii="Arial (W1)" w:hAnsi="Arial (W1)"/>
          <w:color w:val="000000"/>
          <w:rtl/>
        </w:rPr>
      </w:pPr>
      <w:r w:rsidRPr="000C4EC5">
        <w:rPr>
          <w:rFonts w:ascii="Arial (W1)" w:hAnsi="Arial (W1)"/>
          <w:color w:val="000000"/>
          <w:rtl/>
        </w:rPr>
        <w:tab/>
      </w:r>
      <w:r w:rsidRPr="000C4EC5">
        <w:rPr>
          <w:rFonts w:ascii="Arial (W1)" w:hAnsi="Arial (W1)" w:hint="cs"/>
          <w:color w:val="000000"/>
          <w:rtl/>
        </w:rPr>
        <w:t>(ג) קנס בסך 4,000 ₪ או 10 ימי מאסר תמורתו.</w:t>
      </w:r>
    </w:p>
    <w:p w14:paraId="2DB7D472" w14:textId="77777777" w:rsidR="000D10C9" w:rsidRPr="000C4EC5" w:rsidRDefault="000D10C9" w:rsidP="000D10C9">
      <w:pPr>
        <w:spacing w:line="360" w:lineRule="auto"/>
        <w:ind w:left="720" w:hanging="720"/>
        <w:jc w:val="both"/>
        <w:rPr>
          <w:rFonts w:ascii="Arial (W1)" w:hAnsi="Arial (W1)"/>
          <w:color w:val="000000"/>
          <w:rtl/>
        </w:rPr>
      </w:pPr>
    </w:p>
    <w:p w14:paraId="005DE339" w14:textId="77777777" w:rsidR="000D10C9" w:rsidRPr="000C4EC5" w:rsidRDefault="000D10C9" w:rsidP="000D10C9">
      <w:pPr>
        <w:spacing w:line="360" w:lineRule="auto"/>
        <w:ind w:left="720" w:hanging="720"/>
        <w:jc w:val="both"/>
        <w:rPr>
          <w:rFonts w:ascii="Arial (W1)" w:hAnsi="Arial (W1)"/>
          <w:color w:val="000000"/>
          <w:rtl/>
        </w:rPr>
      </w:pPr>
      <w:r w:rsidRPr="000C4EC5">
        <w:rPr>
          <w:rFonts w:ascii="Arial (W1)" w:hAnsi="Arial (W1)"/>
          <w:color w:val="000000"/>
          <w:rtl/>
        </w:rPr>
        <w:tab/>
      </w:r>
      <w:r w:rsidRPr="000C4EC5">
        <w:rPr>
          <w:rFonts w:ascii="Arial (W1)" w:hAnsi="Arial (W1)" w:hint="cs"/>
          <w:color w:val="000000"/>
          <w:rtl/>
        </w:rPr>
        <w:t>ניתן צו כללי למוצגים לשיקול דעת קצין משטרה ו/או התביעה.</w:t>
      </w:r>
    </w:p>
    <w:p w14:paraId="2CE2B1F6" w14:textId="77777777" w:rsidR="000D10C9" w:rsidRPr="000C4EC5" w:rsidRDefault="000D10C9" w:rsidP="000D10C9">
      <w:pPr>
        <w:spacing w:line="360" w:lineRule="auto"/>
        <w:ind w:left="720" w:hanging="720"/>
        <w:jc w:val="both"/>
        <w:rPr>
          <w:rFonts w:ascii="Arial (W1)" w:hAnsi="Arial (W1)"/>
          <w:color w:val="000000"/>
          <w:rtl/>
        </w:rPr>
      </w:pPr>
    </w:p>
    <w:p w14:paraId="0FD20350" w14:textId="77777777" w:rsidR="000D10C9" w:rsidRPr="000C4EC5" w:rsidRDefault="000D10C9" w:rsidP="000D10C9">
      <w:pPr>
        <w:spacing w:line="360" w:lineRule="auto"/>
        <w:ind w:left="720" w:hanging="720"/>
        <w:jc w:val="both"/>
        <w:rPr>
          <w:rFonts w:ascii="Arial (W1)" w:hAnsi="Arial (W1)"/>
          <w:color w:val="000000"/>
          <w:rtl/>
        </w:rPr>
      </w:pPr>
      <w:r w:rsidRPr="000C4EC5">
        <w:rPr>
          <w:rFonts w:ascii="Arial (W1)" w:hAnsi="Arial (W1)"/>
          <w:color w:val="000000"/>
          <w:rtl/>
        </w:rPr>
        <w:tab/>
      </w:r>
      <w:r w:rsidRPr="000C4EC5">
        <w:rPr>
          <w:rFonts w:ascii="Arial (W1)" w:hAnsi="Arial (W1)" w:hint="cs"/>
          <w:color w:val="000000"/>
          <w:rtl/>
        </w:rPr>
        <w:t xml:space="preserve">זכות ערעור כחוק. </w:t>
      </w:r>
    </w:p>
    <w:p w14:paraId="06D5C6DE" w14:textId="77777777" w:rsidR="000D10C9" w:rsidRPr="000C4EC5" w:rsidRDefault="000D10C9" w:rsidP="000D10C9">
      <w:pPr>
        <w:spacing w:line="360" w:lineRule="auto"/>
        <w:ind w:left="720" w:hanging="720"/>
        <w:jc w:val="both"/>
        <w:rPr>
          <w:rFonts w:ascii="Arial (W1)" w:hAnsi="Arial (W1)"/>
          <w:color w:val="000000"/>
          <w:rtl/>
        </w:rPr>
      </w:pPr>
      <w:r w:rsidRPr="000C4EC5">
        <w:rPr>
          <w:rFonts w:ascii="Arial (W1)" w:hAnsi="Arial (W1)"/>
          <w:color w:val="000000"/>
          <w:rtl/>
        </w:rPr>
        <w:t xml:space="preserve"> </w:t>
      </w:r>
    </w:p>
    <w:p w14:paraId="523AEBF8" w14:textId="77777777" w:rsidR="000D10C9" w:rsidRPr="000C4EC5" w:rsidRDefault="000D10C9" w:rsidP="000D10C9">
      <w:pPr>
        <w:rPr>
          <w:color w:val="000000"/>
          <w:rtl/>
        </w:rPr>
      </w:pPr>
    </w:p>
    <w:p w14:paraId="397B6136" w14:textId="77777777" w:rsidR="000D10C9" w:rsidRPr="000C4EC5" w:rsidRDefault="0053413F" w:rsidP="000D10C9">
      <w:pPr>
        <w:rPr>
          <w:color w:val="000000"/>
          <w:rtl/>
        </w:rPr>
      </w:pPr>
      <w:r>
        <w:rPr>
          <w:rFonts w:ascii="Arial" w:hAnsi="Arial"/>
          <w:color w:val="000000"/>
          <w:rtl/>
        </w:rPr>
        <w:t xml:space="preserve">ניתן היום,  כ"ד אדר תשע"ז, 22 מרץ 2017, במעמד הצדדים. </w:t>
      </w:r>
    </w:p>
    <w:p w14:paraId="4D4D1F78" w14:textId="77777777" w:rsidR="000D10C9" w:rsidRPr="0053413F" w:rsidRDefault="0053413F" w:rsidP="000D10C9">
      <w:pPr>
        <w:jc w:val="center"/>
        <w:rPr>
          <w:rFonts w:ascii="Arial" w:hAnsi="Arial"/>
          <w:color w:val="FFFFFF"/>
          <w:sz w:val="2"/>
          <w:szCs w:val="2"/>
          <w:rtl/>
        </w:rPr>
      </w:pPr>
      <w:r w:rsidRPr="0053413F">
        <w:rPr>
          <w:color w:val="FFFFFF"/>
          <w:sz w:val="2"/>
          <w:szCs w:val="2"/>
          <w:rtl/>
        </w:rPr>
        <w:t>5129371</w:t>
      </w:r>
      <w:r w:rsidR="000D10C9" w:rsidRPr="0053413F">
        <w:rPr>
          <w:rFonts w:hint="cs"/>
          <w:color w:val="FFFFFF"/>
          <w:sz w:val="2"/>
          <w:szCs w:val="2"/>
          <w:rtl/>
        </w:rPr>
        <w:t xml:space="preserve">   </w:t>
      </w:r>
      <w:r w:rsidR="000D10C9" w:rsidRPr="0053413F">
        <w:rPr>
          <w:rFonts w:hint="cs"/>
          <w:color w:val="FFFFFF"/>
          <w:sz w:val="2"/>
          <w:szCs w:val="2"/>
          <w:rtl/>
        </w:rPr>
        <w:tab/>
      </w:r>
      <w:r w:rsidR="000D10C9" w:rsidRPr="0053413F">
        <w:rPr>
          <w:rFonts w:hint="cs"/>
          <w:color w:val="FFFFFF"/>
          <w:sz w:val="2"/>
          <w:szCs w:val="2"/>
          <w:rtl/>
        </w:rPr>
        <w:tab/>
      </w:r>
      <w:r w:rsidR="000D10C9" w:rsidRPr="0053413F">
        <w:rPr>
          <w:rFonts w:hint="cs"/>
          <w:color w:val="FFFFFF"/>
          <w:sz w:val="2"/>
          <w:szCs w:val="2"/>
          <w:rtl/>
        </w:rPr>
        <w:tab/>
      </w:r>
      <w:r w:rsidR="000D10C9" w:rsidRPr="0053413F">
        <w:rPr>
          <w:rFonts w:hint="cs"/>
          <w:color w:val="FFFFFF"/>
          <w:sz w:val="2"/>
          <w:szCs w:val="2"/>
          <w:rtl/>
        </w:rPr>
        <w:tab/>
      </w:r>
      <w:r w:rsidR="000D10C9" w:rsidRPr="0053413F">
        <w:rPr>
          <w:rFonts w:hint="cs"/>
          <w:color w:val="FFFFFF"/>
          <w:sz w:val="2"/>
          <w:szCs w:val="2"/>
          <w:rtl/>
        </w:rPr>
        <w:tab/>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D10C9" w14:paraId="57CAE355" w14:textId="77777777" w:rsidTr="0053413F">
        <w:trPr>
          <w:trHeight w:val="316"/>
          <w:jc w:val="right"/>
        </w:trPr>
        <w:tc>
          <w:tcPr>
            <w:tcW w:w="3936" w:type="dxa"/>
            <w:tcBorders>
              <w:top w:val="nil"/>
              <w:left w:val="nil"/>
              <w:bottom w:val="single" w:sz="4" w:space="0" w:color="auto"/>
              <w:right w:val="nil"/>
            </w:tcBorders>
            <w:shd w:val="clear" w:color="auto" w:fill="auto"/>
          </w:tcPr>
          <w:p w14:paraId="22BD2A0B" w14:textId="77777777" w:rsidR="000D10C9" w:rsidRPr="0053413F" w:rsidRDefault="0053413F" w:rsidP="0053413F">
            <w:pPr>
              <w:jc w:val="center"/>
              <w:rPr>
                <w:rFonts w:cs="Times New Roman"/>
                <w:color w:val="FFFFFF"/>
                <w:sz w:val="2"/>
                <w:szCs w:val="2"/>
              </w:rPr>
            </w:pPr>
            <w:r w:rsidRPr="0053413F">
              <w:rPr>
                <w:rFonts w:cs="Times New Roman"/>
                <w:color w:val="FFFFFF"/>
                <w:sz w:val="2"/>
                <w:szCs w:val="2"/>
                <w:rtl/>
              </w:rPr>
              <w:t>54678313</w:t>
            </w:r>
          </w:p>
          <w:p w14:paraId="4E02AD9B" w14:textId="77777777" w:rsidR="000D10C9" w:rsidRDefault="000D10C9" w:rsidP="0053413F">
            <w:pPr>
              <w:jc w:val="center"/>
            </w:pPr>
          </w:p>
        </w:tc>
      </w:tr>
      <w:tr w:rsidR="000D10C9" w14:paraId="548F9E08" w14:textId="77777777" w:rsidTr="0053413F">
        <w:trPr>
          <w:trHeight w:val="361"/>
          <w:jc w:val="right"/>
        </w:trPr>
        <w:tc>
          <w:tcPr>
            <w:tcW w:w="3936" w:type="dxa"/>
            <w:tcBorders>
              <w:top w:val="single" w:sz="4" w:space="0" w:color="auto"/>
              <w:left w:val="nil"/>
              <w:bottom w:val="nil"/>
              <w:right w:val="nil"/>
            </w:tcBorders>
            <w:shd w:val="clear" w:color="auto" w:fill="auto"/>
          </w:tcPr>
          <w:p w14:paraId="1D800D6C" w14:textId="77777777" w:rsidR="000D10C9" w:rsidRPr="000C4EC5" w:rsidRDefault="000D10C9" w:rsidP="0053413F">
            <w:pPr>
              <w:jc w:val="center"/>
              <w:rPr>
                <w:b/>
                <w:bCs/>
                <w:rtl/>
              </w:rPr>
            </w:pPr>
            <w:r w:rsidRPr="000C4EC5">
              <w:rPr>
                <w:rFonts w:hint="cs"/>
                <w:b/>
                <w:bCs/>
                <w:rtl/>
              </w:rPr>
              <w:t xml:space="preserve">בני </w:t>
            </w:r>
            <w:r w:rsidRPr="000C4EC5">
              <w:rPr>
                <w:rFonts w:cs="Times New Roman" w:hint="cs"/>
                <w:b/>
                <w:bCs/>
                <w:rtl/>
              </w:rPr>
              <w:t>שגיא</w:t>
            </w:r>
            <w:r w:rsidRPr="000C4EC5">
              <w:rPr>
                <w:rFonts w:hint="cs"/>
                <w:b/>
                <w:bCs/>
                <w:rtl/>
              </w:rPr>
              <w:t xml:space="preserve"> , </w:t>
            </w:r>
            <w:r w:rsidRPr="000C4EC5">
              <w:rPr>
                <w:rFonts w:cs="Times New Roman" w:hint="cs"/>
                <w:b/>
                <w:bCs/>
                <w:rtl/>
              </w:rPr>
              <w:t>שופט</w:t>
            </w:r>
            <w:r w:rsidRPr="000C4EC5">
              <w:rPr>
                <w:rFonts w:hint="cs"/>
                <w:b/>
                <w:bCs/>
                <w:rtl/>
              </w:rPr>
              <w:t xml:space="preserve"> </w:t>
            </w:r>
          </w:p>
        </w:tc>
      </w:tr>
    </w:tbl>
    <w:p w14:paraId="24AE82C8" w14:textId="77777777" w:rsidR="000D10C9" w:rsidRPr="006B39FB" w:rsidRDefault="006B39FB" w:rsidP="000D10C9">
      <w:pPr>
        <w:jc w:val="right"/>
        <w:rPr>
          <w:color w:val="FFFFFF"/>
          <w:sz w:val="2"/>
          <w:szCs w:val="2"/>
          <w:rtl/>
        </w:rPr>
      </w:pPr>
      <w:r w:rsidRPr="006B39FB">
        <w:rPr>
          <w:color w:val="FFFFFF"/>
          <w:sz w:val="2"/>
          <w:szCs w:val="2"/>
          <w:rtl/>
        </w:rPr>
        <w:t>5129371</w:t>
      </w:r>
    </w:p>
    <w:p w14:paraId="55DBFF62" w14:textId="77777777" w:rsidR="0053413F" w:rsidRPr="006B39FB" w:rsidRDefault="006B39FB" w:rsidP="0053413F">
      <w:pPr>
        <w:keepNext/>
        <w:rPr>
          <w:rFonts w:ascii="David" w:hAnsi="David"/>
          <w:color w:val="FFFFFF"/>
          <w:sz w:val="2"/>
          <w:szCs w:val="2"/>
          <w:rtl/>
        </w:rPr>
      </w:pPr>
      <w:r w:rsidRPr="006B39FB">
        <w:rPr>
          <w:rFonts w:ascii="David" w:hAnsi="David"/>
          <w:color w:val="FFFFFF"/>
          <w:sz w:val="2"/>
          <w:szCs w:val="2"/>
          <w:rtl/>
        </w:rPr>
        <w:t>54678313</w:t>
      </w:r>
    </w:p>
    <w:p w14:paraId="73E12C70" w14:textId="77777777" w:rsidR="0053413F" w:rsidRPr="0053413F" w:rsidRDefault="0053413F" w:rsidP="0053413F">
      <w:pPr>
        <w:keepNext/>
        <w:rPr>
          <w:rFonts w:ascii="David" w:hAnsi="David"/>
          <w:color w:val="000000"/>
          <w:sz w:val="22"/>
          <w:szCs w:val="22"/>
          <w:rtl/>
        </w:rPr>
      </w:pPr>
      <w:r w:rsidRPr="0053413F">
        <w:rPr>
          <w:rFonts w:ascii="David" w:hAnsi="David"/>
          <w:color w:val="000000"/>
          <w:sz w:val="22"/>
          <w:szCs w:val="22"/>
          <w:rtl/>
        </w:rPr>
        <w:t>בני שגיא 54678313</w:t>
      </w:r>
    </w:p>
    <w:p w14:paraId="2072BCBA" w14:textId="77777777" w:rsidR="0053413F" w:rsidRDefault="0053413F" w:rsidP="0053413F">
      <w:pPr>
        <w:rPr>
          <w:color w:val="000000"/>
          <w:rtl/>
        </w:rPr>
      </w:pPr>
      <w:r w:rsidRPr="0053413F">
        <w:rPr>
          <w:color w:val="000000"/>
          <w:rtl/>
        </w:rPr>
        <w:t>נוסח מסמך זה כפוף לשינויי ניסוח ועריכה</w:t>
      </w:r>
    </w:p>
    <w:p w14:paraId="6CBEDEBE" w14:textId="77777777" w:rsidR="0053413F" w:rsidRDefault="0053413F" w:rsidP="0053413F">
      <w:pPr>
        <w:rPr>
          <w:rtl/>
        </w:rPr>
      </w:pPr>
    </w:p>
    <w:p w14:paraId="7174218C" w14:textId="77777777" w:rsidR="0053413F" w:rsidRDefault="0053413F" w:rsidP="0053413F">
      <w:pPr>
        <w:jc w:val="center"/>
        <w:rPr>
          <w:color w:val="0000FF"/>
          <w:u w:val="single"/>
          <w:rtl/>
        </w:rPr>
      </w:pPr>
      <w:hyperlink r:id="rId17" w:history="1">
        <w:r>
          <w:rPr>
            <w:rStyle w:val="Hyperlink"/>
            <w:rtl/>
          </w:rPr>
          <w:t>בעניין עריכה ושינויים במסמכי פסיקה, חקיקה ועוד באתר נבו – הקש כאן</w:t>
        </w:r>
      </w:hyperlink>
      <w:r w:rsidR="00E449A0">
        <w:rPr>
          <w:rFonts w:hint="cs"/>
          <w:color w:val="0000FF"/>
          <w:u w:val="single"/>
          <w:rtl/>
        </w:rPr>
        <w:t xml:space="preserve"> </w:t>
      </w:r>
    </w:p>
    <w:p w14:paraId="0F37E1E3" w14:textId="77777777" w:rsidR="006B39FB" w:rsidRPr="006B39FB" w:rsidRDefault="006B39FB" w:rsidP="006B39FB">
      <w:pPr>
        <w:keepNext/>
        <w:rPr>
          <w:rFonts w:ascii="David" w:hAnsi="David"/>
          <w:color w:val="000000"/>
          <w:sz w:val="22"/>
          <w:szCs w:val="22"/>
          <w:rtl/>
        </w:rPr>
      </w:pPr>
    </w:p>
    <w:p w14:paraId="6DE175D6" w14:textId="77777777" w:rsidR="00DF27D7" w:rsidRPr="006B39FB" w:rsidRDefault="00DF27D7" w:rsidP="006B39FB">
      <w:pPr>
        <w:keepNext/>
        <w:rPr>
          <w:rFonts w:ascii="David" w:hAnsi="David" w:hint="cs"/>
          <w:color w:val="000000"/>
          <w:sz w:val="22"/>
          <w:szCs w:val="22"/>
        </w:rPr>
      </w:pPr>
    </w:p>
    <w:sectPr w:rsidR="00DF27D7" w:rsidRPr="006B39FB" w:rsidSect="006B39FB">
      <w:headerReference w:type="even" r:id="rId18"/>
      <w:headerReference w:type="default" r:id="rId19"/>
      <w:footerReference w:type="even" r:id="rId20"/>
      <w:footerReference w:type="default" r:id="rId21"/>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D0451" w14:textId="77777777" w:rsidR="00940F8E" w:rsidRPr="00D02247" w:rsidRDefault="00940F8E">
      <w:pPr>
        <w:rPr>
          <w:rFonts w:cs="Times New Roman"/>
        </w:rPr>
      </w:pPr>
      <w:r>
        <w:separator/>
      </w:r>
    </w:p>
  </w:endnote>
  <w:endnote w:type="continuationSeparator" w:id="0">
    <w:p w14:paraId="03CCD131" w14:textId="77777777" w:rsidR="00940F8E" w:rsidRPr="00D02247" w:rsidRDefault="00940F8E">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8FF23" w14:textId="77777777" w:rsidR="00BE7D89" w:rsidRDefault="00BE7D89" w:rsidP="006B39F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D10AEE5" w14:textId="77777777" w:rsidR="00BE7D89" w:rsidRPr="006B39FB" w:rsidRDefault="00BE7D89" w:rsidP="006B39FB">
    <w:pPr>
      <w:pStyle w:val="a4"/>
      <w:pBdr>
        <w:top w:val="single" w:sz="4" w:space="1" w:color="auto"/>
        <w:between w:val="single" w:sz="4" w:space="0" w:color="auto"/>
      </w:pBdr>
      <w:spacing w:after="60"/>
      <w:jc w:val="center"/>
      <w:rPr>
        <w:rFonts w:ascii="FrankRuehl" w:hAnsi="FrankRuehl" w:cs="FrankRuehl"/>
        <w:color w:val="000000"/>
      </w:rPr>
    </w:pPr>
    <w:r w:rsidRPr="006B39F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5BDD8" w14:textId="77777777" w:rsidR="00BE7D89" w:rsidRDefault="00BE7D89" w:rsidP="006B39F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A6C49">
      <w:rPr>
        <w:rFonts w:ascii="FrankRuehl" w:hAnsi="FrankRuehl" w:cs="FrankRuehl"/>
        <w:noProof/>
        <w:rtl/>
      </w:rPr>
      <w:t>1</w:t>
    </w:r>
    <w:r>
      <w:rPr>
        <w:rFonts w:ascii="FrankRuehl" w:hAnsi="FrankRuehl" w:cs="FrankRuehl"/>
        <w:rtl/>
      </w:rPr>
      <w:fldChar w:fldCharType="end"/>
    </w:r>
  </w:p>
  <w:p w14:paraId="3AB0E31B" w14:textId="77777777" w:rsidR="00BE7D89" w:rsidRPr="006B39FB" w:rsidRDefault="00BE7D89" w:rsidP="006B39FB">
    <w:pPr>
      <w:pStyle w:val="a4"/>
      <w:pBdr>
        <w:top w:val="single" w:sz="4" w:space="1" w:color="auto"/>
        <w:between w:val="single" w:sz="4" w:space="0" w:color="auto"/>
      </w:pBdr>
      <w:spacing w:after="60"/>
      <w:jc w:val="center"/>
      <w:rPr>
        <w:rFonts w:ascii="FrankRuehl" w:hAnsi="FrankRuehl" w:cs="FrankRuehl"/>
        <w:color w:val="000000"/>
      </w:rPr>
    </w:pPr>
    <w:r w:rsidRPr="006B39FB">
      <w:rPr>
        <w:rFonts w:ascii="FrankRuehl" w:hAnsi="FrankRuehl" w:cs="FrankRuehl"/>
        <w:color w:val="000000"/>
      </w:rPr>
      <w:pict w14:anchorId="62EBDF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B41F0" w14:textId="77777777" w:rsidR="00940F8E" w:rsidRPr="00D02247" w:rsidRDefault="00940F8E">
      <w:pPr>
        <w:rPr>
          <w:rFonts w:cs="Times New Roman"/>
        </w:rPr>
      </w:pPr>
      <w:r>
        <w:separator/>
      </w:r>
    </w:p>
  </w:footnote>
  <w:footnote w:type="continuationSeparator" w:id="0">
    <w:p w14:paraId="662B8A88" w14:textId="77777777" w:rsidR="00940F8E" w:rsidRPr="00D02247" w:rsidRDefault="00940F8E">
      <w:pPr>
        <w:rPr>
          <w:rFonts w:cs="Times New Roman"/>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32F18" w14:textId="77777777" w:rsidR="00BE7D89" w:rsidRPr="006B39FB" w:rsidRDefault="00BE7D89" w:rsidP="006B39F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56385-11-16</w:t>
    </w:r>
    <w:r>
      <w:rPr>
        <w:rFonts w:ascii="David" w:hAnsi="David"/>
        <w:color w:val="000000"/>
        <w:sz w:val="22"/>
        <w:szCs w:val="22"/>
        <w:rtl/>
      </w:rPr>
      <w:tab/>
      <w:t xml:space="preserve"> מדינת ישראל נ' עבדול רחמן רחייל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21844" w14:textId="77777777" w:rsidR="00BE7D89" w:rsidRPr="006B39FB" w:rsidRDefault="00BE7D89" w:rsidP="006B39F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56385-11-16</w:t>
    </w:r>
    <w:r>
      <w:rPr>
        <w:rFonts w:ascii="David" w:hAnsi="David"/>
        <w:color w:val="000000"/>
        <w:sz w:val="22"/>
        <w:szCs w:val="22"/>
        <w:rtl/>
      </w:rPr>
      <w:tab/>
      <w:t xml:space="preserve"> מדינת ישראל נ' עבדול רחמן רחייל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D10C9"/>
    <w:rsid w:val="000D10C9"/>
    <w:rsid w:val="004B1740"/>
    <w:rsid w:val="0053413F"/>
    <w:rsid w:val="006B39FB"/>
    <w:rsid w:val="00892490"/>
    <w:rsid w:val="008A6C49"/>
    <w:rsid w:val="008E76D2"/>
    <w:rsid w:val="00914E33"/>
    <w:rsid w:val="00940F8E"/>
    <w:rsid w:val="00AB67DD"/>
    <w:rsid w:val="00BE7D89"/>
    <w:rsid w:val="00C84B5E"/>
    <w:rsid w:val="00DF27D7"/>
    <w:rsid w:val="00E449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4DAD4E6"/>
  <w15:chartTrackingRefBased/>
  <w15:docId w15:val="{7292538F-6597-45AE-9110-AFA0581C7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D10C9"/>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D10C9"/>
    <w:pPr>
      <w:tabs>
        <w:tab w:val="center" w:pos="4153"/>
        <w:tab w:val="right" w:pos="8306"/>
      </w:tabs>
    </w:pPr>
  </w:style>
  <w:style w:type="paragraph" w:styleId="a4">
    <w:name w:val="footer"/>
    <w:basedOn w:val="a"/>
    <w:rsid w:val="000D10C9"/>
    <w:pPr>
      <w:tabs>
        <w:tab w:val="center" w:pos="4153"/>
        <w:tab w:val="right" w:pos="8306"/>
      </w:tabs>
    </w:pPr>
  </w:style>
  <w:style w:type="character" w:styleId="a5">
    <w:name w:val="page number"/>
    <w:basedOn w:val="a0"/>
    <w:rsid w:val="000D10C9"/>
  </w:style>
  <w:style w:type="character" w:styleId="Hyperlink">
    <w:name w:val="Hyperlink"/>
    <w:rsid w:val="000D10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5950172"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70301/144.a" TargetMode="External"/><Relationship Id="rId12" Type="http://schemas.openxmlformats.org/officeDocument/2006/relationships/hyperlink" Target="http://www.nevo.co.il/case/13093744" TargetMode="External"/><Relationship Id="rId17"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case/16913730"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20151405" TargetMode="External"/><Relationship Id="rId5" Type="http://schemas.openxmlformats.org/officeDocument/2006/relationships/endnotes" Target="endnotes.xml"/><Relationship Id="rId15" Type="http://schemas.openxmlformats.org/officeDocument/2006/relationships/hyperlink" Target="http://www.nevo.co.il/case/21475135" TargetMode="External"/><Relationship Id="rId23" Type="http://schemas.openxmlformats.org/officeDocument/2006/relationships/theme" Target="theme/theme1.xml"/><Relationship Id="rId10" Type="http://schemas.openxmlformats.org/officeDocument/2006/relationships/hyperlink" Target="http://www.nevo.co.il/case/5995135"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case/22228298"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1449</Words>
  <Characters>7246</Characters>
  <Application>Microsoft Office Word</Application>
  <DocSecurity>0</DocSecurity>
  <Lines>60</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8678</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3670132</vt:i4>
      </vt:variant>
      <vt:variant>
        <vt:i4>30</vt:i4>
      </vt:variant>
      <vt:variant>
        <vt:i4>0</vt:i4>
      </vt:variant>
      <vt:variant>
        <vt:i4>5</vt:i4>
      </vt:variant>
      <vt:variant>
        <vt:lpwstr>http://www.nevo.co.il/case/16913730</vt:lpwstr>
      </vt:variant>
      <vt:variant>
        <vt:lpwstr/>
      </vt:variant>
      <vt:variant>
        <vt:i4>3145843</vt:i4>
      </vt:variant>
      <vt:variant>
        <vt:i4>27</vt:i4>
      </vt:variant>
      <vt:variant>
        <vt:i4>0</vt:i4>
      </vt:variant>
      <vt:variant>
        <vt:i4>5</vt:i4>
      </vt:variant>
      <vt:variant>
        <vt:lpwstr>http://www.nevo.co.il/case/21475135</vt:lpwstr>
      </vt:variant>
      <vt:variant>
        <vt:lpwstr/>
      </vt:variant>
      <vt:variant>
        <vt:i4>3211382</vt:i4>
      </vt:variant>
      <vt:variant>
        <vt:i4>24</vt:i4>
      </vt:variant>
      <vt:variant>
        <vt:i4>0</vt:i4>
      </vt:variant>
      <vt:variant>
        <vt:i4>5</vt:i4>
      </vt:variant>
      <vt:variant>
        <vt:lpwstr>http://www.nevo.co.il/case/22228298</vt:lpwstr>
      </vt:variant>
      <vt:variant>
        <vt:lpwstr/>
      </vt:variant>
      <vt:variant>
        <vt:i4>3342458</vt:i4>
      </vt:variant>
      <vt:variant>
        <vt:i4>21</vt:i4>
      </vt:variant>
      <vt:variant>
        <vt:i4>0</vt:i4>
      </vt:variant>
      <vt:variant>
        <vt:i4>5</vt:i4>
      </vt:variant>
      <vt:variant>
        <vt:lpwstr>http://www.nevo.co.il/case/5950172</vt:lpwstr>
      </vt:variant>
      <vt:variant>
        <vt:lpwstr/>
      </vt:variant>
      <vt:variant>
        <vt:i4>3539065</vt:i4>
      </vt:variant>
      <vt:variant>
        <vt:i4>18</vt:i4>
      </vt:variant>
      <vt:variant>
        <vt:i4>0</vt:i4>
      </vt:variant>
      <vt:variant>
        <vt:i4>5</vt:i4>
      </vt:variant>
      <vt:variant>
        <vt:lpwstr>http://www.nevo.co.il/case/13093744</vt:lpwstr>
      </vt:variant>
      <vt:variant>
        <vt:lpwstr/>
      </vt:variant>
      <vt:variant>
        <vt:i4>3276917</vt:i4>
      </vt:variant>
      <vt:variant>
        <vt:i4>15</vt:i4>
      </vt:variant>
      <vt:variant>
        <vt:i4>0</vt:i4>
      </vt:variant>
      <vt:variant>
        <vt:i4>5</vt:i4>
      </vt:variant>
      <vt:variant>
        <vt:lpwstr>http://www.nevo.co.il/case/20151405</vt:lpwstr>
      </vt:variant>
      <vt:variant>
        <vt:lpwstr/>
      </vt:variant>
      <vt:variant>
        <vt:i4>3670139</vt:i4>
      </vt:variant>
      <vt:variant>
        <vt:i4>12</vt:i4>
      </vt:variant>
      <vt:variant>
        <vt:i4>0</vt:i4>
      </vt:variant>
      <vt:variant>
        <vt:i4>5</vt:i4>
      </vt:variant>
      <vt:variant>
        <vt:lpwstr>http://www.nevo.co.il/case/5995135</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2024-01-07T12:13:00Z</dcterms:created>
  <dcterms:modified xsi:type="dcterms:W3CDTF">2024-01-07T12:13:00Z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56385</vt:lpwstr>
  </property>
  <property fmtid="{D5CDD505-2E9C-101B-9397-08002B2CF9AE}" pid="6" name="NEWPARTB">
    <vt:lpwstr>11</vt:lpwstr>
  </property>
  <property fmtid="{D5CDD505-2E9C-101B-9397-08002B2CF9AE}" pid="7" name="NEWPARTC">
    <vt:lpwstr>16</vt:lpwstr>
  </property>
  <property fmtid="{D5CDD505-2E9C-101B-9397-08002B2CF9AE}" pid="8" name="APPELLEE">
    <vt:lpwstr>עבדול רחמן רחייל</vt:lpwstr>
  </property>
  <property fmtid="{D5CDD505-2E9C-101B-9397-08002B2CF9AE}" pid="9" name="LAWYER">
    <vt:lpwstr>מיכאל כהן;מחמוד נעאמנה</vt:lpwstr>
  </property>
  <property fmtid="{D5CDD505-2E9C-101B-9397-08002B2CF9AE}" pid="10" name="JUDGE">
    <vt:lpwstr>בני שגיא</vt:lpwstr>
  </property>
  <property fmtid="{D5CDD505-2E9C-101B-9397-08002B2CF9AE}" pid="11" name="CITY">
    <vt:lpwstr>ת"א</vt:lpwstr>
  </property>
  <property fmtid="{D5CDD505-2E9C-101B-9397-08002B2CF9AE}" pid="12" name="DATE">
    <vt:lpwstr>20170322</vt:lpwstr>
  </property>
  <property fmtid="{D5CDD505-2E9C-101B-9397-08002B2CF9AE}" pid="13" name="TYPE_N_DATE">
    <vt:lpwstr>39020170322</vt:lpwstr>
  </property>
  <property fmtid="{D5CDD505-2E9C-101B-9397-08002B2CF9AE}" pid="14" name="CASESLISTTMP1">
    <vt:lpwstr>5995135;20151405;13093744;5950172;22228298;21475135;16913730</vt:lpwstr>
  </property>
  <property fmtid="{D5CDD505-2E9C-101B-9397-08002B2CF9AE}" pid="15" name="WORDNUMPAGES">
    <vt:lpwstr>5</vt:lpwstr>
  </property>
  <property fmtid="{D5CDD505-2E9C-101B-9397-08002B2CF9AE}" pid="16" name="TYPE_ABS_DATE">
    <vt:lpwstr>390020170322</vt:lpwstr>
  </property>
  <property fmtid="{D5CDD505-2E9C-101B-9397-08002B2CF9AE}" pid="17" name="APPELLANT">
    <vt:lpwstr>מדינת ישראל</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70301/144.a</vt:lpwstr>
  </property>
</Properties>
</file>