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6639D5" w:rsidRPr="003438A6" w14:paraId="4FD3BB88" w14:textId="77777777" w:rsidTr="00904786">
        <w:trPr>
          <w:trHeight w:hRule="exact" w:val="567"/>
          <w:jc w:val="center"/>
        </w:trPr>
        <w:tc>
          <w:tcPr>
            <w:tcW w:w="8721" w:type="dxa"/>
            <w:gridSpan w:val="2"/>
          </w:tcPr>
          <w:p w14:paraId="5D959DCD" w14:textId="77777777" w:rsidR="006639D5" w:rsidRPr="003438A6" w:rsidRDefault="006639D5" w:rsidP="00EB4EFF">
            <w:pPr>
              <w:pStyle w:val="a3"/>
              <w:jc w:val="center"/>
              <w:rPr>
                <w:rFonts w:ascii="Tahoma" w:hAnsi="Tahoma" w:cs="Tahoma"/>
                <w:color w:val="000080"/>
                <w:rtl/>
              </w:rPr>
            </w:pPr>
            <w:bookmarkStart w:id="0" w:name="LastJudge"/>
            <w:r w:rsidRPr="003438A6">
              <w:rPr>
                <w:rFonts w:ascii="Tahoma" w:hAnsi="Tahoma" w:cs="Tahoma"/>
                <w:b/>
                <w:bCs/>
                <w:color w:val="000080"/>
                <w:rtl/>
              </w:rPr>
              <w:t>בית המשפט המחוזי בחיפה</w:t>
            </w:r>
          </w:p>
        </w:tc>
      </w:tr>
      <w:tr w:rsidR="006639D5" w:rsidRPr="003438A6" w14:paraId="23BD0BAE" w14:textId="77777777" w:rsidTr="00904786">
        <w:trPr>
          <w:trHeight w:val="337"/>
          <w:jc w:val="center"/>
        </w:trPr>
        <w:tc>
          <w:tcPr>
            <w:tcW w:w="5049" w:type="dxa"/>
          </w:tcPr>
          <w:p w14:paraId="08CE2621" w14:textId="77777777" w:rsidR="006639D5" w:rsidRPr="003438A6" w:rsidRDefault="006639D5" w:rsidP="00EB4EFF">
            <w:pPr>
              <w:rPr>
                <w:rFonts w:cs="FrankRuehl"/>
                <w:sz w:val="28"/>
                <w:szCs w:val="28"/>
                <w:rtl/>
              </w:rPr>
            </w:pPr>
            <w:r w:rsidRPr="003438A6">
              <w:rPr>
                <w:rFonts w:cs="FrankRuehl"/>
                <w:sz w:val="28"/>
                <w:szCs w:val="28"/>
                <w:rtl/>
              </w:rPr>
              <w:t>ת"פ</w:t>
            </w:r>
            <w:r w:rsidRPr="003438A6">
              <w:rPr>
                <w:rFonts w:cs="FrankRuehl" w:hint="cs"/>
                <w:sz w:val="28"/>
                <w:szCs w:val="28"/>
                <w:rtl/>
              </w:rPr>
              <w:t xml:space="preserve"> </w:t>
            </w:r>
            <w:r w:rsidRPr="003438A6">
              <w:rPr>
                <w:rFonts w:cs="FrankRuehl"/>
                <w:sz w:val="28"/>
                <w:szCs w:val="28"/>
                <w:rtl/>
              </w:rPr>
              <w:t>19741-04-17</w:t>
            </w:r>
            <w:r w:rsidRPr="003438A6">
              <w:rPr>
                <w:rFonts w:cs="FrankRuehl" w:hint="cs"/>
                <w:sz w:val="28"/>
                <w:szCs w:val="28"/>
                <w:rtl/>
              </w:rPr>
              <w:t xml:space="preserve"> </w:t>
            </w:r>
            <w:r w:rsidRPr="003438A6">
              <w:rPr>
                <w:rFonts w:cs="FrankRuehl"/>
                <w:sz w:val="28"/>
                <w:szCs w:val="28"/>
                <w:rtl/>
              </w:rPr>
              <w:t>מדינת ישראל נ' כבהה(עציר)</w:t>
            </w:r>
          </w:p>
          <w:p w14:paraId="67996BAB" w14:textId="77777777" w:rsidR="006639D5" w:rsidRPr="003438A6" w:rsidRDefault="006639D5" w:rsidP="00EB4EFF">
            <w:pPr>
              <w:pStyle w:val="a3"/>
              <w:rPr>
                <w:rFonts w:cs="FrankRuehl"/>
                <w:sz w:val="28"/>
                <w:szCs w:val="28"/>
                <w:rtl/>
              </w:rPr>
            </w:pPr>
          </w:p>
        </w:tc>
        <w:tc>
          <w:tcPr>
            <w:tcW w:w="3672" w:type="dxa"/>
          </w:tcPr>
          <w:p w14:paraId="03C47B5B" w14:textId="77777777" w:rsidR="006639D5" w:rsidRPr="003438A6" w:rsidRDefault="006639D5" w:rsidP="00EB4EFF">
            <w:pPr>
              <w:pStyle w:val="a3"/>
              <w:jc w:val="right"/>
              <w:rPr>
                <w:rFonts w:cs="FrankRuehl"/>
                <w:b/>
                <w:bCs/>
                <w:sz w:val="28"/>
                <w:szCs w:val="28"/>
                <w:rtl/>
              </w:rPr>
            </w:pPr>
            <w:r w:rsidRPr="003438A6">
              <w:rPr>
                <w:rFonts w:cs="FrankRuehl" w:hint="cs"/>
                <w:b/>
                <w:bCs/>
                <w:sz w:val="28"/>
                <w:szCs w:val="28"/>
                <w:rtl/>
              </w:rPr>
              <w:t>13.09.17</w:t>
            </w:r>
          </w:p>
        </w:tc>
      </w:tr>
    </w:tbl>
    <w:p w14:paraId="2675DFD7" w14:textId="77777777" w:rsidR="006639D5" w:rsidRPr="003438A6" w:rsidRDefault="006639D5" w:rsidP="00904786">
      <w:pPr>
        <w:pStyle w:val="a3"/>
      </w:pPr>
      <w:r w:rsidRPr="003438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39D5" w:rsidRPr="003438A6" w14:paraId="5DAC4C57" w14:textId="77777777" w:rsidTr="006639D5">
        <w:trPr>
          <w:trHeight w:val="295"/>
          <w:jc w:val="center"/>
        </w:trPr>
        <w:tc>
          <w:tcPr>
            <w:tcW w:w="923" w:type="dxa"/>
            <w:tcBorders>
              <w:top w:val="nil"/>
              <w:left w:val="nil"/>
              <w:bottom w:val="nil"/>
              <w:right w:val="nil"/>
            </w:tcBorders>
            <w:shd w:val="clear" w:color="auto" w:fill="auto"/>
          </w:tcPr>
          <w:p w14:paraId="1318F57A" w14:textId="77777777" w:rsidR="006639D5" w:rsidRPr="003438A6" w:rsidRDefault="006639D5" w:rsidP="006639D5">
            <w:pPr>
              <w:jc w:val="both"/>
              <w:rPr>
                <w:rFonts w:ascii="Arial" w:hAnsi="Arial" w:cs="FrankRuehl"/>
                <w:sz w:val="28"/>
                <w:szCs w:val="28"/>
              </w:rPr>
            </w:pPr>
            <w:r w:rsidRPr="003438A6">
              <w:rPr>
                <w:rFonts w:ascii="Arial" w:hAnsi="Arial" w:cs="FrankRuehl" w:hint="cs"/>
                <w:sz w:val="28"/>
                <w:szCs w:val="28"/>
                <w:rtl/>
              </w:rPr>
              <w:t>ב</w:t>
            </w:r>
            <w:r w:rsidRPr="003438A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8E0FE7" w14:textId="77777777" w:rsidR="006639D5" w:rsidRPr="003438A6" w:rsidRDefault="006639D5" w:rsidP="00EB4EFF">
            <w:pPr>
              <w:rPr>
                <w:rFonts w:ascii="Arial" w:hAnsi="Arial"/>
                <w:b/>
                <w:bCs/>
                <w:rtl/>
              </w:rPr>
            </w:pPr>
            <w:r w:rsidRPr="003438A6">
              <w:rPr>
                <w:rFonts w:ascii="Arial" w:hAnsi="Arial" w:hint="cs"/>
                <w:b/>
                <w:bCs/>
                <w:rtl/>
              </w:rPr>
              <w:t>כבוד ה</w:t>
            </w:r>
            <w:r w:rsidRPr="003438A6">
              <w:rPr>
                <w:rFonts w:ascii="Arial" w:hAnsi="Arial"/>
                <w:b/>
                <w:bCs/>
                <w:rtl/>
              </w:rPr>
              <w:t>שופט</w:t>
            </w:r>
            <w:r w:rsidRPr="003438A6">
              <w:rPr>
                <w:rFonts w:ascii="Arial" w:hAnsi="Arial" w:hint="cs"/>
                <w:b/>
                <w:bCs/>
                <w:rtl/>
              </w:rPr>
              <w:t xml:space="preserve">  </w:t>
            </w:r>
            <w:r w:rsidRPr="003438A6">
              <w:rPr>
                <w:rFonts w:ascii="Arial" w:hAnsi="Arial"/>
                <w:b/>
                <w:bCs/>
                <w:rtl/>
              </w:rPr>
              <w:t>כמאל סעב</w:t>
            </w:r>
            <w:r w:rsidRPr="003438A6">
              <w:rPr>
                <w:rFonts w:ascii="Arial" w:hAnsi="Arial"/>
                <w:b/>
                <w:bCs/>
                <w:rtl/>
              </w:rPr>
              <w:br/>
            </w:r>
          </w:p>
          <w:p w14:paraId="4804EECE" w14:textId="77777777" w:rsidR="006639D5" w:rsidRPr="003438A6" w:rsidRDefault="006639D5" w:rsidP="00EB4EFF">
            <w:pPr>
              <w:rPr>
                <w:rtl/>
              </w:rPr>
            </w:pPr>
          </w:p>
          <w:p w14:paraId="004A1F2B" w14:textId="77777777" w:rsidR="006639D5" w:rsidRPr="003438A6" w:rsidRDefault="006639D5" w:rsidP="006639D5">
            <w:pPr>
              <w:jc w:val="both"/>
              <w:rPr>
                <w:rFonts w:ascii="Arial" w:hAnsi="Arial" w:cs="FrankRuehl"/>
                <w:sz w:val="28"/>
                <w:szCs w:val="28"/>
                <w:rtl/>
              </w:rPr>
            </w:pPr>
          </w:p>
          <w:p w14:paraId="369A6F4A" w14:textId="77777777" w:rsidR="006639D5" w:rsidRPr="003438A6" w:rsidRDefault="006639D5" w:rsidP="006639D5">
            <w:pPr>
              <w:jc w:val="both"/>
              <w:rPr>
                <w:rFonts w:ascii="Arial" w:hAnsi="Arial" w:cs="FrankRuehl"/>
                <w:sz w:val="28"/>
                <w:szCs w:val="28"/>
              </w:rPr>
            </w:pPr>
          </w:p>
        </w:tc>
      </w:tr>
      <w:tr w:rsidR="006639D5" w:rsidRPr="003438A6" w14:paraId="0853EE1A" w14:textId="77777777" w:rsidTr="006639D5">
        <w:trPr>
          <w:trHeight w:val="355"/>
          <w:jc w:val="center"/>
        </w:trPr>
        <w:tc>
          <w:tcPr>
            <w:tcW w:w="923" w:type="dxa"/>
            <w:tcBorders>
              <w:top w:val="nil"/>
              <w:left w:val="nil"/>
              <w:bottom w:val="nil"/>
              <w:right w:val="nil"/>
            </w:tcBorders>
            <w:shd w:val="clear" w:color="auto" w:fill="auto"/>
          </w:tcPr>
          <w:p w14:paraId="35F98165" w14:textId="77777777" w:rsidR="006639D5" w:rsidRPr="003438A6" w:rsidRDefault="006639D5" w:rsidP="006639D5">
            <w:pPr>
              <w:jc w:val="both"/>
              <w:rPr>
                <w:rFonts w:ascii="Arial" w:hAnsi="Arial" w:cs="FrankRuehl"/>
                <w:sz w:val="28"/>
                <w:szCs w:val="28"/>
              </w:rPr>
            </w:pPr>
            <w:bookmarkStart w:id="1" w:name="FirstAppellant"/>
            <w:r w:rsidRPr="003438A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FE5C6B9" w14:textId="77777777" w:rsidR="006639D5" w:rsidRPr="003438A6" w:rsidRDefault="006639D5" w:rsidP="00EB4EFF">
            <w:r w:rsidRPr="003438A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D058889" w14:textId="77777777" w:rsidR="006639D5" w:rsidRPr="003438A6" w:rsidRDefault="006639D5" w:rsidP="006639D5">
            <w:pPr>
              <w:jc w:val="both"/>
              <w:rPr>
                <w:rFonts w:ascii="Arial" w:hAnsi="Arial" w:cs="FrankRuehl"/>
                <w:sz w:val="28"/>
                <w:szCs w:val="28"/>
              </w:rPr>
            </w:pPr>
          </w:p>
        </w:tc>
      </w:tr>
      <w:bookmarkEnd w:id="1"/>
      <w:tr w:rsidR="006639D5" w:rsidRPr="003438A6" w14:paraId="4168F368" w14:textId="77777777" w:rsidTr="006639D5">
        <w:trPr>
          <w:trHeight w:val="355"/>
          <w:jc w:val="center"/>
        </w:trPr>
        <w:tc>
          <w:tcPr>
            <w:tcW w:w="923" w:type="dxa"/>
            <w:tcBorders>
              <w:top w:val="nil"/>
              <w:left w:val="nil"/>
              <w:bottom w:val="nil"/>
              <w:right w:val="nil"/>
            </w:tcBorders>
            <w:shd w:val="clear" w:color="auto" w:fill="auto"/>
          </w:tcPr>
          <w:p w14:paraId="16E21884" w14:textId="77777777" w:rsidR="006639D5" w:rsidRPr="003438A6" w:rsidRDefault="006639D5" w:rsidP="006639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AD334D9" w14:textId="77777777" w:rsidR="006639D5" w:rsidRPr="003438A6" w:rsidRDefault="006639D5" w:rsidP="006639D5">
            <w:pPr>
              <w:jc w:val="both"/>
              <w:rPr>
                <w:rtl/>
              </w:rPr>
            </w:pPr>
          </w:p>
          <w:p w14:paraId="139F722E" w14:textId="77777777" w:rsidR="006639D5" w:rsidRPr="003438A6" w:rsidRDefault="006639D5" w:rsidP="006639D5">
            <w:pPr>
              <w:jc w:val="both"/>
              <w:rPr>
                <w:rtl/>
              </w:rPr>
            </w:pPr>
          </w:p>
          <w:p w14:paraId="66EC003D" w14:textId="77777777" w:rsidR="006639D5" w:rsidRPr="003438A6" w:rsidRDefault="006639D5" w:rsidP="006639D5">
            <w:pPr>
              <w:jc w:val="both"/>
              <w:rPr>
                <w:rtl/>
              </w:rPr>
            </w:pPr>
          </w:p>
        </w:tc>
        <w:tc>
          <w:tcPr>
            <w:tcW w:w="3771" w:type="dxa"/>
            <w:tcBorders>
              <w:top w:val="nil"/>
              <w:left w:val="nil"/>
              <w:bottom w:val="nil"/>
              <w:right w:val="nil"/>
            </w:tcBorders>
            <w:shd w:val="clear" w:color="auto" w:fill="auto"/>
          </w:tcPr>
          <w:p w14:paraId="06D2007A" w14:textId="77777777" w:rsidR="006639D5" w:rsidRPr="003438A6" w:rsidRDefault="006639D5" w:rsidP="006639D5">
            <w:pPr>
              <w:jc w:val="right"/>
              <w:rPr>
                <w:rFonts w:ascii="Arial" w:hAnsi="Arial" w:cs="FrankRuehl"/>
                <w:sz w:val="28"/>
                <w:szCs w:val="28"/>
                <w:rtl/>
              </w:rPr>
            </w:pPr>
            <w:r w:rsidRPr="003438A6">
              <w:rPr>
                <w:rFonts w:ascii="Arial" w:hAnsi="Arial" w:cs="FrankRuehl" w:hint="cs"/>
                <w:sz w:val="28"/>
                <w:szCs w:val="28"/>
                <w:rtl/>
              </w:rPr>
              <w:t>ה</w:t>
            </w:r>
            <w:r w:rsidRPr="003438A6">
              <w:rPr>
                <w:rFonts w:ascii="Arial" w:hAnsi="Arial" w:cs="FrankRuehl"/>
                <w:b/>
                <w:bCs/>
                <w:sz w:val="28"/>
                <w:szCs w:val="28"/>
                <w:rtl/>
              </w:rPr>
              <w:t>מאשימה</w:t>
            </w:r>
          </w:p>
        </w:tc>
      </w:tr>
      <w:tr w:rsidR="006639D5" w:rsidRPr="003438A6" w14:paraId="0332F946" w14:textId="77777777" w:rsidTr="006639D5">
        <w:trPr>
          <w:trHeight w:val="355"/>
          <w:jc w:val="center"/>
        </w:trPr>
        <w:tc>
          <w:tcPr>
            <w:tcW w:w="923" w:type="dxa"/>
            <w:tcBorders>
              <w:top w:val="nil"/>
              <w:left w:val="nil"/>
              <w:bottom w:val="nil"/>
              <w:right w:val="nil"/>
            </w:tcBorders>
            <w:shd w:val="clear" w:color="auto" w:fill="auto"/>
          </w:tcPr>
          <w:p w14:paraId="724EA143" w14:textId="77777777" w:rsidR="006639D5" w:rsidRPr="003438A6" w:rsidRDefault="006639D5" w:rsidP="006639D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D8D884A" w14:textId="77777777" w:rsidR="006639D5" w:rsidRPr="003438A6" w:rsidRDefault="006639D5" w:rsidP="006639D5">
            <w:pPr>
              <w:jc w:val="center"/>
              <w:rPr>
                <w:rFonts w:ascii="Arial" w:hAnsi="Arial" w:cs="FrankRuehl"/>
                <w:b/>
                <w:bCs/>
                <w:sz w:val="28"/>
                <w:szCs w:val="28"/>
                <w:rtl/>
              </w:rPr>
            </w:pPr>
          </w:p>
          <w:p w14:paraId="49B26FF3" w14:textId="77777777" w:rsidR="006639D5" w:rsidRPr="003438A6" w:rsidRDefault="006639D5" w:rsidP="006639D5">
            <w:pPr>
              <w:jc w:val="center"/>
              <w:rPr>
                <w:rFonts w:ascii="Arial" w:hAnsi="Arial" w:cs="FrankRuehl"/>
                <w:b/>
                <w:bCs/>
                <w:sz w:val="28"/>
                <w:szCs w:val="28"/>
                <w:rtl/>
              </w:rPr>
            </w:pPr>
            <w:r w:rsidRPr="003438A6">
              <w:rPr>
                <w:rFonts w:ascii="Arial" w:hAnsi="Arial" w:cs="FrankRuehl"/>
                <w:b/>
                <w:bCs/>
                <w:sz w:val="28"/>
                <w:szCs w:val="28"/>
                <w:rtl/>
              </w:rPr>
              <w:t>נגד</w:t>
            </w:r>
          </w:p>
          <w:p w14:paraId="5D7D9AC9" w14:textId="77777777" w:rsidR="006639D5" w:rsidRPr="003438A6" w:rsidRDefault="006639D5" w:rsidP="006639D5">
            <w:pPr>
              <w:jc w:val="both"/>
              <w:rPr>
                <w:rFonts w:ascii="Arial" w:hAnsi="Arial" w:cs="FrankRuehl"/>
                <w:sz w:val="28"/>
                <w:szCs w:val="28"/>
                <w:rtl/>
              </w:rPr>
            </w:pPr>
          </w:p>
          <w:p w14:paraId="36A8053C" w14:textId="77777777" w:rsidR="006639D5" w:rsidRPr="003438A6" w:rsidRDefault="006639D5" w:rsidP="006639D5">
            <w:pPr>
              <w:jc w:val="both"/>
              <w:rPr>
                <w:rFonts w:ascii="Arial" w:hAnsi="Arial" w:cs="FrankRuehl"/>
                <w:sz w:val="28"/>
                <w:szCs w:val="28"/>
                <w:rtl/>
              </w:rPr>
            </w:pPr>
          </w:p>
          <w:p w14:paraId="66DD9E12" w14:textId="77777777" w:rsidR="006639D5" w:rsidRPr="003438A6" w:rsidRDefault="006639D5" w:rsidP="006639D5">
            <w:pPr>
              <w:jc w:val="both"/>
              <w:rPr>
                <w:rFonts w:ascii="Arial" w:hAnsi="Arial" w:cs="FrankRuehl"/>
                <w:sz w:val="28"/>
                <w:szCs w:val="28"/>
                <w:rtl/>
              </w:rPr>
            </w:pPr>
          </w:p>
          <w:p w14:paraId="5F05F91F" w14:textId="77777777" w:rsidR="006639D5" w:rsidRPr="003438A6" w:rsidRDefault="006639D5" w:rsidP="006639D5">
            <w:pPr>
              <w:jc w:val="both"/>
              <w:rPr>
                <w:rFonts w:ascii="Arial" w:hAnsi="Arial" w:cs="FrankRuehl"/>
                <w:sz w:val="28"/>
                <w:szCs w:val="28"/>
              </w:rPr>
            </w:pPr>
          </w:p>
        </w:tc>
      </w:tr>
      <w:tr w:rsidR="006639D5" w:rsidRPr="003438A6" w14:paraId="0A3092B0" w14:textId="77777777" w:rsidTr="006639D5">
        <w:trPr>
          <w:trHeight w:val="355"/>
          <w:jc w:val="center"/>
        </w:trPr>
        <w:tc>
          <w:tcPr>
            <w:tcW w:w="923" w:type="dxa"/>
            <w:tcBorders>
              <w:top w:val="nil"/>
              <w:left w:val="nil"/>
              <w:bottom w:val="nil"/>
              <w:right w:val="nil"/>
            </w:tcBorders>
            <w:shd w:val="clear" w:color="auto" w:fill="auto"/>
          </w:tcPr>
          <w:p w14:paraId="5591B231" w14:textId="77777777" w:rsidR="006639D5" w:rsidRPr="003438A6" w:rsidRDefault="006639D5" w:rsidP="00EB4EFF">
            <w:pPr>
              <w:rPr>
                <w:rFonts w:ascii="Arial" w:hAnsi="Arial" w:cs="FrankRuehl"/>
                <w:sz w:val="28"/>
                <w:szCs w:val="28"/>
                <w:rtl/>
              </w:rPr>
            </w:pPr>
          </w:p>
        </w:tc>
        <w:tc>
          <w:tcPr>
            <w:tcW w:w="4126" w:type="dxa"/>
            <w:tcBorders>
              <w:top w:val="nil"/>
              <w:left w:val="nil"/>
              <w:bottom w:val="nil"/>
              <w:right w:val="nil"/>
            </w:tcBorders>
            <w:shd w:val="clear" w:color="auto" w:fill="auto"/>
          </w:tcPr>
          <w:p w14:paraId="516DF1BF" w14:textId="77777777" w:rsidR="006639D5" w:rsidRPr="003438A6" w:rsidRDefault="006639D5" w:rsidP="00EB4EFF">
            <w:pPr>
              <w:rPr>
                <w:rFonts w:hint="cs"/>
                <w:rtl/>
              </w:rPr>
            </w:pPr>
            <w:r w:rsidRPr="003438A6">
              <w:rPr>
                <w:rFonts w:ascii="Arial" w:hAnsi="Arial" w:cs="FrankRuehl"/>
                <w:b/>
                <w:bCs/>
                <w:sz w:val="28"/>
                <w:szCs w:val="28"/>
                <w:rtl/>
              </w:rPr>
              <w:t>אחמד כבהה (עציר)</w:t>
            </w:r>
          </w:p>
        </w:tc>
        <w:tc>
          <w:tcPr>
            <w:tcW w:w="3771" w:type="dxa"/>
            <w:tcBorders>
              <w:top w:val="nil"/>
              <w:left w:val="nil"/>
              <w:bottom w:val="nil"/>
              <w:right w:val="nil"/>
            </w:tcBorders>
            <w:shd w:val="clear" w:color="auto" w:fill="auto"/>
          </w:tcPr>
          <w:p w14:paraId="01E0051B" w14:textId="77777777" w:rsidR="006639D5" w:rsidRPr="003438A6" w:rsidRDefault="006639D5" w:rsidP="006639D5">
            <w:pPr>
              <w:jc w:val="right"/>
              <w:rPr>
                <w:rFonts w:ascii="Arial" w:hAnsi="Arial" w:cs="FrankRuehl"/>
                <w:sz w:val="28"/>
                <w:szCs w:val="28"/>
              </w:rPr>
            </w:pPr>
          </w:p>
        </w:tc>
      </w:tr>
      <w:tr w:rsidR="006639D5" w:rsidRPr="003438A6" w14:paraId="066A944E" w14:textId="77777777" w:rsidTr="006639D5">
        <w:trPr>
          <w:trHeight w:val="347"/>
          <w:jc w:val="center"/>
        </w:trPr>
        <w:tc>
          <w:tcPr>
            <w:tcW w:w="923" w:type="dxa"/>
            <w:tcBorders>
              <w:top w:val="nil"/>
              <w:left w:val="nil"/>
              <w:bottom w:val="nil"/>
              <w:right w:val="nil"/>
            </w:tcBorders>
            <w:shd w:val="clear" w:color="auto" w:fill="auto"/>
          </w:tcPr>
          <w:p w14:paraId="04780E0F" w14:textId="77777777" w:rsidR="006639D5" w:rsidRPr="003438A6" w:rsidRDefault="006639D5" w:rsidP="006639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C00EB0" w14:textId="77777777" w:rsidR="006639D5" w:rsidRPr="003438A6" w:rsidRDefault="006639D5" w:rsidP="006639D5">
            <w:pPr>
              <w:jc w:val="both"/>
              <w:rPr>
                <w:b/>
                <w:bCs/>
                <w:rtl/>
              </w:rPr>
            </w:pPr>
          </w:p>
        </w:tc>
        <w:tc>
          <w:tcPr>
            <w:tcW w:w="3771" w:type="dxa"/>
            <w:tcBorders>
              <w:top w:val="nil"/>
              <w:left w:val="nil"/>
              <w:bottom w:val="nil"/>
              <w:right w:val="nil"/>
            </w:tcBorders>
            <w:shd w:val="clear" w:color="auto" w:fill="auto"/>
          </w:tcPr>
          <w:p w14:paraId="3F0037D4" w14:textId="77777777" w:rsidR="006639D5" w:rsidRPr="003438A6" w:rsidRDefault="006639D5" w:rsidP="006639D5">
            <w:pPr>
              <w:jc w:val="right"/>
              <w:rPr>
                <w:rFonts w:ascii="Arial" w:hAnsi="Arial" w:cs="FrankRuehl"/>
                <w:b/>
                <w:bCs/>
                <w:sz w:val="28"/>
                <w:szCs w:val="28"/>
              </w:rPr>
            </w:pPr>
            <w:r w:rsidRPr="003438A6">
              <w:rPr>
                <w:rFonts w:ascii="Arial" w:hAnsi="Arial" w:cs="FrankRuehl" w:hint="cs"/>
                <w:b/>
                <w:bCs/>
                <w:sz w:val="28"/>
                <w:szCs w:val="28"/>
                <w:rtl/>
              </w:rPr>
              <w:t>ה</w:t>
            </w:r>
            <w:r w:rsidRPr="003438A6">
              <w:rPr>
                <w:rFonts w:ascii="Arial" w:hAnsi="Arial" w:cs="FrankRuehl"/>
                <w:b/>
                <w:bCs/>
                <w:sz w:val="28"/>
                <w:szCs w:val="28"/>
                <w:rtl/>
              </w:rPr>
              <w:t>נאש</w:t>
            </w:r>
            <w:r w:rsidRPr="003438A6">
              <w:rPr>
                <w:rFonts w:ascii="Arial" w:hAnsi="Arial" w:cs="FrankRuehl" w:hint="cs"/>
                <w:b/>
                <w:bCs/>
                <w:sz w:val="28"/>
                <w:szCs w:val="28"/>
                <w:rtl/>
              </w:rPr>
              <w:t>ם</w:t>
            </w:r>
          </w:p>
        </w:tc>
      </w:tr>
    </w:tbl>
    <w:p w14:paraId="41C825CA" w14:textId="77777777" w:rsidR="00904786" w:rsidRDefault="00904786" w:rsidP="00904786">
      <w:pPr>
        <w:pStyle w:val="a3"/>
        <w:rPr>
          <w:rtl/>
        </w:rPr>
      </w:pPr>
    </w:p>
    <w:p w14:paraId="365E8BBA" w14:textId="77777777" w:rsidR="00904786" w:rsidRPr="003438A6" w:rsidRDefault="00904786" w:rsidP="00904786">
      <w:pPr>
        <w:pStyle w:val="a3"/>
        <w:spacing w:after="120" w:line="240" w:lineRule="exact"/>
        <w:ind w:left="283" w:hanging="283"/>
        <w:jc w:val="both"/>
        <w:rPr>
          <w:rFonts w:ascii="FrankRuehl" w:hAnsi="FrankRuehl" w:cs="FrankRuehl"/>
          <w:rtl/>
        </w:rPr>
      </w:pPr>
    </w:p>
    <w:p w14:paraId="64233423" w14:textId="77777777" w:rsidR="00904786" w:rsidRPr="003438A6" w:rsidRDefault="00904786" w:rsidP="00904786">
      <w:pPr>
        <w:pStyle w:val="a3"/>
        <w:spacing w:after="120" w:line="240" w:lineRule="exact"/>
        <w:ind w:left="283" w:hanging="283"/>
        <w:jc w:val="both"/>
        <w:rPr>
          <w:rFonts w:ascii="FrankRuehl" w:hAnsi="FrankRuehl" w:cs="FrankRuehl"/>
          <w:rtl/>
        </w:rPr>
      </w:pPr>
      <w:r w:rsidRPr="003438A6">
        <w:rPr>
          <w:rFonts w:ascii="FrankRuehl" w:hAnsi="FrankRuehl" w:cs="FrankRuehl"/>
          <w:rtl/>
        </w:rPr>
        <w:t xml:space="preserve">חקיקה שאוזכרה: </w:t>
      </w:r>
    </w:p>
    <w:p w14:paraId="35940D30" w14:textId="77777777" w:rsidR="00904786" w:rsidRPr="003438A6" w:rsidRDefault="00904786" w:rsidP="00904786">
      <w:pPr>
        <w:pStyle w:val="a3"/>
        <w:spacing w:after="120" w:line="240" w:lineRule="exact"/>
        <w:ind w:left="283" w:hanging="283"/>
        <w:jc w:val="both"/>
        <w:rPr>
          <w:rFonts w:ascii="FrankRuehl" w:hAnsi="FrankRuehl" w:cs="FrankRuehl"/>
          <w:rtl/>
        </w:rPr>
      </w:pPr>
      <w:hyperlink r:id="rId7" w:history="1">
        <w:r w:rsidRPr="003438A6">
          <w:rPr>
            <w:rFonts w:ascii="FrankRuehl" w:hAnsi="FrankRuehl" w:cs="FrankRuehl"/>
            <w:color w:val="0000FF"/>
            <w:u w:val="single"/>
            <w:rtl/>
          </w:rPr>
          <w:t>חוק העונשין, תשל"ז-1977</w:t>
        </w:r>
      </w:hyperlink>
    </w:p>
    <w:p w14:paraId="0BCAC88D" w14:textId="77777777" w:rsidR="00904786" w:rsidRPr="003438A6" w:rsidRDefault="00904786" w:rsidP="00904786">
      <w:pPr>
        <w:pStyle w:val="a3"/>
        <w:spacing w:after="120" w:line="240" w:lineRule="exact"/>
        <w:ind w:left="283" w:hanging="283"/>
        <w:jc w:val="both"/>
        <w:rPr>
          <w:rFonts w:ascii="FrankRuehl" w:hAnsi="FrankRuehl" w:cs="FrankRuehl"/>
          <w:rtl/>
        </w:rPr>
      </w:pPr>
    </w:p>
    <w:p w14:paraId="7D7C8217" w14:textId="77777777" w:rsidR="006639D5" w:rsidRPr="003438A6" w:rsidRDefault="006639D5" w:rsidP="006639D5">
      <w:pPr>
        <w:rPr>
          <w:rtl/>
        </w:rPr>
      </w:pPr>
    </w:p>
    <w:p w14:paraId="2C97A764" w14:textId="77777777" w:rsidR="006639D5" w:rsidRPr="003438A6" w:rsidRDefault="006639D5" w:rsidP="006639D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39D5" w:rsidRPr="003438A6" w14:paraId="3CD02DB4" w14:textId="77777777" w:rsidTr="006639D5">
        <w:trPr>
          <w:trHeight w:val="355"/>
          <w:jc w:val="center"/>
        </w:trPr>
        <w:tc>
          <w:tcPr>
            <w:tcW w:w="8820" w:type="dxa"/>
            <w:tcBorders>
              <w:top w:val="nil"/>
              <w:left w:val="nil"/>
              <w:bottom w:val="nil"/>
              <w:right w:val="nil"/>
            </w:tcBorders>
            <w:shd w:val="clear" w:color="auto" w:fill="auto"/>
          </w:tcPr>
          <w:p w14:paraId="50FD64B2" w14:textId="77777777" w:rsidR="006639D5" w:rsidRPr="003438A6" w:rsidRDefault="006639D5" w:rsidP="006639D5">
            <w:pPr>
              <w:spacing w:line="360" w:lineRule="auto"/>
              <w:rPr>
                <w:rtl/>
              </w:rPr>
            </w:pPr>
            <w:bookmarkStart w:id="2" w:name="FirstLawyer"/>
            <w:r w:rsidRPr="003438A6">
              <w:rPr>
                <w:rtl/>
              </w:rPr>
              <w:t>ב"כ המאשימה: עו"ד יניב זוהר.</w:t>
            </w:r>
          </w:p>
          <w:p w14:paraId="240CD170" w14:textId="77777777" w:rsidR="006639D5" w:rsidRPr="003438A6" w:rsidRDefault="006639D5" w:rsidP="006639D5">
            <w:pPr>
              <w:spacing w:line="360" w:lineRule="auto"/>
              <w:rPr>
                <w:rtl/>
              </w:rPr>
            </w:pPr>
            <w:r w:rsidRPr="003438A6">
              <w:rPr>
                <w:rtl/>
              </w:rPr>
              <w:t>ב"כ הנאשם: עו"ד מוחמד ענבוסי.</w:t>
            </w:r>
          </w:p>
          <w:p w14:paraId="1ACB8830" w14:textId="77777777" w:rsidR="00FE1233" w:rsidRDefault="00FE1233" w:rsidP="00EB4EFF">
            <w:pPr>
              <w:rPr>
                <w:rFonts w:ascii="Arial" w:hAnsi="Arial" w:cs="FrankRuehl"/>
                <w:b/>
                <w:bCs/>
                <w:sz w:val="32"/>
                <w:szCs w:val="32"/>
                <w:rtl/>
              </w:rPr>
            </w:pPr>
          </w:p>
          <w:p w14:paraId="0D344C64" w14:textId="77777777" w:rsidR="00FE1233" w:rsidRDefault="00FE1233" w:rsidP="00EB4EFF">
            <w:pPr>
              <w:rPr>
                <w:rFonts w:ascii="Arial" w:hAnsi="Arial" w:cs="FrankRuehl"/>
                <w:b/>
                <w:bCs/>
                <w:sz w:val="32"/>
                <w:szCs w:val="32"/>
                <w:rtl/>
              </w:rPr>
            </w:pPr>
          </w:p>
          <w:p w14:paraId="2A635F96" w14:textId="77777777" w:rsidR="006639D5" w:rsidRPr="003438A6" w:rsidRDefault="006639D5" w:rsidP="00EB4EFF">
            <w:pPr>
              <w:rPr>
                <w:rFonts w:ascii="Arial" w:hAnsi="Arial" w:cs="FrankRuehl"/>
                <w:b/>
                <w:bCs/>
                <w:sz w:val="32"/>
                <w:szCs w:val="32"/>
                <w:rtl/>
              </w:rPr>
            </w:pPr>
          </w:p>
          <w:p w14:paraId="4156CD5E" w14:textId="77777777" w:rsidR="00FE1233" w:rsidRDefault="00FE1233" w:rsidP="006639D5">
            <w:pPr>
              <w:jc w:val="center"/>
              <w:rPr>
                <w:rFonts w:ascii="Arial" w:hAnsi="Arial" w:cs="FrankRuehl"/>
                <w:sz w:val="32"/>
                <w:szCs w:val="32"/>
                <w:rtl/>
              </w:rPr>
            </w:pPr>
            <w:bookmarkStart w:id="3" w:name="PsakDin"/>
            <w:bookmarkStart w:id="4" w:name="LawTable"/>
            <w:bookmarkEnd w:id="4"/>
          </w:p>
          <w:p w14:paraId="3A115AC0" w14:textId="77777777" w:rsidR="00FE1233" w:rsidRPr="00FE1233" w:rsidRDefault="00FE1233" w:rsidP="00FE1233">
            <w:pPr>
              <w:spacing w:after="120" w:line="240" w:lineRule="exact"/>
              <w:ind w:left="283" w:hanging="283"/>
              <w:jc w:val="both"/>
              <w:rPr>
                <w:rFonts w:ascii="FrankRuehl" w:hAnsi="FrankRuehl" w:cs="FrankRuehl"/>
                <w:rtl/>
              </w:rPr>
            </w:pPr>
          </w:p>
          <w:p w14:paraId="46D35C27" w14:textId="77777777" w:rsidR="00FE1233" w:rsidRPr="00FE1233" w:rsidRDefault="00FE1233" w:rsidP="00FE1233">
            <w:pPr>
              <w:spacing w:after="120" w:line="240" w:lineRule="exact"/>
              <w:ind w:left="283" w:hanging="283"/>
              <w:jc w:val="both"/>
              <w:rPr>
                <w:rFonts w:ascii="FrankRuehl" w:hAnsi="FrankRuehl" w:cs="FrankRuehl"/>
                <w:rtl/>
              </w:rPr>
            </w:pPr>
            <w:r w:rsidRPr="00FE1233">
              <w:rPr>
                <w:rFonts w:ascii="FrankRuehl" w:hAnsi="FrankRuehl" w:cs="FrankRuehl"/>
                <w:rtl/>
              </w:rPr>
              <w:t xml:space="preserve">חקיקה שאוזכרה: </w:t>
            </w:r>
          </w:p>
          <w:p w14:paraId="35832D4B" w14:textId="77777777" w:rsidR="00FE1233" w:rsidRPr="00FE1233" w:rsidRDefault="00FE1233" w:rsidP="00FE1233">
            <w:pPr>
              <w:spacing w:after="120" w:line="240" w:lineRule="exact"/>
              <w:ind w:left="283" w:hanging="283"/>
              <w:jc w:val="both"/>
              <w:rPr>
                <w:rFonts w:ascii="FrankRuehl" w:hAnsi="FrankRuehl" w:cs="FrankRuehl"/>
                <w:rtl/>
              </w:rPr>
            </w:pPr>
            <w:hyperlink r:id="rId8" w:history="1">
              <w:r w:rsidRPr="00FE1233">
                <w:rPr>
                  <w:rFonts w:ascii="FrankRuehl" w:hAnsi="FrankRuehl" w:cs="FrankRuehl"/>
                  <w:color w:val="0000FF"/>
                  <w:u w:val="single"/>
                  <w:rtl/>
                </w:rPr>
                <w:t>חוק העונשין, תשל"ז-1977</w:t>
              </w:r>
            </w:hyperlink>
            <w:r w:rsidRPr="00FE1233">
              <w:rPr>
                <w:rFonts w:ascii="FrankRuehl" w:hAnsi="FrankRuehl" w:cs="FrankRuehl"/>
                <w:rtl/>
              </w:rPr>
              <w:t xml:space="preserve">: סע'  </w:t>
            </w:r>
            <w:hyperlink r:id="rId9" w:history="1">
              <w:r w:rsidRPr="00FE1233">
                <w:rPr>
                  <w:rFonts w:ascii="FrankRuehl" w:hAnsi="FrankRuehl" w:cs="FrankRuehl"/>
                  <w:color w:val="0000FF"/>
                  <w:u w:val="single"/>
                  <w:rtl/>
                </w:rPr>
                <w:t>40ג (ב)</w:t>
              </w:r>
            </w:hyperlink>
            <w:r w:rsidRPr="00FE1233">
              <w:rPr>
                <w:rFonts w:ascii="FrankRuehl" w:hAnsi="FrankRuehl" w:cs="FrankRuehl"/>
                <w:rtl/>
              </w:rPr>
              <w:t xml:space="preserve">, </w:t>
            </w:r>
            <w:hyperlink r:id="rId10" w:history="1">
              <w:r w:rsidRPr="00FE1233">
                <w:rPr>
                  <w:rFonts w:ascii="FrankRuehl" w:hAnsi="FrankRuehl" w:cs="FrankRuehl"/>
                  <w:color w:val="0000FF"/>
                  <w:u w:val="single"/>
                  <w:rtl/>
                </w:rPr>
                <w:t>40ט(א)</w:t>
              </w:r>
            </w:hyperlink>
            <w:r w:rsidRPr="00FE1233">
              <w:rPr>
                <w:rFonts w:ascii="FrankRuehl" w:hAnsi="FrankRuehl" w:cs="FrankRuehl"/>
                <w:rtl/>
              </w:rPr>
              <w:t xml:space="preserve">, </w:t>
            </w:r>
            <w:hyperlink r:id="rId11" w:history="1">
              <w:r w:rsidRPr="00FE1233">
                <w:rPr>
                  <w:rFonts w:ascii="FrankRuehl" w:hAnsi="FrankRuehl" w:cs="FrankRuehl"/>
                  <w:color w:val="0000FF"/>
                  <w:u w:val="single"/>
                  <w:rtl/>
                </w:rPr>
                <w:t>144</w:t>
              </w:r>
            </w:hyperlink>
            <w:r w:rsidRPr="00FE1233">
              <w:rPr>
                <w:rFonts w:ascii="FrankRuehl" w:hAnsi="FrankRuehl" w:cs="FrankRuehl"/>
                <w:rtl/>
              </w:rPr>
              <w:t xml:space="preserve">, </w:t>
            </w:r>
            <w:hyperlink r:id="rId12" w:history="1">
              <w:r w:rsidRPr="00FE1233">
                <w:rPr>
                  <w:rFonts w:ascii="FrankRuehl" w:hAnsi="FrankRuehl" w:cs="FrankRuehl"/>
                  <w:color w:val="0000FF"/>
                  <w:u w:val="single"/>
                  <w:rtl/>
                </w:rPr>
                <w:t>144(א)</w:t>
              </w:r>
            </w:hyperlink>
            <w:r w:rsidRPr="00FE1233">
              <w:rPr>
                <w:rFonts w:ascii="FrankRuehl" w:hAnsi="FrankRuehl" w:cs="FrankRuehl"/>
                <w:rtl/>
              </w:rPr>
              <w:t xml:space="preserve">, </w:t>
            </w:r>
            <w:hyperlink r:id="rId13" w:history="1">
              <w:r w:rsidRPr="00FE1233">
                <w:rPr>
                  <w:rFonts w:ascii="FrankRuehl" w:hAnsi="FrankRuehl" w:cs="FrankRuehl"/>
                  <w:color w:val="0000FF"/>
                  <w:u w:val="single"/>
                  <w:rtl/>
                </w:rPr>
                <w:t>383(א)(1)</w:t>
              </w:r>
            </w:hyperlink>
            <w:r w:rsidRPr="00FE1233">
              <w:rPr>
                <w:rFonts w:ascii="FrankRuehl" w:hAnsi="FrankRuehl" w:cs="FrankRuehl"/>
                <w:rtl/>
              </w:rPr>
              <w:t xml:space="preserve">, </w:t>
            </w:r>
            <w:hyperlink r:id="rId14" w:history="1">
              <w:r w:rsidRPr="00FE1233">
                <w:rPr>
                  <w:rFonts w:ascii="FrankRuehl" w:hAnsi="FrankRuehl" w:cs="FrankRuehl"/>
                  <w:color w:val="0000FF"/>
                  <w:u w:val="single"/>
                  <w:rtl/>
                </w:rPr>
                <w:t>384</w:t>
              </w:r>
            </w:hyperlink>
            <w:r w:rsidRPr="00FE1233">
              <w:rPr>
                <w:rFonts w:ascii="FrankRuehl" w:hAnsi="FrankRuehl" w:cs="FrankRuehl"/>
                <w:rtl/>
              </w:rPr>
              <w:t xml:space="preserve">, </w:t>
            </w:r>
            <w:hyperlink r:id="rId15" w:history="1">
              <w:r w:rsidRPr="00FE1233">
                <w:rPr>
                  <w:rFonts w:ascii="FrankRuehl" w:hAnsi="FrankRuehl" w:cs="FrankRuehl"/>
                  <w:color w:val="0000FF"/>
                  <w:u w:val="single"/>
                  <w:rtl/>
                </w:rPr>
                <w:t>40יא</w:t>
              </w:r>
            </w:hyperlink>
            <w:r w:rsidRPr="00FE1233">
              <w:rPr>
                <w:rFonts w:ascii="FrankRuehl" w:hAnsi="FrankRuehl" w:cs="FrankRuehl"/>
                <w:rtl/>
              </w:rPr>
              <w:t xml:space="preserve">, </w:t>
            </w:r>
            <w:hyperlink r:id="rId16" w:history="1">
              <w:r w:rsidRPr="00FE1233">
                <w:rPr>
                  <w:rFonts w:ascii="FrankRuehl" w:hAnsi="FrankRuehl" w:cs="FrankRuehl"/>
                  <w:color w:val="0000FF"/>
                  <w:u w:val="single"/>
                  <w:rtl/>
                </w:rPr>
                <w:t>40יג)</w:t>
              </w:r>
            </w:hyperlink>
          </w:p>
          <w:p w14:paraId="046D6A05" w14:textId="77777777" w:rsidR="00FE1233" w:rsidRPr="00FE1233" w:rsidRDefault="00FE1233" w:rsidP="00FE1233">
            <w:pPr>
              <w:spacing w:after="120" w:line="240" w:lineRule="exact"/>
              <w:ind w:left="283" w:hanging="283"/>
              <w:jc w:val="both"/>
              <w:rPr>
                <w:rFonts w:ascii="FrankRuehl" w:hAnsi="FrankRuehl" w:cs="FrankRuehl"/>
                <w:rtl/>
              </w:rPr>
            </w:pPr>
          </w:p>
          <w:p w14:paraId="7488F823" w14:textId="77777777" w:rsidR="00FE1233" w:rsidRPr="00FE1233" w:rsidRDefault="00FE1233" w:rsidP="006639D5">
            <w:pPr>
              <w:jc w:val="center"/>
              <w:rPr>
                <w:rFonts w:ascii="Arial" w:hAnsi="Arial" w:cs="FrankRuehl"/>
                <w:sz w:val="32"/>
                <w:szCs w:val="32"/>
                <w:rtl/>
              </w:rPr>
            </w:pPr>
            <w:bookmarkStart w:id="5" w:name="LawTable_End"/>
            <w:bookmarkEnd w:id="5"/>
          </w:p>
          <w:p w14:paraId="45A44B01" w14:textId="77777777" w:rsidR="00FE1233" w:rsidRPr="00FE1233" w:rsidRDefault="00FE1233" w:rsidP="006639D5">
            <w:pPr>
              <w:jc w:val="center"/>
              <w:rPr>
                <w:rFonts w:ascii="Arial" w:hAnsi="Arial" w:cs="FrankRuehl"/>
                <w:sz w:val="32"/>
                <w:szCs w:val="32"/>
                <w:rtl/>
              </w:rPr>
            </w:pPr>
          </w:p>
          <w:p w14:paraId="4ADE3B9B" w14:textId="77777777" w:rsidR="00904786" w:rsidRDefault="00904786" w:rsidP="006639D5">
            <w:pPr>
              <w:jc w:val="center"/>
              <w:rPr>
                <w:rFonts w:ascii="Arial" w:hAnsi="Arial" w:cs="FrankRuehl" w:hint="cs"/>
                <w:sz w:val="32"/>
                <w:szCs w:val="32"/>
                <w:rtl/>
              </w:rPr>
            </w:pPr>
          </w:p>
          <w:p w14:paraId="4AA185C5" w14:textId="77777777" w:rsidR="00904786" w:rsidRDefault="00904786" w:rsidP="006639D5">
            <w:pPr>
              <w:jc w:val="center"/>
              <w:rPr>
                <w:rFonts w:ascii="Arial" w:hAnsi="Arial" w:cs="FrankRuehl" w:hint="cs"/>
                <w:sz w:val="32"/>
                <w:szCs w:val="32"/>
                <w:rtl/>
              </w:rPr>
            </w:pPr>
          </w:p>
          <w:p w14:paraId="3195B5F4" w14:textId="77777777" w:rsidR="00904786" w:rsidRDefault="00904786" w:rsidP="006639D5">
            <w:pPr>
              <w:jc w:val="center"/>
              <w:rPr>
                <w:rFonts w:ascii="Arial" w:hAnsi="Arial" w:cs="FrankRuehl" w:hint="cs"/>
                <w:sz w:val="32"/>
                <w:szCs w:val="32"/>
                <w:rtl/>
              </w:rPr>
            </w:pPr>
          </w:p>
          <w:p w14:paraId="57720DE2" w14:textId="77777777" w:rsidR="00904786" w:rsidRDefault="00904786" w:rsidP="006639D5">
            <w:pPr>
              <w:jc w:val="center"/>
              <w:rPr>
                <w:rFonts w:ascii="Arial" w:hAnsi="Arial" w:cs="FrankRuehl" w:hint="cs"/>
                <w:sz w:val="32"/>
                <w:szCs w:val="32"/>
                <w:rtl/>
              </w:rPr>
            </w:pPr>
          </w:p>
          <w:p w14:paraId="4D8B7270" w14:textId="77777777" w:rsidR="00904786" w:rsidRDefault="00904786" w:rsidP="006639D5">
            <w:pPr>
              <w:jc w:val="center"/>
              <w:rPr>
                <w:rFonts w:ascii="Arial" w:hAnsi="Arial" w:cs="FrankRuehl" w:hint="cs"/>
                <w:sz w:val="32"/>
                <w:szCs w:val="32"/>
                <w:rtl/>
              </w:rPr>
            </w:pPr>
          </w:p>
          <w:p w14:paraId="79B21CA2" w14:textId="77777777" w:rsidR="00904786" w:rsidRDefault="00904786" w:rsidP="006639D5">
            <w:pPr>
              <w:jc w:val="center"/>
              <w:rPr>
                <w:rFonts w:ascii="Arial" w:hAnsi="Arial" w:cs="FrankRuehl" w:hint="cs"/>
                <w:sz w:val="32"/>
                <w:szCs w:val="32"/>
                <w:rtl/>
              </w:rPr>
            </w:pPr>
          </w:p>
          <w:p w14:paraId="41016CE9" w14:textId="77777777" w:rsidR="00904786" w:rsidRPr="00904786" w:rsidRDefault="00904786" w:rsidP="006639D5">
            <w:pPr>
              <w:jc w:val="center"/>
              <w:rPr>
                <w:rFonts w:ascii="Arial" w:hAnsi="Arial" w:cs="FrankRuehl" w:hint="cs"/>
                <w:sz w:val="32"/>
                <w:szCs w:val="32"/>
                <w:rtl/>
              </w:rPr>
            </w:pPr>
          </w:p>
          <w:p w14:paraId="6EBBFC6F" w14:textId="77777777" w:rsidR="006639D5" w:rsidRPr="003438A6" w:rsidRDefault="006639D5" w:rsidP="006639D5">
            <w:pPr>
              <w:jc w:val="center"/>
              <w:rPr>
                <w:rFonts w:ascii="Arial" w:hAnsi="Arial" w:cs="FrankRuehl"/>
                <w:sz w:val="32"/>
                <w:szCs w:val="32"/>
                <w:rtl/>
              </w:rPr>
            </w:pPr>
            <w:r w:rsidRPr="003438A6">
              <w:rPr>
                <w:rFonts w:ascii="Arial" w:hAnsi="Arial" w:cs="FrankRuehl" w:hint="cs"/>
                <w:b/>
                <w:bCs/>
                <w:sz w:val="32"/>
                <w:szCs w:val="32"/>
                <w:rtl/>
              </w:rPr>
              <w:t xml:space="preserve">גזר </w:t>
            </w:r>
            <w:bookmarkEnd w:id="3"/>
            <w:r w:rsidRPr="003438A6">
              <w:rPr>
                <w:rFonts w:ascii="Arial" w:hAnsi="Arial" w:cs="FrankRuehl" w:hint="cs"/>
                <w:b/>
                <w:bCs/>
                <w:sz w:val="32"/>
                <w:szCs w:val="32"/>
                <w:rtl/>
              </w:rPr>
              <w:t>דין</w:t>
            </w:r>
          </w:p>
        </w:tc>
      </w:tr>
      <w:bookmarkEnd w:id="0"/>
      <w:bookmarkEnd w:id="2"/>
    </w:tbl>
    <w:p w14:paraId="19762424" w14:textId="77777777" w:rsidR="006639D5" w:rsidRDefault="006639D5" w:rsidP="006639D5">
      <w:pPr>
        <w:spacing w:line="360" w:lineRule="auto"/>
        <w:rPr>
          <w:b/>
          <w:bCs/>
          <w:rtl/>
        </w:rPr>
      </w:pPr>
    </w:p>
    <w:p w14:paraId="64553312" w14:textId="77777777" w:rsidR="006639D5" w:rsidRPr="00231A29" w:rsidRDefault="006639D5" w:rsidP="006639D5">
      <w:pPr>
        <w:spacing w:line="360" w:lineRule="auto"/>
        <w:rPr>
          <w:b/>
          <w:bCs/>
          <w:rtl/>
        </w:rPr>
      </w:pPr>
    </w:p>
    <w:p w14:paraId="33952A02" w14:textId="77777777" w:rsidR="006639D5" w:rsidRPr="00231A29" w:rsidRDefault="006639D5" w:rsidP="006639D5">
      <w:pPr>
        <w:spacing w:line="360" w:lineRule="auto"/>
        <w:jc w:val="both"/>
        <w:rPr>
          <w:b/>
          <w:bCs/>
          <w:rtl/>
        </w:rPr>
      </w:pPr>
      <w:r w:rsidRPr="00231A29">
        <w:rPr>
          <w:b/>
          <w:bCs/>
          <w:rtl/>
        </w:rPr>
        <w:t>א.</w:t>
      </w:r>
      <w:r w:rsidRPr="00231A29">
        <w:rPr>
          <w:b/>
          <w:bCs/>
          <w:rtl/>
        </w:rPr>
        <w:tab/>
      </w:r>
      <w:r w:rsidRPr="00231A29">
        <w:rPr>
          <w:b/>
          <w:bCs/>
          <w:u w:val="single"/>
          <w:rtl/>
        </w:rPr>
        <w:t>פתח דבר:</w:t>
      </w:r>
    </w:p>
    <w:p w14:paraId="7C795ADA" w14:textId="77777777" w:rsidR="006639D5" w:rsidRPr="00231A29" w:rsidRDefault="006639D5" w:rsidP="006639D5">
      <w:pPr>
        <w:spacing w:line="360" w:lineRule="auto"/>
        <w:jc w:val="both"/>
        <w:rPr>
          <w:b/>
          <w:bCs/>
          <w:rtl/>
        </w:rPr>
      </w:pPr>
    </w:p>
    <w:p w14:paraId="569F4C03" w14:textId="77777777" w:rsidR="006639D5" w:rsidRPr="00231A29" w:rsidRDefault="006639D5" w:rsidP="006639D5">
      <w:pPr>
        <w:spacing w:line="360" w:lineRule="auto"/>
        <w:ind w:left="720" w:hanging="720"/>
        <w:jc w:val="both"/>
        <w:rPr>
          <w:rtl/>
        </w:rPr>
      </w:pPr>
      <w:r w:rsidRPr="00231A29">
        <w:rPr>
          <w:rtl/>
        </w:rPr>
        <w:t>1</w:t>
      </w:r>
      <w:r w:rsidRPr="00231A29">
        <w:rPr>
          <w:b/>
          <w:bCs/>
          <w:rtl/>
        </w:rPr>
        <w:t>.</w:t>
      </w:r>
      <w:r w:rsidRPr="00231A29">
        <w:rPr>
          <w:b/>
          <w:bCs/>
          <w:rtl/>
        </w:rPr>
        <w:tab/>
      </w:r>
      <w:bookmarkStart w:id="6" w:name="ABSTRACT_START"/>
      <w:bookmarkEnd w:id="6"/>
      <w:r w:rsidRPr="00231A29">
        <w:rPr>
          <w:rtl/>
        </w:rPr>
        <w:t>הנאשם אחמד כבהה</w:t>
      </w:r>
      <w:r>
        <w:rPr>
          <w:rFonts w:hint="cs"/>
          <w:rtl/>
        </w:rPr>
        <w:t>, יליד 1984,</w:t>
      </w:r>
      <w:r w:rsidRPr="00231A29">
        <w:rPr>
          <w:rtl/>
        </w:rPr>
        <w:t xml:space="preserve"> (להלן: "</w:t>
      </w:r>
      <w:r w:rsidRPr="00231A29">
        <w:rPr>
          <w:b/>
          <w:bCs/>
          <w:rtl/>
        </w:rPr>
        <w:t>הנאשם</w:t>
      </w:r>
      <w:r w:rsidRPr="00231A29">
        <w:rPr>
          <w:rtl/>
        </w:rPr>
        <w:t xml:space="preserve">"), חזר בו מכפירתו, הודה במסגרת הסדר טיעון, בעובדות כתב האישום המתוקן שסומן באות "א", והורשע על סמך הודאתו, בעבירה של </w:t>
      </w:r>
      <w:r w:rsidRPr="00231A29">
        <w:rPr>
          <w:b/>
          <w:bCs/>
          <w:rtl/>
        </w:rPr>
        <w:t>החזקת נשק</w:t>
      </w:r>
      <w:r w:rsidRPr="00231A29">
        <w:rPr>
          <w:rtl/>
        </w:rPr>
        <w:t xml:space="preserve">, לפי </w:t>
      </w:r>
      <w:hyperlink r:id="rId17" w:history="1">
        <w:r w:rsidR="00904786" w:rsidRPr="00904786">
          <w:rPr>
            <w:color w:val="0000FF"/>
            <w:u w:val="single"/>
            <w:rtl/>
          </w:rPr>
          <w:t>סעיף 144(א)</w:t>
        </w:r>
      </w:hyperlink>
      <w:r w:rsidRPr="00231A29">
        <w:rPr>
          <w:rtl/>
        </w:rPr>
        <w:t xml:space="preserve"> רישא וסיפא ל</w:t>
      </w:r>
      <w:hyperlink r:id="rId18" w:history="1">
        <w:r w:rsidR="003438A6" w:rsidRPr="003438A6">
          <w:rPr>
            <w:color w:val="0000FF"/>
            <w:u w:val="single"/>
            <w:rtl/>
          </w:rPr>
          <w:t>חוק העונשין</w:t>
        </w:r>
      </w:hyperlink>
      <w:r w:rsidRPr="00231A29">
        <w:rPr>
          <w:rtl/>
        </w:rPr>
        <w:t>, תשל"ז-1977 (להלן: "</w:t>
      </w:r>
      <w:r w:rsidRPr="00231A29">
        <w:rPr>
          <w:b/>
          <w:bCs/>
          <w:rtl/>
        </w:rPr>
        <w:t>חוק העונשין</w:t>
      </w:r>
      <w:r w:rsidRPr="00231A29">
        <w:rPr>
          <w:rtl/>
        </w:rPr>
        <w:t>"),</w:t>
      </w:r>
      <w:r>
        <w:rPr>
          <w:rFonts w:hint="cs"/>
          <w:rtl/>
        </w:rPr>
        <w:t xml:space="preserve"> </w:t>
      </w:r>
      <w:r w:rsidRPr="00231A29">
        <w:rPr>
          <w:rtl/>
        </w:rPr>
        <w:t xml:space="preserve">ובעבירה של </w:t>
      </w:r>
      <w:r w:rsidRPr="00231A29">
        <w:rPr>
          <w:b/>
          <w:bCs/>
          <w:rtl/>
        </w:rPr>
        <w:t>גניבה</w:t>
      </w:r>
      <w:r w:rsidRPr="00231A29">
        <w:rPr>
          <w:rtl/>
        </w:rPr>
        <w:t xml:space="preserve">, לפי </w:t>
      </w:r>
      <w:hyperlink r:id="rId19" w:history="1">
        <w:r w:rsidR="00904786" w:rsidRPr="00904786">
          <w:rPr>
            <w:color w:val="0000FF"/>
            <w:u w:val="single"/>
            <w:rtl/>
          </w:rPr>
          <w:t>סעיפים 383(א)(1)</w:t>
        </w:r>
      </w:hyperlink>
      <w:r w:rsidRPr="00231A29">
        <w:rPr>
          <w:rtl/>
        </w:rPr>
        <w:t xml:space="preserve"> ו- 384 לחוק העונשין.</w:t>
      </w:r>
    </w:p>
    <w:p w14:paraId="383401CE" w14:textId="77777777" w:rsidR="006639D5" w:rsidRPr="00231A29" w:rsidRDefault="006639D5" w:rsidP="006639D5">
      <w:pPr>
        <w:spacing w:line="360" w:lineRule="auto"/>
        <w:jc w:val="both"/>
        <w:rPr>
          <w:rtl/>
        </w:rPr>
      </w:pPr>
    </w:p>
    <w:p w14:paraId="3E361932" w14:textId="77777777" w:rsidR="006639D5" w:rsidRPr="00231A29" w:rsidRDefault="006639D5" w:rsidP="006639D5">
      <w:pPr>
        <w:spacing w:line="360" w:lineRule="auto"/>
        <w:ind w:left="720" w:hanging="720"/>
        <w:jc w:val="both"/>
        <w:rPr>
          <w:rtl/>
        </w:rPr>
      </w:pPr>
      <w:bookmarkStart w:id="7" w:name="ABSTRACT_END"/>
      <w:bookmarkEnd w:id="7"/>
      <w:r w:rsidRPr="00231A29">
        <w:rPr>
          <w:rtl/>
        </w:rPr>
        <w:t>2.</w:t>
      </w:r>
      <w:r w:rsidRPr="00231A29">
        <w:rPr>
          <w:rtl/>
        </w:rPr>
        <w:tab/>
        <w:t xml:space="preserve">במסגרת הסדר הטיעון, תוקן כתב האישום </w:t>
      </w:r>
      <w:r>
        <w:rPr>
          <w:rFonts w:hint="cs"/>
          <w:rtl/>
        </w:rPr>
        <w:t xml:space="preserve">המקורי </w:t>
      </w:r>
      <w:r w:rsidRPr="00231A29">
        <w:rPr>
          <w:rtl/>
        </w:rPr>
        <w:t>באופן שהעבירה של הובלה ונשיאת נשק נמחקה, כאשר עובדות כתב האישום ויתר העבירות נשארו על כנן. מה גם, הוסכם כי הטיעון לעונש יהיה חופשי.</w:t>
      </w:r>
    </w:p>
    <w:p w14:paraId="3C717971" w14:textId="77777777" w:rsidR="006639D5" w:rsidRPr="00231A29" w:rsidRDefault="006639D5" w:rsidP="006639D5">
      <w:pPr>
        <w:spacing w:line="360" w:lineRule="auto"/>
        <w:jc w:val="both"/>
        <w:rPr>
          <w:rtl/>
        </w:rPr>
      </w:pPr>
    </w:p>
    <w:p w14:paraId="684CBB91" w14:textId="77777777" w:rsidR="006639D5" w:rsidRPr="00231A29" w:rsidRDefault="006639D5" w:rsidP="006639D5">
      <w:pPr>
        <w:spacing w:line="360" w:lineRule="auto"/>
        <w:jc w:val="both"/>
        <w:rPr>
          <w:b/>
          <w:bCs/>
          <w:rtl/>
        </w:rPr>
      </w:pPr>
      <w:r w:rsidRPr="00231A29">
        <w:rPr>
          <w:b/>
          <w:bCs/>
          <w:rtl/>
        </w:rPr>
        <w:t>ב.</w:t>
      </w:r>
      <w:r w:rsidRPr="00231A29">
        <w:rPr>
          <w:b/>
          <w:bCs/>
          <w:rtl/>
        </w:rPr>
        <w:tab/>
      </w:r>
      <w:r>
        <w:rPr>
          <w:b/>
          <w:bCs/>
          <w:u w:val="single"/>
          <w:rtl/>
        </w:rPr>
        <w:t>עובדות כתב האישו</w:t>
      </w:r>
      <w:r>
        <w:rPr>
          <w:rFonts w:hint="cs"/>
          <w:b/>
          <w:bCs/>
          <w:u w:val="single"/>
          <w:rtl/>
        </w:rPr>
        <w:t>ם המתוקן</w:t>
      </w:r>
      <w:r w:rsidRPr="00231A29">
        <w:rPr>
          <w:b/>
          <w:bCs/>
          <w:u w:val="single"/>
          <w:rtl/>
        </w:rPr>
        <w:t>:</w:t>
      </w:r>
    </w:p>
    <w:p w14:paraId="62C48982" w14:textId="77777777" w:rsidR="006639D5" w:rsidRPr="00231A29" w:rsidRDefault="006639D5" w:rsidP="006639D5">
      <w:pPr>
        <w:spacing w:line="360" w:lineRule="auto"/>
        <w:jc w:val="both"/>
        <w:rPr>
          <w:b/>
          <w:bCs/>
          <w:rtl/>
        </w:rPr>
      </w:pPr>
    </w:p>
    <w:p w14:paraId="28DC2648" w14:textId="77777777" w:rsidR="006639D5" w:rsidRPr="00231A29" w:rsidRDefault="006639D5" w:rsidP="006639D5">
      <w:pPr>
        <w:spacing w:line="360" w:lineRule="auto"/>
        <w:ind w:left="720" w:hanging="720"/>
        <w:jc w:val="both"/>
        <w:rPr>
          <w:rtl/>
        </w:rPr>
      </w:pPr>
      <w:r w:rsidRPr="00231A29">
        <w:rPr>
          <w:rtl/>
        </w:rPr>
        <w:t>3.</w:t>
      </w:r>
      <w:r w:rsidRPr="00231A29">
        <w:rPr>
          <w:rtl/>
        </w:rPr>
        <w:tab/>
        <w:t>בתאריך 03.04.17 בשעה 08:12, הגיע מנשה מעלם (להלן: "</w:t>
      </w:r>
      <w:r w:rsidRPr="00231A29">
        <w:rPr>
          <w:b/>
          <w:bCs/>
          <w:rtl/>
        </w:rPr>
        <w:t>המתלונן</w:t>
      </w:r>
      <w:r w:rsidRPr="00231A29">
        <w:rPr>
          <w:rtl/>
        </w:rPr>
        <w:t>") עם רכבו מסוג שברולט סוואנה (להלן: "</w:t>
      </w:r>
      <w:r w:rsidRPr="00231A29">
        <w:rPr>
          <w:b/>
          <w:bCs/>
          <w:rtl/>
        </w:rPr>
        <w:t>הרכב</w:t>
      </w:r>
      <w:r w:rsidRPr="00231A29">
        <w:rPr>
          <w:rtl/>
        </w:rPr>
        <w:t xml:space="preserve">"), למוסך "כהן מוטורס" ברחוב מנא"י 1, באזור התעשייה בעיר חדרה (להלן: </w:t>
      </w:r>
      <w:r w:rsidRPr="00231A29">
        <w:rPr>
          <w:b/>
          <w:bCs/>
          <w:rtl/>
        </w:rPr>
        <w:t>"המוסך"</w:t>
      </w:r>
      <w:r w:rsidRPr="00231A29">
        <w:rPr>
          <w:rtl/>
        </w:rPr>
        <w:t>), לצורך ביצוע טיפול ברכב.</w:t>
      </w:r>
      <w:r w:rsidRPr="00231A29">
        <w:rPr>
          <w:rtl/>
        </w:rPr>
        <w:tab/>
      </w:r>
    </w:p>
    <w:p w14:paraId="20B55AC5" w14:textId="77777777" w:rsidR="006639D5" w:rsidRPr="00231A29" w:rsidRDefault="006639D5" w:rsidP="006639D5">
      <w:pPr>
        <w:spacing w:line="360" w:lineRule="auto"/>
        <w:jc w:val="both"/>
        <w:rPr>
          <w:rtl/>
        </w:rPr>
      </w:pPr>
    </w:p>
    <w:p w14:paraId="6867FD66" w14:textId="77777777" w:rsidR="006639D5" w:rsidRPr="00231A29" w:rsidRDefault="006639D5" w:rsidP="006639D5">
      <w:pPr>
        <w:spacing w:line="360" w:lineRule="auto"/>
        <w:ind w:left="720" w:hanging="720"/>
        <w:jc w:val="both"/>
        <w:rPr>
          <w:rtl/>
        </w:rPr>
      </w:pPr>
      <w:r w:rsidRPr="00231A29">
        <w:rPr>
          <w:rtl/>
        </w:rPr>
        <w:t>4.</w:t>
      </w:r>
      <w:r w:rsidRPr="00231A29">
        <w:rPr>
          <w:rtl/>
        </w:rPr>
        <w:tab/>
        <w:t>המתלונן הינו הבעלים של אקדח מתוצרת חברת לוגר בקוטר 9 מ"מ, נושא מספר 58453</w:t>
      </w:r>
      <w:r w:rsidRPr="00231A29">
        <w:t>B</w:t>
      </w:r>
      <w:r w:rsidRPr="00231A29">
        <w:rPr>
          <w:rtl/>
        </w:rPr>
        <w:t xml:space="preserve"> (להלן: </w:t>
      </w:r>
      <w:r w:rsidRPr="00231A29">
        <w:rPr>
          <w:rtl/>
        </w:rPr>
        <w:tab/>
        <w:t>"</w:t>
      </w:r>
      <w:r w:rsidRPr="00231A29">
        <w:rPr>
          <w:b/>
          <w:bCs/>
          <w:rtl/>
        </w:rPr>
        <w:t>האקדח"</w:t>
      </w:r>
      <w:r w:rsidRPr="00231A29">
        <w:rPr>
          <w:rtl/>
        </w:rPr>
        <w:t>). בעת שהגיע המתלונן למוסך, אחסן את האקדח ביחד עם מחסנית המהווה אביזר לנשק עם 12 כדורים, בתוך תא שנמצא בין מושב הנהג למוש</w:t>
      </w:r>
      <w:r>
        <w:rPr>
          <w:rtl/>
        </w:rPr>
        <w:t xml:space="preserve">ב הנוסע ברכב ומסר את הרכב לידי </w:t>
      </w:r>
      <w:r w:rsidRPr="00231A29">
        <w:rPr>
          <w:rtl/>
        </w:rPr>
        <w:t>מנהל העבודה במוסך, מחמוד שומלי (להלן: "</w:t>
      </w:r>
      <w:r w:rsidRPr="00231A29">
        <w:rPr>
          <w:b/>
          <w:bCs/>
          <w:rtl/>
        </w:rPr>
        <w:t>שומלי</w:t>
      </w:r>
      <w:r w:rsidRPr="00231A29">
        <w:rPr>
          <w:rtl/>
        </w:rPr>
        <w:t>").</w:t>
      </w:r>
    </w:p>
    <w:p w14:paraId="787116FB" w14:textId="77777777" w:rsidR="006639D5" w:rsidRPr="00231A29" w:rsidRDefault="006639D5" w:rsidP="006639D5">
      <w:pPr>
        <w:spacing w:line="360" w:lineRule="auto"/>
        <w:jc w:val="both"/>
        <w:rPr>
          <w:rtl/>
        </w:rPr>
      </w:pPr>
    </w:p>
    <w:p w14:paraId="258B8EBA" w14:textId="77777777" w:rsidR="006639D5" w:rsidRPr="00231A29" w:rsidRDefault="006639D5" w:rsidP="006639D5">
      <w:pPr>
        <w:spacing w:line="360" w:lineRule="auto"/>
        <w:jc w:val="both"/>
        <w:rPr>
          <w:rtl/>
        </w:rPr>
      </w:pPr>
      <w:r w:rsidRPr="00231A29">
        <w:rPr>
          <w:rtl/>
        </w:rPr>
        <w:t>5.</w:t>
      </w:r>
      <w:r w:rsidRPr="00231A29">
        <w:rPr>
          <w:rtl/>
        </w:rPr>
        <w:tab/>
        <w:t xml:space="preserve">במועד הרלוונטי לכתב האישום, הנאשם, עבד כמכונאי רכב במוסך. </w:t>
      </w:r>
    </w:p>
    <w:p w14:paraId="75EF2CA4" w14:textId="77777777" w:rsidR="006639D5" w:rsidRPr="00231A29" w:rsidRDefault="006639D5" w:rsidP="006639D5">
      <w:pPr>
        <w:spacing w:line="360" w:lineRule="auto"/>
        <w:jc w:val="both"/>
        <w:rPr>
          <w:rtl/>
        </w:rPr>
      </w:pPr>
    </w:p>
    <w:p w14:paraId="73907CD2" w14:textId="77777777" w:rsidR="006639D5" w:rsidRPr="00231A29" w:rsidRDefault="006639D5" w:rsidP="006639D5">
      <w:pPr>
        <w:spacing w:line="360" w:lineRule="auto"/>
        <w:ind w:left="720" w:hanging="720"/>
        <w:jc w:val="both"/>
        <w:rPr>
          <w:rtl/>
        </w:rPr>
      </w:pPr>
      <w:r w:rsidRPr="00231A29">
        <w:rPr>
          <w:rtl/>
        </w:rPr>
        <w:t>6.</w:t>
      </w:r>
      <w:r w:rsidRPr="00231A29">
        <w:rPr>
          <w:rtl/>
        </w:rPr>
        <w:tab/>
        <w:t xml:space="preserve">בהמשך למתואר לעיל, בשעה 08:48 הכניס שומלי את הרכב אל עמדת העבודה של הנאשם </w:t>
      </w:r>
      <w:r>
        <w:rPr>
          <w:rtl/>
        </w:rPr>
        <w:t>ש</w:t>
      </w:r>
      <w:r w:rsidRPr="00231A29">
        <w:rPr>
          <w:rtl/>
        </w:rPr>
        <w:t>החל לבצע את הטיפול ברכב.</w:t>
      </w:r>
    </w:p>
    <w:p w14:paraId="09117E33" w14:textId="77777777" w:rsidR="006639D5" w:rsidRPr="00231A29" w:rsidRDefault="006639D5" w:rsidP="006639D5">
      <w:pPr>
        <w:spacing w:line="360" w:lineRule="auto"/>
        <w:jc w:val="both"/>
        <w:rPr>
          <w:rtl/>
        </w:rPr>
      </w:pPr>
    </w:p>
    <w:p w14:paraId="7F233261" w14:textId="77777777" w:rsidR="006639D5" w:rsidRPr="00231A29" w:rsidRDefault="006639D5" w:rsidP="006639D5">
      <w:pPr>
        <w:spacing w:line="360" w:lineRule="auto"/>
        <w:ind w:left="720" w:hanging="720"/>
        <w:jc w:val="both"/>
        <w:rPr>
          <w:rtl/>
        </w:rPr>
      </w:pPr>
      <w:r w:rsidRPr="00231A29">
        <w:rPr>
          <w:rtl/>
        </w:rPr>
        <w:t>7.</w:t>
      </w:r>
      <w:r w:rsidRPr="00231A29">
        <w:rPr>
          <w:rtl/>
        </w:rPr>
        <w:tab/>
        <w:t xml:space="preserve">במהלך הטיפול ברכב, בשעה 09:29 לערך, נכנס הנאשם לרכב, הבחין באקדח הטעון, נשא </w:t>
      </w:r>
      <w:r>
        <w:rPr>
          <w:rtl/>
        </w:rPr>
        <w:t xml:space="preserve">ונטל אותו </w:t>
      </w:r>
      <w:r w:rsidRPr="00231A29">
        <w:rPr>
          <w:rtl/>
        </w:rPr>
        <w:t xml:space="preserve">ללא הסכמת בעליו כשהוא מתכוון בשעת הנטילה לשלול את </w:t>
      </w:r>
      <w:r>
        <w:rPr>
          <w:rtl/>
        </w:rPr>
        <w:t xml:space="preserve">האקדח מהמתלונן שלילת קבע ומבלי </w:t>
      </w:r>
      <w:r w:rsidRPr="00231A29">
        <w:rPr>
          <w:rtl/>
        </w:rPr>
        <w:t>שיש לו היתר להחזיק, לשאת או להוביל נשק.</w:t>
      </w:r>
    </w:p>
    <w:p w14:paraId="0450BADD" w14:textId="77777777" w:rsidR="006639D5" w:rsidRPr="00231A29" w:rsidRDefault="006639D5" w:rsidP="006639D5">
      <w:pPr>
        <w:spacing w:line="360" w:lineRule="auto"/>
        <w:jc w:val="both"/>
        <w:rPr>
          <w:rtl/>
        </w:rPr>
      </w:pPr>
    </w:p>
    <w:p w14:paraId="281D5B12" w14:textId="77777777" w:rsidR="006639D5" w:rsidRPr="00231A29" w:rsidRDefault="006639D5" w:rsidP="006639D5">
      <w:pPr>
        <w:spacing w:line="360" w:lineRule="auto"/>
        <w:ind w:left="720" w:hanging="720"/>
        <w:jc w:val="both"/>
        <w:rPr>
          <w:rtl/>
        </w:rPr>
      </w:pPr>
      <w:r w:rsidRPr="00231A29">
        <w:rPr>
          <w:rtl/>
        </w:rPr>
        <w:t>8.</w:t>
      </w:r>
      <w:r w:rsidRPr="00231A29">
        <w:rPr>
          <w:rtl/>
        </w:rPr>
        <w:tab/>
        <w:t xml:space="preserve">כעבור דקה לערך, יצא הנאשם מהרכב כשהוא נושא את האקדח, התרחק מהרכב ויצא </w:t>
      </w:r>
      <w:r>
        <w:rPr>
          <w:rtl/>
        </w:rPr>
        <w:t xml:space="preserve">מהמוסך </w:t>
      </w:r>
      <w:r w:rsidRPr="00231A29">
        <w:rPr>
          <w:rtl/>
        </w:rPr>
        <w:t>במהירות לכיוון צפון.</w:t>
      </w:r>
    </w:p>
    <w:p w14:paraId="093B9084" w14:textId="77777777" w:rsidR="006639D5" w:rsidRPr="00231A29" w:rsidRDefault="006639D5" w:rsidP="006639D5">
      <w:pPr>
        <w:spacing w:line="360" w:lineRule="auto"/>
        <w:jc w:val="both"/>
        <w:rPr>
          <w:rtl/>
        </w:rPr>
      </w:pPr>
    </w:p>
    <w:p w14:paraId="4D23DCA9" w14:textId="77777777" w:rsidR="006639D5" w:rsidRPr="00231A29" w:rsidRDefault="006639D5" w:rsidP="006639D5">
      <w:pPr>
        <w:spacing w:line="360" w:lineRule="auto"/>
        <w:ind w:left="720" w:hanging="720"/>
        <w:jc w:val="both"/>
        <w:rPr>
          <w:rtl/>
        </w:rPr>
      </w:pPr>
      <w:r w:rsidRPr="00231A29">
        <w:rPr>
          <w:rtl/>
        </w:rPr>
        <w:t>9.</w:t>
      </w:r>
      <w:r w:rsidRPr="00231A29">
        <w:rPr>
          <w:rtl/>
        </w:rPr>
        <w:tab/>
        <w:t xml:space="preserve">הנאשם המשיך לשאת ולהוביל את האקדח לאורך רחוב פרידלנדר הסמוך, תוך שהוא </w:t>
      </w:r>
      <w:r>
        <w:rPr>
          <w:rtl/>
        </w:rPr>
        <w:t xml:space="preserve">מתקדם </w:t>
      </w:r>
      <w:r w:rsidRPr="00231A29">
        <w:rPr>
          <w:rtl/>
        </w:rPr>
        <w:t>לכיוון מזרח, עד שהגיע אל בין מספר עסקים הנמצאים דרומית לרחוב.</w:t>
      </w:r>
    </w:p>
    <w:p w14:paraId="73D52EE3" w14:textId="77777777" w:rsidR="006639D5" w:rsidRPr="00231A29" w:rsidRDefault="006639D5" w:rsidP="006639D5">
      <w:pPr>
        <w:spacing w:line="360" w:lineRule="auto"/>
        <w:jc w:val="both"/>
        <w:rPr>
          <w:rtl/>
        </w:rPr>
      </w:pPr>
    </w:p>
    <w:p w14:paraId="54749F18" w14:textId="77777777" w:rsidR="006639D5" w:rsidRPr="00231A29" w:rsidRDefault="006639D5" w:rsidP="006639D5">
      <w:pPr>
        <w:spacing w:line="360" w:lineRule="auto"/>
        <w:ind w:left="720" w:hanging="720"/>
        <w:jc w:val="both"/>
        <w:rPr>
          <w:rtl/>
        </w:rPr>
      </w:pPr>
      <w:r w:rsidRPr="00231A29">
        <w:rPr>
          <w:rtl/>
        </w:rPr>
        <w:t>10.</w:t>
      </w:r>
      <w:r w:rsidRPr="00231A29">
        <w:rPr>
          <w:rtl/>
        </w:rPr>
        <w:tab/>
        <w:t>הנאשם הגיע בשעה 09:32 בריצה אל סמטה באזור המתואר לעיל (להלן: "</w:t>
      </w:r>
      <w:r w:rsidRPr="00231A29">
        <w:rPr>
          <w:b/>
          <w:bCs/>
          <w:rtl/>
        </w:rPr>
        <w:t>הסמטה</w:t>
      </w:r>
      <w:r w:rsidRPr="00231A29">
        <w:rPr>
          <w:rtl/>
        </w:rPr>
        <w:t xml:space="preserve">"), הטמין </w:t>
      </w:r>
      <w:r>
        <w:rPr>
          <w:rtl/>
        </w:rPr>
        <w:t xml:space="preserve">את </w:t>
      </w:r>
      <w:r w:rsidRPr="00231A29">
        <w:rPr>
          <w:rtl/>
        </w:rPr>
        <w:t>האקדח בסמוך לקיר הסמטה, מאחורי קרטון ומיכל למחזו</w:t>
      </w:r>
      <w:r>
        <w:rPr>
          <w:rtl/>
        </w:rPr>
        <w:t xml:space="preserve">ר שמן שהיו במקום ועזב את הסמטה </w:t>
      </w:r>
      <w:r w:rsidRPr="00231A29">
        <w:rPr>
          <w:rtl/>
        </w:rPr>
        <w:t xml:space="preserve">בשעה 09:33 לערך </w:t>
      </w:r>
      <w:r>
        <w:rPr>
          <w:rFonts w:hint="cs"/>
          <w:rtl/>
        </w:rPr>
        <w:t xml:space="preserve">וחזר </w:t>
      </w:r>
      <w:r w:rsidRPr="00231A29">
        <w:rPr>
          <w:rtl/>
        </w:rPr>
        <w:t>בריצה לכיוון המוסך.</w:t>
      </w:r>
    </w:p>
    <w:p w14:paraId="19083376" w14:textId="77777777" w:rsidR="006639D5" w:rsidRPr="00231A29" w:rsidRDefault="006639D5" w:rsidP="006639D5">
      <w:pPr>
        <w:spacing w:line="360" w:lineRule="auto"/>
        <w:jc w:val="both"/>
        <w:rPr>
          <w:rtl/>
        </w:rPr>
      </w:pPr>
    </w:p>
    <w:p w14:paraId="6AAB043D" w14:textId="77777777" w:rsidR="006639D5" w:rsidRPr="00231A29" w:rsidRDefault="006639D5" w:rsidP="006639D5">
      <w:pPr>
        <w:spacing w:line="360" w:lineRule="auto"/>
        <w:ind w:left="720" w:hanging="720"/>
        <w:jc w:val="both"/>
        <w:rPr>
          <w:rtl/>
        </w:rPr>
      </w:pPr>
      <w:r w:rsidRPr="00231A29">
        <w:rPr>
          <w:rtl/>
        </w:rPr>
        <w:t>11.</w:t>
      </w:r>
      <w:r w:rsidRPr="00231A29">
        <w:rPr>
          <w:rtl/>
        </w:rPr>
        <w:tab/>
        <w:t xml:space="preserve">הנאשם עצר למספר שניות בתחנת דלק סמוכה, על מנת לרכוש סיגריות וחזר למוסך מעט </w:t>
      </w:r>
      <w:r>
        <w:rPr>
          <w:rtl/>
        </w:rPr>
        <w:t xml:space="preserve">לאחר </w:t>
      </w:r>
      <w:r w:rsidRPr="00231A29">
        <w:rPr>
          <w:rtl/>
        </w:rPr>
        <w:t>השעה 09:35 והמשיך בעבודתו.</w:t>
      </w:r>
    </w:p>
    <w:p w14:paraId="3DCE9837" w14:textId="77777777" w:rsidR="006639D5" w:rsidRPr="00231A29" w:rsidRDefault="006639D5" w:rsidP="006639D5">
      <w:pPr>
        <w:spacing w:line="360" w:lineRule="auto"/>
        <w:jc w:val="both"/>
        <w:rPr>
          <w:rtl/>
        </w:rPr>
      </w:pPr>
    </w:p>
    <w:p w14:paraId="39B239B7" w14:textId="77777777" w:rsidR="006639D5" w:rsidRPr="00231A29" w:rsidRDefault="006639D5" w:rsidP="006639D5">
      <w:pPr>
        <w:spacing w:line="360" w:lineRule="auto"/>
        <w:ind w:left="720" w:hanging="720"/>
        <w:jc w:val="both"/>
        <w:rPr>
          <w:rtl/>
        </w:rPr>
      </w:pPr>
      <w:r w:rsidRPr="00231A29">
        <w:rPr>
          <w:rtl/>
        </w:rPr>
        <w:t>12.</w:t>
      </w:r>
      <w:r w:rsidRPr="00231A29">
        <w:rPr>
          <w:rtl/>
        </w:rPr>
        <w:tab/>
        <w:t xml:space="preserve">בהמשך למתואר לעיל ולאחר סיום הטיפול ברכב, המתלונן חזר בסמוך לשעה 09:52 אל הרכב </w:t>
      </w:r>
      <w:r>
        <w:rPr>
          <w:rtl/>
        </w:rPr>
        <w:t xml:space="preserve">על </w:t>
      </w:r>
      <w:r w:rsidRPr="00231A29">
        <w:rPr>
          <w:rtl/>
        </w:rPr>
        <w:t>מנת לקחתו מהמוסך וגילה כי האקדח נגנב. בשעה 11:03 דיווח המתלונן על כך למשטרת ישראל.</w:t>
      </w:r>
    </w:p>
    <w:p w14:paraId="055D031E" w14:textId="77777777" w:rsidR="006639D5" w:rsidRPr="00231A29" w:rsidRDefault="006639D5" w:rsidP="006639D5">
      <w:pPr>
        <w:spacing w:line="360" w:lineRule="auto"/>
        <w:jc w:val="both"/>
        <w:rPr>
          <w:rtl/>
        </w:rPr>
      </w:pPr>
    </w:p>
    <w:p w14:paraId="5C4D3D02" w14:textId="77777777" w:rsidR="006639D5" w:rsidRPr="00231A29" w:rsidRDefault="006639D5" w:rsidP="006639D5">
      <w:pPr>
        <w:spacing w:line="360" w:lineRule="auto"/>
        <w:jc w:val="both"/>
        <w:rPr>
          <w:rtl/>
        </w:rPr>
      </w:pPr>
      <w:r w:rsidRPr="00231A29">
        <w:rPr>
          <w:rtl/>
        </w:rPr>
        <w:t>13.</w:t>
      </w:r>
      <w:r w:rsidRPr="00231A29">
        <w:rPr>
          <w:rtl/>
        </w:rPr>
        <w:tab/>
        <w:t>בהמשך למתואר לעיל, בשעה 13:35 לערך, אותר האקדח ונתפס על ידי השוטרים.</w:t>
      </w:r>
    </w:p>
    <w:p w14:paraId="1A2A6EE3" w14:textId="77777777" w:rsidR="006639D5" w:rsidRPr="00231A29" w:rsidRDefault="006639D5" w:rsidP="006639D5">
      <w:pPr>
        <w:spacing w:line="360" w:lineRule="auto"/>
        <w:jc w:val="both"/>
        <w:rPr>
          <w:rtl/>
        </w:rPr>
      </w:pPr>
    </w:p>
    <w:p w14:paraId="68ECC94A" w14:textId="77777777" w:rsidR="006639D5" w:rsidRPr="00231A29" w:rsidRDefault="006639D5" w:rsidP="006639D5">
      <w:pPr>
        <w:spacing w:line="360" w:lineRule="auto"/>
        <w:ind w:left="720" w:hanging="720"/>
        <w:jc w:val="both"/>
        <w:rPr>
          <w:rtl/>
        </w:rPr>
      </w:pPr>
      <w:r w:rsidRPr="00231A29">
        <w:rPr>
          <w:rtl/>
        </w:rPr>
        <w:t>14.</w:t>
      </w:r>
      <w:r w:rsidRPr="00231A29">
        <w:rPr>
          <w:rtl/>
        </w:rPr>
        <w:tab/>
        <w:t>במעשיו המתוארים לעיל, גנב הנאשם את האקדח, המחסנית והתחמושת מהמתלונן, וכן החזיק</w:t>
      </w:r>
      <w:r>
        <w:rPr>
          <w:rtl/>
        </w:rPr>
        <w:t xml:space="preserve">ם </w:t>
      </w:r>
      <w:r w:rsidRPr="00231A29">
        <w:rPr>
          <w:rtl/>
        </w:rPr>
        <w:t>ללא רשות על פי דין.</w:t>
      </w:r>
    </w:p>
    <w:p w14:paraId="5EF2F904" w14:textId="77777777" w:rsidR="006639D5" w:rsidRPr="00231A29" w:rsidRDefault="006639D5" w:rsidP="006639D5">
      <w:pPr>
        <w:spacing w:line="360" w:lineRule="auto"/>
        <w:jc w:val="both"/>
        <w:rPr>
          <w:rtl/>
        </w:rPr>
      </w:pPr>
    </w:p>
    <w:p w14:paraId="2A480631" w14:textId="77777777" w:rsidR="006639D5" w:rsidRPr="00231A29" w:rsidRDefault="006639D5" w:rsidP="006639D5">
      <w:pPr>
        <w:spacing w:line="360" w:lineRule="auto"/>
        <w:rPr>
          <w:b/>
          <w:bCs/>
          <w:rtl/>
        </w:rPr>
      </w:pPr>
      <w:r w:rsidRPr="00231A29">
        <w:rPr>
          <w:b/>
          <w:bCs/>
          <w:rtl/>
        </w:rPr>
        <w:t xml:space="preserve">ג. </w:t>
      </w:r>
      <w:r w:rsidRPr="00231A29">
        <w:rPr>
          <w:b/>
          <w:bCs/>
          <w:rtl/>
        </w:rPr>
        <w:tab/>
      </w:r>
      <w:r w:rsidRPr="00231A29">
        <w:rPr>
          <w:b/>
          <w:bCs/>
          <w:u w:val="single"/>
          <w:rtl/>
        </w:rPr>
        <w:t>טיעוני הצדדים לעונש:</w:t>
      </w:r>
    </w:p>
    <w:p w14:paraId="28224352" w14:textId="77777777" w:rsidR="006639D5" w:rsidRPr="00231A29" w:rsidRDefault="006639D5" w:rsidP="006639D5">
      <w:pPr>
        <w:spacing w:line="360" w:lineRule="auto"/>
        <w:rPr>
          <w:rtl/>
        </w:rPr>
      </w:pPr>
    </w:p>
    <w:p w14:paraId="457D5923" w14:textId="77777777" w:rsidR="006639D5" w:rsidRPr="00231A29" w:rsidRDefault="006639D5" w:rsidP="006639D5">
      <w:pPr>
        <w:spacing w:line="360" w:lineRule="auto"/>
        <w:rPr>
          <w:b/>
          <w:bCs/>
          <w:u w:val="single"/>
          <w:rtl/>
        </w:rPr>
      </w:pPr>
      <w:r w:rsidRPr="00231A29">
        <w:rPr>
          <w:rtl/>
        </w:rPr>
        <w:tab/>
      </w:r>
      <w:r w:rsidRPr="00231A29">
        <w:rPr>
          <w:b/>
          <w:bCs/>
          <w:u w:val="single"/>
          <w:rtl/>
        </w:rPr>
        <w:t>טיעוני המאשימה:</w:t>
      </w:r>
    </w:p>
    <w:p w14:paraId="74D15DF7" w14:textId="77777777" w:rsidR="006639D5" w:rsidRPr="00231A29" w:rsidRDefault="006639D5" w:rsidP="006639D5">
      <w:pPr>
        <w:spacing w:line="360" w:lineRule="auto"/>
        <w:rPr>
          <w:b/>
          <w:bCs/>
          <w:u w:val="single"/>
          <w:rtl/>
        </w:rPr>
      </w:pPr>
    </w:p>
    <w:p w14:paraId="1F0ECD29" w14:textId="77777777" w:rsidR="006639D5" w:rsidRPr="00231A29" w:rsidRDefault="006639D5" w:rsidP="006639D5">
      <w:pPr>
        <w:spacing w:line="360" w:lineRule="auto"/>
        <w:ind w:left="720" w:hanging="720"/>
        <w:jc w:val="both"/>
        <w:rPr>
          <w:rtl/>
        </w:rPr>
      </w:pPr>
      <w:r w:rsidRPr="00231A29">
        <w:rPr>
          <w:rtl/>
        </w:rPr>
        <w:t>15.</w:t>
      </w:r>
      <w:r w:rsidRPr="00231A29">
        <w:rPr>
          <w:rtl/>
        </w:rPr>
        <w:tab/>
        <w:t>ב"כ המאשימה הגיש את רישומו הפלילי של הנאשם שסומן כ-</w:t>
      </w:r>
      <w:r w:rsidRPr="00231A29">
        <w:rPr>
          <w:b/>
          <w:bCs/>
          <w:rtl/>
        </w:rPr>
        <w:t>ת/1</w:t>
      </w:r>
      <w:r w:rsidRPr="00231A29">
        <w:rPr>
          <w:rtl/>
        </w:rPr>
        <w:t>, את גזר הדין בעניינו שסומן כ-</w:t>
      </w:r>
      <w:r w:rsidRPr="00231A29">
        <w:rPr>
          <w:b/>
          <w:bCs/>
          <w:rtl/>
        </w:rPr>
        <w:t>ת/2</w:t>
      </w:r>
      <w:r w:rsidRPr="00231A29">
        <w:rPr>
          <w:rtl/>
        </w:rPr>
        <w:t xml:space="preserve"> וכן תמונה של האקדח נשוא כתב האישום המתוקן, כפי שצולם כאשר נתפס, שסומנה </w:t>
      </w:r>
      <w:r w:rsidRPr="00231A29">
        <w:rPr>
          <w:b/>
          <w:bCs/>
          <w:rtl/>
        </w:rPr>
        <w:t>ת/3</w:t>
      </w:r>
      <w:r w:rsidRPr="00231A29">
        <w:rPr>
          <w:rtl/>
        </w:rPr>
        <w:t>.</w:t>
      </w:r>
    </w:p>
    <w:p w14:paraId="15E15E43" w14:textId="77777777" w:rsidR="006639D5" w:rsidRPr="00231A29" w:rsidRDefault="006639D5" w:rsidP="006639D5">
      <w:pPr>
        <w:spacing w:line="360" w:lineRule="auto"/>
        <w:jc w:val="both"/>
        <w:rPr>
          <w:rtl/>
        </w:rPr>
      </w:pPr>
    </w:p>
    <w:p w14:paraId="01E9E4F2" w14:textId="77777777" w:rsidR="006639D5" w:rsidRPr="00231A29" w:rsidRDefault="006639D5" w:rsidP="006639D5">
      <w:pPr>
        <w:spacing w:line="360" w:lineRule="auto"/>
        <w:ind w:left="720" w:hanging="720"/>
        <w:jc w:val="both"/>
        <w:rPr>
          <w:rtl/>
        </w:rPr>
      </w:pPr>
      <w:r w:rsidRPr="00231A29">
        <w:rPr>
          <w:rtl/>
        </w:rPr>
        <w:t>16.</w:t>
      </w:r>
      <w:r w:rsidRPr="00231A29">
        <w:rPr>
          <w:rtl/>
        </w:rPr>
        <w:tab/>
        <w:t>ב"כ המאשימה הפנה לעובדות כתב האישום המתוקן, לנסיבות העבירה וחומרתה, תוך התייחסות לעברו הפלילי של הנאשם וטען כי הנאשם במעשיו פגע בשלום הציבור ובטחונו, בקניינו של המתלונן ובאמונם של בעל המוסך והלקוחות.</w:t>
      </w:r>
    </w:p>
    <w:p w14:paraId="0500B8A9" w14:textId="77777777" w:rsidR="006639D5" w:rsidRPr="00231A29" w:rsidRDefault="006639D5" w:rsidP="006639D5">
      <w:pPr>
        <w:spacing w:line="360" w:lineRule="auto"/>
        <w:jc w:val="both"/>
        <w:rPr>
          <w:rtl/>
        </w:rPr>
      </w:pPr>
    </w:p>
    <w:p w14:paraId="07B8ED56" w14:textId="77777777" w:rsidR="006639D5" w:rsidRPr="00231A29" w:rsidRDefault="006639D5" w:rsidP="006639D5">
      <w:pPr>
        <w:spacing w:line="360" w:lineRule="auto"/>
        <w:ind w:left="720" w:hanging="720"/>
        <w:jc w:val="both"/>
        <w:rPr>
          <w:rtl/>
        </w:rPr>
      </w:pPr>
      <w:r w:rsidRPr="00231A29">
        <w:rPr>
          <w:rtl/>
        </w:rPr>
        <w:t>17.</w:t>
      </w:r>
      <w:r w:rsidRPr="00231A29">
        <w:rPr>
          <w:rtl/>
        </w:rPr>
        <w:tab/>
        <w:t xml:space="preserve">לטענת המאשימה, הנאשם ניצל את מעמדו כעובד במוסך וכן את האמון שניתן בו וזאת בכדי לבצע את גניבת האקדח. </w:t>
      </w:r>
    </w:p>
    <w:p w14:paraId="5C75C0B7" w14:textId="77777777" w:rsidR="006639D5" w:rsidRPr="00231A29" w:rsidRDefault="006639D5" w:rsidP="006639D5">
      <w:pPr>
        <w:spacing w:line="360" w:lineRule="auto"/>
        <w:ind w:left="720" w:hanging="720"/>
        <w:jc w:val="both"/>
        <w:rPr>
          <w:rtl/>
        </w:rPr>
      </w:pPr>
    </w:p>
    <w:p w14:paraId="2C6F1E2D" w14:textId="77777777" w:rsidR="006639D5" w:rsidRPr="00231A29" w:rsidRDefault="006639D5" w:rsidP="006639D5">
      <w:pPr>
        <w:spacing w:line="360" w:lineRule="auto"/>
        <w:ind w:left="720" w:hanging="720"/>
        <w:jc w:val="both"/>
        <w:rPr>
          <w:rtl/>
        </w:rPr>
      </w:pPr>
      <w:r w:rsidRPr="00231A29">
        <w:rPr>
          <w:rtl/>
        </w:rPr>
        <w:t>18.</w:t>
      </w:r>
      <w:r w:rsidRPr="00231A29">
        <w:rPr>
          <w:rtl/>
        </w:rPr>
        <w:tab/>
        <w:t>באשר לנסיבות הקשורות בביצוע העבירה, ציינה המאשימה כי אומנם תחילתו של האירוע לא היתה מתוכננת מאחר והנאשם כשקיבל  את רכבו של המתלונן טרם ידע על הימצאות האקדח בתוכו. אך יחד עם זאת, נראה כי מהרגע בו הבחין בהימצאות האקדח ברכב, מעשיו היו מתוכננים. החל מרגע נטילת האקדח, נשיאתו והחבאתו בסמטה עד לרגע בו יוכל לשוב ולאסוף אותו. לצערו של הנאשם, השתבשה תכניתו בעקבות איתור האקדח ע"י משטרת ישראל וכן זיהוי הנאשם כמבצע הגניבה</w:t>
      </w:r>
      <w:r>
        <w:rPr>
          <w:rFonts w:hint="cs"/>
          <w:rtl/>
        </w:rPr>
        <w:t>, לטענתה</w:t>
      </w:r>
      <w:r w:rsidRPr="00231A29">
        <w:rPr>
          <w:rtl/>
        </w:rPr>
        <w:t>.</w:t>
      </w:r>
    </w:p>
    <w:p w14:paraId="3DE5744C" w14:textId="77777777" w:rsidR="006639D5" w:rsidRPr="00231A29" w:rsidRDefault="006639D5" w:rsidP="006639D5">
      <w:pPr>
        <w:spacing w:line="360" w:lineRule="auto"/>
        <w:jc w:val="both"/>
        <w:rPr>
          <w:rtl/>
        </w:rPr>
      </w:pPr>
    </w:p>
    <w:p w14:paraId="26AB5A2F" w14:textId="77777777" w:rsidR="006639D5" w:rsidRPr="00231A29" w:rsidRDefault="006639D5" w:rsidP="006639D5">
      <w:pPr>
        <w:spacing w:line="360" w:lineRule="auto"/>
        <w:ind w:left="720" w:hanging="720"/>
        <w:jc w:val="both"/>
        <w:rPr>
          <w:rtl/>
        </w:rPr>
      </w:pPr>
      <w:r w:rsidRPr="00231A29">
        <w:rPr>
          <w:rtl/>
        </w:rPr>
        <w:t>19.</w:t>
      </w:r>
      <w:r w:rsidRPr="00231A29">
        <w:rPr>
          <w:rtl/>
        </w:rPr>
        <w:tab/>
        <w:t xml:space="preserve">עוד טענה המאשימה כי בהכשלת הנאשם ותפיסתו נמנע נזק חמור ביותר, שכן נשק בלתי חוקי היה </w:t>
      </w:r>
      <w:r>
        <w:rPr>
          <w:rFonts w:hint="cs"/>
          <w:rtl/>
        </w:rPr>
        <w:t>עלול לה</w:t>
      </w:r>
      <w:r w:rsidRPr="00231A29">
        <w:rPr>
          <w:rtl/>
        </w:rPr>
        <w:t>גיע לידיים שאינן מורשות.</w:t>
      </w:r>
    </w:p>
    <w:p w14:paraId="16AF76FF" w14:textId="77777777" w:rsidR="006639D5" w:rsidRPr="00231A29" w:rsidRDefault="006639D5" w:rsidP="006639D5">
      <w:pPr>
        <w:spacing w:line="360" w:lineRule="auto"/>
        <w:jc w:val="both"/>
        <w:rPr>
          <w:rtl/>
        </w:rPr>
      </w:pPr>
    </w:p>
    <w:p w14:paraId="6474D7C5" w14:textId="77777777" w:rsidR="006639D5" w:rsidRPr="00231A29" w:rsidRDefault="006639D5" w:rsidP="006639D5">
      <w:pPr>
        <w:spacing w:line="360" w:lineRule="auto"/>
        <w:ind w:left="720" w:hanging="720"/>
        <w:jc w:val="both"/>
        <w:rPr>
          <w:rtl/>
        </w:rPr>
      </w:pPr>
      <w:r w:rsidRPr="00231A29">
        <w:rPr>
          <w:rtl/>
        </w:rPr>
        <w:t>20.</w:t>
      </w:r>
      <w:r w:rsidRPr="00231A29">
        <w:rPr>
          <w:rtl/>
        </w:rPr>
        <w:tab/>
        <w:t>המאשימה הפנתה לעברו הפלילי של הנאשם (ת/2) וציינה כי לחובתו הרשעה משנת 2004 בגין ביצוע עבירות נשק וביטחון חמורות וזאת לאחר שמחבל שביצע פיגוע שבו נרצחו 5 אנשים, העביר את נשקו מסוג קלצ'ניקוב ביחד עם המחסניות לנאשם בכדי שישמור עבורו</w:t>
      </w:r>
      <w:r>
        <w:rPr>
          <w:rFonts w:hint="cs"/>
          <w:rtl/>
        </w:rPr>
        <w:t>,</w:t>
      </w:r>
      <w:r w:rsidRPr="00231A29">
        <w:rPr>
          <w:rtl/>
        </w:rPr>
        <w:t xml:space="preserve"> הנאשם נתן למחבל מכשיר טלפון נייד בכדי שיוכל ליצור אתו קשר. בהמשך הנאשם אף ניהל משא ומתן עם ארגון הפת"ח להחלפת הנשק כנגד אקדח, אך לבסוף בוצעה המסירה ללא תמורה.</w:t>
      </w:r>
    </w:p>
    <w:p w14:paraId="7186972D" w14:textId="77777777" w:rsidR="006639D5" w:rsidRPr="00231A29" w:rsidRDefault="006639D5" w:rsidP="006639D5">
      <w:pPr>
        <w:spacing w:line="360" w:lineRule="auto"/>
        <w:jc w:val="both"/>
        <w:rPr>
          <w:rtl/>
        </w:rPr>
      </w:pPr>
    </w:p>
    <w:p w14:paraId="536287CB" w14:textId="77777777" w:rsidR="006639D5" w:rsidRPr="00231A29" w:rsidRDefault="006639D5" w:rsidP="006639D5">
      <w:pPr>
        <w:spacing w:line="360" w:lineRule="auto"/>
        <w:ind w:left="720" w:hanging="720"/>
        <w:jc w:val="both"/>
        <w:rPr>
          <w:rtl/>
        </w:rPr>
      </w:pPr>
      <w:r w:rsidRPr="00231A29">
        <w:rPr>
          <w:rtl/>
        </w:rPr>
        <w:t>21.</w:t>
      </w:r>
      <w:r w:rsidRPr="00231A29">
        <w:rPr>
          <w:rtl/>
        </w:rPr>
        <w:tab/>
        <w:t>המאשימה הפנתה לפסיקה (שסומנה ת/4), של</w:t>
      </w:r>
      <w:r>
        <w:rPr>
          <w:rFonts w:hint="cs"/>
          <w:rtl/>
        </w:rPr>
        <w:t>גישתה</w:t>
      </w:r>
      <w:r w:rsidRPr="00231A29">
        <w:rPr>
          <w:rtl/>
        </w:rPr>
        <w:t xml:space="preserve"> משקפת את מדיניות הענישה הנהוגה במקרים דומים שבהם מתחם הענישה נע בין 9 ל- 24 חודשי מאסר בפועל.</w:t>
      </w:r>
    </w:p>
    <w:p w14:paraId="060046B3" w14:textId="77777777" w:rsidR="006639D5" w:rsidRPr="00231A29" w:rsidRDefault="006639D5" w:rsidP="006639D5">
      <w:pPr>
        <w:spacing w:line="360" w:lineRule="auto"/>
        <w:jc w:val="both"/>
        <w:rPr>
          <w:rtl/>
        </w:rPr>
      </w:pPr>
    </w:p>
    <w:p w14:paraId="53A4ED3C" w14:textId="77777777" w:rsidR="006639D5" w:rsidRPr="00231A29" w:rsidRDefault="006639D5" w:rsidP="006639D5">
      <w:pPr>
        <w:spacing w:line="360" w:lineRule="auto"/>
        <w:ind w:left="720"/>
        <w:jc w:val="both"/>
        <w:rPr>
          <w:rtl/>
        </w:rPr>
      </w:pPr>
      <w:r w:rsidRPr="00231A29">
        <w:rPr>
          <w:rtl/>
        </w:rPr>
        <w:t>כך למשל הפנתה ל</w:t>
      </w:r>
      <w:hyperlink r:id="rId20" w:history="1">
        <w:r w:rsidR="003438A6" w:rsidRPr="003438A6">
          <w:rPr>
            <w:color w:val="0000FF"/>
            <w:u w:val="single"/>
            <w:rtl/>
          </w:rPr>
          <w:t>ת"פ (חי') 15148-03-12</w:t>
        </w:r>
      </w:hyperlink>
      <w:r w:rsidRPr="00231A29">
        <w:rPr>
          <w:rtl/>
        </w:rPr>
        <w:t xml:space="preserve"> </w:t>
      </w:r>
      <w:r w:rsidRPr="00231A29">
        <w:rPr>
          <w:b/>
          <w:bCs/>
          <w:rtl/>
        </w:rPr>
        <w:t>מדינת ישראל נ' אחמד כבהה</w:t>
      </w:r>
      <w:r w:rsidRPr="00231A29">
        <w:rPr>
          <w:rtl/>
        </w:rPr>
        <w:t xml:space="preserve"> (ניתן ביום 19.02.13), שם הורשע נאשם בהחזקת נשק שלא כדין יחד עם שינוי זהות של כלי רכב. הנאשם נתפס ברכב עם לוחית רישוי מזויפת בעוד שהמקורית בתוך הרכב, כשהחזיק אקדח מסוג "ברטה" ומחסנית הכוללת 11 כדורים. בית המשפט המחוזי קבע מתחם ענישה שנע בין 2 ל- 4 שנות</w:t>
      </w:r>
      <w:r>
        <w:rPr>
          <w:rtl/>
        </w:rPr>
        <w:t xml:space="preserve"> מאסר בפועל, ובסופו של דבר, ה</w:t>
      </w:r>
      <w:r w:rsidRPr="00231A29">
        <w:rPr>
          <w:rtl/>
        </w:rPr>
        <w:t>ש</w:t>
      </w:r>
      <w:r>
        <w:rPr>
          <w:rFonts w:hint="cs"/>
          <w:rtl/>
        </w:rPr>
        <w:t>י</w:t>
      </w:r>
      <w:r w:rsidRPr="00231A29">
        <w:rPr>
          <w:rtl/>
        </w:rPr>
        <w:t>ת על הנאשם שנתיים מאסר בפועל ושנה אחת על תנאי.  עוד הפנתה המאשימה ל</w:t>
      </w:r>
      <w:hyperlink r:id="rId21" w:history="1">
        <w:r w:rsidR="003438A6" w:rsidRPr="003438A6">
          <w:rPr>
            <w:color w:val="0000FF"/>
            <w:u w:val="single"/>
            <w:rtl/>
          </w:rPr>
          <w:t>ע"פ 3288/14</w:t>
        </w:r>
      </w:hyperlink>
      <w:r w:rsidRPr="00231A29">
        <w:rPr>
          <w:rtl/>
        </w:rPr>
        <w:t xml:space="preserve"> </w:t>
      </w:r>
      <w:r w:rsidRPr="00231A29">
        <w:rPr>
          <w:b/>
          <w:bCs/>
          <w:rtl/>
        </w:rPr>
        <w:t>מדינת ישראל נ' קריספיל</w:t>
      </w:r>
      <w:r w:rsidRPr="00231A29">
        <w:rPr>
          <w:rtl/>
        </w:rPr>
        <w:t xml:space="preserve"> (ניתן ביום 24.08.14), בבית המשפט המחוזי (</w:t>
      </w:r>
      <w:hyperlink r:id="rId22" w:history="1">
        <w:r w:rsidR="003438A6" w:rsidRPr="003438A6">
          <w:rPr>
            <w:color w:val="0000FF"/>
            <w:u w:val="single"/>
            <w:rtl/>
          </w:rPr>
          <w:t>ת"פ 18508-08-13</w:t>
        </w:r>
      </w:hyperlink>
      <w:r w:rsidRPr="00231A29">
        <w:rPr>
          <w:rtl/>
        </w:rPr>
        <w:t>) הורשע המערער, ע"פ הודאתו בכתב אישום מתוקן בעבירות של החזקת נשק בלא רשות והחזקת נכס החשוד כגנוב. הנאשם נתפס כשהוא יוצא מבית עם שקית ובתוכה אקדח טעון ומשתיק קול. בית המשפט המחוזי קבע מתחם ענישה שנע בין 6 ל</w:t>
      </w:r>
      <w:r>
        <w:rPr>
          <w:rFonts w:hint="cs"/>
          <w:rtl/>
        </w:rPr>
        <w:t xml:space="preserve">- </w:t>
      </w:r>
      <w:r w:rsidRPr="00231A29">
        <w:rPr>
          <w:rtl/>
        </w:rPr>
        <w:t>22</w:t>
      </w:r>
      <w:r>
        <w:rPr>
          <w:rFonts w:hint="cs"/>
          <w:rtl/>
        </w:rPr>
        <w:t xml:space="preserve"> </w:t>
      </w:r>
      <w:r w:rsidRPr="00231A29">
        <w:rPr>
          <w:rtl/>
        </w:rPr>
        <w:t xml:space="preserve">חודשי מאסר בפועל, והטיל על הנאשם 9 חודשי מאסר בפועל. בית המשפט העליון קבל את הערעור על קולת העונש והעמיד את המאסר בפועל על 18 חודשי מאסר. בנוסף הפנתה המאשימה לת"פ (חי') </w:t>
      </w:r>
      <w:hyperlink r:id="rId23" w:history="1">
        <w:r w:rsidR="00FE1233" w:rsidRPr="00FE1233">
          <w:rPr>
            <w:color w:val="0000FF"/>
            <w:u w:val="single"/>
            <w:rtl/>
          </w:rPr>
          <w:t xml:space="preserve">5127/06 </w:t>
        </w:r>
      </w:hyperlink>
      <w:r w:rsidRPr="00231A29">
        <w:rPr>
          <w:rtl/>
        </w:rPr>
        <w:t xml:space="preserve"> </w:t>
      </w:r>
      <w:r w:rsidRPr="00231A29">
        <w:rPr>
          <w:b/>
          <w:bCs/>
          <w:rtl/>
        </w:rPr>
        <w:t>מדינת ישראל נ' כרכור</w:t>
      </w:r>
      <w:r w:rsidRPr="00231A29">
        <w:rPr>
          <w:rtl/>
        </w:rPr>
        <w:t xml:space="preserve"> (ניתן ביום 10.07.06), שם הורשע הנאשם ע"פ הודאתו בהחזקת נשק ובהחזקת נכס החשוד כגנוב. הנאשם נתפס כשהוא נושא עמו אקדח גנוב ותחמושת. לנא</w:t>
      </w:r>
      <w:r>
        <w:rPr>
          <w:rtl/>
        </w:rPr>
        <w:t>שם הרשעות קודמות בעבירות אלימות</w:t>
      </w:r>
      <w:r w:rsidRPr="00231A29">
        <w:rPr>
          <w:rtl/>
        </w:rPr>
        <w:t xml:space="preserve"> </w:t>
      </w:r>
      <w:r>
        <w:rPr>
          <w:rFonts w:hint="cs"/>
          <w:rtl/>
        </w:rPr>
        <w:t>וביצע</w:t>
      </w:r>
      <w:r w:rsidRPr="00231A29">
        <w:rPr>
          <w:rtl/>
        </w:rPr>
        <w:t xml:space="preserve"> עבירות נשוא תיק זה, בחלוף 3 חודשים משחרורו ממאסרו האחרון. בית המשפט המחוזי השית על הנאשם 24 חודשי מאסר בפועל ו- 12 חודשי מאסר מותנה. </w:t>
      </w:r>
    </w:p>
    <w:p w14:paraId="792DF714" w14:textId="77777777" w:rsidR="006639D5" w:rsidRPr="00231A29" w:rsidRDefault="006639D5" w:rsidP="006639D5">
      <w:pPr>
        <w:spacing w:line="360" w:lineRule="auto"/>
        <w:jc w:val="both"/>
        <w:rPr>
          <w:rtl/>
        </w:rPr>
      </w:pPr>
    </w:p>
    <w:p w14:paraId="736CA3C3" w14:textId="77777777" w:rsidR="006639D5" w:rsidRPr="00231A29" w:rsidRDefault="006639D5" w:rsidP="006639D5">
      <w:pPr>
        <w:spacing w:line="360" w:lineRule="auto"/>
        <w:ind w:left="720" w:hanging="720"/>
        <w:jc w:val="both"/>
        <w:rPr>
          <w:rtl/>
        </w:rPr>
      </w:pPr>
      <w:r w:rsidRPr="00231A29">
        <w:rPr>
          <w:rtl/>
        </w:rPr>
        <w:t>22.</w:t>
      </w:r>
      <w:r w:rsidRPr="00231A29">
        <w:rPr>
          <w:rtl/>
        </w:rPr>
        <w:tab/>
        <w:t xml:space="preserve">לטענת המאשימה, לאור הנסיבות הקשורות בביצוע העבירה, ובכללן העובדה שהנאשם לא רק שהחזיק בנשק אלא גם גנב אותו, הרי </w:t>
      </w:r>
      <w:r>
        <w:rPr>
          <w:rFonts w:hint="cs"/>
          <w:rtl/>
        </w:rPr>
        <w:t>נסיבות העבירה ב</w:t>
      </w:r>
      <w:r w:rsidRPr="00231A29">
        <w:rPr>
          <w:rtl/>
        </w:rPr>
        <w:t>מקרה שלפנינו הינ</w:t>
      </w:r>
      <w:r>
        <w:rPr>
          <w:rFonts w:hint="cs"/>
          <w:rtl/>
        </w:rPr>
        <w:t>ן</w:t>
      </w:r>
      <w:r w:rsidRPr="00231A29">
        <w:rPr>
          <w:rtl/>
        </w:rPr>
        <w:t xml:space="preserve"> חמור</w:t>
      </w:r>
      <w:r>
        <w:rPr>
          <w:rFonts w:hint="cs"/>
          <w:rtl/>
        </w:rPr>
        <w:t>ות</w:t>
      </w:r>
      <w:r w:rsidRPr="00231A29">
        <w:rPr>
          <w:rtl/>
        </w:rPr>
        <w:t xml:space="preserve"> ביותר מהמקרים שהובאו בפסיקה שהגישה המאשימה (ת/4) </w:t>
      </w:r>
      <w:r>
        <w:rPr>
          <w:rFonts w:hint="cs"/>
          <w:rtl/>
        </w:rPr>
        <w:t>ו</w:t>
      </w:r>
      <w:r w:rsidRPr="00231A29">
        <w:rPr>
          <w:rtl/>
        </w:rPr>
        <w:t>שבהם לא ידוע מקור הנש</w:t>
      </w:r>
      <w:r>
        <w:rPr>
          <w:rFonts w:hint="cs"/>
          <w:rtl/>
        </w:rPr>
        <w:t>ק</w:t>
      </w:r>
      <w:r w:rsidRPr="00231A29">
        <w:rPr>
          <w:rtl/>
        </w:rPr>
        <w:t>, אך במקרה דנן הנאשם הוא זה שגנב את הנשק ואף נשא אותו מספר קילומטרים על מנת להחביאו.</w:t>
      </w:r>
    </w:p>
    <w:p w14:paraId="29D36674" w14:textId="77777777" w:rsidR="006639D5" w:rsidRPr="00231A29" w:rsidRDefault="006639D5" w:rsidP="006639D5">
      <w:pPr>
        <w:spacing w:line="360" w:lineRule="auto"/>
        <w:jc w:val="both"/>
        <w:rPr>
          <w:rtl/>
        </w:rPr>
      </w:pPr>
    </w:p>
    <w:p w14:paraId="2E0E384C" w14:textId="77777777" w:rsidR="006639D5" w:rsidRPr="00231A29" w:rsidRDefault="006639D5" w:rsidP="006639D5">
      <w:pPr>
        <w:spacing w:line="360" w:lineRule="auto"/>
        <w:ind w:left="720" w:hanging="720"/>
        <w:jc w:val="both"/>
        <w:rPr>
          <w:rtl/>
        </w:rPr>
      </w:pPr>
      <w:r w:rsidRPr="00231A29">
        <w:rPr>
          <w:rtl/>
        </w:rPr>
        <w:t>23.</w:t>
      </w:r>
      <w:r w:rsidRPr="00231A29">
        <w:rPr>
          <w:rtl/>
        </w:rPr>
        <w:tab/>
        <w:t xml:space="preserve">המאשימה סבורה, כי מתחם העונש ההולם בענייננו נע בין 2 ל-4 שנות מאסר בפועל. לטענתה, חומרת העבירה בה הורשע הנאשם, מובילה למסקנה יחידה שרק ענישה כבדה ומכאיבה הכוללת מאסר ארוך מאחורי סורג ובריח יהיה בה כדי להוות עונש ראוי לנאשם. עוד טענה המאשימה, כי יש להחמיר בענישה בעבירות אלו </w:t>
      </w:r>
      <w:r>
        <w:rPr>
          <w:rFonts w:hint="cs"/>
          <w:rtl/>
        </w:rPr>
        <w:t>בש</w:t>
      </w:r>
      <w:r w:rsidRPr="00231A29">
        <w:rPr>
          <w:rtl/>
        </w:rPr>
        <w:t>ל חומרתן ו</w:t>
      </w:r>
      <w:r>
        <w:rPr>
          <w:rFonts w:hint="cs"/>
          <w:rtl/>
        </w:rPr>
        <w:t>בשל הפגיעה המובהקת</w:t>
      </w:r>
      <w:r w:rsidRPr="00231A29">
        <w:rPr>
          <w:rtl/>
        </w:rPr>
        <w:t xml:space="preserve"> </w:t>
      </w:r>
      <w:r>
        <w:rPr>
          <w:rFonts w:hint="cs"/>
          <w:rtl/>
        </w:rPr>
        <w:t>ב</w:t>
      </w:r>
      <w:r w:rsidRPr="00231A29">
        <w:rPr>
          <w:rtl/>
        </w:rPr>
        <w:t xml:space="preserve">אינטרס הציבורי. </w:t>
      </w:r>
    </w:p>
    <w:p w14:paraId="72929260" w14:textId="77777777" w:rsidR="006639D5" w:rsidRPr="00231A29" w:rsidRDefault="006639D5" w:rsidP="006639D5">
      <w:pPr>
        <w:spacing w:line="360" w:lineRule="auto"/>
        <w:jc w:val="both"/>
        <w:rPr>
          <w:rtl/>
        </w:rPr>
      </w:pPr>
    </w:p>
    <w:p w14:paraId="7C0653C0" w14:textId="77777777" w:rsidR="006639D5" w:rsidRPr="00231A29" w:rsidRDefault="006639D5" w:rsidP="006639D5">
      <w:pPr>
        <w:spacing w:line="360" w:lineRule="auto"/>
        <w:ind w:left="720" w:hanging="720"/>
        <w:jc w:val="both"/>
        <w:rPr>
          <w:rtl/>
        </w:rPr>
      </w:pPr>
      <w:r w:rsidRPr="00231A29">
        <w:rPr>
          <w:rtl/>
        </w:rPr>
        <w:t>24.</w:t>
      </w:r>
      <w:r w:rsidRPr="00231A29">
        <w:rPr>
          <w:rtl/>
        </w:rPr>
        <w:tab/>
        <w:t xml:space="preserve">בסוף דבריה ביקשה המאשימה, להטיל על הנאשם מאסר בפועל שיהיה קרוב לרף העליון של המתחם שטענה לו וזאת </w:t>
      </w:r>
      <w:r w:rsidRPr="00231A29">
        <w:rPr>
          <w:rtl/>
        </w:rPr>
        <w:tab/>
        <w:t>לאור נסיבות העבירה ועברו הפלילי החמור של הנאשם.</w:t>
      </w:r>
    </w:p>
    <w:p w14:paraId="19C7D5BA" w14:textId="77777777" w:rsidR="006639D5" w:rsidRPr="00231A29" w:rsidRDefault="006639D5" w:rsidP="006639D5">
      <w:pPr>
        <w:spacing w:line="360" w:lineRule="auto"/>
        <w:jc w:val="both"/>
        <w:rPr>
          <w:rtl/>
        </w:rPr>
      </w:pPr>
    </w:p>
    <w:p w14:paraId="225F067B" w14:textId="77777777" w:rsidR="006639D5" w:rsidRPr="00231A29" w:rsidRDefault="006639D5" w:rsidP="006639D5">
      <w:pPr>
        <w:spacing w:line="360" w:lineRule="auto"/>
        <w:rPr>
          <w:b/>
          <w:bCs/>
          <w:u w:val="single"/>
          <w:rtl/>
        </w:rPr>
      </w:pPr>
      <w:r w:rsidRPr="00231A29">
        <w:rPr>
          <w:rtl/>
        </w:rPr>
        <w:tab/>
      </w:r>
      <w:r w:rsidRPr="00231A29">
        <w:rPr>
          <w:b/>
          <w:bCs/>
          <w:u w:val="single"/>
          <w:rtl/>
        </w:rPr>
        <w:t>טיעוני ב"כ הנאשם:</w:t>
      </w:r>
    </w:p>
    <w:p w14:paraId="32886238" w14:textId="77777777" w:rsidR="006639D5" w:rsidRPr="00231A29" w:rsidRDefault="006639D5" w:rsidP="006639D5">
      <w:pPr>
        <w:spacing w:line="360" w:lineRule="auto"/>
        <w:jc w:val="both"/>
        <w:rPr>
          <w:rtl/>
        </w:rPr>
      </w:pPr>
    </w:p>
    <w:p w14:paraId="352CC766" w14:textId="77777777" w:rsidR="006639D5" w:rsidRPr="00231A29" w:rsidRDefault="006639D5" w:rsidP="006639D5">
      <w:pPr>
        <w:spacing w:line="360" w:lineRule="auto"/>
        <w:ind w:left="720" w:hanging="720"/>
        <w:jc w:val="both"/>
        <w:rPr>
          <w:rtl/>
        </w:rPr>
      </w:pPr>
      <w:r w:rsidRPr="00231A29">
        <w:rPr>
          <w:rtl/>
        </w:rPr>
        <w:t>25.</w:t>
      </w:r>
      <w:r w:rsidRPr="00231A29">
        <w:rPr>
          <w:rtl/>
        </w:rPr>
        <w:tab/>
        <w:t>לטענת הסנגור, לא היה כל תכנון מצד הנאשם לביצוע ה</w:t>
      </w:r>
      <w:r>
        <w:rPr>
          <w:rtl/>
        </w:rPr>
        <w:t xml:space="preserve">עבירה. הנאשם עבד במוסך כמכונאי </w:t>
      </w:r>
      <w:r w:rsidRPr="00231A29">
        <w:rPr>
          <w:rtl/>
        </w:rPr>
        <w:t>רכב מזה זמן רב (כמעט 20 שנה) ולא היה כל רבב בעבודתו ומקצועיותו. הסנגור ציין כי כדרך שיגרה, מנהלי המקום היו מכניסים רכבים לעמדה בה היה עובד הנאשם, כדי שיבצע את התיקונים הנדרשים. לטענת הסנגור, גם ביום האירוע הגיע הנאשם למוסך ליום עבודה רגיל, ללא כל תכנון מוקדם לביצוע ע</w:t>
      </w:r>
      <w:r>
        <w:rPr>
          <w:rtl/>
        </w:rPr>
        <w:t xml:space="preserve">בירה, עד לרגע בו נכנס לרכבו של </w:t>
      </w:r>
      <w:r w:rsidRPr="00231A29">
        <w:rPr>
          <w:rtl/>
        </w:rPr>
        <w:t>המתלונן. באותו הרגע, החליט הנאשם לקחת את האקדח מן הרכב.</w:t>
      </w:r>
    </w:p>
    <w:p w14:paraId="11EA71B8" w14:textId="77777777" w:rsidR="006639D5" w:rsidRPr="00231A29" w:rsidRDefault="006639D5" w:rsidP="006639D5">
      <w:pPr>
        <w:spacing w:line="360" w:lineRule="auto"/>
        <w:jc w:val="both"/>
        <w:rPr>
          <w:rtl/>
        </w:rPr>
      </w:pPr>
    </w:p>
    <w:p w14:paraId="6A195544" w14:textId="77777777" w:rsidR="006639D5" w:rsidRPr="00231A29" w:rsidRDefault="006639D5" w:rsidP="006639D5">
      <w:pPr>
        <w:spacing w:line="360" w:lineRule="auto"/>
        <w:ind w:left="720" w:hanging="720"/>
        <w:jc w:val="both"/>
        <w:rPr>
          <w:rtl/>
        </w:rPr>
      </w:pPr>
      <w:r w:rsidRPr="00231A29">
        <w:rPr>
          <w:rtl/>
        </w:rPr>
        <w:t>26.</w:t>
      </w:r>
      <w:r w:rsidRPr="00231A29">
        <w:rPr>
          <w:rtl/>
        </w:rPr>
        <w:tab/>
        <w:t xml:space="preserve">לטענת ב"כ הנאשם, כתוצאה מהאירוע לא התקיימה כל פגיעה ממשית בערך חברתי מוגן </w:t>
      </w:r>
      <w:r>
        <w:rPr>
          <w:rtl/>
        </w:rPr>
        <w:t xml:space="preserve">וזאת </w:t>
      </w:r>
      <w:r w:rsidRPr="00231A29">
        <w:rPr>
          <w:rtl/>
        </w:rPr>
        <w:t>מאחר ותוך שעתיים מרגע לקיחת האקדח הוא כבר נתפס ע"</w:t>
      </w:r>
      <w:r>
        <w:rPr>
          <w:rtl/>
        </w:rPr>
        <w:t xml:space="preserve">י המשטרה. עוד טען ב"כ הנאשם כי </w:t>
      </w:r>
      <w:r w:rsidRPr="00231A29">
        <w:rPr>
          <w:rtl/>
        </w:rPr>
        <w:t xml:space="preserve">אף הפגיעה הפוטנציאלית שהייתה צפויה לקרות הינה מזערית, </w:t>
      </w:r>
      <w:r>
        <w:rPr>
          <w:rtl/>
        </w:rPr>
        <w:t xml:space="preserve">שכן בוודאות, במוקדם או במאוחר, </w:t>
      </w:r>
      <w:r w:rsidRPr="00231A29">
        <w:rPr>
          <w:rtl/>
        </w:rPr>
        <w:t>האקדח היה נתפס לאור חוסר התחכום של הנאשם.</w:t>
      </w:r>
    </w:p>
    <w:p w14:paraId="68E8FF19" w14:textId="77777777" w:rsidR="006639D5" w:rsidRPr="00231A29" w:rsidRDefault="006639D5" w:rsidP="006639D5">
      <w:pPr>
        <w:spacing w:line="360" w:lineRule="auto"/>
        <w:jc w:val="both"/>
        <w:rPr>
          <w:rtl/>
        </w:rPr>
      </w:pPr>
    </w:p>
    <w:p w14:paraId="4D8F436A" w14:textId="77777777" w:rsidR="006639D5" w:rsidRPr="00231A29" w:rsidRDefault="006639D5" w:rsidP="006639D5">
      <w:pPr>
        <w:spacing w:line="360" w:lineRule="auto"/>
        <w:ind w:left="720" w:hanging="720"/>
        <w:jc w:val="both"/>
        <w:rPr>
          <w:rtl/>
        </w:rPr>
      </w:pPr>
      <w:r>
        <w:rPr>
          <w:rtl/>
        </w:rPr>
        <w:t>27.</w:t>
      </w:r>
      <w:r>
        <w:rPr>
          <w:rtl/>
        </w:rPr>
        <w:tab/>
        <w:t>לטענת</w:t>
      </w:r>
      <w:r>
        <w:rPr>
          <w:rFonts w:hint="cs"/>
          <w:rtl/>
        </w:rPr>
        <w:t xml:space="preserve"> </w:t>
      </w:r>
      <w:r w:rsidRPr="00231A29">
        <w:rPr>
          <w:rtl/>
        </w:rPr>
        <w:t xml:space="preserve">הסנגור, המדובר בעבירה בעלת נסיבות מיוחדות, שכן פעולת הנאשם הייתה ספונטנית, ללא כל תכנון </w:t>
      </w:r>
      <w:r>
        <w:rPr>
          <w:rFonts w:hint="cs"/>
          <w:rtl/>
        </w:rPr>
        <w:t xml:space="preserve">מוקדם </w:t>
      </w:r>
      <w:r w:rsidRPr="00231A29">
        <w:rPr>
          <w:rtl/>
        </w:rPr>
        <w:t>וזמן מחשבה מ</w:t>
      </w:r>
      <w:r>
        <w:rPr>
          <w:rFonts w:hint="cs"/>
          <w:rtl/>
        </w:rPr>
        <w:t>ספיק</w:t>
      </w:r>
      <w:r w:rsidRPr="00231A29">
        <w:rPr>
          <w:rtl/>
        </w:rPr>
        <w:t>, ו</w:t>
      </w:r>
      <w:r>
        <w:rPr>
          <w:rFonts w:hint="cs"/>
          <w:rtl/>
        </w:rPr>
        <w:t xml:space="preserve">מכאן הוא הפעיל </w:t>
      </w:r>
      <w:r w:rsidRPr="00231A29">
        <w:rPr>
          <w:rtl/>
        </w:rPr>
        <w:t>שיקול דעת מוטעה. לטענתו, נסיבות האירוע מחזקות את טענתו ומעידות על חוסר התכנון שכן מדובר ברצף פעולות נטולות תחכום ומחשבה קודמת, וזאת מאחר ומדובר במקום שמתועד במצלמות ומספר העובדים בו מצומצם.</w:t>
      </w:r>
    </w:p>
    <w:p w14:paraId="0C1A117A" w14:textId="77777777" w:rsidR="006639D5" w:rsidRPr="00231A29" w:rsidRDefault="006639D5" w:rsidP="006639D5">
      <w:pPr>
        <w:spacing w:line="360" w:lineRule="auto"/>
        <w:jc w:val="both"/>
        <w:rPr>
          <w:rtl/>
        </w:rPr>
      </w:pPr>
    </w:p>
    <w:p w14:paraId="5F1D323C" w14:textId="77777777" w:rsidR="006639D5" w:rsidRPr="00231A29" w:rsidRDefault="006639D5" w:rsidP="006639D5">
      <w:pPr>
        <w:spacing w:line="360" w:lineRule="auto"/>
        <w:ind w:left="720" w:hanging="720"/>
        <w:jc w:val="both"/>
        <w:rPr>
          <w:rtl/>
        </w:rPr>
      </w:pPr>
      <w:r w:rsidRPr="00231A29">
        <w:rPr>
          <w:rtl/>
        </w:rPr>
        <w:t>28.</w:t>
      </w:r>
      <w:r w:rsidRPr="00231A29">
        <w:rPr>
          <w:rtl/>
        </w:rPr>
        <w:tab/>
        <w:t>עוד הוסיף ב"כ הנאשם וטען כי בעבירת החזקת נשק, קיים מדרג באשר לסוג הנשק הנתפס שכן אקדח הינו באמצע המדרג ולא החמור ביותר.</w:t>
      </w:r>
    </w:p>
    <w:p w14:paraId="7E1D1B7C" w14:textId="77777777" w:rsidR="006639D5" w:rsidRPr="00231A29" w:rsidRDefault="006639D5" w:rsidP="006639D5">
      <w:pPr>
        <w:spacing w:line="360" w:lineRule="auto"/>
        <w:jc w:val="both"/>
        <w:rPr>
          <w:rtl/>
        </w:rPr>
      </w:pPr>
    </w:p>
    <w:p w14:paraId="3DB44F45" w14:textId="77777777" w:rsidR="006639D5" w:rsidRPr="00231A29" w:rsidRDefault="006639D5" w:rsidP="006639D5">
      <w:pPr>
        <w:spacing w:line="360" w:lineRule="auto"/>
        <w:ind w:left="720" w:hanging="720"/>
        <w:jc w:val="both"/>
        <w:rPr>
          <w:rtl/>
        </w:rPr>
      </w:pPr>
      <w:r w:rsidRPr="00231A29">
        <w:rPr>
          <w:rtl/>
        </w:rPr>
        <w:t>29.</w:t>
      </w:r>
      <w:r w:rsidRPr="00231A29">
        <w:rPr>
          <w:rtl/>
        </w:rPr>
        <w:tab/>
        <w:t xml:space="preserve">באשר למדיניות הענישה, טען ב"כ הנאשם כי רמת הענישה המקובלת בעבירות אלו נעה בין </w:t>
      </w:r>
      <w:r>
        <w:rPr>
          <w:rtl/>
        </w:rPr>
        <w:t xml:space="preserve">עונש </w:t>
      </w:r>
      <w:r w:rsidRPr="00231A29">
        <w:rPr>
          <w:rtl/>
        </w:rPr>
        <w:t>שלא כולל מאסר בפועל ועד לעונש קצר של מאסר בפועל שניתן לביצוע בעבודות שירות.</w:t>
      </w:r>
    </w:p>
    <w:p w14:paraId="4951E135" w14:textId="77777777" w:rsidR="006639D5" w:rsidRPr="00231A29" w:rsidRDefault="006639D5" w:rsidP="006639D5">
      <w:pPr>
        <w:spacing w:line="360" w:lineRule="auto"/>
        <w:jc w:val="both"/>
        <w:rPr>
          <w:rtl/>
        </w:rPr>
      </w:pPr>
    </w:p>
    <w:p w14:paraId="6539919B" w14:textId="77777777" w:rsidR="006639D5" w:rsidRPr="00231A29" w:rsidRDefault="006639D5" w:rsidP="006639D5">
      <w:pPr>
        <w:spacing w:line="360" w:lineRule="auto"/>
        <w:ind w:left="720" w:hanging="720"/>
        <w:jc w:val="both"/>
        <w:rPr>
          <w:rtl/>
        </w:rPr>
      </w:pPr>
      <w:r w:rsidRPr="00231A29">
        <w:rPr>
          <w:rtl/>
        </w:rPr>
        <w:t>30.</w:t>
      </w:r>
      <w:r w:rsidRPr="00231A29">
        <w:rPr>
          <w:rtl/>
        </w:rPr>
        <w:tab/>
        <w:t xml:space="preserve">ב"כ הנאשם הפנה לאסופת פסקי דין בהם העונשים נעו בין 4 חודשי מאסר בעבודות שירות לבין 12 </w:t>
      </w:r>
      <w:r w:rsidRPr="00231A29">
        <w:rPr>
          <w:rtl/>
        </w:rPr>
        <w:tab/>
        <w:t xml:space="preserve">חודשי מאסר בפועל.  </w:t>
      </w:r>
    </w:p>
    <w:p w14:paraId="6C93E1F7" w14:textId="77777777" w:rsidR="006639D5" w:rsidRPr="00231A29" w:rsidRDefault="006639D5" w:rsidP="006639D5">
      <w:pPr>
        <w:spacing w:line="360" w:lineRule="auto"/>
        <w:jc w:val="both"/>
        <w:rPr>
          <w:rtl/>
        </w:rPr>
      </w:pPr>
    </w:p>
    <w:p w14:paraId="0050A7D6" w14:textId="77777777" w:rsidR="006639D5" w:rsidRDefault="006639D5" w:rsidP="006639D5">
      <w:pPr>
        <w:spacing w:line="360" w:lineRule="auto"/>
        <w:ind w:left="720"/>
        <w:jc w:val="both"/>
        <w:rPr>
          <w:rtl/>
        </w:rPr>
      </w:pPr>
      <w:r w:rsidRPr="00231A29">
        <w:rPr>
          <w:rtl/>
        </w:rPr>
        <w:t>כך למשל, הפנה ל</w:t>
      </w:r>
      <w:hyperlink r:id="rId24" w:history="1">
        <w:r w:rsidR="003438A6" w:rsidRPr="003438A6">
          <w:rPr>
            <w:color w:val="0000FF"/>
            <w:u w:val="single"/>
            <w:rtl/>
          </w:rPr>
          <w:t>ת"פ (שלום י-ם) 8987-11-14</w:t>
        </w:r>
      </w:hyperlink>
      <w:r w:rsidRPr="00231A29">
        <w:rPr>
          <w:rtl/>
        </w:rPr>
        <w:t xml:space="preserve"> </w:t>
      </w:r>
      <w:r w:rsidRPr="00231A29">
        <w:rPr>
          <w:b/>
          <w:bCs/>
          <w:rtl/>
        </w:rPr>
        <w:t>מדינת ישראל נ' זרו</w:t>
      </w:r>
      <w:r w:rsidRPr="00231A29">
        <w:rPr>
          <w:rtl/>
        </w:rPr>
        <w:t xml:space="preserve"> (ניתן ביום 26.03.17), שם הורשע הנאשם </w:t>
      </w:r>
      <w:r>
        <w:rPr>
          <w:rFonts w:hint="cs"/>
          <w:rtl/>
        </w:rPr>
        <w:t>על סמך</w:t>
      </w:r>
      <w:r w:rsidRPr="00231A29">
        <w:rPr>
          <w:rtl/>
        </w:rPr>
        <w:t xml:space="preserve"> הודאתו בעבירות של גניבה והחזקת נשק שלא כדין. הנאשם הגיע לבית המתלוננת ביחד עם בת דודתו בכדי לנקות את הדירה, כשעזב את המקום נטל אקדח מסוג קולט 45 שהיה שייך לבעל הדירה. בעניינו, הוגש תסקיר חיובי והמאשימה ביקשה את הרף הנמוך של הענישה. בית המשפט השלום קבע מתחם הנע בין 10 ל-18 חודשי מאסר. </w:t>
      </w:r>
    </w:p>
    <w:p w14:paraId="31436DD2" w14:textId="77777777" w:rsidR="006639D5" w:rsidRDefault="006639D5" w:rsidP="006639D5">
      <w:pPr>
        <w:spacing w:line="360" w:lineRule="auto"/>
        <w:ind w:left="720"/>
        <w:jc w:val="both"/>
        <w:rPr>
          <w:rtl/>
        </w:rPr>
      </w:pPr>
    </w:p>
    <w:p w14:paraId="02D8EA29" w14:textId="77777777" w:rsidR="006639D5" w:rsidRDefault="006639D5" w:rsidP="006639D5">
      <w:pPr>
        <w:spacing w:line="360" w:lineRule="auto"/>
        <w:ind w:left="720"/>
        <w:jc w:val="both"/>
        <w:rPr>
          <w:rtl/>
        </w:rPr>
      </w:pPr>
      <w:r w:rsidRPr="00231A29">
        <w:rPr>
          <w:rtl/>
        </w:rPr>
        <w:t>בסופו של דבר, הושת</w:t>
      </w:r>
      <w:r>
        <w:rPr>
          <w:rFonts w:hint="cs"/>
          <w:rtl/>
        </w:rPr>
        <w:t>ו</w:t>
      </w:r>
      <w:r w:rsidRPr="00231A29">
        <w:rPr>
          <w:rtl/>
        </w:rPr>
        <w:t xml:space="preserve"> על הנאשם 4 חודשי </w:t>
      </w:r>
      <w:r>
        <w:rPr>
          <w:rFonts w:hint="cs"/>
          <w:rtl/>
        </w:rPr>
        <w:t>מאסר שריצה ב</w:t>
      </w:r>
      <w:r w:rsidRPr="00231A29">
        <w:rPr>
          <w:rtl/>
        </w:rPr>
        <w:t xml:space="preserve">עבודות שירות. </w:t>
      </w:r>
    </w:p>
    <w:p w14:paraId="569BD2BA" w14:textId="77777777" w:rsidR="006639D5" w:rsidRDefault="006639D5" w:rsidP="006639D5">
      <w:pPr>
        <w:spacing w:line="360" w:lineRule="auto"/>
        <w:ind w:left="720"/>
        <w:jc w:val="both"/>
        <w:rPr>
          <w:rtl/>
        </w:rPr>
      </w:pPr>
    </w:p>
    <w:p w14:paraId="32F00D61" w14:textId="77777777" w:rsidR="006639D5" w:rsidRDefault="006639D5" w:rsidP="006639D5">
      <w:pPr>
        <w:spacing w:line="360" w:lineRule="auto"/>
        <w:ind w:left="720"/>
        <w:jc w:val="both"/>
        <w:rPr>
          <w:rtl/>
        </w:rPr>
      </w:pPr>
      <w:r w:rsidRPr="00231A29">
        <w:rPr>
          <w:rtl/>
        </w:rPr>
        <w:t>עוד הפנה הסנגור ל</w:t>
      </w:r>
      <w:hyperlink r:id="rId25" w:history="1">
        <w:r w:rsidR="003438A6" w:rsidRPr="003438A6">
          <w:rPr>
            <w:color w:val="0000FF"/>
            <w:u w:val="single"/>
            <w:rtl/>
          </w:rPr>
          <w:t>ע"פ 4945/13</w:t>
        </w:r>
      </w:hyperlink>
      <w:r w:rsidRPr="00231A29">
        <w:rPr>
          <w:rtl/>
        </w:rPr>
        <w:t xml:space="preserve"> </w:t>
      </w:r>
      <w:r w:rsidRPr="00231A29">
        <w:rPr>
          <w:b/>
          <w:bCs/>
          <w:rtl/>
        </w:rPr>
        <w:t>מדינת ישראל נ' סלימאן</w:t>
      </w:r>
      <w:r w:rsidRPr="00231A29">
        <w:rPr>
          <w:rtl/>
        </w:rPr>
        <w:t xml:space="preserve"> (ניתן ביום 19.01.14), שם הורשע הנאשם בעבירות של רכישת והחזקת נשק, רכישת והחזקת תחמושת ונשיאה והובלת נשק ותחמושת, לצד עבירות נוספות. בית המשפט המחוזי קבע מתחם שנע בין מאסר בפועל לריצוי בעבודות שירות לבין 20 חודשי מאסר. </w:t>
      </w:r>
    </w:p>
    <w:p w14:paraId="3E3E0A9F" w14:textId="77777777" w:rsidR="006639D5" w:rsidRDefault="006639D5" w:rsidP="006639D5">
      <w:pPr>
        <w:spacing w:line="360" w:lineRule="auto"/>
        <w:ind w:left="720"/>
        <w:jc w:val="both"/>
        <w:rPr>
          <w:rtl/>
        </w:rPr>
      </w:pPr>
    </w:p>
    <w:p w14:paraId="6D2A3B11" w14:textId="77777777" w:rsidR="006639D5" w:rsidRDefault="006639D5" w:rsidP="006639D5">
      <w:pPr>
        <w:spacing w:line="360" w:lineRule="auto"/>
        <w:ind w:left="720"/>
        <w:jc w:val="both"/>
        <w:rPr>
          <w:rtl/>
        </w:rPr>
      </w:pPr>
      <w:r>
        <w:rPr>
          <w:rFonts w:hint="cs"/>
          <w:rtl/>
        </w:rPr>
        <w:t>בית משפט</w:t>
      </w:r>
      <w:r w:rsidRPr="00231A29">
        <w:rPr>
          <w:rtl/>
        </w:rPr>
        <w:t xml:space="preserve"> הש</w:t>
      </w:r>
      <w:r>
        <w:rPr>
          <w:rFonts w:hint="cs"/>
          <w:rtl/>
        </w:rPr>
        <w:t>י</w:t>
      </w:r>
      <w:r w:rsidRPr="00231A29">
        <w:rPr>
          <w:rtl/>
        </w:rPr>
        <w:t xml:space="preserve">ת על הנאשם 6 חודשי מאסר בפועל שירוצו בעבודות שירות. </w:t>
      </w:r>
    </w:p>
    <w:p w14:paraId="0828FC0E" w14:textId="77777777" w:rsidR="006639D5" w:rsidRDefault="006639D5" w:rsidP="006639D5">
      <w:pPr>
        <w:spacing w:line="360" w:lineRule="auto"/>
        <w:ind w:left="720"/>
        <w:jc w:val="both"/>
        <w:rPr>
          <w:rtl/>
        </w:rPr>
      </w:pPr>
    </w:p>
    <w:p w14:paraId="275A68BF" w14:textId="77777777" w:rsidR="006639D5" w:rsidRDefault="006639D5" w:rsidP="006639D5">
      <w:pPr>
        <w:spacing w:line="360" w:lineRule="auto"/>
        <w:ind w:left="720"/>
        <w:jc w:val="both"/>
        <w:rPr>
          <w:rtl/>
        </w:rPr>
      </w:pPr>
      <w:r w:rsidRPr="00231A29">
        <w:rPr>
          <w:rtl/>
        </w:rPr>
        <w:t xml:space="preserve">המדינה ערערה על קלות העונש לבית המשפט העליון, יש לציין כי בית המשפט העליון קבע שהמתחם שנקבע הינו מקל יתר על המידה וקבע בעניינו מתחם שנע בין 12 ל-36 חודשי מאסר בפועל. אך בסופו של דבר, לאור התסקיר החיובי ופוטנציאל השיקום הגבוה, הותיר בית המשפט העליון את העונש על קנו, קרי 6 חודשי מאסר בעבודות שירות, ודחה את הערעור. </w:t>
      </w:r>
    </w:p>
    <w:p w14:paraId="5271420D" w14:textId="77777777" w:rsidR="006639D5" w:rsidRDefault="006639D5" w:rsidP="006639D5">
      <w:pPr>
        <w:spacing w:line="360" w:lineRule="auto"/>
        <w:ind w:left="720"/>
        <w:jc w:val="both"/>
        <w:rPr>
          <w:rtl/>
        </w:rPr>
      </w:pPr>
    </w:p>
    <w:p w14:paraId="5DFFBE51" w14:textId="77777777" w:rsidR="006639D5" w:rsidRDefault="006639D5" w:rsidP="006639D5">
      <w:pPr>
        <w:spacing w:line="360" w:lineRule="auto"/>
        <w:ind w:left="720"/>
        <w:jc w:val="both"/>
        <w:rPr>
          <w:rtl/>
        </w:rPr>
      </w:pPr>
      <w:r w:rsidRPr="00231A29">
        <w:rPr>
          <w:rtl/>
        </w:rPr>
        <w:t>הסנגור</w:t>
      </w:r>
      <w:r>
        <w:rPr>
          <w:rFonts w:hint="cs"/>
          <w:rtl/>
        </w:rPr>
        <w:t xml:space="preserve"> הפנה גם</w:t>
      </w:r>
      <w:r w:rsidRPr="00231A29">
        <w:rPr>
          <w:rtl/>
        </w:rPr>
        <w:t xml:space="preserve"> ל</w:t>
      </w:r>
      <w:hyperlink r:id="rId26" w:history="1">
        <w:r w:rsidR="003438A6" w:rsidRPr="003438A6">
          <w:rPr>
            <w:color w:val="0000FF"/>
            <w:u w:val="single"/>
            <w:rtl/>
          </w:rPr>
          <w:t>ת"פ (מרכז) 25902-05-16</w:t>
        </w:r>
      </w:hyperlink>
      <w:r w:rsidRPr="00231A29">
        <w:rPr>
          <w:rtl/>
        </w:rPr>
        <w:t xml:space="preserve"> </w:t>
      </w:r>
      <w:r w:rsidRPr="00231A29">
        <w:rPr>
          <w:b/>
          <w:bCs/>
          <w:rtl/>
        </w:rPr>
        <w:t>מדינת ישראל נ' קשקוש</w:t>
      </w:r>
      <w:r w:rsidRPr="00231A29">
        <w:rPr>
          <w:rtl/>
        </w:rPr>
        <w:t xml:space="preserve"> (ניתן ביום 24.04.17), שם הורשע המערער בעבירות של נשיאת והחזקת נשק. הנאשם רכש אקדח גנוב ובמשך כשלושה חודשים נהג להחזיק ולהסתובב עימו. בעניינו של הנאשם הוגש תסקיר חיובי. </w:t>
      </w:r>
    </w:p>
    <w:p w14:paraId="37352236" w14:textId="77777777" w:rsidR="006639D5" w:rsidRDefault="006639D5" w:rsidP="006639D5">
      <w:pPr>
        <w:spacing w:line="360" w:lineRule="auto"/>
        <w:ind w:left="720"/>
        <w:jc w:val="both"/>
        <w:rPr>
          <w:rtl/>
        </w:rPr>
      </w:pPr>
    </w:p>
    <w:p w14:paraId="0C6E43F8" w14:textId="77777777" w:rsidR="006639D5" w:rsidRDefault="006639D5" w:rsidP="006639D5">
      <w:pPr>
        <w:spacing w:line="360" w:lineRule="auto"/>
        <w:ind w:left="720"/>
        <w:jc w:val="both"/>
        <w:rPr>
          <w:rtl/>
        </w:rPr>
      </w:pPr>
      <w:r w:rsidRPr="00231A29">
        <w:rPr>
          <w:rtl/>
        </w:rPr>
        <w:t>בית המשפט המחוזי קבע מתחם ש</w:t>
      </w:r>
      <w:r w:rsidRPr="00231A29">
        <w:rPr>
          <w:rFonts w:ascii="Calibri" w:hAnsi="Calibri" w:hint="eastAsia"/>
          <w:rtl/>
        </w:rPr>
        <w:t>נע</w:t>
      </w:r>
      <w:r w:rsidRPr="00231A29">
        <w:rPr>
          <w:rFonts w:ascii="Calibri" w:hAnsi="Calibri"/>
          <w:rtl/>
        </w:rPr>
        <w:t xml:space="preserve"> </w:t>
      </w:r>
      <w:r w:rsidRPr="00231A29">
        <w:rPr>
          <w:rFonts w:ascii="Calibri" w:hAnsi="Calibri" w:hint="eastAsia"/>
          <w:rtl/>
        </w:rPr>
        <w:t>בין</w:t>
      </w:r>
      <w:r w:rsidRPr="00231A29">
        <w:rPr>
          <w:rFonts w:ascii="Calibri" w:hAnsi="Calibri"/>
          <w:rtl/>
        </w:rPr>
        <w:t xml:space="preserve"> 15 </w:t>
      </w:r>
      <w:r w:rsidRPr="00231A29">
        <w:rPr>
          <w:rFonts w:ascii="Calibri" w:hAnsi="Calibri" w:hint="eastAsia"/>
          <w:rtl/>
        </w:rPr>
        <w:t>ל</w:t>
      </w:r>
      <w:r w:rsidRPr="00231A29">
        <w:rPr>
          <w:rFonts w:ascii="Calibri" w:hAnsi="Calibri"/>
          <w:rtl/>
        </w:rPr>
        <w:t xml:space="preserve">-36 </w:t>
      </w:r>
      <w:r w:rsidRPr="00231A29">
        <w:rPr>
          <w:rFonts w:ascii="Calibri" w:hAnsi="Calibri" w:hint="eastAsia"/>
          <w:rtl/>
        </w:rPr>
        <w:t>חודשי</w:t>
      </w:r>
      <w:r w:rsidRPr="00231A29">
        <w:rPr>
          <w:rFonts w:ascii="Calibri" w:hAnsi="Calibri"/>
          <w:rtl/>
        </w:rPr>
        <w:t xml:space="preserve"> </w:t>
      </w:r>
      <w:r w:rsidRPr="00231A29">
        <w:rPr>
          <w:rFonts w:ascii="Calibri" w:hAnsi="Calibri" w:hint="eastAsia"/>
          <w:rtl/>
        </w:rPr>
        <w:t>מאסר</w:t>
      </w:r>
      <w:r w:rsidRPr="00231A29">
        <w:rPr>
          <w:rFonts w:ascii="Calibri" w:hAnsi="Calibri"/>
          <w:rtl/>
        </w:rPr>
        <w:t xml:space="preserve"> </w:t>
      </w:r>
      <w:r w:rsidRPr="00231A29">
        <w:rPr>
          <w:rFonts w:ascii="Calibri" w:hAnsi="Calibri" w:hint="eastAsia"/>
          <w:rtl/>
        </w:rPr>
        <w:t>בפועל</w:t>
      </w:r>
      <w:r w:rsidRPr="00231A29">
        <w:rPr>
          <w:rFonts w:ascii="Calibri" w:hAnsi="Calibri"/>
          <w:rtl/>
        </w:rPr>
        <w:t xml:space="preserve"> </w:t>
      </w:r>
      <w:r w:rsidRPr="00231A29">
        <w:rPr>
          <w:rFonts w:ascii="Calibri" w:hAnsi="Calibri" w:hint="eastAsia"/>
          <w:rtl/>
        </w:rPr>
        <w:t>כשבסופו</w:t>
      </w:r>
      <w:r w:rsidRPr="00231A29">
        <w:rPr>
          <w:rFonts w:ascii="Calibri" w:hAnsi="Calibri"/>
          <w:rtl/>
        </w:rPr>
        <w:t xml:space="preserve"> </w:t>
      </w:r>
      <w:r w:rsidRPr="00231A29">
        <w:rPr>
          <w:rFonts w:ascii="Calibri" w:hAnsi="Calibri" w:hint="eastAsia"/>
          <w:rtl/>
        </w:rPr>
        <w:t>של</w:t>
      </w:r>
      <w:r w:rsidRPr="00231A29">
        <w:rPr>
          <w:rFonts w:ascii="Calibri" w:hAnsi="Calibri"/>
          <w:rtl/>
        </w:rPr>
        <w:t xml:space="preserve"> </w:t>
      </w:r>
      <w:r w:rsidRPr="00231A29">
        <w:rPr>
          <w:rFonts w:ascii="Calibri" w:hAnsi="Calibri" w:hint="eastAsia"/>
          <w:rtl/>
        </w:rPr>
        <w:t>דבר</w:t>
      </w:r>
      <w:r w:rsidRPr="00231A29">
        <w:rPr>
          <w:rFonts w:ascii="Calibri" w:hAnsi="Calibri"/>
          <w:rtl/>
        </w:rPr>
        <w:t xml:space="preserve"> </w:t>
      </w:r>
      <w:r w:rsidRPr="00231A29">
        <w:rPr>
          <w:rFonts w:ascii="Calibri" w:hAnsi="Calibri" w:hint="eastAsia"/>
          <w:rtl/>
        </w:rPr>
        <w:t>הושת</w:t>
      </w:r>
      <w:r>
        <w:rPr>
          <w:rFonts w:ascii="Calibri" w:hAnsi="Calibri" w:hint="cs"/>
          <w:rtl/>
        </w:rPr>
        <w:t>ו</w:t>
      </w:r>
      <w:r w:rsidRPr="00231A29">
        <w:rPr>
          <w:rFonts w:ascii="Calibri" w:hAnsi="Calibri"/>
          <w:rtl/>
        </w:rPr>
        <w:t xml:space="preserve"> </w:t>
      </w:r>
      <w:r w:rsidRPr="00231A29">
        <w:rPr>
          <w:rFonts w:ascii="Calibri" w:hAnsi="Calibri" w:hint="eastAsia"/>
          <w:rtl/>
        </w:rPr>
        <w:t>על</w:t>
      </w:r>
      <w:r w:rsidRPr="00231A29">
        <w:rPr>
          <w:rFonts w:ascii="Calibri" w:hAnsi="Calibri"/>
          <w:rtl/>
        </w:rPr>
        <w:t xml:space="preserve"> </w:t>
      </w:r>
      <w:r w:rsidRPr="00231A29">
        <w:rPr>
          <w:rFonts w:ascii="Calibri" w:hAnsi="Calibri" w:hint="eastAsia"/>
          <w:rtl/>
        </w:rPr>
        <w:t>הנאשם</w:t>
      </w:r>
      <w:r w:rsidRPr="00231A29">
        <w:rPr>
          <w:rFonts w:ascii="Calibri" w:hAnsi="Calibri"/>
          <w:rtl/>
        </w:rPr>
        <w:t xml:space="preserve"> 12 </w:t>
      </w:r>
      <w:r w:rsidRPr="00231A29">
        <w:rPr>
          <w:rFonts w:ascii="Calibri" w:hAnsi="Calibri" w:hint="eastAsia"/>
          <w:rtl/>
        </w:rPr>
        <w:t>חודשי</w:t>
      </w:r>
      <w:r w:rsidRPr="00231A29">
        <w:rPr>
          <w:rFonts w:ascii="Calibri" w:hAnsi="Calibri"/>
          <w:rtl/>
        </w:rPr>
        <w:t xml:space="preserve"> </w:t>
      </w:r>
      <w:r w:rsidRPr="00231A29">
        <w:rPr>
          <w:rFonts w:ascii="Calibri" w:hAnsi="Calibri" w:hint="eastAsia"/>
          <w:rtl/>
        </w:rPr>
        <w:t>מאסר</w:t>
      </w:r>
      <w:r w:rsidRPr="00231A29">
        <w:rPr>
          <w:rFonts w:ascii="Calibri" w:hAnsi="Calibri"/>
          <w:rtl/>
        </w:rPr>
        <w:t xml:space="preserve"> </w:t>
      </w:r>
      <w:r w:rsidRPr="00231A29">
        <w:rPr>
          <w:rFonts w:ascii="Calibri" w:hAnsi="Calibri" w:hint="eastAsia"/>
          <w:rtl/>
        </w:rPr>
        <w:t>בפועל</w:t>
      </w:r>
      <w:r w:rsidRPr="00231A29">
        <w:rPr>
          <w:rFonts w:ascii="Calibri" w:hAnsi="Calibri"/>
          <w:rtl/>
        </w:rPr>
        <w:t>.</w:t>
      </w:r>
      <w:r>
        <w:rPr>
          <w:rFonts w:hint="cs"/>
          <w:rtl/>
        </w:rPr>
        <w:t xml:space="preserve"> </w:t>
      </w:r>
    </w:p>
    <w:p w14:paraId="7D32261B" w14:textId="77777777" w:rsidR="006639D5" w:rsidRDefault="006639D5" w:rsidP="006639D5">
      <w:pPr>
        <w:spacing w:line="360" w:lineRule="auto"/>
        <w:ind w:left="720"/>
        <w:jc w:val="both"/>
        <w:rPr>
          <w:rtl/>
        </w:rPr>
      </w:pPr>
    </w:p>
    <w:p w14:paraId="07ECCFAD" w14:textId="77777777" w:rsidR="006639D5" w:rsidRDefault="006639D5" w:rsidP="006639D5">
      <w:pPr>
        <w:spacing w:line="360" w:lineRule="auto"/>
        <w:ind w:left="720"/>
        <w:jc w:val="both"/>
        <w:rPr>
          <w:rtl/>
        </w:rPr>
      </w:pPr>
      <w:r>
        <w:rPr>
          <w:rFonts w:hint="cs"/>
          <w:rtl/>
        </w:rPr>
        <w:t>זאת ועוד הפנה הסנגור ל</w:t>
      </w:r>
      <w:hyperlink r:id="rId27" w:history="1">
        <w:r w:rsidR="003438A6" w:rsidRPr="003438A6">
          <w:rPr>
            <w:color w:val="0000FF"/>
            <w:u w:val="single"/>
            <w:rtl/>
          </w:rPr>
          <w:t>ע"פ (י-ם) 11380-03-16</w:t>
        </w:r>
      </w:hyperlink>
      <w:r>
        <w:rPr>
          <w:rFonts w:hint="cs"/>
          <w:rtl/>
        </w:rPr>
        <w:t xml:space="preserve"> </w:t>
      </w:r>
      <w:r w:rsidRPr="009C604F">
        <w:rPr>
          <w:rFonts w:hint="cs"/>
          <w:b/>
          <w:bCs/>
          <w:rtl/>
        </w:rPr>
        <w:t>דמיטרי נגד מדינת ישראל</w:t>
      </w:r>
      <w:r>
        <w:rPr>
          <w:rFonts w:hint="cs"/>
          <w:rtl/>
        </w:rPr>
        <w:t xml:space="preserve"> (ניתן ביום 19.4.17), שם הורשע המערער, לאחר שמיעת ראיות, בעבירה של גניבה וכן בעבירה של החזקת נשק שלא כדין, זאת לאחר שנטל שקית שהייתה מונחת על הרצפה ובה אקדח מסוג ברטה וארנק של המתלונן. </w:t>
      </w:r>
    </w:p>
    <w:p w14:paraId="22E7C8B0" w14:textId="77777777" w:rsidR="006639D5" w:rsidRDefault="006639D5" w:rsidP="006639D5">
      <w:pPr>
        <w:spacing w:line="360" w:lineRule="auto"/>
        <w:ind w:left="720"/>
        <w:jc w:val="both"/>
        <w:rPr>
          <w:rtl/>
        </w:rPr>
      </w:pPr>
    </w:p>
    <w:p w14:paraId="310ABB31" w14:textId="77777777" w:rsidR="006639D5" w:rsidRPr="00231A29" w:rsidRDefault="006639D5" w:rsidP="006639D5">
      <w:pPr>
        <w:spacing w:line="360" w:lineRule="auto"/>
        <w:ind w:left="720"/>
        <w:jc w:val="both"/>
        <w:rPr>
          <w:rtl/>
        </w:rPr>
      </w:pPr>
      <w:r>
        <w:rPr>
          <w:rFonts w:hint="cs"/>
          <w:rtl/>
        </w:rPr>
        <w:t>בית המשפט השלום הטיל על המערער 8 חודשי מאסר בפועל. המערער הגיש ערעור לבית המשפט המחוזי שקיבל אותו ותחת עונש המאסר בפועל, הוטל על המערער עונש של ששה חודשי מאסר שירוצו בעבודות שירות, והוטל עליו גם צו מבחן למשך שנה.</w:t>
      </w:r>
    </w:p>
    <w:p w14:paraId="03BC0392" w14:textId="77777777" w:rsidR="006639D5" w:rsidRPr="00231A29" w:rsidRDefault="006639D5" w:rsidP="006639D5">
      <w:pPr>
        <w:spacing w:line="360" w:lineRule="auto"/>
        <w:jc w:val="both"/>
        <w:rPr>
          <w:rtl/>
        </w:rPr>
      </w:pPr>
    </w:p>
    <w:p w14:paraId="5EE1B76D" w14:textId="77777777" w:rsidR="006639D5" w:rsidRPr="00231A29" w:rsidRDefault="006639D5" w:rsidP="006639D5">
      <w:pPr>
        <w:spacing w:line="360" w:lineRule="auto"/>
        <w:ind w:left="720" w:hanging="720"/>
        <w:jc w:val="both"/>
        <w:rPr>
          <w:rtl/>
        </w:rPr>
      </w:pPr>
      <w:r w:rsidRPr="00231A29">
        <w:rPr>
          <w:rtl/>
        </w:rPr>
        <w:t>31.</w:t>
      </w:r>
      <w:r w:rsidRPr="00231A29">
        <w:rPr>
          <w:rtl/>
        </w:rPr>
        <w:tab/>
        <w:t>באשר לנסיבות הקשורות בביצוע העבירה, טען ב"כ הנאשם כי לנאשם ישנו חלק יחסי בביצוע העבירה, וזאת מאחר והחלק השני מוטל על כתפי המתלונן. לטענתו, היה מצופה מאדם הנושא נשק כדין לעמוד בסטנדרטים מסוימים ולהפעיל שיקול דעת ולא לפעול ברשלנות ולהפקיר את נשקו כפי שעשה ובכך סיכן את ביטחון הציבור. מ</w:t>
      </w:r>
      <w:r>
        <w:rPr>
          <w:rFonts w:hint="cs"/>
          <w:rtl/>
        </w:rPr>
        <w:t>חדלו</w:t>
      </w:r>
      <w:r w:rsidRPr="00231A29">
        <w:rPr>
          <w:rtl/>
        </w:rPr>
        <w:t xml:space="preserve"> של המתלונן היוו</w:t>
      </w:r>
      <w:r>
        <w:rPr>
          <w:rFonts w:hint="cs"/>
          <w:rtl/>
        </w:rPr>
        <w:t>ה</w:t>
      </w:r>
      <w:r w:rsidRPr="00231A29">
        <w:rPr>
          <w:rtl/>
        </w:rPr>
        <w:t xml:space="preserve"> פיתוי </w:t>
      </w:r>
      <w:r>
        <w:rPr>
          <w:rFonts w:hint="cs"/>
          <w:rtl/>
        </w:rPr>
        <w:t>שה</w:t>
      </w:r>
      <w:r w:rsidRPr="00231A29">
        <w:rPr>
          <w:rtl/>
        </w:rPr>
        <w:t>נאשם לא עמד בו. אין ספק כי הנאשם היה צריך לפעול אחרת, אך יחד עם זאת גם המתלונן אחראי באופן יחסי למעשה.</w:t>
      </w:r>
    </w:p>
    <w:p w14:paraId="1446C411" w14:textId="77777777" w:rsidR="006639D5" w:rsidRPr="00231A29" w:rsidRDefault="006639D5" w:rsidP="006639D5">
      <w:pPr>
        <w:spacing w:line="360" w:lineRule="auto"/>
        <w:jc w:val="both"/>
        <w:rPr>
          <w:rtl/>
        </w:rPr>
      </w:pPr>
    </w:p>
    <w:p w14:paraId="79DC7020" w14:textId="77777777" w:rsidR="006639D5" w:rsidRPr="00231A29" w:rsidRDefault="006639D5" w:rsidP="006639D5">
      <w:pPr>
        <w:spacing w:line="360" w:lineRule="auto"/>
        <w:ind w:left="720" w:hanging="720"/>
        <w:jc w:val="both"/>
        <w:rPr>
          <w:rtl/>
        </w:rPr>
      </w:pPr>
      <w:r w:rsidRPr="00231A29">
        <w:rPr>
          <w:rtl/>
        </w:rPr>
        <w:t>32.</w:t>
      </w:r>
      <w:r w:rsidRPr="00231A29">
        <w:rPr>
          <w:rtl/>
        </w:rPr>
        <w:tab/>
        <w:t>לאור נסיבות ביצוע העבירה, הערך החברתי שנפגע ומידת הפגיעה בו, סבור הסנגור כי מתחם הענישה הראוי במקרה דנן, מתחיל מעונש שאינו כולל מאסר בפועל  ועד למאסר בפועל  קצר שניתן יהיה לרצותו בעבודות שירות.</w:t>
      </w:r>
    </w:p>
    <w:p w14:paraId="18C6856C" w14:textId="77777777" w:rsidR="006639D5" w:rsidRPr="00231A29" w:rsidRDefault="006639D5" w:rsidP="006639D5">
      <w:pPr>
        <w:spacing w:line="360" w:lineRule="auto"/>
        <w:jc w:val="both"/>
        <w:rPr>
          <w:rtl/>
        </w:rPr>
      </w:pPr>
    </w:p>
    <w:p w14:paraId="12F93536" w14:textId="77777777" w:rsidR="006639D5" w:rsidRPr="00231A29" w:rsidRDefault="006639D5" w:rsidP="006639D5">
      <w:pPr>
        <w:spacing w:line="360" w:lineRule="auto"/>
        <w:ind w:left="720" w:hanging="720"/>
        <w:jc w:val="both"/>
        <w:rPr>
          <w:rtl/>
        </w:rPr>
      </w:pPr>
      <w:r w:rsidRPr="00231A29">
        <w:rPr>
          <w:rtl/>
        </w:rPr>
        <w:t>33.</w:t>
      </w:r>
      <w:r w:rsidRPr="00231A29">
        <w:rPr>
          <w:rtl/>
        </w:rPr>
        <w:tab/>
        <w:t>לעניין קביעת עונשו של הנאשם בתוך המתחם, ביקש הסנגור להסתפק ברף הנמוך. לטענתו, הנאשם נש</w:t>
      </w:r>
      <w:r>
        <w:rPr>
          <w:rFonts w:hint="cs"/>
          <w:rtl/>
        </w:rPr>
        <w:t>א לו אישה לפני זמן קצר</w:t>
      </w:r>
      <w:r w:rsidRPr="00231A29">
        <w:rPr>
          <w:rtl/>
        </w:rPr>
        <w:t>, אשתו עקרת בית וכיום הינה מט</w:t>
      </w:r>
      <w:r>
        <w:rPr>
          <w:rtl/>
        </w:rPr>
        <w:t xml:space="preserve">פלת בבנם בן ה-6 חודשים. על כן, </w:t>
      </w:r>
      <w:r w:rsidRPr="00231A29">
        <w:rPr>
          <w:rtl/>
        </w:rPr>
        <w:t xml:space="preserve">העונש פוגע קשות בנאשם שכן הינו המפרנס היחידי של משפחתו. הנאשם איבד את מקום </w:t>
      </w:r>
      <w:r>
        <w:rPr>
          <w:rtl/>
        </w:rPr>
        <w:t xml:space="preserve">פרנסתו </w:t>
      </w:r>
      <w:r w:rsidRPr="00231A29">
        <w:rPr>
          <w:rtl/>
        </w:rPr>
        <w:t>ונמצא במעצר מיום האירוע.</w:t>
      </w:r>
    </w:p>
    <w:p w14:paraId="7D7B1C33" w14:textId="77777777" w:rsidR="006639D5" w:rsidRPr="00231A29" w:rsidRDefault="006639D5" w:rsidP="006639D5">
      <w:pPr>
        <w:spacing w:line="360" w:lineRule="auto"/>
        <w:jc w:val="both"/>
        <w:rPr>
          <w:rtl/>
        </w:rPr>
      </w:pPr>
    </w:p>
    <w:p w14:paraId="76F5CA95" w14:textId="77777777" w:rsidR="006639D5" w:rsidRPr="00231A29" w:rsidRDefault="006639D5" w:rsidP="006639D5">
      <w:pPr>
        <w:spacing w:line="360" w:lineRule="auto"/>
        <w:jc w:val="both"/>
        <w:rPr>
          <w:rtl/>
        </w:rPr>
      </w:pPr>
      <w:r w:rsidRPr="00231A29">
        <w:rPr>
          <w:rtl/>
        </w:rPr>
        <w:t>34.</w:t>
      </w:r>
      <w:r w:rsidRPr="00231A29">
        <w:rPr>
          <w:rtl/>
        </w:rPr>
        <w:tab/>
        <w:t>עוד הוסיף הסנגור כי הנאשם שיתף פעולה באופן מלא, הודה וחסך זמן שיפוטי יקר.</w:t>
      </w:r>
    </w:p>
    <w:p w14:paraId="4E69B249" w14:textId="77777777" w:rsidR="006639D5" w:rsidRPr="00231A29" w:rsidRDefault="006639D5" w:rsidP="006639D5">
      <w:pPr>
        <w:spacing w:line="360" w:lineRule="auto"/>
        <w:jc w:val="both"/>
        <w:rPr>
          <w:rtl/>
        </w:rPr>
      </w:pPr>
    </w:p>
    <w:p w14:paraId="47E9739C" w14:textId="77777777" w:rsidR="006639D5" w:rsidRPr="00231A29" w:rsidRDefault="006639D5" w:rsidP="006639D5">
      <w:pPr>
        <w:spacing w:line="360" w:lineRule="auto"/>
        <w:ind w:left="720" w:hanging="720"/>
        <w:jc w:val="both"/>
        <w:rPr>
          <w:rtl/>
        </w:rPr>
      </w:pPr>
      <w:r w:rsidRPr="00231A29">
        <w:rPr>
          <w:rtl/>
        </w:rPr>
        <w:t>35.</w:t>
      </w:r>
      <w:r w:rsidRPr="00231A29">
        <w:rPr>
          <w:rtl/>
        </w:rPr>
        <w:tab/>
        <w:t xml:space="preserve">באשר לעברו של הנאשם, טען בא כוחו כי ישנה עבירה אחת </w:t>
      </w:r>
      <w:r>
        <w:rPr>
          <w:rFonts w:hint="cs"/>
          <w:rtl/>
        </w:rPr>
        <w:t>שבוצעה</w:t>
      </w:r>
      <w:r w:rsidRPr="00231A29">
        <w:rPr>
          <w:rtl/>
        </w:rPr>
        <w:t xml:space="preserve"> לפ</w:t>
      </w:r>
      <w:r>
        <w:rPr>
          <w:rtl/>
        </w:rPr>
        <w:t>ני כ-15 שנה. מאז לא ביצע הנאש</w:t>
      </w:r>
      <w:r>
        <w:rPr>
          <w:rFonts w:hint="cs"/>
          <w:rtl/>
        </w:rPr>
        <w:t xml:space="preserve">ם </w:t>
      </w:r>
      <w:r w:rsidRPr="00231A29">
        <w:rPr>
          <w:rtl/>
        </w:rPr>
        <w:t>עבירה נוספת. עוד ציין כי בעברו נקלע הנאשם לאותה הסיטואציה ולא פעל מבחירה או תוך תכנון מוקדם.</w:t>
      </w:r>
    </w:p>
    <w:p w14:paraId="62050063" w14:textId="77777777" w:rsidR="006639D5" w:rsidRPr="00231A29" w:rsidRDefault="006639D5" w:rsidP="006639D5">
      <w:pPr>
        <w:spacing w:line="360" w:lineRule="auto"/>
        <w:jc w:val="both"/>
        <w:rPr>
          <w:rtl/>
        </w:rPr>
      </w:pPr>
    </w:p>
    <w:p w14:paraId="74ECB233" w14:textId="77777777" w:rsidR="006639D5" w:rsidRPr="00231A29" w:rsidRDefault="006639D5" w:rsidP="006639D5">
      <w:pPr>
        <w:spacing w:line="360" w:lineRule="auto"/>
        <w:jc w:val="both"/>
        <w:rPr>
          <w:b/>
          <w:bCs/>
          <w:rtl/>
        </w:rPr>
      </w:pPr>
      <w:r w:rsidRPr="00231A29">
        <w:rPr>
          <w:rtl/>
        </w:rPr>
        <w:t>36.</w:t>
      </w:r>
      <w:r w:rsidRPr="00231A29">
        <w:rPr>
          <w:rtl/>
        </w:rPr>
        <w:tab/>
        <w:t xml:space="preserve">אשר על כן, ביקש הסנגור להסתפק בתקופת מעצרו. או לחילופין, אם בית המשפט יראה לנכון </w:t>
      </w:r>
      <w:r w:rsidRPr="00231A29">
        <w:rPr>
          <w:rtl/>
        </w:rPr>
        <w:tab/>
        <w:t>להטיל עונש נוסף, אז ביקש שעונש זה ירוצה בעבודות שירות ולא במאסר בפועל.</w:t>
      </w:r>
    </w:p>
    <w:p w14:paraId="377D3F5F" w14:textId="77777777" w:rsidR="006639D5" w:rsidRPr="00231A29" w:rsidRDefault="006639D5" w:rsidP="006639D5">
      <w:pPr>
        <w:spacing w:line="360" w:lineRule="auto"/>
        <w:jc w:val="both"/>
        <w:rPr>
          <w:b/>
          <w:bCs/>
          <w:u w:val="single"/>
          <w:rtl/>
        </w:rPr>
      </w:pPr>
      <w:r w:rsidRPr="00231A29">
        <w:rPr>
          <w:b/>
          <w:bCs/>
          <w:rtl/>
        </w:rPr>
        <w:tab/>
      </w:r>
      <w:r w:rsidRPr="00231A29">
        <w:rPr>
          <w:b/>
          <w:bCs/>
          <w:u w:val="single"/>
          <w:rtl/>
        </w:rPr>
        <w:t xml:space="preserve">דברי הנאשם: </w:t>
      </w:r>
    </w:p>
    <w:p w14:paraId="5AF4E844" w14:textId="77777777" w:rsidR="006639D5" w:rsidRPr="00231A29" w:rsidRDefault="006639D5" w:rsidP="006639D5">
      <w:pPr>
        <w:spacing w:line="360" w:lineRule="auto"/>
        <w:jc w:val="both"/>
        <w:rPr>
          <w:b/>
          <w:bCs/>
          <w:rtl/>
        </w:rPr>
      </w:pPr>
    </w:p>
    <w:p w14:paraId="007F60DC" w14:textId="77777777" w:rsidR="006639D5" w:rsidRPr="00231A29" w:rsidRDefault="006639D5" w:rsidP="006639D5">
      <w:pPr>
        <w:spacing w:line="360" w:lineRule="auto"/>
        <w:rPr>
          <w:rtl/>
        </w:rPr>
      </w:pPr>
      <w:r w:rsidRPr="00231A29">
        <w:rPr>
          <w:rtl/>
        </w:rPr>
        <w:t>37.</w:t>
      </w:r>
      <w:r w:rsidRPr="00231A29">
        <w:rPr>
          <w:rtl/>
        </w:rPr>
        <w:tab/>
        <w:t>הנאשם הביע צער וחרטה על מעשיו, לטענתו פעל בתום לב וללא הפעלת שיקול דעת.</w:t>
      </w:r>
    </w:p>
    <w:p w14:paraId="31B37778" w14:textId="77777777" w:rsidR="006639D5" w:rsidRPr="00231A29" w:rsidRDefault="006639D5" w:rsidP="006639D5">
      <w:pPr>
        <w:spacing w:line="360" w:lineRule="auto"/>
        <w:jc w:val="both"/>
        <w:rPr>
          <w:rtl/>
        </w:rPr>
      </w:pPr>
    </w:p>
    <w:p w14:paraId="4CFAFC21" w14:textId="77777777" w:rsidR="006639D5" w:rsidRPr="00231A29" w:rsidRDefault="006639D5" w:rsidP="006639D5">
      <w:pPr>
        <w:spacing w:line="360" w:lineRule="auto"/>
        <w:rPr>
          <w:rtl/>
        </w:rPr>
      </w:pPr>
      <w:r w:rsidRPr="00231A29">
        <w:rPr>
          <w:b/>
          <w:bCs/>
          <w:rtl/>
        </w:rPr>
        <w:t>ד.</w:t>
      </w:r>
      <w:r w:rsidRPr="00231A29">
        <w:rPr>
          <w:b/>
          <w:bCs/>
          <w:rtl/>
        </w:rPr>
        <w:tab/>
      </w:r>
      <w:r w:rsidRPr="00231A29">
        <w:rPr>
          <w:b/>
          <w:bCs/>
          <w:u w:val="single"/>
          <w:rtl/>
        </w:rPr>
        <w:t>דיון וגזירת הדין</w:t>
      </w:r>
      <w:r w:rsidRPr="00231A29">
        <w:rPr>
          <w:rtl/>
        </w:rPr>
        <w:t>:</w:t>
      </w:r>
    </w:p>
    <w:p w14:paraId="53A7528B" w14:textId="77777777" w:rsidR="006639D5" w:rsidRPr="00231A29" w:rsidRDefault="006639D5" w:rsidP="006639D5">
      <w:pPr>
        <w:spacing w:line="360" w:lineRule="auto"/>
        <w:jc w:val="both"/>
        <w:rPr>
          <w:rtl/>
        </w:rPr>
      </w:pPr>
    </w:p>
    <w:p w14:paraId="55168AD7" w14:textId="77777777" w:rsidR="006639D5" w:rsidRPr="00231A29" w:rsidRDefault="006639D5" w:rsidP="006639D5">
      <w:pPr>
        <w:spacing w:line="360" w:lineRule="auto"/>
        <w:ind w:left="719" w:hanging="765"/>
        <w:jc w:val="both"/>
        <w:rPr>
          <w:rtl/>
        </w:rPr>
      </w:pPr>
      <w:r w:rsidRPr="00231A29">
        <w:rPr>
          <w:rtl/>
        </w:rPr>
        <w:t>38.</w:t>
      </w:r>
      <w:r w:rsidRPr="00231A29">
        <w:rPr>
          <w:rtl/>
        </w:rPr>
        <w:tab/>
        <w:t xml:space="preserve">הנאשם הורשע על פי הודאתו, בעבירה של החזקת נשק ותחמושת לפי </w:t>
      </w:r>
      <w:hyperlink r:id="rId28" w:history="1">
        <w:r w:rsidR="00904786" w:rsidRPr="00904786">
          <w:rPr>
            <w:color w:val="0000FF"/>
            <w:u w:val="single"/>
            <w:rtl/>
          </w:rPr>
          <w:t>סעיף 144(א)</w:t>
        </w:r>
      </w:hyperlink>
      <w:r w:rsidRPr="00231A29">
        <w:rPr>
          <w:rtl/>
        </w:rPr>
        <w:t xml:space="preserve"> רישא </w:t>
      </w:r>
      <w:r>
        <w:rPr>
          <w:rtl/>
        </w:rPr>
        <w:t>וסיפא</w:t>
      </w:r>
      <w:r>
        <w:rPr>
          <w:rFonts w:hint="cs"/>
          <w:rtl/>
        </w:rPr>
        <w:t xml:space="preserve"> </w:t>
      </w:r>
      <w:r w:rsidRPr="00231A29">
        <w:rPr>
          <w:rtl/>
        </w:rPr>
        <w:t>ל</w:t>
      </w:r>
      <w:hyperlink r:id="rId29" w:history="1">
        <w:r w:rsidR="003438A6" w:rsidRPr="003438A6">
          <w:rPr>
            <w:color w:val="0000FF"/>
            <w:u w:val="single"/>
            <w:rtl/>
          </w:rPr>
          <w:t>חוק העונשין</w:t>
        </w:r>
      </w:hyperlink>
      <w:r w:rsidRPr="00231A29">
        <w:rPr>
          <w:rtl/>
        </w:rPr>
        <w:t xml:space="preserve"> ועבירה של גניבה, לפי </w:t>
      </w:r>
      <w:hyperlink r:id="rId30" w:history="1">
        <w:r w:rsidR="00904786" w:rsidRPr="00904786">
          <w:rPr>
            <w:color w:val="0000FF"/>
            <w:u w:val="single"/>
            <w:rtl/>
          </w:rPr>
          <w:t>סעיפים 383(א)(1)</w:t>
        </w:r>
      </w:hyperlink>
      <w:r w:rsidRPr="00231A29">
        <w:rPr>
          <w:rtl/>
        </w:rPr>
        <w:t xml:space="preserve"> ו-</w:t>
      </w:r>
      <w:hyperlink r:id="rId31" w:history="1">
        <w:r w:rsidR="00904786" w:rsidRPr="00904786">
          <w:rPr>
            <w:color w:val="0000FF"/>
            <w:u w:val="single"/>
            <w:rtl/>
          </w:rPr>
          <w:t>384</w:t>
        </w:r>
      </w:hyperlink>
      <w:r w:rsidRPr="00231A29">
        <w:rPr>
          <w:rtl/>
        </w:rPr>
        <w:t xml:space="preserve"> לחוק העונשין. </w:t>
      </w:r>
    </w:p>
    <w:p w14:paraId="5CD94CF8" w14:textId="77777777" w:rsidR="006639D5" w:rsidRPr="00231A29" w:rsidRDefault="006639D5" w:rsidP="006639D5">
      <w:pPr>
        <w:spacing w:line="360" w:lineRule="auto"/>
        <w:ind w:left="720" w:hanging="720"/>
        <w:jc w:val="both"/>
        <w:rPr>
          <w:rtl/>
        </w:rPr>
      </w:pPr>
    </w:p>
    <w:p w14:paraId="176AB165" w14:textId="77777777" w:rsidR="006639D5" w:rsidRDefault="006639D5" w:rsidP="006639D5">
      <w:pPr>
        <w:spacing w:line="360" w:lineRule="auto"/>
        <w:ind w:left="719" w:hanging="765"/>
        <w:jc w:val="both"/>
        <w:rPr>
          <w:rtl/>
        </w:rPr>
      </w:pPr>
      <w:r w:rsidRPr="00231A29">
        <w:rPr>
          <w:rtl/>
        </w:rPr>
        <w:t>39.</w:t>
      </w:r>
      <w:r w:rsidRPr="00231A29">
        <w:rPr>
          <w:rtl/>
        </w:rPr>
        <w:tab/>
        <w:t xml:space="preserve">אין צורך להכביר מילים בדבר החומרה היתרה הטמונה בעבירות </w:t>
      </w:r>
      <w:r>
        <w:rPr>
          <w:rFonts w:hint="cs"/>
          <w:rtl/>
        </w:rPr>
        <w:t>בהן הורשע הנאשם</w:t>
      </w:r>
      <w:r>
        <w:rPr>
          <w:rtl/>
        </w:rPr>
        <w:t>. עביר</w:t>
      </w:r>
      <w:r>
        <w:rPr>
          <w:rFonts w:hint="cs"/>
          <w:rtl/>
        </w:rPr>
        <w:t>ות</w:t>
      </w:r>
      <w:r>
        <w:rPr>
          <w:rtl/>
        </w:rPr>
        <w:t xml:space="preserve"> מסוג זה </w:t>
      </w:r>
      <w:r w:rsidRPr="00231A29">
        <w:rPr>
          <w:rtl/>
        </w:rPr>
        <w:t>טומנ</w:t>
      </w:r>
      <w:r>
        <w:rPr>
          <w:rFonts w:hint="cs"/>
          <w:rtl/>
        </w:rPr>
        <w:t>ו</w:t>
      </w:r>
      <w:r w:rsidRPr="00231A29">
        <w:rPr>
          <w:rtl/>
        </w:rPr>
        <w:t>ת בחוב</w:t>
      </w:r>
      <w:r>
        <w:rPr>
          <w:rFonts w:hint="cs"/>
          <w:rtl/>
        </w:rPr>
        <w:t>ן</w:t>
      </w:r>
      <w:r w:rsidRPr="00231A29">
        <w:rPr>
          <w:rtl/>
        </w:rPr>
        <w:t xml:space="preserve"> פוטנציאל </w:t>
      </w:r>
      <w:r>
        <w:rPr>
          <w:rFonts w:hint="cs"/>
          <w:rtl/>
        </w:rPr>
        <w:t xml:space="preserve">של </w:t>
      </w:r>
      <w:r w:rsidRPr="00231A29">
        <w:rPr>
          <w:rtl/>
        </w:rPr>
        <w:t xml:space="preserve">סיכון </w:t>
      </w:r>
      <w:r>
        <w:rPr>
          <w:rFonts w:hint="cs"/>
          <w:rtl/>
        </w:rPr>
        <w:t>ו</w:t>
      </w:r>
      <w:r w:rsidRPr="00231A29">
        <w:rPr>
          <w:rtl/>
        </w:rPr>
        <w:t>הרס</w:t>
      </w:r>
      <w:r>
        <w:rPr>
          <w:rFonts w:hint="cs"/>
          <w:rtl/>
        </w:rPr>
        <w:t xml:space="preserve">, ובעיקר </w:t>
      </w:r>
      <w:r w:rsidRPr="00231A29">
        <w:rPr>
          <w:rtl/>
        </w:rPr>
        <w:t>פגיעה בשלום הציבור ובי</w:t>
      </w:r>
      <w:r>
        <w:rPr>
          <w:rtl/>
        </w:rPr>
        <w:t xml:space="preserve">טחונו. </w:t>
      </w:r>
      <w:r>
        <w:rPr>
          <w:rFonts w:hint="cs"/>
          <w:rtl/>
        </w:rPr>
        <w:t xml:space="preserve"> </w:t>
      </w:r>
    </w:p>
    <w:p w14:paraId="7324275C" w14:textId="77777777" w:rsidR="006639D5" w:rsidRDefault="006639D5" w:rsidP="006639D5">
      <w:pPr>
        <w:spacing w:line="360" w:lineRule="auto"/>
        <w:ind w:left="719" w:hanging="765"/>
        <w:jc w:val="both"/>
        <w:rPr>
          <w:rtl/>
        </w:rPr>
      </w:pPr>
    </w:p>
    <w:p w14:paraId="4D06F30D" w14:textId="77777777" w:rsidR="006639D5" w:rsidRPr="00231A29" w:rsidRDefault="006639D5" w:rsidP="006639D5">
      <w:pPr>
        <w:spacing w:line="360" w:lineRule="auto"/>
        <w:ind w:left="719"/>
        <w:jc w:val="both"/>
        <w:rPr>
          <w:rtl/>
        </w:rPr>
      </w:pPr>
      <w:r w:rsidRPr="00E45572">
        <w:rPr>
          <w:rtl/>
        </w:rPr>
        <w:t>אין לדעת מה יעלה בגורלם של כלי הנשק המוחזקים שלא כדין. "התגלגלותם" של כלי נשק מיד ליד, ללא פיקוח, עלולה להוביל להגעתם לידיים עברייניות ולגורמים עוינים ויגרום</w:t>
      </w:r>
      <w:r w:rsidRPr="00231A29">
        <w:rPr>
          <w:rtl/>
        </w:rPr>
        <w:t xml:space="preserve"> לפגיעה קשה בא</w:t>
      </w:r>
      <w:r>
        <w:rPr>
          <w:rtl/>
        </w:rPr>
        <w:t>זרחים תמימים ולתוצאות</w:t>
      </w:r>
      <w:r>
        <w:rPr>
          <w:rFonts w:hint="cs"/>
          <w:rtl/>
        </w:rPr>
        <w:t xml:space="preserve"> </w:t>
      </w:r>
      <w:r w:rsidRPr="00231A29">
        <w:rPr>
          <w:rtl/>
        </w:rPr>
        <w:t xml:space="preserve">הרסניות - ראו לעניין זה </w:t>
      </w:r>
      <w:hyperlink r:id="rId32" w:history="1">
        <w:r w:rsidR="003438A6" w:rsidRPr="003438A6">
          <w:rPr>
            <w:color w:val="0000FF"/>
            <w:u w:val="single"/>
            <w:rtl/>
          </w:rPr>
          <w:t>ע"פ 11448/03</w:t>
        </w:r>
      </w:hyperlink>
      <w:r w:rsidRPr="00231A29">
        <w:rPr>
          <w:rtl/>
        </w:rPr>
        <w:t xml:space="preserve"> </w:t>
      </w:r>
      <w:r w:rsidRPr="00231A29">
        <w:rPr>
          <w:b/>
          <w:bCs/>
          <w:rtl/>
        </w:rPr>
        <w:t>מדינת ישראל נ' גרבאן</w:t>
      </w:r>
      <w:r w:rsidRPr="00231A29">
        <w:rPr>
          <w:rtl/>
        </w:rPr>
        <w:t xml:space="preserve">, (ניתן ביום 29.3.04); </w:t>
      </w:r>
      <w:hyperlink r:id="rId33" w:history="1">
        <w:r w:rsidR="003438A6" w:rsidRPr="003438A6">
          <w:rPr>
            <w:color w:val="0000FF"/>
            <w:u w:val="single"/>
            <w:rtl/>
          </w:rPr>
          <w:t>ע"פ 4526/04</w:t>
        </w:r>
      </w:hyperlink>
      <w:r w:rsidRPr="00231A29">
        <w:rPr>
          <w:rtl/>
        </w:rPr>
        <w:t xml:space="preserve"> </w:t>
      </w:r>
      <w:r w:rsidRPr="00231A29">
        <w:rPr>
          <w:b/>
          <w:bCs/>
          <w:rtl/>
        </w:rPr>
        <w:t>זעתרי נ' מדינת ישראל</w:t>
      </w:r>
      <w:r w:rsidRPr="00231A29">
        <w:rPr>
          <w:rtl/>
        </w:rPr>
        <w:t xml:space="preserve">,  ניתן ביום (8.11.04); </w:t>
      </w:r>
      <w:hyperlink r:id="rId34" w:history="1">
        <w:r w:rsidR="003438A6" w:rsidRPr="003438A6">
          <w:rPr>
            <w:color w:val="0000FF"/>
            <w:u w:val="single"/>
            <w:rtl/>
          </w:rPr>
          <w:t>ע"פ 5220/09</w:t>
        </w:r>
      </w:hyperlink>
      <w:r w:rsidRPr="00231A29">
        <w:rPr>
          <w:rtl/>
        </w:rPr>
        <w:t xml:space="preserve"> </w:t>
      </w:r>
      <w:r w:rsidRPr="00231A29">
        <w:rPr>
          <w:b/>
          <w:bCs/>
          <w:rtl/>
        </w:rPr>
        <w:t>עוואודה נ' מדינת ישראל,</w:t>
      </w:r>
      <w:r w:rsidRPr="00231A29">
        <w:rPr>
          <w:rtl/>
        </w:rPr>
        <w:t xml:space="preserve"> (ניתן ביום 30.12.09); ו</w:t>
      </w:r>
      <w:hyperlink r:id="rId35" w:history="1">
        <w:r w:rsidR="003438A6" w:rsidRPr="003438A6">
          <w:rPr>
            <w:color w:val="0000FF"/>
            <w:u w:val="single"/>
            <w:rtl/>
          </w:rPr>
          <w:t>ע"פ 9543/09</w:t>
        </w:r>
      </w:hyperlink>
      <w:r w:rsidRPr="00231A29">
        <w:rPr>
          <w:rtl/>
        </w:rPr>
        <w:t xml:space="preserve"> </w:t>
      </w:r>
      <w:r w:rsidRPr="00231A29">
        <w:rPr>
          <w:b/>
          <w:bCs/>
          <w:rtl/>
        </w:rPr>
        <w:t xml:space="preserve">רחאל נ' מדינת ישראל, </w:t>
      </w:r>
      <w:r w:rsidRPr="00231A29">
        <w:rPr>
          <w:rtl/>
        </w:rPr>
        <w:t>(ניתן ביום 19.1.10).</w:t>
      </w:r>
    </w:p>
    <w:p w14:paraId="1EA712AA" w14:textId="77777777" w:rsidR="006639D5" w:rsidRPr="00231A29" w:rsidRDefault="006639D5" w:rsidP="006639D5">
      <w:pPr>
        <w:spacing w:line="360" w:lineRule="auto"/>
        <w:ind w:left="720" w:hanging="720"/>
        <w:jc w:val="both"/>
        <w:rPr>
          <w:rtl/>
        </w:rPr>
      </w:pPr>
    </w:p>
    <w:p w14:paraId="0A83CE8A" w14:textId="77777777" w:rsidR="006639D5" w:rsidRPr="00231A29" w:rsidRDefault="006639D5" w:rsidP="006639D5">
      <w:pPr>
        <w:spacing w:line="360" w:lineRule="auto"/>
        <w:ind w:left="720" w:hanging="720"/>
        <w:jc w:val="both"/>
        <w:rPr>
          <w:b/>
          <w:bCs/>
          <w:u w:val="single"/>
          <w:rtl/>
        </w:rPr>
      </w:pPr>
      <w:r w:rsidRPr="00E45572">
        <w:rPr>
          <w:b/>
          <w:bCs/>
          <w:u w:val="single"/>
          <w:rtl/>
        </w:rPr>
        <w:t>קביעת מתחם הענישה ההולם</w:t>
      </w:r>
    </w:p>
    <w:p w14:paraId="7D97423F" w14:textId="77777777" w:rsidR="006639D5" w:rsidRPr="00231A29" w:rsidRDefault="006639D5" w:rsidP="006639D5">
      <w:pPr>
        <w:spacing w:line="360" w:lineRule="auto"/>
        <w:ind w:left="720" w:hanging="720"/>
        <w:jc w:val="both"/>
        <w:rPr>
          <w:rtl/>
        </w:rPr>
      </w:pPr>
      <w:r w:rsidRPr="00231A29">
        <w:rPr>
          <w:rtl/>
        </w:rPr>
        <w:tab/>
      </w:r>
    </w:p>
    <w:p w14:paraId="2ED55AFB" w14:textId="77777777" w:rsidR="006639D5" w:rsidRPr="00231A29" w:rsidRDefault="006639D5" w:rsidP="006639D5">
      <w:pPr>
        <w:spacing w:line="360" w:lineRule="auto"/>
        <w:ind w:left="719" w:hanging="765"/>
        <w:jc w:val="both"/>
        <w:rPr>
          <w:rtl/>
        </w:rPr>
      </w:pPr>
      <w:r w:rsidRPr="00231A29">
        <w:rPr>
          <w:rtl/>
        </w:rPr>
        <w:t>4</w:t>
      </w:r>
      <w:r>
        <w:rPr>
          <w:rFonts w:hint="cs"/>
          <w:rtl/>
        </w:rPr>
        <w:t>0</w:t>
      </w:r>
      <w:r w:rsidRPr="00231A29">
        <w:rPr>
          <w:rtl/>
        </w:rPr>
        <w:t>.</w:t>
      </w:r>
      <w:r w:rsidRPr="00231A29">
        <w:rPr>
          <w:rtl/>
        </w:rPr>
        <w:tab/>
        <w:t>בכדי לקבוע מתחם ענישה הולם, נדרש בית המשפט להתחשב בערכים החברתיים שנפגעו מביצוע העבירה, במידת הפגיעה בהם, במדיניות הענישה הנהוגה וכן</w:t>
      </w:r>
      <w:r>
        <w:rPr>
          <w:rtl/>
        </w:rPr>
        <w:t xml:space="preserve"> בנסיבות הקשורות בביצוע העבירה </w:t>
      </w:r>
      <w:r>
        <w:rPr>
          <w:rFonts w:hint="cs"/>
          <w:rtl/>
        </w:rPr>
        <w:t>כ</w:t>
      </w:r>
      <w:r w:rsidRPr="00231A29">
        <w:rPr>
          <w:rtl/>
        </w:rPr>
        <w:t xml:space="preserve">מפורט </w:t>
      </w:r>
      <w:hyperlink r:id="rId36" w:history="1">
        <w:r w:rsidR="00904786" w:rsidRPr="00904786">
          <w:rPr>
            <w:color w:val="0000FF"/>
            <w:u w:val="single"/>
            <w:rtl/>
          </w:rPr>
          <w:t>בסעיף 40ט(א)</w:t>
        </w:r>
      </w:hyperlink>
      <w:r w:rsidRPr="00231A29">
        <w:rPr>
          <w:rtl/>
        </w:rPr>
        <w:t xml:space="preserve"> ל</w:t>
      </w:r>
      <w:hyperlink r:id="rId37" w:history="1">
        <w:r w:rsidR="003438A6" w:rsidRPr="003438A6">
          <w:rPr>
            <w:color w:val="0000FF"/>
            <w:u w:val="single"/>
            <w:rtl/>
          </w:rPr>
          <w:t>חוק העונשין</w:t>
        </w:r>
      </w:hyperlink>
      <w:r w:rsidRPr="00231A29">
        <w:rPr>
          <w:rtl/>
        </w:rPr>
        <w:t>.</w:t>
      </w:r>
    </w:p>
    <w:p w14:paraId="4A101ED5" w14:textId="77777777" w:rsidR="006639D5" w:rsidRPr="00231A29" w:rsidRDefault="006639D5" w:rsidP="006639D5">
      <w:pPr>
        <w:spacing w:line="360" w:lineRule="auto"/>
        <w:jc w:val="both"/>
        <w:rPr>
          <w:rtl/>
        </w:rPr>
      </w:pPr>
    </w:p>
    <w:p w14:paraId="677BAE70" w14:textId="77777777" w:rsidR="006639D5" w:rsidRPr="00231A29" w:rsidRDefault="006639D5" w:rsidP="006639D5">
      <w:pPr>
        <w:spacing w:line="360" w:lineRule="auto"/>
        <w:ind w:left="720" w:hanging="720"/>
        <w:jc w:val="both"/>
        <w:rPr>
          <w:rtl/>
        </w:rPr>
      </w:pPr>
      <w:r w:rsidRPr="00231A29">
        <w:rPr>
          <w:rtl/>
        </w:rPr>
        <w:t>4</w:t>
      </w:r>
      <w:r>
        <w:rPr>
          <w:rFonts w:hint="cs"/>
          <w:rtl/>
        </w:rPr>
        <w:t>1</w:t>
      </w:r>
      <w:r w:rsidRPr="00231A29">
        <w:rPr>
          <w:rtl/>
        </w:rPr>
        <w:t>.</w:t>
      </w:r>
      <w:r w:rsidRPr="00231A29">
        <w:rPr>
          <w:rtl/>
        </w:rPr>
        <w:tab/>
        <w:t xml:space="preserve">כאמור, הנאשם החזיק בנשק ללא רשות ע"פ דין, שזו עבירה שלצידה קבע המחוקק עונש מאסר של שבע שנים, בנוסף החזיק הנאשם בתחמושת, שכן הוא נטל מחסנית ובתוכה 12 כדורים, עבירה שבגינה קבע המחוקק עונש מאסר שלוש שנים. עוד נטל הנאשם מן הרכב ונשא אקדח שהיה בבעלותו של המתלונן, זאת ללא הסכמתו ותוך כוונה לשלול את האקדח מימנו שלילת קבע. מדובר בעבירה של גניבה שלצידה קבע המחוקק  עונש מאסר </w:t>
      </w:r>
      <w:r>
        <w:rPr>
          <w:rFonts w:hint="cs"/>
          <w:rtl/>
        </w:rPr>
        <w:t xml:space="preserve">של </w:t>
      </w:r>
      <w:r w:rsidRPr="00231A29">
        <w:rPr>
          <w:rtl/>
        </w:rPr>
        <w:t>שלוש שנים.</w:t>
      </w:r>
    </w:p>
    <w:p w14:paraId="0EDFEF75" w14:textId="77777777" w:rsidR="006639D5" w:rsidRPr="00231A29" w:rsidRDefault="006639D5" w:rsidP="006639D5">
      <w:pPr>
        <w:spacing w:line="360" w:lineRule="auto"/>
        <w:ind w:left="-46"/>
        <w:jc w:val="both"/>
        <w:rPr>
          <w:rtl/>
        </w:rPr>
      </w:pPr>
    </w:p>
    <w:p w14:paraId="3FF21D24" w14:textId="77777777" w:rsidR="006639D5" w:rsidRPr="00231A29" w:rsidRDefault="006639D5" w:rsidP="006639D5">
      <w:pPr>
        <w:spacing w:line="360" w:lineRule="auto"/>
        <w:ind w:left="719" w:hanging="765"/>
        <w:jc w:val="both"/>
        <w:rPr>
          <w:rtl/>
        </w:rPr>
      </w:pPr>
      <w:r>
        <w:rPr>
          <w:rFonts w:hint="cs"/>
          <w:rtl/>
        </w:rPr>
        <w:t>42</w:t>
      </w:r>
      <w:r w:rsidRPr="00231A29">
        <w:rPr>
          <w:rtl/>
        </w:rPr>
        <w:t>.</w:t>
      </w:r>
      <w:r w:rsidRPr="00231A29">
        <w:rPr>
          <w:rtl/>
        </w:rPr>
        <w:tab/>
      </w:r>
      <w:r w:rsidRPr="00E45572">
        <w:rPr>
          <w:rtl/>
        </w:rPr>
        <w:t>מעבר להיבט הכספי והכלכלי</w:t>
      </w:r>
      <w:r w:rsidRPr="00231A29">
        <w:rPr>
          <w:rtl/>
        </w:rPr>
        <w:t xml:space="preserve"> המובהק בעבירת הגניבה הפוגע קשות בקניינו של האדם הפרטי, </w:t>
      </w:r>
      <w:r>
        <w:rPr>
          <w:rtl/>
        </w:rPr>
        <w:t xml:space="preserve">נפגעו </w:t>
      </w:r>
      <w:r w:rsidRPr="00231A29">
        <w:rPr>
          <w:rtl/>
        </w:rPr>
        <w:t xml:space="preserve">כתוצאה מעבירת החזקת הנשק גם הערכים החברתיים של שמירת </w:t>
      </w:r>
      <w:r>
        <w:rPr>
          <w:rFonts w:hint="cs"/>
          <w:rtl/>
        </w:rPr>
        <w:t>בטחון הציבור ובריאותו</w:t>
      </w:r>
      <w:r w:rsidRPr="00231A29">
        <w:rPr>
          <w:rtl/>
        </w:rPr>
        <w:t>, שמירה על שלום הציבור ושמירה על קניינו של האדם הפרטי.</w:t>
      </w:r>
    </w:p>
    <w:p w14:paraId="4654CC6A" w14:textId="77777777" w:rsidR="006639D5" w:rsidRPr="00231A29" w:rsidRDefault="006639D5" w:rsidP="006639D5">
      <w:pPr>
        <w:spacing w:line="360" w:lineRule="auto"/>
        <w:ind w:left="720" w:hanging="720"/>
        <w:jc w:val="both"/>
        <w:rPr>
          <w:rtl/>
        </w:rPr>
      </w:pPr>
    </w:p>
    <w:p w14:paraId="3E32CC49" w14:textId="77777777" w:rsidR="006639D5" w:rsidRPr="00231A29" w:rsidRDefault="006639D5" w:rsidP="006639D5">
      <w:pPr>
        <w:spacing w:line="360" w:lineRule="auto"/>
        <w:ind w:left="719" w:hanging="765"/>
        <w:jc w:val="both"/>
        <w:rPr>
          <w:rtl/>
        </w:rPr>
      </w:pPr>
      <w:r>
        <w:rPr>
          <w:rFonts w:hint="cs"/>
          <w:rtl/>
        </w:rPr>
        <w:t>43</w:t>
      </w:r>
      <w:r w:rsidRPr="00231A29">
        <w:rPr>
          <w:rtl/>
        </w:rPr>
        <w:t>.</w:t>
      </w:r>
      <w:r w:rsidRPr="00231A29">
        <w:rPr>
          <w:rtl/>
        </w:rPr>
        <w:tab/>
        <w:t xml:space="preserve">אין חולק כי עבירות נשק הינן חמורות. נשק הוא כלי מסוכן ועל כן החזקתו מחייבת רישוי </w:t>
      </w:r>
      <w:r>
        <w:rPr>
          <w:rtl/>
        </w:rPr>
        <w:t xml:space="preserve">כחוק </w:t>
      </w:r>
      <w:r w:rsidRPr="00231A29">
        <w:rPr>
          <w:rtl/>
        </w:rPr>
        <w:t>אשר קודמות לו הכשרה ובדיקות שונות. הסיכון הגלום בהחזקתו</w:t>
      </w:r>
      <w:r>
        <w:rPr>
          <w:rtl/>
        </w:rPr>
        <w:t xml:space="preserve">, נשיאתו ובשימוש בו שלא כדין, </w:t>
      </w:r>
      <w:r w:rsidRPr="00231A29">
        <w:rPr>
          <w:rtl/>
        </w:rPr>
        <w:t>ברור מאליו.</w:t>
      </w:r>
      <w:r w:rsidRPr="00231A29">
        <w:rPr>
          <w:rtl/>
        </w:rPr>
        <w:tab/>
      </w:r>
      <w:r w:rsidRPr="00231A29">
        <w:rPr>
          <w:rtl/>
        </w:rPr>
        <w:tab/>
      </w:r>
    </w:p>
    <w:p w14:paraId="3DD3D4D3" w14:textId="77777777" w:rsidR="006639D5" w:rsidRPr="00231A29" w:rsidRDefault="006639D5" w:rsidP="006639D5">
      <w:pPr>
        <w:spacing w:line="360" w:lineRule="auto"/>
        <w:ind w:left="-46"/>
        <w:jc w:val="both"/>
        <w:rPr>
          <w:rtl/>
        </w:rPr>
      </w:pPr>
    </w:p>
    <w:p w14:paraId="0298875C" w14:textId="77777777" w:rsidR="006639D5" w:rsidRDefault="006639D5" w:rsidP="006639D5">
      <w:pPr>
        <w:spacing w:line="360" w:lineRule="auto"/>
        <w:ind w:left="719" w:hanging="765"/>
        <w:jc w:val="both"/>
        <w:rPr>
          <w:rtl/>
        </w:rPr>
      </w:pPr>
      <w:r>
        <w:rPr>
          <w:rFonts w:hint="cs"/>
          <w:rtl/>
        </w:rPr>
        <w:t>44</w:t>
      </w:r>
      <w:r w:rsidRPr="00231A29">
        <w:rPr>
          <w:rtl/>
        </w:rPr>
        <w:t>.</w:t>
      </w:r>
      <w:r w:rsidRPr="00231A29">
        <w:rPr>
          <w:rtl/>
        </w:rPr>
        <w:tab/>
        <w:t>ב</w:t>
      </w:r>
      <w:hyperlink r:id="rId38" w:history="1">
        <w:r w:rsidR="003438A6" w:rsidRPr="003438A6">
          <w:rPr>
            <w:color w:val="0000FF"/>
            <w:u w:val="single"/>
            <w:rtl/>
          </w:rPr>
          <w:t>ע"פ 1323/13</w:t>
        </w:r>
      </w:hyperlink>
      <w:r w:rsidRPr="00231A29">
        <w:rPr>
          <w:rtl/>
        </w:rPr>
        <w:t xml:space="preserve"> </w:t>
      </w:r>
      <w:r w:rsidRPr="00231A29">
        <w:rPr>
          <w:b/>
          <w:bCs/>
          <w:rtl/>
        </w:rPr>
        <w:t>חסן נ' מדינת ישראל</w:t>
      </w:r>
      <w:r w:rsidRPr="00231A29">
        <w:rPr>
          <w:rtl/>
        </w:rPr>
        <w:t xml:space="preserve"> (ניתן ביום 5.6.13), הדגישה כב' השופטת ארבל את </w:t>
      </w:r>
      <w:r>
        <w:rPr>
          <w:rtl/>
        </w:rPr>
        <w:t>המגמה</w:t>
      </w:r>
      <w:r>
        <w:rPr>
          <w:rFonts w:hint="cs"/>
          <w:rtl/>
        </w:rPr>
        <w:t xml:space="preserve"> </w:t>
      </w:r>
      <w:r w:rsidRPr="00231A29">
        <w:rPr>
          <w:rtl/>
        </w:rPr>
        <w:t>המתחייבת של החמרה בענישה בעבירות נשק המיושמת בפ</w:t>
      </w:r>
      <w:r>
        <w:rPr>
          <w:rtl/>
        </w:rPr>
        <w:t>סיקה בשנים האחרונות, וזאת בצד</w:t>
      </w:r>
      <w:r>
        <w:rPr>
          <w:rFonts w:hint="cs"/>
          <w:rtl/>
        </w:rPr>
        <w:t xml:space="preserve"> </w:t>
      </w:r>
      <w:r w:rsidRPr="00231A29">
        <w:rPr>
          <w:rtl/>
        </w:rPr>
        <w:t>הצורך להקפיד על ענישה אינדיבידואלית התואמת כל מקרה לנסיבותיו, וכך נקבע:</w:t>
      </w:r>
    </w:p>
    <w:p w14:paraId="308D8CB2" w14:textId="77777777" w:rsidR="006639D5" w:rsidRPr="00231A29" w:rsidRDefault="006639D5" w:rsidP="006639D5">
      <w:pPr>
        <w:spacing w:line="360" w:lineRule="auto"/>
        <w:ind w:left="719" w:hanging="765"/>
        <w:jc w:val="both"/>
        <w:rPr>
          <w:rtl/>
        </w:rPr>
      </w:pPr>
    </w:p>
    <w:p w14:paraId="415B4BF4" w14:textId="77777777" w:rsidR="006639D5" w:rsidRPr="00231A29" w:rsidRDefault="006639D5" w:rsidP="006639D5">
      <w:pPr>
        <w:spacing w:line="360" w:lineRule="auto"/>
        <w:ind w:left="720"/>
        <w:jc w:val="both"/>
        <w:rPr>
          <w:rtl/>
        </w:rPr>
      </w:pPr>
      <w:r w:rsidRPr="00231A29">
        <w:rPr>
          <w:b/>
          <w:bCs/>
          <w:rtl/>
        </w:rPr>
        <w:t>"נוכח היקפן המתרחב של עבירות המבוצעות בנשק בכלל וסחר בנשק בפרט, וזמינותו המדאיגה של נשק בלתי חוקי במחוזותינו, התעורר הצורך להחמיר ב</w:t>
      </w:r>
      <w:r>
        <w:rPr>
          <w:b/>
          <w:bCs/>
          <w:rtl/>
        </w:rPr>
        <w:t xml:space="preserve">עונשי המאסר </w:t>
      </w:r>
      <w:r w:rsidRPr="00231A29">
        <w:rPr>
          <w:b/>
          <w:bCs/>
          <w:rtl/>
        </w:rPr>
        <w:t>המוטלים בעבירות אלה...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r>
        <w:rPr>
          <w:rFonts w:hint="cs"/>
          <w:rtl/>
        </w:rPr>
        <w:t xml:space="preserve"> (שם, פיסקה 12).</w:t>
      </w:r>
    </w:p>
    <w:p w14:paraId="667D9E77" w14:textId="77777777" w:rsidR="006639D5" w:rsidRPr="00231A29" w:rsidRDefault="006639D5" w:rsidP="006639D5">
      <w:pPr>
        <w:spacing w:line="360" w:lineRule="auto"/>
        <w:ind w:left="720" w:hanging="720"/>
        <w:jc w:val="both"/>
        <w:rPr>
          <w:rtl/>
        </w:rPr>
      </w:pPr>
    </w:p>
    <w:p w14:paraId="7C35185D" w14:textId="77777777" w:rsidR="006639D5" w:rsidRPr="00231A29" w:rsidRDefault="006639D5" w:rsidP="006639D5">
      <w:pPr>
        <w:spacing w:line="360" w:lineRule="auto"/>
        <w:ind w:left="720" w:hanging="720"/>
        <w:jc w:val="both"/>
        <w:rPr>
          <w:rtl/>
        </w:rPr>
      </w:pPr>
      <w:r>
        <w:rPr>
          <w:rFonts w:hint="cs"/>
          <w:rtl/>
        </w:rPr>
        <w:t>45</w:t>
      </w:r>
      <w:r w:rsidRPr="00231A29">
        <w:rPr>
          <w:rtl/>
        </w:rPr>
        <w:t>.</w:t>
      </w:r>
      <w:r w:rsidRPr="00231A29">
        <w:rPr>
          <w:rtl/>
        </w:rPr>
        <w:tab/>
        <w:t>ב</w:t>
      </w:r>
      <w:r w:rsidRPr="003438A6">
        <w:rPr>
          <w:color w:val="000000"/>
          <w:rtl/>
        </w:rPr>
        <w:t xml:space="preserve">ע"פ </w:t>
      </w:r>
      <w:hyperlink r:id="rId39" w:history="1">
        <w:r w:rsidR="00FE1233" w:rsidRPr="00FE1233">
          <w:rPr>
            <w:color w:val="0000FF"/>
            <w:u w:val="single"/>
            <w:rtl/>
          </w:rPr>
          <w:t xml:space="preserve">1332/04 </w:t>
        </w:r>
      </w:hyperlink>
      <w:r w:rsidRPr="00231A29">
        <w:rPr>
          <w:rtl/>
        </w:rPr>
        <w:t xml:space="preserve"> </w:t>
      </w:r>
      <w:r w:rsidRPr="00231A29">
        <w:rPr>
          <w:b/>
          <w:bCs/>
          <w:rtl/>
        </w:rPr>
        <w:t>פס נ' מדינת ישראל</w:t>
      </w:r>
      <w:r w:rsidRPr="00231A29">
        <w:rPr>
          <w:rtl/>
        </w:rPr>
        <w:t>, פ"ד נח(5) 541, נאמר כי יש להתייחס גם באשר לסוג הנשק המוחזק, התכלית שלשמה מוחזק, ולסכנה המוחשית שיעשה בו שימוש</w:t>
      </w:r>
      <w:r>
        <w:rPr>
          <w:rFonts w:hint="cs"/>
          <w:rtl/>
        </w:rPr>
        <w:t>, וכלשונו של בית המשפט העליון:</w:t>
      </w:r>
    </w:p>
    <w:p w14:paraId="1BF49F86" w14:textId="77777777" w:rsidR="006639D5" w:rsidRPr="00231A29" w:rsidRDefault="006639D5" w:rsidP="006639D5">
      <w:pPr>
        <w:spacing w:line="360" w:lineRule="auto"/>
        <w:ind w:left="720" w:hanging="720"/>
        <w:jc w:val="both"/>
        <w:rPr>
          <w:rtl/>
        </w:rPr>
      </w:pPr>
    </w:p>
    <w:p w14:paraId="12989559" w14:textId="77777777" w:rsidR="006639D5" w:rsidRPr="00231A29" w:rsidRDefault="006639D5" w:rsidP="006639D5">
      <w:pPr>
        <w:spacing w:line="360" w:lineRule="auto"/>
        <w:ind w:left="719"/>
        <w:jc w:val="both"/>
        <w:rPr>
          <w:rtl/>
        </w:rPr>
      </w:pPr>
      <w:r w:rsidRPr="00231A29">
        <w:rPr>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b/>
          <w:bCs/>
          <w:rtl/>
        </w:rPr>
        <w:t xml:space="preserve"> </w:t>
      </w:r>
      <w:r w:rsidRPr="003D30A2">
        <w:rPr>
          <w:rFonts w:hint="cs"/>
          <w:rtl/>
        </w:rPr>
        <w:t>(שם</w:t>
      </w:r>
      <w:r>
        <w:rPr>
          <w:rFonts w:hint="cs"/>
          <w:rtl/>
        </w:rPr>
        <w:t>,</w:t>
      </w:r>
      <w:r w:rsidRPr="003D30A2">
        <w:rPr>
          <w:rFonts w:hint="cs"/>
          <w:rtl/>
        </w:rPr>
        <w:t xml:space="preserve"> </w:t>
      </w:r>
      <w:r>
        <w:rPr>
          <w:rFonts w:hint="cs"/>
          <w:rtl/>
        </w:rPr>
        <w:t>ב</w:t>
      </w:r>
      <w:r w:rsidRPr="003D30A2">
        <w:rPr>
          <w:rFonts w:hint="cs"/>
          <w:rtl/>
        </w:rPr>
        <w:t>עמ'</w:t>
      </w:r>
      <w:r>
        <w:rPr>
          <w:rFonts w:hint="cs"/>
          <w:rtl/>
        </w:rPr>
        <w:t xml:space="preserve"> </w:t>
      </w:r>
      <w:r w:rsidRPr="003D30A2">
        <w:rPr>
          <w:rFonts w:hint="cs"/>
          <w:rtl/>
        </w:rPr>
        <w:t>544</w:t>
      </w:r>
      <w:r>
        <w:rPr>
          <w:rFonts w:hint="cs"/>
          <w:rtl/>
        </w:rPr>
        <w:t xml:space="preserve">, </w:t>
      </w:r>
      <w:r w:rsidRPr="003D30A2">
        <w:rPr>
          <w:rFonts w:hint="cs"/>
          <w:rtl/>
        </w:rPr>
        <w:t xml:space="preserve">פיסקה </w:t>
      </w:r>
      <w:r>
        <w:rPr>
          <w:rFonts w:hint="cs"/>
          <w:rtl/>
        </w:rPr>
        <w:t>4).</w:t>
      </w:r>
    </w:p>
    <w:p w14:paraId="02A63D9E" w14:textId="77777777" w:rsidR="006639D5" w:rsidRPr="00231A29" w:rsidRDefault="006639D5" w:rsidP="006639D5">
      <w:pPr>
        <w:spacing w:line="360" w:lineRule="auto"/>
        <w:jc w:val="both"/>
        <w:rPr>
          <w:rtl/>
        </w:rPr>
      </w:pPr>
    </w:p>
    <w:p w14:paraId="3E969869" w14:textId="77777777" w:rsidR="006639D5" w:rsidRPr="00231A29" w:rsidRDefault="006639D5" w:rsidP="006639D5">
      <w:pPr>
        <w:spacing w:line="360" w:lineRule="auto"/>
        <w:ind w:left="720" w:hanging="720"/>
        <w:jc w:val="both"/>
        <w:rPr>
          <w:rtl/>
        </w:rPr>
      </w:pPr>
      <w:r>
        <w:rPr>
          <w:rFonts w:hint="cs"/>
          <w:rtl/>
        </w:rPr>
        <w:t>46</w:t>
      </w:r>
      <w:r w:rsidRPr="00231A29">
        <w:rPr>
          <w:rtl/>
        </w:rPr>
        <w:t>.</w:t>
      </w:r>
      <w:r w:rsidRPr="00231A29">
        <w:rPr>
          <w:rtl/>
        </w:rPr>
        <w:tab/>
      </w:r>
      <w:r w:rsidRPr="00A76983">
        <w:rPr>
          <w:rtl/>
        </w:rPr>
        <w:t>באשר לנסיבות הקשורות בביצוע</w:t>
      </w:r>
      <w:r w:rsidRPr="00231A29">
        <w:rPr>
          <w:rtl/>
        </w:rPr>
        <w:t xml:space="preserve"> העבירה, את המקרה הנידון אופפות נסיבות מחמירות לצד נסיבות מקלות. במקרה שלפנינו הנאשם גנב אקדח ותחמושת מרכבו של המתלונן, תוך כדי עבודתו במוסך ובמה</w:t>
      </w:r>
      <w:r>
        <w:rPr>
          <w:rFonts w:hint="cs"/>
          <w:rtl/>
        </w:rPr>
        <w:t>לכה</w:t>
      </w:r>
      <w:r w:rsidRPr="00231A29">
        <w:rPr>
          <w:rtl/>
        </w:rPr>
        <w:t>. לאקדח ישנו פוטנציאל סיכון גבוה שכן מדובר בנאשם אשר אינ</w:t>
      </w:r>
      <w:r>
        <w:rPr>
          <w:rtl/>
        </w:rPr>
        <w:t>ו בעל הסמכה כדין להחזיק בנשק. ה</w:t>
      </w:r>
      <w:r w:rsidRPr="00231A29">
        <w:rPr>
          <w:rtl/>
        </w:rPr>
        <w:t xml:space="preserve">סיבה אשר הביאה את הנאשם לכדי ביצוע העבירה </w:t>
      </w:r>
      <w:r>
        <w:rPr>
          <w:rFonts w:hint="cs"/>
          <w:rtl/>
        </w:rPr>
        <w:t>א</w:t>
      </w:r>
      <w:r w:rsidRPr="00231A29">
        <w:rPr>
          <w:rtl/>
        </w:rPr>
        <w:t>ינ</w:t>
      </w:r>
      <w:r>
        <w:rPr>
          <w:rFonts w:hint="cs"/>
          <w:rtl/>
        </w:rPr>
        <w:t>ה ברורה</w:t>
      </w:r>
      <w:r w:rsidRPr="00231A29">
        <w:rPr>
          <w:rtl/>
        </w:rPr>
        <w:t xml:space="preserve">. הנאשם פעל לבדו אך ללא תכנון מוקדם, גנב והחזיק אקדח </w:t>
      </w:r>
      <w:r>
        <w:rPr>
          <w:rFonts w:hint="cs"/>
          <w:rtl/>
        </w:rPr>
        <w:t>ביחד עם</w:t>
      </w:r>
      <w:r w:rsidRPr="00231A29">
        <w:rPr>
          <w:rtl/>
        </w:rPr>
        <w:t xml:space="preserve"> מחסנית </w:t>
      </w:r>
      <w:r>
        <w:rPr>
          <w:rFonts w:hint="cs"/>
          <w:rtl/>
        </w:rPr>
        <w:t>הטעונה ב</w:t>
      </w:r>
      <w:r w:rsidRPr="00231A29">
        <w:rPr>
          <w:rtl/>
        </w:rPr>
        <w:t>-12 כדורים.  יחד עם זאת, מאחר והנשק נמצא ע"י המשטרה תוך מספר שעות בודדות, לא הגיע לכדי מימוש נזק משמעותי או פגיעה חברתית גדולה.</w:t>
      </w:r>
    </w:p>
    <w:p w14:paraId="3261CEF6" w14:textId="77777777" w:rsidR="006639D5" w:rsidRPr="00231A29" w:rsidRDefault="006639D5" w:rsidP="006639D5">
      <w:pPr>
        <w:spacing w:line="360" w:lineRule="auto"/>
        <w:ind w:left="720" w:hanging="720"/>
        <w:jc w:val="both"/>
        <w:rPr>
          <w:rtl/>
        </w:rPr>
      </w:pPr>
    </w:p>
    <w:p w14:paraId="6D4D838A" w14:textId="77777777" w:rsidR="006639D5" w:rsidRPr="00231A29" w:rsidRDefault="006639D5" w:rsidP="006639D5">
      <w:pPr>
        <w:spacing w:line="360" w:lineRule="auto"/>
        <w:ind w:left="720" w:hanging="720"/>
        <w:jc w:val="both"/>
        <w:rPr>
          <w:rtl/>
        </w:rPr>
      </w:pPr>
      <w:r>
        <w:rPr>
          <w:rFonts w:hint="cs"/>
          <w:rtl/>
        </w:rPr>
        <w:t>47.</w:t>
      </w:r>
      <w:r w:rsidRPr="00231A29">
        <w:rPr>
          <w:rtl/>
        </w:rPr>
        <w:tab/>
        <w:t>באשר לעבירה מסוג זה, עולה מהפסיקה כי ישנה קשת רחבה של מעשי גניבה והחזקה בנשק השונים זה מזה הן בנסיבותיהם והן בדרגת חומרתם. על כן, מידת הענישה במקרה דנן מתבססת על נסיבותיו הקונקרטיות של מעשה העבירה. מכאן, לא מן הנמנע שלאותן עבירות יהיו כמה מתחמי ענישה שונים, הנגזרים מ</w:t>
      </w:r>
      <w:r>
        <w:rPr>
          <w:rtl/>
        </w:rPr>
        <w:t xml:space="preserve">ן הנסיבות הספציפיות שבהן נעברו </w:t>
      </w:r>
      <w:r>
        <w:rPr>
          <w:rFonts w:hint="cs"/>
          <w:rtl/>
        </w:rPr>
        <w:t xml:space="preserve"> - ראו לעניין הזה </w:t>
      </w:r>
      <w:hyperlink r:id="rId40" w:history="1">
        <w:r w:rsidR="003438A6" w:rsidRPr="003438A6">
          <w:rPr>
            <w:color w:val="0000FF"/>
            <w:u w:val="single"/>
            <w:rtl/>
          </w:rPr>
          <w:t>ע"פ 8641/12</w:t>
        </w:r>
      </w:hyperlink>
      <w:r w:rsidRPr="00231A29">
        <w:rPr>
          <w:b/>
          <w:bCs/>
          <w:rtl/>
        </w:rPr>
        <w:t xml:space="preserve"> סעד נ' מדינת ישראל</w:t>
      </w:r>
      <w:r w:rsidRPr="00231A29">
        <w:rPr>
          <w:rtl/>
        </w:rPr>
        <w:t xml:space="preserve"> (ניתן ביום 05.08.13).  </w:t>
      </w:r>
    </w:p>
    <w:p w14:paraId="51BC2C9C" w14:textId="77777777" w:rsidR="006639D5" w:rsidRPr="00231A29" w:rsidRDefault="006639D5" w:rsidP="006639D5">
      <w:pPr>
        <w:spacing w:before="240" w:line="360" w:lineRule="auto"/>
        <w:ind w:left="720" w:hanging="720"/>
        <w:jc w:val="both"/>
        <w:rPr>
          <w:rtl/>
        </w:rPr>
      </w:pPr>
      <w:r>
        <w:rPr>
          <w:rFonts w:hint="cs"/>
          <w:rtl/>
        </w:rPr>
        <w:t>48</w:t>
      </w:r>
      <w:r w:rsidRPr="00231A29">
        <w:rPr>
          <w:rtl/>
        </w:rPr>
        <w:t>.</w:t>
      </w:r>
      <w:r w:rsidRPr="00231A29">
        <w:rPr>
          <w:rtl/>
        </w:rPr>
        <w:tab/>
        <w:t xml:space="preserve">באי כוח הצדדים הביאו בפני בית המשפט פסיקה ענפה בעבירות דומות ובה קשת רחבה של עונשים, כל צד הפנה לפסיקה המתאימה לטענותיו, המאשימה לזו המחמירה והסנגור הפנה לפסיקה מקילה, אך כידוע, אין מקרה דומה לשני וכל מקרה ונסיבותיו הוא. </w:t>
      </w:r>
    </w:p>
    <w:p w14:paraId="3B0830AB" w14:textId="77777777" w:rsidR="006639D5" w:rsidRPr="00231A29" w:rsidRDefault="006639D5" w:rsidP="006639D5">
      <w:pPr>
        <w:spacing w:line="360" w:lineRule="auto"/>
        <w:jc w:val="both"/>
        <w:rPr>
          <w:rtl/>
        </w:rPr>
      </w:pPr>
    </w:p>
    <w:p w14:paraId="443FDB59" w14:textId="77777777" w:rsidR="006639D5" w:rsidRPr="00231A29" w:rsidRDefault="006639D5" w:rsidP="006639D5">
      <w:pPr>
        <w:spacing w:line="360" w:lineRule="auto"/>
        <w:ind w:left="720" w:hanging="720"/>
        <w:jc w:val="both"/>
        <w:rPr>
          <w:rtl/>
        </w:rPr>
      </w:pPr>
      <w:r>
        <w:rPr>
          <w:rFonts w:hint="cs"/>
          <w:rtl/>
        </w:rPr>
        <w:t>49</w:t>
      </w:r>
      <w:r w:rsidRPr="00231A29">
        <w:rPr>
          <w:rtl/>
        </w:rPr>
        <w:t>.</w:t>
      </w:r>
      <w:r w:rsidRPr="00231A29">
        <w:rPr>
          <w:rtl/>
        </w:rPr>
        <w:tab/>
        <w:t>בבחינת מדיניות הענישה הנוהגת, במקרים רבים ודומים למקרה שלפנינו עולה כי הוטלו על נאשמים עונשי מאסר בפועל, כמפורט להלן:</w:t>
      </w:r>
    </w:p>
    <w:p w14:paraId="60CECD42" w14:textId="77777777" w:rsidR="006639D5" w:rsidRPr="00231A29" w:rsidRDefault="006639D5" w:rsidP="006639D5">
      <w:pPr>
        <w:spacing w:line="360" w:lineRule="auto"/>
        <w:ind w:left="720" w:hanging="720"/>
        <w:jc w:val="both"/>
        <w:rPr>
          <w:rtl/>
        </w:rPr>
      </w:pPr>
    </w:p>
    <w:p w14:paraId="78A53457" w14:textId="77777777" w:rsidR="006639D5" w:rsidRPr="00231A29" w:rsidRDefault="006639D5" w:rsidP="006639D5">
      <w:pPr>
        <w:spacing w:line="360" w:lineRule="auto"/>
        <w:ind w:left="1436" w:hanging="690"/>
        <w:jc w:val="both"/>
        <w:rPr>
          <w:noProof/>
          <w:rtl/>
          <w:lang w:eastAsia="he-IL"/>
        </w:rPr>
      </w:pPr>
      <w:r w:rsidRPr="007350DD">
        <w:rPr>
          <w:noProof/>
          <w:rtl/>
          <w:lang w:eastAsia="he-IL"/>
        </w:rPr>
        <w:t>(-)</w:t>
      </w:r>
      <w:r w:rsidRPr="00231A29">
        <w:rPr>
          <w:rFonts w:ascii="FrankRuehl" w:hAnsi="FrankRuehl" w:cs="FrankRuehl"/>
          <w:b/>
          <w:bCs/>
          <w:color w:val="000000"/>
          <w:sz w:val="28"/>
          <w:szCs w:val="28"/>
          <w:rtl/>
        </w:rPr>
        <w:tab/>
      </w:r>
      <w:hyperlink r:id="rId41" w:history="1">
        <w:r w:rsidR="003438A6" w:rsidRPr="003438A6">
          <w:rPr>
            <w:rFonts w:ascii="FrankRuehl" w:hAnsi="FrankRuehl"/>
            <w:color w:val="0000FF"/>
            <w:u w:val="single"/>
            <w:rtl/>
          </w:rPr>
          <w:t>רע"פ 2718/04</w:t>
        </w:r>
      </w:hyperlink>
      <w:r w:rsidRPr="00231A29">
        <w:rPr>
          <w:rFonts w:ascii="FrankRuehl" w:hAnsi="FrankRuehl"/>
          <w:color w:val="000000"/>
          <w:rtl/>
        </w:rPr>
        <w:t xml:space="preserve"> </w:t>
      </w:r>
      <w:r w:rsidRPr="00231A29">
        <w:rPr>
          <w:rFonts w:ascii="FrankRuehl" w:hAnsi="FrankRuehl" w:hint="eastAsia"/>
          <w:b/>
          <w:bCs/>
          <w:color w:val="000000"/>
          <w:rtl/>
        </w:rPr>
        <w:t>פואד</w:t>
      </w:r>
      <w:r w:rsidRPr="00231A29">
        <w:rPr>
          <w:rFonts w:ascii="FrankRuehl" w:hAnsi="FrankRuehl"/>
          <w:b/>
          <w:bCs/>
          <w:color w:val="000000"/>
          <w:rtl/>
        </w:rPr>
        <w:t xml:space="preserve"> </w:t>
      </w:r>
      <w:r w:rsidRPr="00231A29">
        <w:rPr>
          <w:rFonts w:ascii="FrankRuehl" w:hAnsi="FrankRuehl" w:hint="eastAsia"/>
          <w:b/>
          <w:bCs/>
          <w:color w:val="000000"/>
          <w:rtl/>
        </w:rPr>
        <w:t>אבו</w:t>
      </w:r>
      <w:r w:rsidRPr="00231A29">
        <w:rPr>
          <w:rFonts w:ascii="FrankRuehl" w:hAnsi="FrankRuehl"/>
          <w:b/>
          <w:bCs/>
          <w:color w:val="000000"/>
          <w:rtl/>
        </w:rPr>
        <w:t xml:space="preserve"> </w:t>
      </w:r>
      <w:r w:rsidRPr="00231A29">
        <w:rPr>
          <w:rFonts w:ascii="FrankRuehl" w:hAnsi="FrankRuehl" w:hint="eastAsia"/>
          <w:b/>
          <w:bCs/>
          <w:color w:val="000000"/>
          <w:rtl/>
        </w:rPr>
        <w:t>דאחל</w:t>
      </w:r>
      <w:r w:rsidRPr="00231A29">
        <w:rPr>
          <w:rFonts w:ascii="FrankRuehl" w:hAnsi="FrankRuehl"/>
          <w:b/>
          <w:bCs/>
          <w:color w:val="000000"/>
          <w:rtl/>
        </w:rPr>
        <w:t xml:space="preserve"> </w:t>
      </w:r>
      <w:r w:rsidRPr="00231A29">
        <w:rPr>
          <w:rFonts w:ascii="FrankRuehl" w:hAnsi="FrankRuehl" w:hint="eastAsia"/>
          <w:b/>
          <w:bCs/>
          <w:color w:val="000000"/>
          <w:rtl/>
        </w:rPr>
        <w:t>נ</w:t>
      </w:r>
      <w:r w:rsidRPr="00231A29">
        <w:rPr>
          <w:rFonts w:ascii="FrankRuehl" w:hAnsi="FrankRuehl"/>
          <w:b/>
          <w:bCs/>
          <w:color w:val="000000"/>
          <w:rtl/>
        </w:rPr>
        <w:t xml:space="preserve">' </w:t>
      </w:r>
      <w:r w:rsidRPr="00231A29">
        <w:rPr>
          <w:rFonts w:ascii="FrankRuehl" w:hAnsi="FrankRuehl" w:hint="eastAsia"/>
          <w:b/>
          <w:bCs/>
          <w:color w:val="000000"/>
          <w:rtl/>
        </w:rPr>
        <w:t>מדינת</w:t>
      </w:r>
      <w:r w:rsidRPr="00231A29">
        <w:rPr>
          <w:rFonts w:ascii="FrankRuehl" w:hAnsi="FrankRuehl"/>
          <w:b/>
          <w:bCs/>
          <w:color w:val="000000"/>
          <w:rtl/>
        </w:rPr>
        <w:t xml:space="preserve"> </w:t>
      </w:r>
      <w:r w:rsidRPr="00231A29">
        <w:rPr>
          <w:rFonts w:ascii="FrankRuehl" w:hAnsi="FrankRuehl" w:hint="eastAsia"/>
          <w:b/>
          <w:bCs/>
          <w:color w:val="000000"/>
          <w:rtl/>
        </w:rPr>
        <w:t>ישראל</w:t>
      </w:r>
      <w:r w:rsidRPr="007350DD">
        <w:rPr>
          <w:noProof/>
          <w:rtl/>
          <w:lang w:eastAsia="he-IL"/>
        </w:rPr>
        <w:t xml:space="preserve"> (ניתן ביום 29.03.04), הנאשם הורשע </w:t>
      </w:r>
      <w:r w:rsidRPr="007350DD">
        <w:rPr>
          <w:noProof/>
          <w:rtl/>
          <w:lang w:eastAsia="he-IL"/>
        </w:rPr>
        <w:tab/>
        <w:t>בעבירה של החזקת נשק. הנאשם נמצא מחביא אקדח ומחסנית ריקה מתחת למיטתו, האקדח שנמצא נגנב לפני כשנה מדירה שנפרצה. בית המשפט השלום גזר על הנאשם 8 חודשי מאסר לריצוי בפועל ועשרה חודשי מאסר על תנאי. הערעורים הן במחוזי והן בעליון נדחו.</w:t>
      </w:r>
    </w:p>
    <w:p w14:paraId="74D5E5DD" w14:textId="77777777" w:rsidR="006639D5" w:rsidRPr="00231A29" w:rsidRDefault="006639D5" w:rsidP="006639D5">
      <w:pPr>
        <w:spacing w:line="360" w:lineRule="auto"/>
        <w:ind w:left="746"/>
        <w:jc w:val="both"/>
        <w:rPr>
          <w:noProof/>
          <w:rtl/>
          <w:lang w:eastAsia="he-IL"/>
        </w:rPr>
      </w:pPr>
    </w:p>
    <w:p w14:paraId="4CE03DA7" w14:textId="77777777" w:rsidR="006639D5" w:rsidRPr="00231A29" w:rsidRDefault="006639D5" w:rsidP="006639D5">
      <w:pPr>
        <w:spacing w:line="360" w:lineRule="auto"/>
        <w:ind w:left="1440" w:hanging="720"/>
        <w:jc w:val="both"/>
        <w:rPr>
          <w:rtl/>
        </w:rPr>
      </w:pPr>
      <w:r w:rsidRPr="00231A29">
        <w:rPr>
          <w:rtl/>
        </w:rPr>
        <w:t>(-)</w:t>
      </w:r>
      <w:r w:rsidRPr="00231A29">
        <w:rPr>
          <w:rtl/>
        </w:rPr>
        <w:tab/>
      </w:r>
      <w:hyperlink r:id="rId42" w:history="1">
        <w:r w:rsidR="003438A6" w:rsidRPr="003438A6">
          <w:rPr>
            <w:color w:val="0000FF"/>
            <w:u w:val="single"/>
            <w:rtl/>
          </w:rPr>
          <w:t>ע"פ 5220/09</w:t>
        </w:r>
      </w:hyperlink>
      <w:r w:rsidRPr="00231A29">
        <w:rPr>
          <w:rtl/>
        </w:rPr>
        <w:t xml:space="preserve"> </w:t>
      </w:r>
      <w:r w:rsidRPr="00231A29">
        <w:rPr>
          <w:b/>
          <w:bCs/>
          <w:rtl/>
        </w:rPr>
        <w:t>עוואודה נגד מדינת ישראל</w:t>
      </w:r>
      <w:r w:rsidRPr="00231A29">
        <w:rPr>
          <w:rtl/>
        </w:rPr>
        <w:t xml:space="preserve"> (ניתן ביום 30.12.09), הורשע המערער בהסדר טיעון בעבירות של החזקת נשק ותחמושת. המערער הצטייד באקדח ובמחסנית והחזיקם באטליז שבבעלותו ובביתו. השוטרים מצאו את האקדח ברכבו לאחר כחודש כשהוא טעון ומוכן לירי. המערער נדון ל- שש</w:t>
      </w:r>
      <w:r>
        <w:rPr>
          <w:rFonts w:hint="cs"/>
          <w:rtl/>
        </w:rPr>
        <w:t>ה</w:t>
      </w:r>
      <w:r w:rsidRPr="00231A29">
        <w:rPr>
          <w:rtl/>
        </w:rPr>
        <w:t xml:space="preserve"> חודשי מאסר בפועל בצירוף ענישה נלווית, חרף המלצת שירות המבחן להטיל עליו עבודות שירות. באותו מקרה עסקינן במערער נורמטיבי,  ללא עבר פלילי שנטל אחריות לעבירה וטען כי מצא את האקדח במסיק זיתים והחליט להחביאו ברכבו לצורך הגנה עצמית נוכח מחזור הכספים הגדול בעסקו.</w:t>
      </w:r>
    </w:p>
    <w:p w14:paraId="51AA1EF0" w14:textId="77777777" w:rsidR="006639D5" w:rsidRPr="00231A29" w:rsidRDefault="006639D5" w:rsidP="006639D5">
      <w:pPr>
        <w:spacing w:line="360" w:lineRule="auto"/>
        <w:jc w:val="both"/>
        <w:rPr>
          <w:rFonts w:ascii="Arimo" w:hAnsi="Arimo" w:cs="Times New Roman"/>
          <w:color w:val="333333"/>
          <w:sz w:val="21"/>
          <w:szCs w:val="21"/>
          <w:rtl/>
        </w:rPr>
      </w:pPr>
    </w:p>
    <w:p w14:paraId="0671ACEA" w14:textId="77777777" w:rsidR="006639D5" w:rsidRDefault="006639D5" w:rsidP="006639D5">
      <w:pPr>
        <w:spacing w:line="360" w:lineRule="auto"/>
        <w:ind w:left="1436" w:hanging="690"/>
        <w:jc w:val="both"/>
        <w:rPr>
          <w:noProof/>
          <w:rtl/>
          <w:lang w:eastAsia="he-IL"/>
        </w:rPr>
      </w:pPr>
      <w:r w:rsidRPr="00231A29">
        <w:rPr>
          <w:rtl/>
        </w:rPr>
        <w:t>(-)</w:t>
      </w:r>
      <w:r w:rsidRPr="00231A29">
        <w:rPr>
          <w:rFonts w:ascii="Arimo" w:hAnsi="Arimo" w:cs="Times New Roman"/>
          <w:color w:val="333333"/>
          <w:sz w:val="21"/>
          <w:szCs w:val="21"/>
          <w:rtl/>
        </w:rPr>
        <w:tab/>
      </w:r>
      <w:bookmarkStart w:id="8" w:name="Text1"/>
      <w:r w:rsidR="003438A6" w:rsidRPr="003438A6">
        <w:rPr>
          <w:rFonts w:ascii="FrankRuehl" w:hAnsi="FrankRuehl"/>
          <w:color w:val="0000FF"/>
          <w:sz w:val="28"/>
          <w:u w:val="single"/>
          <w:rtl/>
        </w:rPr>
        <w:fldChar w:fldCharType="begin"/>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Pr>
        <w:instrText>HYPERLINK</w:instrText>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Pr>
        <w:instrText>http://www.nevo.co.il/case/6058757</w:instrText>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tl/>
        </w:rPr>
      </w:r>
      <w:r w:rsidR="003438A6" w:rsidRPr="003438A6">
        <w:rPr>
          <w:rFonts w:ascii="FrankRuehl" w:hAnsi="FrankRuehl"/>
          <w:color w:val="0000FF"/>
          <w:sz w:val="28"/>
          <w:u w:val="single"/>
          <w:rtl/>
        </w:rPr>
        <w:fldChar w:fldCharType="separate"/>
      </w:r>
      <w:r w:rsidR="003438A6" w:rsidRPr="003438A6">
        <w:rPr>
          <w:rFonts w:ascii="FrankRuehl" w:hAnsi="FrankRuehl"/>
          <w:color w:val="0000FF"/>
          <w:sz w:val="28"/>
          <w:u w:val="single"/>
          <w:rtl/>
        </w:rPr>
        <w:t>ע"פ 6294/10</w:t>
      </w:r>
      <w:r w:rsidR="003438A6" w:rsidRPr="003438A6">
        <w:rPr>
          <w:rFonts w:ascii="FrankRuehl" w:hAnsi="FrankRuehl"/>
          <w:color w:val="0000FF"/>
          <w:sz w:val="28"/>
          <w:u w:val="single"/>
          <w:rtl/>
        </w:rPr>
        <w:fldChar w:fldCharType="end"/>
      </w:r>
      <w:r w:rsidRPr="00231A29">
        <w:rPr>
          <w:rFonts w:ascii="FrankRuehl" w:hAnsi="FrankRuehl"/>
          <w:color w:val="000000"/>
          <w:sz w:val="28"/>
          <w:rtl/>
        </w:rPr>
        <w:t xml:space="preserve"> </w:t>
      </w:r>
      <w:r w:rsidRPr="00231A29">
        <w:rPr>
          <w:rFonts w:ascii="FrankRuehl" w:hAnsi="FrankRuehl" w:hint="eastAsia"/>
          <w:b/>
          <w:bCs/>
          <w:color w:val="000000"/>
          <w:sz w:val="28"/>
          <w:rtl/>
        </w:rPr>
        <w:t>אלקיעאן</w:t>
      </w:r>
      <w:r w:rsidRPr="00231A29">
        <w:rPr>
          <w:rFonts w:ascii="FrankRuehl" w:hAnsi="FrankRuehl"/>
          <w:b/>
          <w:bCs/>
          <w:color w:val="000000"/>
          <w:sz w:val="28"/>
          <w:rtl/>
        </w:rPr>
        <w:t xml:space="preserve"> </w:t>
      </w:r>
      <w:r w:rsidRPr="00231A29">
        <w:rPr>
          <w:rFonts w:ascii="FrankRuehl" w:hAnsi="FrankRuehl" w:hint="eastAsia"/>
          <w:b/>
          <w:bCs/>
          <w:color w:val="000000"/>
          <w:sz w:val="28"/>
          <w:rtl/>
        </w:rPr>
        <w:t>נ</w:t>
      </w:r>
      <w:r w:rsidRPr="00231A29">
        <w:rPr>
          <w:rFonts w:ascii="FrankRuehl" w:hAnsi="FrankRuehl"/>
          <w:b/>
          <w:bCs/>
          <w:color w:val="000000"/>
          <w:sz w:val="28"/>
          <w:rtl/>
        </w:rPr>
        <w:t xml:space="preserve">' </w:t>
      </w:r>
      <w:r w:rsidRPr="00231A29">
        <w:rPr>
          <w:rFonts w:ascii="FrankRuehl" w:hAnsi="FrankRuehl" w:hint="eastAsia"/>
          <w:b/>
          <w:bCs/>
          <w:color w:val="000000"/>
          <w:sz w:val="28"/>
          <w:rtl/>
        </w:rPr>
        <w:t>מדינת</w:t>
      </w:r>
      <w:r w:rsidRPr="00231A29">
        <w:rPr>
          <w:rFonts w:ascii="FrankRuehl" w:hAnsi="FrankRuehl"/>
          <w:b/>
          <w:bCs/>
          <w:color w:val="000000"/>
          <w:sz w:val="28"/>
          <w:rtl/>
        </w:rPr>
        <w:t xml:space="preserve"> </w:t>
      </w:r>
      <w:r w:rsidRPr="00231A29">
        <w:rPr>
          <w:rFonts w:ascii="FrankRuehl" w:hAnsi="FrankRuehl" w:hint="eastAsia"/>
          <w:b/>
          <w:bCs/>
          <w:color w:val="000000"/>
          <w:sz w:val="28"/>
          <w:rtl/>
        </w:rPr>
        <w:t>ישראל</w:t>
      </w:r>
      <w:bookmarkEnd w:id="8"/>
      <w:r w:rsidRPr="007350DD">
        <w:rPr>
          <w:rFonts w:cs="FrankRuehl"/>
          <w:noProof/>
          <w:sz w:val="26"/>
          <w:szCs w:val="26"/>
          <w:rtl/>
          <w:lang w:eastAsia="he-IL"/>
        </w:rPr>
        <w:t xml:space="preserve"> </w:t>
      </w:r>
      <w:r w:rsidRPr="007350DD">
        <w:rPr>
          <w:noProof/>
          <w:rtl/>
          <w:lang w:eastAsia="he-IL"/>
        </w:rPr>
        <w:t xml:space="preserve">(ניתן ביום 20.02.11), שני נאשמים הורשעו בעבירת החזקת נשק ותחמושת לפי הרישא והסיפא של </w:t>
      </w:r>
      <w:hyperlink r:id="rId43" w:history="1">
        <w:r w:rsidR="00904786" w:rsidRPr="00904786">
          <w:rPr>
            <w:noProof/>
            <w:color w:val="0000FF"/>
            <w:u w:val="single"/>
            <w:rtl/>
            <w:lang w:eastAsia="he-IL"/>
          </w:rPr>
          <w:t>סעיף 144(א)</w:t>
        </w:r>
      </w:hyperlink>
      <w:r w:rsidRPr="007350DD">
        <w:rPr>
          <w:noProof/>
          <w:rtl/>
          <w:lang w:eastAsia="he-IL"/>
        </w:rPr>
        <w:t xml:space="preserve"> לחוק </w:t>
      </w:r>
      <w:r w:rsidRPr="007350DD">
        <w:rPr>
          <w:noProof/>
          <w:rtl/>
          <w:lang w:eastAsia="he-IL"/>
        </w:rPr>
        <w:tab/>
        <w:t xml:space="preserve">העונשין. על הנאשמים הושת עונש </w:t>
      </w:r>
      <w:r w:rsidRPr="00231A29">
        <w:rPr>
          <w:rtl/>
        </w:rPr>
        <w:t>של 10 חודשי מאסר בפועל ו-10 חודשי מאסר על-תנאי</w:t>
      </w:r>
      <w:r w:rsidRPr="007350DD">
        <w:rPr>
          <w:noProof/>
          <w:rtl/>
          <w:lang w:eastAsia="he-IL"/>
        </w:rPr>
        <w:t>. הערעור על גזר הדין נדחה.</w:t>
      </w:r>
    </w:p>
    <w:p w14:paraId="52034AAC" w14:textId="77777777" w:rsidR="006639D5" w:rsidRPr="007350DD" w:rsidRDefault="006639D5" w:rsidP="006639D5">
      <w:pPr>
        <w:spacing w:line="360" w:lineRule="auto"/>
        <w:ind w:left="1436" w:hanging="690"/>
        <w:jc w:val="both"/>
        <w:rPr>
          <w:noProof/>
          <w:rtl/>
          <w:lang w:eastAsia="he-IL"/>
        </w:rPr>
      </w:pPr>
    </w:p>
    <w:p w14:paraId="63549521" w14:textId="77777777" w:rsidR="006639D5" w:rsidRPr="00231A29" w:rsidRDefault="006639D5" w:rsidP="006639D5">
      <w:pPr>
        <w:spacing w:line="360" w:lineRule="auto"/>
        <w:ind w:left="1440" w:hanging="720"/>
        <w:jc w:val="both"/>
        <w:rPr>
          <w:rtl/>
        </w:rPr>
      </w:pPr>
      <w:r w:rsidRPr="00231A29">
        <w:rPr>
          <w:rtl/>
        </w:rPr>
        <w:t>(-)</w:t>
      </w:r>
      <w:r w:rsidRPr="00231A29">
        <w:rPr>
          <w:rtl/>
        </w:rPr>
        <w:tab/>
      </w:r>
      <w:hyperlink r:id="rId44" w:history="1">
        <w:r w:rsidR="003438A6" w:rsidRPr="003438A6">
          <w:rPr>
            <w:color w:val="0000FF"/>
            <w:u w:val="single"/>
            <w:rtl/>
          </w:rPr>
          <w:t>ע"פ 2892/13</w:t>
        </w:r>
      </w:hyperlink>
      <w:r w:rsidRPr="00231A29">
        <w:rPr>
          <w:rtl/>
        </w:rPr>
        <w:t xml:space="preserve"> </w:t>
      </w:r>
      <w:r w:rsidRPr="00231A29">
        <w:rPr>
          <w:b/>
          <w:bCs/>
          <w:rtl/>
        </w:rPr>
        <w:t>עודתאללה נגד  מדינת ישראל</w:t>
      </w:r>
      <w:r w:rsidRPr="00231A29">
        <w:rPr>
          <w:rtl/>
        </w:rPr>
        <w:t xml:space="preserve"> (ניתן ביום 29.9.13), דובר במערער צעיר נורמטיבי שנהג ברכבו כשהוא מוביל ונושא אקדח עם מחסנית ריקה תחת מושבו. מתחם העונש שנקבע עמד על 12 </w:t>
      </w:r>
      <w:r>
        <w:rPr>
          <w:rFonts w:hint="cs"/>
          <w:rtl/>
        </w:rPr>
        <w:t>ע</w:t>
      </w:r>
      <w:r w:rsidRPr="00231A29">
        <w:rPr>
          <w:rtl/>
        </w:rPr>
        <w:t>ד 36 חודשי מאסר בפועל ובסופו של יום הוטל</w:t>
      </w:r>
      <w:r>
        <w:rPr>
          <w:rFonts w:hint="cs"/>
          <w:rtl/>
        </w:rPr>
        <w:t>ו</w:t>
      </w:r>
      <w:r w:rsidRPr="00231A29">
        <w:rPr>
          <w:rtl/>
        </w:rPr>
        <w:t xml:space="preserve"> על המערער 21 חודשי מאסר בפועל בצירוף ענישה נלווית. הערעור על חומרת העונש נדחה ע"י בית המשפט העליון.</w:t>
      </w:r>
    </w:p>
    <w:p w14:paraId="3EE9FB5D" w14:textId="77777777" w:rsidR="006639D5" w:rsidRPr="00231A29" w:rsidRDefault="006639D5" w:rsidP="006639D5">
      <w:pPr>
        <w:spacing w:line="360" w:lineRule="auto"/>
        <w:jc w:val="both"/>
        <w:rPr>
          <w:rtl/>
        </w:rPr>
      </w:pPr>
    </w:p>
    <w:p w14:paraId="315CF999" w14:textId="77777777" w:rsidR="006639D5" w:rsidRPr="00231A29" w:rsidRDefault="006639D5" w:rsidP="006639D5">
      <w:pPr>
        <w:spacing w:line="360" w:lineRule="auto"/>
        <w:ind w:left="1436" w:hanging="690"/>
        <w:jc w:val="both"/>
        <w:rPr>
          <w:rFonts w:cs="FrankRuehl"/>
          <w:noProof/>
          <w:sz w:val="26"/>
          <w:szCs w:val="26"/>
          <w:rtl/>
          <w:lang w:eastAsia="he-IL"/>
        </w:rPr>
      </w:pPr>
      <w:r w:rsidRPr="00231A29">
        <w:rPr>
          <w:rtl/>
        </w:rPr>
        <w:t>(-)</w:t>
      </w:r>
      <w:r w:rsidRPr="00231A29">
        <w:rPr>
          <w:rtl/>
        </w:rPr>
        <w:tab/>
      </w:r>
      <w:hyperlink r:id="rId45" w:history="1">
        <w:r w:rsidR="003438A6" w:rsidRPr="003438A6">
          <w:rPr>
            <w:color w:val="0000FF"/>
            <w:u w:val="single"/>
            <w:rtl/>
          </w:rPr>
          <w:t>ת"פ (שלום ירושלים) 28659-02-14</w:t>
        </w:r>
      </w:hyperlink>
      <w:r w:rsidRPr="00231A29">
        <w:rPr>
          <w:rtl/>
        </w:rPr>
        <w:t xml:space="preserve"> </w:t>
      </w:r>
      <w:r w:rsidRPr="00231A29">
        <w:rPr>
          <w:b/>
          <w:bCs/>
          <w:rtl/>
        </w:rPr>
        <w:t xml:space="preserve">מדינת ישראל נ' מעאיטה </w:t>
      </w:r>
      <w:r w:rsidRPr="00231A29">
        <w:rPr>
          <w:rtl/>
        </w:rPr>
        <w:t xml:space="preserve">(ניתן ביום 8.7.14), הנאשם הורשע ע"פ הודאתו בעבירה של החזקת נשק. הנאשם הסתיר נשק בעליית הגג בביתו במשך </w:t>
      </w:r>
      <w:r>
        <w:rPr>
          <w:rFonts w:hint="cs"/>
          <w:rtl/>
        </w:rPr>
        <w:t>כ</w:t>
      </w:r>
      <w:r w:rsidRPr="00231A29">
        <w:rPr>
          <w:rtl/>
        </w:rPr>
        <w:t xml:space="preserve">שנתיים. בית המשפט השלום קבע מתחם שנע בין </w:t>
      </w:r>
      <w:r w:rsidRPr="00231A29">
        <w:rPr>
          <w:rFonts w:ascii="David" w:hAnsi="David"/>
          <w:rtl/>
        </w:rPr>
        <w:t xml:space="preserve">8 </w:t>
      </w:r>
      <w:r w:rsidRPr="00231A29">
        <w:rPr>
          <w:rFonts w:ascii="David" w:hAnsi="David" w:hint="eastAsia"/>
          <w:rtl/>
        </w:rPr>
        <w:t>ל</w:t>
      </w:r>
      <w:r w:rsidRPr="00231A29">
        <w:rPr>
          <w:rFonts w:ascii="David" w:hAnsi="David"/>
          <w:rtl/>
        </w:rPr>
        <w:t xml:space="preserve">- 24 </w:t>
      </w:r>
      <w:r w:rsidRPr="00231A29">
        <w:rPr>
          <w:rFonts w:ascii="David" w:hAnsi="David" w:hint="eastAsia"/>
          <w:rtl/>
        </w:rPr>
        <w:t>חודשי</w:t>
      </w:r>
      <w:r w:rsidRPr="00231A29">
        <w:rPr>
          <w:rFonts w:ascii="David" w:hAnsi="David"/>
          <w:rtl/>
        </w:rPr>
        <w:t xml:space="preserve"> </w:t>
      </w:r>
      <w:r w:rsidRPr="00231A29">
        <w:rPr>
          <w:rFonts w:ascii="David" w:hAnsi="David" w:hint="eastAsia"/>
          <w:rtl/>
        </w:rPr>
        <w:t>מאסר</w:t>
      </w:r>
      <w:r w:rsidRPr="00231A29">
        <w:rPr>
          <w:rFonts w:ascii="David" w:hAnsi="David"/>
          <w:rtl/>
        </w:rPr>
        <w:t xml:space="preserve">. </w:t>
      </w:r>
      <w:r w:rsidRPr="00231A29">
        <w:rPr>
          <w:rtl/>
        </w:rPr>
        <w:t xml:space="preserve">הנאשם נדון ל- 10 חודשי מאסר בפועל.  </w:t>
      </w:r>
    </w:p>
    <w:p w14:paraId="56E0421D" w14:textId="77777777" w:rsidR="006639D5" w:rsidRPr="00231A29" w:rsidRDefault="006639D5" w:rsidP="006639D5">
      <w:pPr>
        <w:spacing w:line="360" w:lineRule="auto"/>
        <w:ind w:left="1436" w:hanging="690"/>
        <w:jc w:val="both"/>
        <w:rPr>
          <w:rFonts w:cs="FrankRuehl"/>
          <w:noProof/>
          <w:sz w:val="26"/>
          <w:szCs w:val="26"/>
          <w:rtl/>
          <w:lang w:eastAsia="he-IL"/>
        </w:rPr>
      </w:pPr>
    </w:p>
    <w:p w14:paraId="74554313" w14:textId="77777777" w:rsidR="006639D5" w:rsidRPr="007350DD" w:rsidRDefault="006639D5" w:rsidP="006639D5">
      <w:pPr>
        <w:spacing w:line="360" w:lineRule="auto"/>
        <w:ind w:left="1436" w:hanging="690"/>
        <w:jc w:val="both"/>
        <w:rPr>
          <w:noProof/>
          <w:rtl/>
          <w:lang w:eastAsia="he-IL"/>
        </w:rPr>
      </w:pPr>
      <w:r w:rsidRPr="007350DD">
        <w:rPr>
          <w:noProof/>
          <w:rtl/>
          <w:lang w:eastAsia="he-IL"/>
        </w:rPr>
        <w:t>(-)</w:t>
      </w:r>
      <w:r w:rsidRPr="007350DD">
        <w:rPr>
          <w:noProof/>
          <w:rtl/>
          <w:lang w:eastAsia="he-IL"/>
        </w:rPr>
        <w:tab/>
      </w:r>
      <w:hyperlink r:id="rId46" w:history="1">
        <w:r w:rsidR="003438A6" w:rsidRPr="003438A6">
          <w:rPr>
            <w:rFonts w:ascii="Arimo" w:hAnsi="Arimo" w:hint="eastAsia"/>
            <w:color w:val="0000FF"/>
            <w:u w:val="single"/>
            <w:rtl/>
          </w:rPr>
          <w:t>ת</w:t>
        </w:r>
        <w:r w:rsidR="003438A6" w:rsidRPr="003438A6">
          <w:rPr>
            <w:rFonts w:ascii="Arimo" w:hAnsi="Arimo"/>
            <w:color w:val="0000FF"/>
            <w:u w:val="single"/>
            <w:rtl/>
          </w:rPr>
          <w:t>"</w:t>
        </w:r>
        <w:r w:rsidR="003438A6" w:rsidRPr="003438A6">
          <w:rPr>
            <w:rFonts w:ascii="Arimo" w:hAnsi="Arimo" w:hint="eastAsia"/>
            <w:color w:val="0000FF"/>
            <w:u w:val="single"/>
            <w:rtl/>
          </w:rPr>
          <w:t>פ</w:t>
        </w:r>
        <w:r w:rsidR="003438A6" w:rsidRPr="003438A6">
          <w:rPr>
            <w:rFonts w:ascii="Arimo" w:hAnsi="Arimo"/>
            <w:color w:val="0000FF"/>
            <w:u w:val="single"/>
            <w:rtl/>
          </w:rPr>
          <w:t xml:space="preserve"> (</w:t>
        </w:r>
        <w:r w:rsidR="003438A6" w:rsidRPr="003438A6">
          <w:rPr>
            <w:rFonts w:ascii="Arimo" w:hAnsi="Arimo" w:hint="eastAsia"/>
            <w:color w:val="0000FF"/>
            <w:u w:val="single"/>
            <w:rtl/>
          </w:rPr>
          <w:t>שלום</w:t>
        </w:r>
        <w:r w:rsidR="003438A6" w:rsidRPr="003438A6">
          <w:rPr>
            <w:rFonts w:ascii="Arimo" w:hAnsi="Arimo"/>
            <w:color w:val="0000FF"/>
            <w:u w:val="single"/>
            <w:rtl/>
          </w:rPr>
          <w:t xml:space="preserve"> </w:t>
        </w:r>
        <w:r w:rsidR="003438A6" w:rsidRPr="003438A6">
          <w:rPr>
            <w:rFonts w:ascii="Arimo" w:hAnsi="Arimo" w:hint="eastAsia"/>
            <w:color w:val="0000FF"/>
            <w:u w:val="single"/>
            <w:rtl/>
          </w:rPr>
          <w:t>רמלה</w:t>
        </w:r>
        <w:r w:rsidR="003438A6" w:rsidRPr="003438A6">
          <w:rPr>
            <w:rFonts w:ascii="Arimo" w:hAnsi="Arimo"/>
            <w:color w:val="0000FF"/>
            <w:u w:val="single"/>
            <w:rtl/>
          </w:rPr>
          <w:t>) 44380-08-16</w:t>
        </w:r>
      </w:hyperlink>
      <w:r w:rsidRPr="00231A29">
        <w:rPr>
          <w:rFonts w:ascii="Arimo" w:hAnsi="Arimo"/>
          <w:rtl/>
        </w:rPr>
        <w:t xml:space="preserve"> </w:t>
      </w:r>
      <w:r w:rsidRPr="00231A29">
        <w:rPr>
          <w:rFonts w:ascii="Arimo" w:hAnsi="Arimo" w:hint="eastAsia"/>
          <w:b/>
          <w:bCs/>
          <w:rtl/>
        </w:rPr>
        <w:t>מדינת</w:t>
      </w:r>
      <w:r w:rsidRPr="00231A29">
        <w:rPr>
          <w:rFonts w:ascii="Arimo" w:hAnsi="Arimo"/>
          <w:b/>
          <w:bCs/>
          <w:rtl/>
        </w:rPr>
        <w:t xml:space="preserve"> </w:t>
      </w:r>
      <w:r w:rsidRPr="00231A29">
        <w:rPr>
          <w:rFonts w:ascii="Arimo" w:hAnsi="Arimo" w:hint="eastAsia"/>
          <w:b/>
          <w:bCs/>
          <w:rtl/>
        </w:rPr>
        <w:t>ישראל</w:t>
      </w:r>
      <w:r w:rsidRPr="00231A29">
        <w:rPr>
          <w:rFonts w:ascii="Arimo" w:hAnsi="Arimo"/>
          <w:b/>
          <w:bCs/>
          <w:rtl/>
        </w:rPr>
        <w:t xml:space="preserve"> </w:t>
      </w:r>
      <w:r w:rsidRPr="00231A29">
        <w:rPr>
          <w:rFonts w:ascii="Arimo" w:hAnsi="Arimo" w:hint="eastAsia"/>
          <w:b/>
          <w:bCs/>
          <w:rtl/>
        </w:rPr>
        <w:t>נ</w:t>
      </w:r>
      <w:r w:rsidRPr="00231A29">
        <w:rPr>
          <w:rFonts w:ascii="Arimo" w:hAnsi="Arimo"/>
          <w:b/>
          <w:bCs/>
          <w:rtl/>
        </w:rPr>
        <w:t xml:space="preserve">' </w:t>
      </w:r>
      <w:r w:rsidRPr="00231A29">
        <w:rPr>
          <w:rFonts w:ascii="Arimo" w:hAnsi="Arimo" w:hint="eastAsia"/>
          <w:b/>
          <w:bCs/>
          <w:rtl/>
        </w:rPr>
        <w:t>מחמוד</w:t>
      </w:r>
      <w:r w:rsidRPr="007350DD">
        <w:rPr>
          <w:noProof/>
          <w:rtl/>
          <w:lang w:eastAsia="he-IL"/>
        </w:rPr>
        <w:t xml:space="preserve"> (ניתן ביום 06.04.17), הורשע הנאשם בעבירות החזקת נשק והחזקת אביזר נשק (רישא וסיפא </w:t>
      </w:r>
      <w:hyperlink r:id="rId47" w:history="1">
        <w:r w:rsidR="00904786" w:rsidRPr="00904786">
          <w:rPr>
            <w:noProof/>
            <w:color w:val="0000FF"/>
            <w:u w:val="single"/>
            <w:rtl/>
            <w:lang w:eastAsia="he-IL"/>
          </w:rPr>
          <w:t>סעיף 144(א)</w:t>
        </w:r>
      </w:hyperlink>
      <w:r w:rsidRPr="007350DD">
        <w:rPr>
          <w:noProof/>
          <w:rtl/>
          <w:lang w:eastAsia="he-IL"/>
        </w:rPr>
        <w:t xml:space="preserve"> ל</w:t>
      </w:r>
      <w:hyperlink r:id="rId48" w:history="1">
        <w:r w:rsidR="003438A6" w:rsidRPr="003438A6">
          <w:rPr>
            <w:noProof/>
            <w:color w:val="0000FF"/>
            <w:u w:val="single"/>
            <w:rtl/>
            <w:lang w:eastAsia="he-IL"/>
          </w:rPr>
          <w:t>חוק העונשין</w:t>
        </w:r>
      </w:hyperlink>
      <w:r w:rsidRPr="007350DD">
        <w:rPr>
          <w:noProof/>
          <w:rtl/>
          <w:lang w:eastAsia="he-IL"/>
        </w:rPr>
        <w:t>), נקבע מתחם הנע בין 14 ל-36 חודשי מאסר בפועל, כשעל הנאשם נגזר</w:t>
      </w:r>
      <w:r>
        <w:rPr>
          <w:rFonts w:hint="cs"/>
          <w:noProof/>
          <w:rtl/>
          <w:lang w:eastAsia="he-IL"/>
        </w:rPr>
        <w:t>ו</w:t>
      </w:r>
      <w:r w:rsidRPr="007350DD">
        <w:rPr>
          <w:noProof/>
          <w:rtl/>
          <w:lang w:eastAsia="he-IL"/>
        </w:rPr>
        <w:t xml:space="preserve"> 14 חודשי מאסר בפועל.</w:t>
      </w:r>
    </w:p>
    <w:p w14:paraId="05FB295D" w14:textId="77777777" w:rsidR="006639D5" w:rsidRPr="00231A29" w:rsidRDefault="006639D5" w:rsidP="006639D5">
      <w:pPr>
        <w:spacing w:line="360" w:lineRule="auto"/>
        <w:jc w:val="both"/>
        <w:rPr>
          <w:rtl/>
        </w:rPr>
      </w:pPr>
    </w:p>
    <w:p w14:paraId="0F6E9933" w14:textId="77777777" w:rsidR="006639D5" w:rsidRPr="00231A29" w:rsidRDefault="006639D5" w:rsidP="006639D5">
      <w:pPr>
        <w:spacing w:line="360" w:lineRule="auto"/>
        <w:ind w:left="720" w:hanging="720"/>
        <w:jc w:val="both"/>
        <w:rPr>
          <w:rtl/>
        </w:rPr>
      </w:pPr>
      <w:r>
        <w:rPr>
          <w:rFonts w:ascii="David" w:hAnsi="David" w:hint="cs"/>
          <w:rtl/>
        </w:rPr>
        <w:t>50</w:t>
      </w:r>
      <w:r w:rsidRPr="00231A29">
        <w:rPr>
          <w:rFonts w:ascii="David" w:hAnsi="David"/>
          <w:rtl/>
        </w:rPr>
        <w:t>.</w:t>
      </w:r>
      <w:r w:rsidRPr="00231A29">
        <w:rPr>
          <w:rFonts w:ascii="David" w:hAnsi="David"/>
          <w:rtl/>
        </w:rPr>
        <w:tab/>
      </w:r>
      <w:r w:rsidRPr="00231A29">
        <w:rPr>
          <w:rtl/>
        </w:rPr>
        <w:t>מאחר ומדובר בעבירה המצויה ברף התחתון במדרג החומרה היחסי שקבע המחוקק לעבירות נשק,</w:t>
      </w:r>
      <w:r>
        <w:rPr>
          <w:rFonts w:hint="cs"/>
          <w:rtl/>
        </w:rPr>
        <w:t xml:space="preserve"> ו</w:t>
      </w:r>
      <w:r w:rsidRPr="00231A29">
        <w:rPr>
          <w:rFonts w:ascii="David" w:hAnsi="David" w:hint="eastAsia"/>
          <w:rtl/>
        </w:rPr>
        <w:t>לאחר</w:t>
      </w:r>
      <w:r w:rsidRPr="00231A29">
        <w:rPr>
          <w:rFonts w:ascii="David" w:hAnsi="David"/>
          <w:rtl/>
        </w:rPr>
        <w:t xml:space="preserve"> </w:t>
      </w:r>
      <w:r w:rsidRPr="00231A29">
        <w:rPr>
          <w:rFonts w:ascii="David" w:hAnsi="David" w:hint="eastAsia"/>
          <w:rtl/>
        </w:rPr>
        <w:t>שקלול</w:t>
      </w:r>
      <w:r w:rsidRPr="00231A29">
        <w:rPr>
          <w:rFonts w:ascii="David" w:hAnsi="David"/>
          <w:rtl/>
        </w:rPr>
        <w:t xml:space="preserve"> </w:t>
      </w:r>
      <w:r w:rsidRPr="00231A29">
        <w:rPr>
          <w:rFonts w:ascii="David" w:hAnsi="David" w:hint="eastAsia"/>
          <w:rtl/>
        </w:rPr>
        <w:t>אמות</w:t>
      </w:r>
      <w:r w:rsidRPr="00231A29">
        <w:rPr>
          <w:rFonts w:ascii="David" w:hAnsi="David"/>
          <w:rtl/>
        </w:rPr>
        <w:t xml:space="preserve"> </w:t>
      </w:r>
      <w:r w:rsidRPr="00231A29">
        <w:rPr>
          <w:rFonts w:ascii="David" w:hAnsi="David" w:hint="eastAsia"/>
          <w:rtl/>
        </w:rPr>
        <w:t>המידה</w:t>
      </w:r>
      <w:r w:rsidRPr="00231A29">
        <w:rPr>
          <w:rFonts w:ascii="David" w:hAnsi="David"/>
          <w:rtl/>
        </w:rPr>
        <w:t xml:space="preserve"> </w:t>
      </w:r>
      <w:r w:rsidRPr="00231A29">
        <w:rPr>
          <w:rFonts w:ascii="David" w:hAnsi="David" w:hint="eastAsia"/>
          <w:rtl/>
        </w:rPr>
        <w:t>המפורטות</w:t>
      </w:r>
      <w:r w:rsidRPr="00231A29">
        <w:rPr>
          <w:rFonts w:ascii="David" w:hAnsi="David"/>
          <w:rtl/>
        </w:rPr>
        <w:t xml:space="preserve"> </w:t>
      </w:r>
      <w:r w:rsidRPr="00231A29">
        <w:rPr>
          <w:rFonts w:ascii="David" w:hAnsi="David" w:hint="eastAsia"/>
          <w:rtl/>
        </w:rPr>
        <w:t>לעיל</w:t>
      </w:r>
      <w:r w:rsidRPr="00231A29">
        <w:rPr>
          <w:rFonts w:ascii="David" w:hAnsi="David"/>
          <w:rtl/>
        </w:rPr>
        <w:t xml:space="preserve">, </w:t>
      </w:r>
      <w:r w:rsidRPr="00231A29">
        <w:rPr>
          <w:rFonts w:ascii="David" w:hAnsi="David" w:hint="eastAsia"/>
          <w:rtl/>
        </w:rPr>
        <w:t>בהתאם</w:t>
      </w:r>
      <w:r w:rsidRPr="00231A29">
        <w:rPr>
          <w:rFonts w:ascii="David" w:hAnsi="David"/>
          <w:rtl/>
        </w:rPr>
        <w:t xml:space="preserve"> </w:t>
      </w:r>
      <w:r w:rsidRPr="00231A29">
        <w:rPr>
          <w:rFonts w:ascii="David" w:hAnsi="David" w:hint="eastAsia"/>
          <w:rtl/>
        </w:rPr>
        <w:t>לתיקון</w:t>
      </w:r>
      <w:r w:rsidRPr="00231A29">
        <w:rPr>
          <w:rFonts w:ascii="David" w:hAnsi="David"/>
          <w:rtl/>
        </w:rPr>
        <w:t xml:space="preserve"> 113 </w:t>
      </w:r>
      <w:r w:rsidRPr="00231A29">
        <w:rPr>
          <w:rFonts w:ascii="David" w:hAnsi="David" w:hint="eastAsia"/>
          <w:rtl/>
        </w:rPr>
        <w:t>ל</w:t>
      </w:r>
      <w:hyperlink r:id="rId49" w:history="1">
        <w:r w:rsidR="003438A6" w:rsidRPr="003438A6">
          <w:rPr>
            <w:rFonts w:ascii="David" w:hAnsi="David"/>
            <w:color w:val="0000FF"/>
            <w:u w:val="single"/>
            <w:rtl/>
          </w:rPr>
          <w:t>חוק העונשין</w:t>
        </w:r>
      </w:hyperlink>
      <w:r w:rsidRPr="00231A29">
        <w:rPr>
          <w:rFonts w:ascii="David" w:hAnsi="David"/>
          <w:rtl/>
        </w:rPr>
        <w:t xml:space="preserve"> (</w:t>
      </w:r>
      <w:hyperlink r:id="rId50" w:history="1">
        <w:r w:rsidR="00904786" w:rsidRPr="00904786">
          <w:rPr>
            <w:rFonts w:ascii="David" w:hAnsi="David"/>
            <w:color w:val="0000FF"/>
            <w:u w:val="single"/>
            <w:rtl/>
          </w:rPr>
          <w:t>סעיף 40יג)</w:t>
        </w:r>
      </w:hyperlink>
      <w:r w:rsidRPr="00231A29">
        <w:rPr>
          <w:rFonts w:ascii="David" w:hAnsi="David"/>
          <w:rtl/>
        </w:rPr>
        <w:t xml:space="preserve">, </w:t>
      </w:r>
      <w:r w:rsidRPr="00231A29">
        <w:rPr>
          <w:rFonts w:ascii="David" w:hAnsi="David" w:hint="eastAsia"/>
          <w:rtl/>
        </w:rPr>
        <w:t>סבורני</w:t>
      </w:r>
      <w:r w:rsidRPr="00231A29">
        <w:rPr>
          <w:rFonts w:ascii="David" w:hAnsi="David"/>
          <w:rtl/>
        </w:rPr>
        <w:t xml:space="preserve"> </w:t>
      </w:r>
      <w:r w:rsidRPr="00231A29">
        <w:rPr>
          <w:rFonts w:ascii="David" w:hAnsi="David" w:hint="eastAsia"/>
          <w:rtl/>
        </w:rPr>
        <w:t>כי</w:t>
      </w:r>
      <w:r w:rsidRPr="00231A29">
        <w:rPr>
          <w:rFonts w:ascii="David" w:hAnsi="David"/>
          <w:rtl/>
        </w:rPr>
        <w:t xml:space="preserve"> </w:t>
      </w:r>
      <w:r w:rsidRPr="00231A29">
        <w:rPr>
          <w:rFonts w:ascii="David" w:hAnsi="David" w:hint="eastAsia"/>
          <w:b/>
          <w:bCs/>
          <w:rtl/>
        </w:rPr>
        <w:t>מתחם</w:t>
      </w:r>
      <w:r w:rsidRPr="00231A29">
        <w:rPr>
          <w:rFonts w:ascii="David" w:hAnsi="David"/>
          <w:b/>
          <w:bCs/>
          <w:rtl/>
        </w:rPr>
        <w:t xml:space="preserve"> </w:t>
      </w:r>
      <w:r w:rsidRPr="00231A29">
        <w:rPr>
          <w:rFonts w:ascii="David" w:hAnsi="David" w:hint="eastAsia"/>
          <w:b/>
          <w:bCs/>
          <w:rtl/>
        </w:rPr>
        <w:t>העונש</w:t>
      </w:r>
      <w:r w:rsidRPr="00231A29">
        <w:rPr>
          <w:rFonts w:ascii="David" w:hAnsi="David"/>
          <w:b/>
          <w:bCs/>
          <w:rtl/>
        </w:rPr>
        <w:t xml:space="preserve"> </w:t>
      </w:r>
      <w:r w:rsidRPr="00231A29">
        <w:rPr>
          <w:rFonts w:ascii="David" w:hAnsi="David" w:hint="eastAsia"/>
          <w:b/>
          <w:bCs/>
          <w:rtl/>
        </w:rPr>
        <w:t>ההולם</w:t>
      </w:r>
      <w:r w:rsidRPr="00231A29">
        <w:rPr>
          <w:rFonts w:ascii="David" w:hAnsi="David"/>
          <w:b/>
          <w:bCs/>
          <w:rtl/>
        </w:rPr>
        <w:t xml:space="preserve"> </w:t>
      </w:r>
      <w:r w:rsidRPr="00231A29">
        <w:rPr>
          <w:rFonts w:ascii="David" w:hAnsi="David" w:hint="eastAsia"/>
          <w:rtl/>
        </w:rPr>
        <w:t>במקרה</w:t>
      </w:r>
      <w:r w:rsidRPr="00231A29">
        <w:rPr>
          <w:rFonts w:ascii="David" w:hAnsi="David"/>
          <w:rtl/>
        </w:rPr>
        <w:t xml:space="preserve"> </w:t>
      </w:r>
      <w:r w:rsidRPr="00231A29">
        <w:rPr>
          <w:rFonts w:ascii="David" w:hAnsi="David" w:hint="eastAsia"/>
          <w:rtl/>
        </w:rPr>
        <w:t>שלפנינו</w:t>
      </w:r>
      <w:r w:rsidRPr="00231A29">
        <w:rPr>
          <w:rFonts w:ascii="David" w:hAnsi="David"/>
          <w:b/>
          <w:bCs/>
          <w:rtl/>
        </w:rPr>
        <w:t xml:space="preserve"> </w:t>
      </w:r>
      <w:r w:rsidRPr="00231A29">
        <w:rPr>
          <w:rFonts w:ascii="David" w:hAnsi="David" w:hint="eastAsia"/>
          <w:u w:val="single"/>
          <w:rtl/>
        </w:rPr>
        <w:t>נע</w:t>
      </w:r>
      <w:r w:rsidRPr="00231A29">
        <w:rPr>
          <w:rFonts w:ascii="David" w:hAnsi="David"/>
          <w:u w:val="single"/>
          <w:rtl/>
        </w:rPr>
        <w:t xml:space="preserve"> </w:t>
      </w:r>
      <w:r w:rsidRPr="00231A29">
        <w:rPr>
          <w:rFonts w:ascii="David" w:hAnsi="David" w:hint="eastAsia"/>
          <w:u w:val="single"/>
          <w:rtl/>
        </w:rPr>
        <w:t>בין</w:t>
      </w:r>
      <w:r w:rsidRPr="00231A29">
        <w:rPr>
          <w:rFonts w:ascii="David" w:hAnsi="David"/>
          <w:u w:val="single"/>
          <w:rtl/>
        </w:rPr>
        <w:t xml:space="preserve"> 6 </w:t>
      </w:r>
      <w:r w:rsidRPr="00231A29">
        <w:rPr>
          <w:rFonts w:ascii="David" w:hAnsi="David" w:hint="eastAsia"/>
          <w:u w:val="single"/>
          <w:rtl/>
        </w:rPr>
        <w:t>חודשי</w:t>
      </w:r>
      <w:r w:rsidRPr="00231A29">
        <w:rPr>
          <w:rFonts w:ascii="David" w:hAnsi="David"/>
          <w:u w:val="single"/>
          <w:rtl/>
        </w:rPr>
        <w:t xml:space="preserve"> </w:t>
      </w:r>
      <w:r w:rsidRPr="00231A29">
        <w:rPr>
          <w:rFonts w:ascii="David" w:hAnsi="David" w:hint="eastAsia"/>
          <w:u w:val="single"/>
          <w:rtl/>
        </w:rPr>
        <w:t>מאסר</w:t>
      </w:r>
      <w:r w:rsidRPr="00231A29">
        <w:rPr>
          <w:rFonts w:ascii="David" w:hAnsi="David"/>
          <w:u w:val="single"/>
          <w:rtl/>
        </w:rPr>
        <w:t xml:space="preserve"> </w:t>
      </w:r>
      <w:r w:rsidRPr="00231A29">
        <w:rPr>
          <w:rFonts w:ascii="David" w:hAnsi="David" w:hint="eastAsia"/>
          <w:u w:val="single"/>
          <w:rtl/>
        </w:rPr>
        <w:t>לבין</w:t>
      </w:r>
      <w:r w:rsidRPr="00231A29">
        <w:rPr>
          <w:rFonts w:ascii="David" w:hAnsi="David"/>
          <w:u w:val="single"/>
          <w:rtl/>
        </w:rPr>
        <w:t xml:space="preserve"> 24 </w:t>
      </w:r>
      <w:r w:rsidRPr="00231A29">
        <w:rPr>
          <w:rFonts w:ascii="David" w:hAnsi="David" w:hint="eastAsia"/>
          <w:u w:val="single"/>
          <w:rtl/>
        </w:rPr>
        <w:t>חודשי</w:t>
      </w:r>
      <w:r w:rsidRPr="00231A29">
        <w:rPr>
          <w:rFonts w:ascii="David" w:hAnsi="David"/>
          <w:u w:val="single"/>
          <w:rtl/>
        </w:rPr>
        <w:t xml:space="preserve"> </w:t>
      </w:r>
      <w:r w:rsidRPr="00231A29">
        <w:rPr>
          <w:rFonts w:ascii="David" w:hAnsi="David" w:hint="eastAsia"/>
          <w:u w:val="single"/>
          <w:rtl/>
        </w:rPr>
        <w:t>מאסר</w:t>
      </w:r>
      <w:r w:rsidRPr="00231A29">
        <w:rPr>
          <w:rFonts w:ascii="David" w:hAnsi="David"/>
          <w:u w:val="single"/>
          <w:rtl/>
        </w:rPr>
        <w:t xml:space="preserve"> </w:t>
      </w:r>
      <w:r w:rsidRPr="00231A29">
        <w:rPr>
          <w:rFonts w:ascii="David" w:hAnsi="David" w:hint="eastAsia"/>
          <w:u w:val="single"/>
          <w:rtl/>
        </w:rPr>
        <w:t>בפועל</w:t>
      </w:r>
      <w:r w:rsidRPr="00231A29">
        <w:rPr>
          <w:rFonts w:ascii="David" w:hAnsi="David"/>
          <w:u w:val="single"/>
          <w:rtl/>
        </w:rPr>
        <w:t>.</w:t>
      </w:r>
    </w:p>
    <w:p w14:paraId="20F7E6C9" w14:textId="77777777" w:rsidR="006639D5" w:rsidRPr="00231A29" w:rsidRDefault="006639D5" w:rsidP="006639D5">
      <w:pPr>
        <w:spacing w:line="360" w:lineRule="auto"/>
        <w:ind w:left="720" w:hanging="720"/>
        <w:jc w:val="both"/>
        <w:rPr>
          <w:rtl/>
        </w:rPr>
      </w:pPr>
    </w:p>
    <w:p w14:paraId="615D7BC4" w14:textId="77777777" w:rsidR="006639D5" w:rsidRPr="00231A29" w:rsidRDefault="006639D5" w:rsidP="006639D5">
      <w:pPr>
        <w:spacing w:line="360" w:lineRule="auto"/>
        <w:ind w:left="720" w:hanging="720"/>
        <w:jc w:val="both"/>
        <w:rPr>
          <w:rtl/>
        </w:rPr>
      </w:pPr>
      <w:r>
        <w:rPr>
          <w:rFonts w:hint="cs"/>
          <w:rtl/>
        </w:rPr>
        <w:t>51</w:t>
      </w:r>
      <w:r w:rsidRPr="00231A29">
        <w:rPr>
          <w:rtl/>
        </w:rPr>
        <w:t>.</w:t>
      </w:r>
      <w:r w:rsidRPr="00231A29">
        <w:rPr>
          <w:rtl/>
        </w:rPr>
        <w:tab/>
        <w:t xml:space="preserve">יחד עם זאת, הענישה היא לעולם אינדיבידואלית (ראו </w:t>
      </w:r>
      <w:hyperlink r:id="rId51" w:history="1">
        <w:r w:rsidR="003438A6" w:rsidRPr="003438A6">
          <w:rPr>
            <w:color w:val="0000FF"/>
            <w:u w:val="single"/>
            <w:rtl/>
          </w:rPr>
          <w:t>ע"פ 10444/06</w:t>
        </w:r>
      </w:hyperlink>
      <w:r w:rsidRPr="00231A29">
        <w:rPr>
          <w:rtl/>
        </w:rPr>
        <w:t xml:space="preserve"> </w:t>
      </w:r>
      <w:r w:rsidRPr="00231A29">
        <w:rPr>
          <w:b/>
          <w:bCs/>
          <w:rtl/>
        </w:rPr>
        <w:t>עייני נ' מדינת ישראל</w:t>
      </w:r>
      <w:r w:rsidRPr="00231A29">
        <w:rPr>
          <w:rtl/>
        </w:rPr>
        <w:t xml:space="preserve"> (ניתן ביום 25.04.07). על כן, בהגיענו לשלב בו על בית המשפט לגזור את עונשו של הנאשם המצוי במתחם הענישה שנקבע לעיל (בהתאם לסעיף </w:t>
      </w:r>
      <w:hyperlink r:id="rId52" w:history="1">
        <w:r w:rsidR="00904786" w:rsidRPr="00904786">
          <w:rPr>
            <w:color w:val="0000FF"/>
            <w:u w:val="single"/>
            <w:rtl/>
          </w:rPr>
          <w:t>40ג (ב)</w:t>
        </w:r>
      </w:hyperlink>
      <w:r w:rsidRPr="00231A29">
        <w:rPr>
          <w:rtl/>
        </w:rPr>
        <w:t xml:space="preserve"> ל</w:t>
      </w:r>
      <w:hyperlink r:id="rId53" w:history="1">
        <w:r w:rsidR="003438A6" w:rsidRPr="003438A6">
          <w:rPr>
            <w:color w:val="0000FF"/>
            <w:u w:val="single"/>
            <w:rtl/>
          </w:rPr>
          <w:t>חוק העונשין</w:t>
        </w:r>
      </w:hyperlink>
      <w:r w:rsidRPr="00231A29">
        <w:rPr>
          <w:rtl/>
        </w:rPr>
        <w:t xml:space="preserve">), יש להתחשב בנסיבות שאינן קשורות בביצוע העבירה (המפורטות </w:t>
      </w:r>
      <w:hyperlink r:id="rId54" w:history="1">
        <w:r w:rsidR="00904786" w:rsidRPr="00904786">
          <w:rPr>
            <w:color w:val="0000FF"/>
            <w:u w:val="single"/>
            <w:rtl/>
          </w:rPr>
          <w:t>בסעיף 40יא</w:t>
        </w:r>
      </w:hyperlink>
      <w:r w:rsidRPr="00231A29">
        <w:rPr>
          <w:rtl/>
        </w:rPr>
        <w:t xml:space="preserve"> לחוק העונשין).</w:t>
      </w:r>
    </w:p>
    <w:p w14:paraId="5A620ABC" w14:textId="77777777" w:rsidR="006639D5" w:rsidRDefault="006639D5" w:rsidP="006639D5">
      <w:pPr>
        <w:spacing w:line="360" w:lineRule="auto"/>
        <w:ind w:left="720" w:hanging="720"/>
        <w:jc w:val="both"/>
        <w:rPr>
          <w:rtl/>
        </w:rPr>
      </w:pPr>
      <w:r>
        <w:rPr>
          <w:rFonts w:hint="cs"/>
          <w:rtl/>
        </w:rPr>
        <w:t>52</w:t>
      </w:r>
      <w:r w:rsidRPr="00231A29">
        <w:rPr>
          <w:rtl/>
        </w:rPr>
        <w:t>.</w:t>
      </w:r>
      <w:r w:rsidRPr="00231A29">
        <w:rPr>
          <w:rtl/>
        </w:rPr>
        <w:tab/>
        <w:t xml:space="preserve">באשר לנאשם שלפנינו, לזכותו נלקחו בחשבון במכלול השיקולים הודאתו במסגרת הסדר טיעון והחיסכון בזמן שיפוטי יקר הנובע מכך, נטילת אחריותו על המעשה, הבעת חרטתו באשר לכך ומצבו המשפחתי. באשר לעברו, נלקחה בחשבון העובדה כי מדובר </w:t>
      </w:r>
      <w:r>
        <w:rPr>
          <w:rFonts w:hint="cs"/>
          <w:rtl/>
        </w:rPr>
        <w:t>בעבירה שנעברה</w:t>
      </w:r>
      <w:r w:rsidRPr="00231A29">
        <w:rPr>
          <w:rtl/>
        </w:rPr>
        <w:t xml:space="preserve"> בשנת 2002. כמו כן שקלתי את העובדה כי הנאשם פעל מהר תוך פזיזות וללא תכנון מוקדם. </w:t>
      </w:r>
    </w:p>
    <w:p w14:paraId="7E42A3C9" w14:textId="77777777" w:rsidR="006639D5" w:rsidRPr="00231A29" w:rsidRDefault="006639D5" w:rsidP="006639D5">
      <w:pPr>
        <w:spacing w:line="360" w:lineRule="auto"/>
        <w:ind w:left="720" w:hanging="720"/>
        <w:jc w:val="both"/>
        <w:rPr>
          <w:rtl/>
        </w:rPr>
      </w:pPr>
    </w:p>
    <w:p w14:paraId="5D925FE3" w14:textId="77777777" w:rsidR="006639D5" w:rsidRPr="00F0381E" w:rsidRDefault="006639D5" w:rsidP="006639D5">
      <w:pPr>
        <w:spacing w:line="360" w:lineRule="auto"/>
        <w:jc w:val="both"/>
        <w:rPr>
          <w:b/>
          <w:bCs/>
          <w:rtl/>
        </w:rPr>
      </w:pPr>
      <w:r w:rsidRPr="00F0381E">
        <w:rPr>
          <w:rFonts w:hint="cs"/>
          <w:b/>
          <w:bCs/>
          <w:rtl/>
        </w:rPr>
        <w:t>ה.</w:t>
      </w:r>
      <w:r w:rsidRPr="00F0381E">
        <w:rPr>
          <w:rFonts w:hint="cs"/>
          <w:b/>
          <w:bCs/>
          <w:rtl/>
        </w:rPr>
        <w:tab/>
      </w:r>
      <w:r w:rsidRPr="00F0381E">
        <w:rPr>
          <w:rFonts w:hint="cs"/>
          <w:b/>
          <w:bCs/>
          <w:u w:val="single"/>
          <w:rtl/>
        </w:rPr>
        <w:t>סוף דבר:</w:t>
      </w:r>
    </w:p>
    <w:p w14:paraId="537569B2" w14:textId="77777777" w:rsidR="006639D5" w:rsidRPr="00231A29" w:rsidRDefault="006639D5" w:rsidP="006639D5">
      <w:pPr>
        <w:spacing w:line="360" w:lineRule="auto"/>
        <w:jc w:val="both"/>
        <w:rPr>
          <w:rtl/>
        </w:rPr>
      </w:pPr>
    </w:p>
    <w:p w14:paraId="5A64B086" w14:textId="77777777" w:rsidR="006639D5" w:rsidRPr="00231A29" w:rsidRDefault="006639D5" w:rsidP="006639D5">
      <w:pPr>
        <w:spacing w:line="360" w:lineRule="auto"/>
        <w:ind w:left="720" w:hanging="720"/>
        <w:jc w:val="both"/>
        <w:rPr>
          <w:rtl/>
        </w:rPr>
      </w:pPr>
      <w:r>
        <w:rPr>
          <w:rFonts w:hint="cs"/>
          <w:rtl/>
        </w:rPr>
        <w:t>53.</w:t>
      </w:r>
      <w:r w:rsidRPr="00231A29">
        <w:rPr>
          <w:rtl/>
        </w:rPr>
        <w:tab/>
        <w:t>סיכומו של דבר, לאחר שנתתי דעתי ושקלתי את מכלול הנתונים, העבירות, נסיבותיה</w:t>
      </w:r>
      <w:r>
        <w:rPr>
          <w:rFonts w:hint="cs"/>
          <w:rtl/>
        </w:rPr>
        <w:t>ן</w:t>
      </w:r>
      <w:r w:rsidRPr="00231A29">
        <w:rPr>
          <w:rtl/>
        </w:rPr>
        <w:t>, הערכים החברתיים הנפגעים, טענות הצדדים ואת מדיניות הענישה הנהוגה, כמו גם את מכלול השיקולים הרלוונטיים הן לחומרה והן לקולא, אני מחליט להטיל על הנאשם את העונשים הבאים:</w:t>
      </w:r>
    </w:p>
    <w:p w14:paraId="63D4DCDE" w14:textId="77777777" w:rsidR="006639D5" w:rsidRPr="00231A29" w:rsidRDefault="006639D5" w:rsidP="006639D5">
      <w:pPr>
        <w:spacing w:line="360" w:lineRule="auto"/>
        <w:rPr>
          <w:rtl/>
        </w:rPr>
      </w:pPr>
    </w:p>
    <w:p w14:paraId="782A28D5" w14:textId="77777777" w:rsidR="006639D5" w:rsidRPr="00231A29" w:rsidRDefault="006639D5" w:rsidP="006639D5">
      <w:pPr>
        <w:numPr>
          <w:ilvl w:val="0"/>
          <w:numId w:val="1"/>
        </w:numPr>
        <w:spacing w:line="360" w:lineRule="auto"/>
        <w:contextualSpacing/>
        <w:rPr>
          <w:rtl/>
        </w:rPr>
      </w:pPr>
      <w:r w:rsidRPr="00231A29">
        <w:rPr>
          <w:rtl/>
        </w:rPr>
        <w:t>1</w:t>
      </w:r>
      <w:r>
        <w:rPr>
          <w:rFonts w:hint="cs"/>
          <w:rtl/>
        </w:rPr>
        <w:t>2</w:t>
      </w:r>
      <w:r w:rsidRPr="00231A29">
        <w:rPr>
          <w:rtl/>
        </w:rPr>
        <w:t xml:space="preserve"> חודשי מאסר בפועל החל מיום מעצרו, קרי מיום 3.4.17.</w:t>
      </w:r>
    </w:p>
    <w:p w14:paraId="046D5AB6" w14:textId="77777777" w:rsidR="006639D5" w:rsidRPr="00231A29" w:rsidRDefault="006639D5" w:rsidP="006639D5">
      <w:pPr>
        <w:spacing w:line="360" w:lineRule="auto"/>
        <w:ind w:left="1530"/>
        <w:contextualSpacing/>
        <w:rPr>
          <w:rtl/>
        </w:rPr>
      </w:pPr>
    </w:p>
    <w:p w14:paraId="723D97CF" w14:textId="77777777" w:rsidR="006639D5" w:rsidRPr="00231A29" w:rsidRDefault="006639D5" w:rsidP="006639D5">
      <w:pPr>
        <w:numPr>
          <w:ilvl w:val="0"/>
          <w:numId w:val="1"/>
        </w:numPr>
        <w:spacing w:line="360" w:lineRule="auto"/>
        <w:contextualSpacing/>
        <w:jc w:val="both"/>
        <w:rPr>
          <w:rtl/>
        </w:rPr>
      </w:pPr>
      <w:r>
        <w:rPr>
          <w:rFonts w:hint="cs"/>
          <w:rtl/>
        </w:rPr>
        <w:t>10</w:t>
      </w:r>
      <w:r w:rsidRPr="00231A29">
        <w:rPr>
          <w:rtl/>
        </w:rPr>
        <w:t xml:space="preserve"> חודשי מאסר על תנאי שלא יעבור בתוך שלוש שנים ממועד שחרורו עבירה לפי </w:t>
      </w:r>
      <w:hyperlink r:id="rId55" w:history="1">
        <w:r w:rsidR="00904786" w:rsidRPr="00904786">
          <w:rPr>
            <w:color w:val="0000FF"/>
            <w:u w:val="single"/>
            <w:rtl/>
          </w:rPr>
          <w:t>סעיף 144</w:t>
        </w:r>
      </w:hyperlink>
      <w:r w:rsidRPr="00231A29">
        <w:rPr>
          <w:rtl/>
        </w:rPr>
        <w:t xml:space="preserve"> ל</w:t>
      </w:r>
      <w:hyperlink r:id="rId56" w:history="1">
        <w:r w:rsidR="003438A6" w:rsidRPr="003438A6">
          <w:rPr>
            <w:color w:val="0000FF"/>
            <w:u w:val="single"/>
            <w:rtl/>
          </w:rPr>
          <w:t>חוק העונשין</w:t>
        </w:r>
      </w:hyperlink>
      <w:r w:rsidRPr="00231A29">
        <w:rPr>
          <w:rtl/>
        </w:rPr>
        <w:t>.</w:t>
      </w:r>
    </w:p>
    <w:p w14:paraId="3FF5DA08" w14:textId="77777777" w:rsidR="006639D5" w:rsidRPr="00231A29" w:rsidRDefault="006639D5" w:rsidP="006639D5">
      <w:pPr>
        <w:spacing w:line="360" w:lineRule="auto"/>
        <w:ind w:left="1530"/>
        <w:contextualSpacing/>
        <w:jc w:val="both"/>
        <w:rPr>
          <w:rtl/>
        </w:rPr>
      </w:pPr>
    </w:p>
    <w:p w14:paraId="55BA4C3B" w14:textId="77777777" w:rsidR="006639D5" w:rsidRPr="00231A29" w:rsidRDefault="006639D5" w:rsidP="006639D5">
      <w:pPr>
        <w:spacing w:line="360" w:lineRule="auto"/>
        <w:ind w:firstLine="720"/>
        <w:jc w:val="both"/>
        <w:rPr>
          <w:rtl/>
        </w:rPr>
      </w:pPr>
      <w:r w:rsidRPr="00231A29">
        <w:rPr>
          <w:b/>
          <w:bCs/>
          <w:rtl/>
        </w:rPr>
        <w:t>ג</w:t>
      </w:r>
      <w:r w:rsidRPr="00231A29">
        <w:rPr>
          <w:rtl/>
        </w:rPr>
        <w:t>.</w:t>
      </w:r>
      <w:r w:rsidRPr="00231A29">
        <w:rPr>
          <w:rtl/>
        </w:rPr>
        <w:tab/>
        <w:t xml:space="preserve">3 חודשי מאסר על תנאי שלא יעבור תוך 3 שנים ממועד שחרורו כל עבירת רכוש. </w:t>
      </w:r>
    </w:p>
    <w:p w14:paraId="670B5FC7" w14:textId="77777777" w:rsidR="006639D5" w:rsidRPr="00231A29" w:rsidRDefault="006639D5" w:rsidP="006639D5">
      <w:pPr>
        <w:spacing w:line="360" w:lineRule="auto"/>
        <w:rPr>
          <w:b/>
          <w:bCs/>
          <w:rtl/>
        </w:rPr>
      </w:pPr>
    </w:p>
    <w:p w14:paraId="3A664829" w14:textId="77777777" w:rsidR="006639D5" w:rsidRPr="006639D5" w:rsidRDefault="006639D5" w:rsidP="006639D5">
      <w:pPr>
        <w:spacing w:after="160" w:line="360" w:lineRule="auto"/>
        <w:ind w:left="720" w:hanging="720"/>
        <w:jc w:val="both"/>
        <w:rPr>
          <w:rFonts w:ascii="Calibri" w:hAnsi="Calibri"/>
          <w:b/>
          <w:bCs/>
          <w:u w:val="single"/>
          <w:rtl/>
        </w:rPr>
      </w:pPr>
      <w:r w:rsidRPr="006639D5">
        <w:rPr>
          <w:rFonts w:ascii="Calibri" w:hAnsi="Calibri" w:hint="eastAsia"/>
          <w:b/>
          <w:bCs/>
          <w:u w:val="single"/>
          <w:rtl/>
        </w:rPr>
        <w:t>זכות</w:t>
      </w:r>
      <w:r w:rsidRPr="006639D5">
        <w:rPr>
          <w:rFonts w:ascii="Calibri" w:hAnsi="Calibri"/>
          <w:b/>
          <w:bCs/>
          <w:u w:val="single"/>
          <w:rtl/>
        </w:rPr>
        <w:t xml:space="preserve"> </w:t>
      </w:r>
      <w:r w:rsidRPr="006639D5">
        <w:rPr>
          <w:rFonts w:ascii="Calibri" w:hAnsi="Calibri" w:hint="eastAsia"/>
          <w:b/>
          <w:bCs/>
          <w:u w:val="single"/>
          <w:rtl/>
        </w:rPr>
        <w:t>ערעור</w:t>
      </w:r>
      <w:r w:rsidRPr="006639D5">
        <w:rPr>
          <w:rFonts w:ascii="Calibri" w:hAnsi="Calibri"/>
          <w:b/>
          <w:bCs/>
          <w:u w:val="single"/>
          <w:rtl/>
        </w:rPr>
        <w:t xml:space="preserve"> </w:t>
      </w:r>
      <w:r w:rsidRPr="006639D5">
        <w:rPr>
          <w:rFonts w:ascii="Calibri" w:hAnsi="Calibri" w:hint="eastAsia"/>
          <w:b/>
          <w:bCs/>
          <w:u w:val="single"/>
          <w:rtl/>
        </w:rPr>
        <w:t>לבית</w:t>
      </w:r>
      <w:r w:rsidRPr="006639D5">
        <w:rPr>
          <w:rFonts w:ascii="Calibri" w:hAnsi="Calibri"/>
          <w:b/>
          <w:bCs/>
          <w:u w:val="single"/>
          <w:rtl/>
        </w:rPr>
        <w:t xml:space="preserve"> </w:t>
      </w:r>
      <w:r w:rsidRPr="006639D5">
        <w:rPr>
          <w:rFonts w:ascii="Calibri" w:hAnsi="Calibri" w:hint="eastAsia"/>
          <w:b/>
          <w:bCs/>
          <w:u w:val="single"/>
          <w:rtl/>
        </w:rPr>
        <w:t>המשפט</w:t>
      </w:r>
      <w:r w:rsidRPr="006639D5">
        <w:rPr>
          <w:rFonts w:ascii="Calibri" w:hAnsi="Calibri"/>
          <w:b/>
          <w:bCs/>
          <w:u w:val="single"/>
          <w:rtl/>
        </w:rPr>
        <w:t xml:space="preserve"> </w:t>
      </w:r>
      <w:r w:rsidRPr="006639D5">
        <w:rPr>
          <w:rFonts w:ascii="Calibri" w:hAnsi="Calibri" w:hint="eastAsia"/>
          <w:b/>
          <w:bCs/>
          <w:u w:val="single"/>
          <w:rtl/>
        </w:rPr>
        <w:t>העליון</w:t>
      </w:r>
      <w:r w:rsidRPr="006639D5">
        <w:rPr>
          <w:rFonts w:ascii="Calibri" w:hAnsi="Calibri"/>
          <w:b/>
          <w:bCs/>
          <w:u w:val="single"/>
          <w:rtl/>
        </w:rPr>
        <w:t xml:space="preserve"> </w:t>
      </w:r>
      <w:r w:rsidRPr="006639D5">
        <w:rPr>
          <w:rFonts w:ascii="Calibri" w:hAnsi="Calibri" w:hint="eastAsia"/>
          <w:b/>
          <w:bCs/>
          <w:u w:val="single"/>
          <w:rtl/>
        </w:rPr>
        <w:t>תוך</w:t>
      </w:r>
      <w:r w:rsidRPr="006639D5">
        <w:rPr>
          <w:rFonts w:ascii="Calibri" w:hAnsi="Calibri"/>
          <w:b/>
          <w:bCs/>
          <w:u w:val="single"/>
          <w:rtl/>
        </w:rPr>
        <w:t xml:space="preserve"> 45 </w:t>
      </w:r>
      <w:r w:rsidRPr="006639D5">
        <w:rPr>
          <w:rFonts w:ascii="Calibri" w:hAnsi="Calibri" w:hint="eastAsia"/>
          <w:b/>
          <w:bCs/>
          <w:u w:val="single"/>
          <w:rtl/>
        </w:rPr>
        <w:t>יום</w:t>
      </w:r>
      <w:r w:rsidRPr="006639D5">
        <w:rPr>
          <w:rFonts w:ascii="Calibri" w:hAnsi="Calibri" w:hint="cs"/>
          <w:b/>
          <w:bCs/>
          <w:u w:val="single"/>
          <w:rtl/>
        </w:rPr>
        <w:t>;</w:t>
      </w:r>
      <w:r w:rsidRPr="006639D5">
        <w:rPr>
          <w:rFonts w:ascii="Calibri" w:hAnsi="Calibri"/>
          <w:b/>
          <w:bCs/>
          <w:u w:val="single"/>
          <w:rtl/>
        </w:rPr>
        <w:t xml:space="preserve"> </w:t>
      </w:r>
      <w:r w:rsidRPr="006639D5">
        <w:rPr>
          <w:rFonts w:ascii="Calibri" w:hAnsi="Calibri" w:hint="eastAsia"/>
          <w:b/>
          <w:bCs/>
          <w:u w:val="single"/>
          <w:rtl/>
        </w:rPr>
        <w:t>הודעה</w:t>
      </w:r>
      <w:r w:rsidRPr="006639D5">
        <w:rPr>
          <w:rFonts w:ascii="Calibri" w:hAnsi="Calibri"/>
          <w:b/>
          <w:bCs/>
          <w:u w:val="single"/>
          <w:rtl/>
        </w:rPr>
        <w:t xml:space="preserve"> </w:t>
      </w:r>
      <w:r w:rsidRPr="006639D5">
        <w:rPr>
          <w:rFonts w:ascii="Calibri" w:hAnsi="Calibri" w:hint="eastAsia"/>
          <w:b/>
          <w:bCs/>
          <w:u w:val="single"/>
          <w:rtl/>
        </w:rPr>
        <w:t>לנאשם</w:t>
      </w:r>
      <w:r w:rsidRPr="006639D5">
        <w:rPr>
          <w:rFonts w:ascii="Calibri" w:hAnsi="Calibri"/>
          <w:b/>
          <w:bCs/>
          <w:u w:val="single"/>
          <w:rtl/>
        </w:rPr>
        <w:t>.</w:t>
      </w:r>
    </w:p>
    <w:p w14:paraId="00EB11D5" w14:textId="77777777" w:rsidR="006639D5" w:rsidRPr="00B05847" w:rsidRDefault="006639D5" w:rsidP="006639D5">
      <w:pPr>
        <w:rPr>
          <w:rtl/>
        </w:rPr>
      </w:pPr>
    </w:p>
    <w:p w14:paraId="5517D00D" w14:textId="77777777" w:rsidR="006639D5" w:rsidRDefault="003438A6" w:rsidP="006639D5">
      <w:pPr>
        <w:spacing w:line="360" w:lineRule="auto"/>
        <w:jc w:val="both"/>
        <w:rPr>
          <w:rFonts w:ascii="Arial" w:hAnsi="Arial"/>
          <w:rtl/>
        </w:rPr>
      </w:pPr>
      <w:r>
        <w:rPr>
          <w:rFonts w:ascii="Arial" w:hAnsi="Arial"/>
          <w:rtl/>
        </w:rPr>
        <w:t xml:space="preserve">ניתן היום,  כ"ב אלול תשע"ז, 13 ספטמבר 2017, במעמד הנאשם שהובא ע"י הליווי, בא כוחו עו"ד </w:t>
      </w:r>
      <w:r w:rsidR="006639D5">
        <w:rPr>
          <w:rFonts w:ascii="Arial" w:hAnsi="Arial" w:hint="cs"/>
          <w:rtl/>
        </w:rPr>
        <w:t xml:space="preserve">רדא </w:t>
      </w:r>
      <w:r w:rsidR="006639D5" w:rsidRPr="00A76983">
        <w:rPr>
          <w:rFonts w:ascii="Arial" w:hAnsi="Arial" w:hint="cs"/>
          <w:rtl/>
        </w:rPr>
        <w:t>ענב</w:t>
      </w:r>
      <w:r w:rsidR="006639D5">
        <w:rPr>
          <w:rFonts w:ascii="Arial" w:hAnsi="Arial" w:hint="cs"/>
          <w:rtl/>
        </w:rPr>
        <w:t>וסי ובא כוח המאשימה עו"ד ענאן ג'אנם.</w:t>
      </w:r>
    </w:p>
    <w:p w14:paraId="0D955AFE" w14:textId="77777777" w:rsidR="006639D5" w:rsidRDefault="006639D5" w:rsidP="006639D5">
      <w:pPr>
        <w:spacing w:line="360" w:lineRule="auto"/>
        <w:jc w:val="both"/>
        <w:rPr>
          <w:rFonts w:ascii="Arial" w:hAnsi="Arial"/>
          <w:rtl/>
        </w:rPr>
      </w:pPr>
    </w:p>
    <w:p w14:paraId="35D0802A" w14:textId="77777777" w:rsidR="006639D5" w:rsidRPr="003438A6" w:rsidRDefault="003438A6" w:rsidP="006639D5">
      <w:pPr>
        <w:spacing w:line="360" w:lineRule="auto"/>
        <w:jc w:val="both"/>
        <w:rPr>
          <w:rFonts w:ascii="Arial" w:hAnsi="Arial"/>
          <w:color w:val="FFFFFF"/>
          <w:sz w:val="2"/>
          <w:szCs w:val="2"/>
        </w:rPr>
      </w:pPr>
      <w:r w:rsidRPr="003438A6">
        <w:rPr>
          <w:rFonts w:ascii="Arial" w:hAnsi="Arial"/>
          <w:color w:val="FFFFFF"/>
          <w:sz w:val="2"/>
          <w:szCs w:val="2"/>
          <w:rtl/>
        </w:rPr>
        <w:t>129371</w:t>
      </w:r>
    </w:p>
    <w:p w14:paraId="1AD1A673" w14:textId="77777777" w:rsidR="006639D5" w:rsidRPr="003438A6" w:rsidRDefault="003438A6" w:rsidP="006639D5">
      <w:pPr>
        <w:rPr>
          <w:rFonts w:cs="FrankRuehl"/>
          <w:color w:val="FFFFFF"/>
          <w:sz w:val="2"/>
          <w:szCs w:val="2"/>
          <w:rtl/>
        </w:rPr>
      </w:pPr>
      <w:r w:rsidRPr="003438A6">
        <w:rPr>
          <w:rFonts w:cs="FrankRuehl"/>
          <w:color w:val="FFFFFF"/>
          <w:sz w:val="2"/>
          <w:szCs w:val="2"/>
          <w:rtl/>
        </w:rPr>
        <w:t>54678313</w:t>
      </w:r>
    </w:p>
    <w:p w14:paraId="77EB3F6C" w14:textId="77777777" w:rsidR="006639D5" w:rsidRDefault="006639D5" w:rsidP="006639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6ED148A" w14:textId="77777777" w:rsidR="006639D5" w:rsidRDefault="006639D5" w:rsidP="006639D5">
      <w:pPr>
        <w:jc w:val="center"/>
        <w:rPr>
          <w:rFonts w:ascii="Arial" w:hAnsi="Arial" w:cs="FrankRuehl"/>
          <w:sz w:val="28"/>
          <w:szCs w:val="28"/>
          <w:rtl/>
        </w:rPr>
      </w:pPr>
    </w:p>
    <w:p w14:paraId="2039A0D1" w14:textId="77777777" w:rsidR="006639D5" w:rsidRDefault="006639D5" w:rsidP="006639D5">
      <w:pPr>
        <w:rPr>
          <w:rFonts w:cs="FrankRuehl"/>
          <w:sz w:val="28"/>
          <w:szCs w:val="28"/>
          <w:rtl/>
        </w:rPr>
      </w:pPr>
    </w:p>
    <w:p w14:paraId="5DDB2B9E" w14:textId="77777777" w:rsidR="006639D5" w:rsidRPr="00904786" w:rsidRDefault="00904786" w:rsidP="006639D5">
      <w:pPr>
        <w:pStyle w:val="a3"/>
        <w:jc w:val="center"/>
        <w:rPr>
          <w:color w:val="FFFFFF"/>
          <w:sz w:val="2"/>
          <w:szCs w:val="2"/>
          <w:rtl/>
        </w:rPr>
      </w:pPr>
      <w:r w:rsidRPr="00904786">
        <w:rPr>
          <w:color w:val="FFFFFF"/>
          <w:sz w:val="2"/>
          <w:szCs w:val="2"/>
          <w:rtl/>
        </w:rPr>
        <w:t>5129371</w:t>
      </w:r>
    </w:p>
    <w:p w14:paraId="3C25475B" w14:textId="77777777" w:rsidR="002D7B2F" w:rsidRPr="00904786" w:rsidRDefault="00904786" w:rsidP="003438A6">
      <w:pPr>
        <w:keepNext/>
        <w:rPr>
          <w:rFonts w:ascii="David" w:hAnsi="David" w:hint="cs"/>
          <w:color w:val="FFFFFF"/>
          <w:sz w:val="2"/>
          <w:szCs w:val="2"/>
          <w:rtl/>
        </w:rPr>
      </w:pPr>
      <w:r w:rsidRPr="00904786">
        <w:rPr>
          <w:rFonts w:ascii="David" w:hAnsi="David"/>
          <w:color w:val="FFFFFF"/>
          <w:sz w:val="2"/>
          <w:szCs w:val="2"/>
          <w:rtl/>
        </w:rPr>
        <w:t>54678313</w:t>
      </w:r>
    </w:p>
    <w:p w14:paraId="7D2F4AAB" w14:textId="77777777" w:rsidR="003438A6" w:rsidRPr="003438A6" w:rsidRDefault="003438A6" w:rsidP="003438A6">
      <w:pPr>
        <w:keepNext/>
        <w:rPr>
          <w:rFonts w:ascii="David" w:hAnsi="David"/>
          <w:color w:val="000000"/>
          <w:sz w:val="22"/>
          <w:szCs w:val="22"/>
          <w:rtl/>
        </w:rPr>
      </w:pPr>
      <w:r w:rsidRPr="003438A6">
        <w:rPr>
          <w:rFonts w:ascii="David" w:hAnsi="David"/>
          <w:color w:val="000000"/>
          <w:sz w:val="22"/>
          <w:szCs w:val="22"/>
          <w:rtl/>
        </w:rPr>
        <w:t>כמאל סעב 54678313</w:t>
      </w:r>
    </w:p>
    <w:p w14:paraId="1A506F72" w14:textId="77777777" w:rsidR="003438A6" w:rsidRDefault="003438A6" w:rsidP="003438A6">
      <w:r w:rsidRPr="003438A6">
        <w:rPr>
          <w:color w:val="000000"/>
          <w:rtl/>
        </w:rPr>
        <w:t>נוסח מסמך זה כפוף לשינויי ניסוח ועריכה</w:t>
      </w:r>
    </w:p>
    <w:p w14:paraId="1AD01C7E" w14:textId="77777777" w:rsidR="003438A6" w:rsidRDefault="003438A6" w:rsidP="003438A6">
      <w:pPr>
        <w:rPr>
          <w:rtl/>
        </w:rPr>
      </w:pPr>
    </w:p>
    <w:p w14:paraId="3CE1CA77" w14:textId="77777777" w:rsidR="003438A6" w:rsidRDefault="003438A6" w:rsidP="003438A6">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3D211604" w14:textId="77777777" w:rsidR="00904786" w:rsidRPr="00904786" w:rsidRDefault="00904786" w:rsidP="00904786">
      <w:pPr>
        <w:keepNext/>
        <w:rPr>
          <w:rFonts w:ascii="David" w:hAnsi="David" w:hint="cs"/>
          <w:color w:val="000000"/>
          <w:sz w:val="22"/>
          <w:szCs w:val="22"/>
          <w:rtl/>
        </w:rPr>
      </w:pPr>
    </w:p>
    <w:sectPr w:rsidR="00904786" w:rsidRPr="00904786" w:rsidSect="00904786">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DD32" w14:textId="77777777" w:rsidR="007F028E" w:rsidRDefault="007F028E" w:rsidP="001E2556">
      <w:r>
        <w:separator/>
      </w:r>
    </w:p>
  </w:endnote>
  <w:endnote w:type="continuationSeparator" w:id="0">
    <w:p w14:paraId="2B72EF8D" w14:textId="77777777" w:rsidR="007F028E" w:rsidRDefault="007F028E" w:rsidP="001E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129F" w14:textId="77777777" w:rsidR="007D25B1" w:rsidRDefault="007D25B1" w:rsidP="0090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104670" w14:textId="77777777" w:rsidR="007D25B1" w:rsidRPr="00904786" w:rsidRDefault="007D25B1" w:rsidP="00904786">
    <w:pPr>
      <w:pStyle w:val="a5"/>
      <w:pBdr>
        <w:top w:val="single" w:sz="4" w:space="1" w:color="auto"/>
        <w:between w:val="single" w:sz="4" w:space="0" w:color="auto"/>
      </w:pBdr>
      <w:spacing w:after="60"/>
      <w:jc w:val="center"/>
      <w:rPr>
        <w:rFonts w:ascii="FrankRuehl" w:hAnsi="FrankRuehl" w:cs="FrankRuehl"/>
        <w:color w:val="000000"/>
      </w:rPr>
    </w:pPr>
    <w:r w:rsidRPr="009047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CD23" w14:textId="77777777" w:rsidR="007D25B1" w:rsidRDefault="007D25B1" w:rsidP="0090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1D79">
      <w:rPr>
        <w:rFonts w:ascii="FrankRuehl" w:hAnsi="FrankRuehl" w:cs="FrankRuehl"/>
        <w:noProof/>
        <w:rtl/>
      </w:rPr>
      <w:t>1</w:t>
    </w:r>
    <w:r>
      <w:rPr>
        <w:rFonts w:ascii="FrankRuehl" w:hAnsi="FrankRuehl" w:cs="FrankRuehl"/>
        <w:rtl/>
      </w:rPr>
      <w:fldChar w:fldCharType="end"/>
    </w:r>
  </w:p>
  <w:p w14:paraId="73E2A9C1" w14:textId="77777777" w:rsidR="007D25B1" w:rsidRPr="00904786" w:rsidRDefault="007D25B1" w:rsidP="00904786">
    <w:pPr>
      <w:pStyle w:val="a5"/>
      <w:pBdr>
        <w:top w:val="single" w:sz="4" w:space="1" w:color="auto"/>
        <w:between w:val="single" w:sz="4" w:space="0" w:color="auto"/>
      </w:pBdr>
      <w:spacing w:after="60"/>
      <w:jc w:val="center"/>
      <w:rPr>
        <w:rFonts w:ascii="FrankRuehl" w:hAnsi="FrankRuehl" w:cs="FrankRuehl"/>
        <w:color w:val="000000"/>
      </w:rPr>
    </w:pPr>
    <w:r w:rsidRPr="00904786">
      <w:rPr>
        <w:rFonts w:ascii="FrankRuehl" w:hAnsi="FrankRuehl" w:cs="FrankRuehl"/>
        <w:color w:val="000000"/>
      </w:rPr>
      <w:pict w14:anchorId="64A71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8ACA" w14:textId="77777777" w:rsidR="007F028E" w:rsidRDefault="007F028E" w:rsidP="001E2556">
      <w:r>
        <w:separator/>
      </w:r>
    </w:p>
  </w:footnote>
  <w:footnote w:type="continuationSeparator" w:id="0">
    <w:p w14:paraId="66E902BF" w14:textId="77777777" w:rsidR="007F028E" w:rsidRDefault="007F028E" w:rsidP="001E2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2768" w14:textId="77777777" w:rsidR="007D25B1" w:rsidRPr="00904786" w:rsidRDefault="007D25B1" w:rsidP="0090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19741-04-17</w:t>
    </w:r>
    <w:r>
      <w:rPr>
        <w:rFonts w:ascii="David" w:hAnsi="David"/>
        <w:color w:val="000000"/>
        <w:sz w:val="22"/>
        <w:szCs w:val="22"/>
        <w:rtl/>
      </w:rPr>
      <w:tab/>
      <w:t xml:space="preserve"> מדינת ישראל נ' אחמד כבהה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5B50" w14:textId="77777777" w:rsidR="007D25B1" w:rsidRPr="00904786" w:rsidRDefault="007D25B1" w:rsidP="0090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19741-04-17</w:t>
    </w:r>
    <w:r>
      <w:rPr>
        <w:rFonts w:ascii="David" w:hAnsi="David"/>
        <w:color w:val="000000"/>
        <w:sz w:val="22"/>
        <w:szCs w:val="22"/>
        <w:rtl/>
      </w:rPr>
      <w:tab/>
      <w:t xml:space="preserve"> מדינת ישראל נ' אחמד כבהה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F17E3"/>
    <w:multiLevelType w:val="hybridMultilevel"/>
    <w:tmpl w:val="27FEA96C"/>
    <w:lvl w:ilvl="0" w:tplc="FD2AC4CE">
      <w:start w:val="1"/>
      <w:numFmt w:val="hebrew1"/>
      <w:lvlText w:val="%1."/>
      <w:lvlJc w:val="left"/>
      <w:pPr>
        <w:ind w:left="1530" w:hanging="810"/>
      </w:pPr>
      <w:rPr>
        <w:rFonts w:cs="David" w:hint="default"/>
        <w:b w:val="0"/>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29348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39D5"/>
    <w:rsid w:val="001E2556"/>
    <w:rsid w:val="002D7B2F"/>
    <w:rsid w:val="003438A6"/>
    <w:rsid w:val="00510BB1"/>
    <w:rsid w:val="0054405B"/>
    <w:rsid w:val="00611D79"/>
    <w:rsid w:val="006639D5"/>
    <w:rsid w:val="007D25B1"/>
    <w:rsid w:val="007F028E"/>
    <w:rsid w:val="00804C9D"/>
    <w:rsid w:val="00844A8A"/>
    <w:rsid w:val="00904786"/>
    <w:rsid w:val="00BA16A0"/>
    <w:rsid w:val="00EB4EFF"/>
    <w:rsid w:val="00FE1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D7B872"/>
  <w15:chartTrackingRefBased/>
  <w15:docId w15:val="{5D3610B4-53FF-4E55-B7F2-C02034AD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9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39D5"/>
    <w:pPr>
      <w:tabs>
        <w:tab w:val="center" w:pos="4153"/>
        <w:tab w:val="right" w:pos="8306"/>
      </w:tabs>
    </w:pPr>
  </w:style>
  <w:style w:type="character" w:customStyle="1" w:styleId="a4">
    <w:name w:val="כותרת עליונה תו"/>
    <w:link w:val="a3"/>
    <w:rsid w:val="006639D5"/>
    <w:rPr>
      <w:rFonts w:ascii="Times New Roman" w:eastAsia="Times New Roman" w:hAnsi="Times New Roman" w:cs="David"/>
      <w:sz w:val="24"/>
      <w:szCs w:val="24"/>
    </w:rPr>
  </w:style>
  <w:style w:type="paragraph" w:styleId="a5">
    <w:name w:val="footer"/>
    <w:basedOn w:val="a"/>
    <w:link w:val="a6"/>
    <w:rsid w:val="006639D5"/>
    <w:pPr>
      <w:tabs>
        <w:tab w:val="center" w:pos="4153"/>
        <w:tab w:val="right" w:pos="8306"/>
      </w:tabs>
    </w:pPr>
  </w:style>
  <w:style w:type="character" w:customStyle="1" w:styleId="a6">
    <w:name w:val="כותרת תחתונה תו"/>
    <w:link w:val="a5"/>
    <w:rsid w:val="006639D5"/>
    <w:rPr>
      <w:rFonts w:ascii="Times New Roman" w:eastAsia="Times New Roman" w:hAnsi="Times New Roman" w:cs="David"/>
      <w:sz w:val="24"/>
      <w:szCs w:val="24"/>
    </w:rPr>
  </w:style>
  <w:style w:type="table" w:styleId="a7">
    <w:name w:val="Table Grid"/>
    <w:basedOn w:val="a1"/>
    <w:rsid w:val="006639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39D5"/>
  </w:style>
  <w:style w:type="character" w:styleId="Hyperlink">
    <w:name w:val="Hyperlink"/>
    <w:rsid w:val="003438A6"/>
    <w:rPr>
      <w:color w:val="0563C1"/>
      <w:u w:val="single"/>
    </w:rPr>
  </w:style>
  <w:style w:type="character" w:styleId="a9">
    <w:name w:val="Unresolved Mention"/>
    <w:rsid w:val="00343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3.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601523" TargetMode="External"/><Relationship Id="rId39" Type="http://schemas.openxmlformats.org/officeDocument/2006/relationships/hyperlink" Target="http://www.nevo.co.il/case/5762686" TargetMode="External"/><Relationship Id="rId21" Type="http://schemas.openxmlformats.org/officeDocument/2006/relationships/hyperlink" Target="http://www.nevo.co.il/case/16913730"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6000182"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18130388" TargetMode="External"/><Relationship Id="rId32" Type="http://schemas.openxmlformats.org/officeDocument/2006/relationships/hyperlink" Target="http://www.nevo.co.il/case/618071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11320144"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383.a.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case/7945753" TargetMode="External"/><Relationship Id="rId27" Type="http://schemas.openxmlformats.org/officeDocument/2006/relationships/hyperlink" Target="http://www.nevo.co.il/case/21014169" TargetMode="External"/><Relationship Id="rId30" Type="http://schemas.openxmlformats.org/officeDocument/2006/relationships/hyperlink" Target="http://www.nevo.co.il/law/70301/383.a.1" TargetMode="External"/><Relationship Id="rId35" Type="http://schemas.openxmlformats.org/officeDocument/2006/relationships/hyperlink" Target="http://www.nevo.co.il/case/5764932"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617025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5962283"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21865631" TargetMode="External"/><Relationship Id="rId59" Type="http://schemas.openxmlformats.org/officeDocument/2006/relationships/header" Target="header2.xml"/><Relationship Id="rId20" Type="http://schemas.openxmlformats.org/officeDocument/2006/relationships/hyperlink" Target="http://www.nevo.co.il/case/4552738" TargetMode="External"/><Relationship Id="rId41" Type="http://schemas.openxmlformats.org/officeDocument/2006/relationships/hyperlink" Target="http://www.nevo.co.il/case/5852404" TargetMode="External"/><Relationship Id="rId54" Type="http://schemas.openxmlformats.org/officeDocument/2006/relationships/hyperlink" Target="http://www.nevo.co.il/law/70301/40j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0802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40i.a"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i.a" TargetMode="External"/><Relationship Id="rId31" Type="http://schemas.openxmlformats.org/officeDocument/2006/relationships/hyperlink" Target="http://www.nevo.co.il/law/70301/384" TargetMode="External"/><Relationship Id="rId44" Type="http://schemas.openxmlformats.org/officeDocument/2006/relationships/hyperlink" Target="http://www.nevo.co.il/case/6949290" TargetMode="External"/><Relationship Id="rId52" Type="http://schemas.openxmlformats.org/officeDocument/2006/relationships/hyperlink" Target="http://www.nevo.co.il/law/70301/40c.b"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3676</Words>
  <Characters>18383</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22015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4915202</vt:i4>
      </vt:variant>
      <vt:variant>
        <vt:i4>138</vt:i4>
      </vt:variant>
      <vt:variant>
        <vt:i4>0</vt:i4>
      </vt:variant>
      <vt:variant>
        <vt:i4>5</vt:i4>
      </vt:variant>
      <vt:variant>
        <vt:lpwstr>http://www.nevo.co.il/law/70301/40c.b</vt:lpwstr>
      </vt:variant>
      <vt:variant>
        <vt:lpwstr/>
      </vt:variant>
      <vt:variant>
        <vt:i4>3473520</vt:i4>
      </vt:variant>
      <vt:variant>
        <vt:i4>135</vt:i4>
      </vt:variant>
      <vt:variant>
        <vt:i4>0</vt:i4>
      </vt:variant>
      <vt:variant>
        <vt:i4>5</vt:i4>
      </vt:variant>
      <vt:variant>
        <vt:lpwstr>http://www.nevo.co.il/case/6170256</vt:lpwstr>
      </vt:variant>
      <vt:variant>
        <vt:lpwstr/>
      </vt:variant>
      <vt:variant>
        <vt:i4>393227</vt:i4>
      </vt:variant>
      <vt:variant>
        <vt:i4>132</vt:i4>
      </vt:variant>
      <vt:variant>
        <vt:i4>0</vt:i4>
      </vt:variant>
      <vt:variant>
        <vt:i4>5</vt:i4>
      </vt:variant>
      <vt:variant>
        <vt:lpwstr>http://www.nevo.co.il/law/70301/40jc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3932277</vt:i4>
      </vt:variant>
      <vt:variant>
        <vt:i4>120</vt:i4>
      </vt:variant>
      <vt:variant>
        <vt:i4>0</vt:i4>
      </vt:variant>
      <vt:variant>
        <vt:i4>5</vt:i4>
      </vt:variant>
      <vt:variant>
        <vt:lpwstr>http://www.nevo.co.il/case/21865631</vt:lpwstr>
      </vt:variant>
      <vt:variant>
        <vt:lpwstr/>
      </vt:variant>
      <vt:variant>
        <vt:i4>3539062</vt:i4>
      </vt:variant>
      <vt:variant>
        <vt:i4>117</vt:i4>
      </vt:variant>
      <vt:variant>
        <vt:i4>0</vt:i4>
      </vt:variant>
      <vt:variant>
        <vt:i4>5</vt:i4>
      </vt:variant>
      <vt:variant>
        <vt:lpwstr>http://www.nevo.co.il/case/11320144</vt:lpwstr>
      </vt:variant>
      <vt:variant>
        <vt:lpwstr/>
      </vt:variant>
      <vt:variant>
        <vt:i4>3145853</vt:i4>
      </vt:variant>
      <vt:variant>
        <vt:i4>114</vt:i4>
      </vt:variant>
      <vt:variant>
        <vt:i4>0</vt:i4>
      </vt:variant>
      <vt:variant>
        <vt:i4>5</vt:i4>
      </vt:variant>
      <vt:variant>
        <vt:lpwstr>http://www.nevo.co.il/case/6949290</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3342457</vt:i4>
      </vt:variant>
      <vt:variant>
        <vt:i4>108</vt:i4>
      </vt:variant>
      <vt:variant>
        <vt:i4>0</vt:i4>
      </vt:variant>
      <vt:variant>
        <vt:i4>5</vt:i4>
      </vt:variant>
      <vt:variant>
        <vt:lpwstr>http://www.nevo.co.il/case/6058757</vt:lpwstr>
      </vt:variant>
      <vt:variant>
        <vt:lpwstr/>
      </vt:variant>
      <vt:variant>
        <vt:i4>3473532</vt:i4>
      </vt:variant>
      <vt:variant>
        <vt:i4>105</vt:i4>
      </vt:variant>
      <vt:variant>
        <vt:i4>0</vt:i4>
      </vt:variant>
      <vt:variant>
        <vt:i4>5</vt:i4>
      </vt:variant>
      <vt:variant>
        <vt:lpwstr>http://www.nevo.co.il/case/6000182</vt:lpwstr>
      </vt:variant>
      <vt:variant>
        <vt:lpwstr/>
      </vt:variant>
      <vt:variant>
        <vt:i4>3145854</vt:i4>
      </vt:variant>
      <vt:variant>
        <vt:i4>102</vt:i4>
      </vt:variant>
      <vt:variant>
        <vt:i4>0</vt:i4>
      </vt:variant>
      <vt:variant>
        <vt:i4>5</vt:i4>
      </vt:variant>
      <vt:variant>
        <vt:lpwstr>http://www.nevo.co.il/case/5852404</vt:lpwstr>
      </vt:variant>
      <vt:variant>
        <vt:lpwstr/>
      </vt:variant>
      <vt:variant>
        <vt:i4>3211379</vt:i4>
      </vt:variant>
      <vt:variant>
        <vt:i4>99</vt:i4>
      </vt:variant>
      <vt:variant>
        <vt:i4>0</vt:i4>
      </vt:variant>
      <vt:variant>
        <vt:i4>5</vt:i4>
      </vt:variant>
      <vt:variant>
        <vt:lpwstr>http://www.nevo.co.il/case/5573417</vt:lpwstr>
      </vt:variant>
      <vt:variant>
        <vt:lpwstr/>
      </vt:variant>
      <vt:variant>
        <vt:i4>3342457</vt:i4>
      </vt:variant>
      <vt:variant>
        <vt:i4>96</vt:i4>
      </vt:variant>
      <vt:variant>
        <vt:i4>0</vt:i4>
      </vt:variant>
      <vt:variant>
        <vt:i4>5</vt:i4>
      </vt:variant>
      <vt:variant>
        <vt:lpwstr>http://www.nevo.co.il/case/5762686</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4915208</vt:i4>
      </vt:variant>
      <vt:variant>
        <vt:i4>87</vt:i4>
      </vt:variant>
      <vt:variant>
        <vt:i4>0</vt:i4>
      </vt:variant>
      <vt:variant>
        <vt:i4>5</vt:i4>
      </vt:variant>
      <vt:variant>
        <vt:lpwstr>http://www.nevo.co.il/law/70301/40i.a</vt:lpwstr>
      </vt:variant>
      <vt:variant>
        <vt:lpwstr/>
      </vt:variant>
      <vt:variant>
        <vt:i4>3670132</vt:i4>
      </vt:variant>
      <vt:variant>
        <vt:i4>84</vt:i4>
      </vt:variant>
      <vt:variant>
        <vt:i4>0</vt:i4>
      </vt:variant>
      <vt:variant>
        <vt:i4>5</vt:i4>
      </vt:variant>
      <vt:variant>
        <vt:lpwstr>http://www.nevo.co.il/case/5764932</vt:lpwstr>
      </vt:variant>
      <vt:variant>
        <vt:lpwstr/>
      </vt:variant>
      <vt:variant>
        <vt:i4>3473532</vt:i4>
      </vt:variant>
      <vt:variant>
        <vt:i4>81</vt:i4>
      </vt:variant>
      <vt:variant>
        <vt:i4>0</vt:i4>
      </vt:variant>
      <vt:variant>
        <vt:i4>5</vt:i4>
      </vt:variant>
      <vt:variant>
        <vt:lpwstr>http://www.nevo.co.il/case/6000182</vt:lpwstr>
      </vt:variant>
      <vt:variant>
        <vt:lpwstr/>
      </vt:variant>
      <vt:variant>
        <vt:i4>3276919</vt:i4>
      </vt:variant>
      <vt:variant>
        <vt:i4>78</vt:i4>
      </vt:variant>
      <vt:variant>
        <vt:i4>0</vt:i4>
      </vt:variant>
      <vt:variant>
        <vt:i4>5</vt:i4>
      </vt:variant>
      <vt:variant>
        <vt:lpwstr>http://www.nevo.co.il/case/5962283</vt:lpwstr>
      </vt:variant>
      <vt:variant>
        <vt:lpwstr/>
      </vt:variant>
      <vt:variant>
        <vt:i4>3801204</vt:i4>
      </vt:variant>
      <vt:variant>
        <vt:i4>75</vt:i4>
      </vt:variant>
      <vt:variant>
        <vt:i4>0</vt:i4>
      </vt:variant>
      <vt:variant>
        <vt:i4>5</vt:i4>
      </vt:variant>
      <vt:variant>
        <vt:lpwstr>http://www.nevo.co.il/case/6180713</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7143476</vt:i4>
      </vt:variant>
      <vt:variant>
        <vt:i4>69</vt:i4>
      </vt:variant>
      <vt:variant>
        <vt:i4>0</vt:i4>
      </vt:variant>
      <vt:variant>
        <vt:i4>5</vt:i4>
      </vt:variant>
      <vt:variant>
        <vt:lpwstr>http://www.nevo.co.il/law/70301/383.a.1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3145845</vt:i4>
      </vt:variant>
      <vt:variant>
        <vt:i4>60</vt:i4>
      </vt:variant>
      <vt:variant>
        <vt:i4>0</vt:i4>
      </vt:variant>
      <vt:variant>
        <vt:i4>5</vt:i4>
      </vt:variant>
      <vt:variant>
        <vt:lpwstr>http://www.nevo.co.il/case/21014169</vt:lpwstr>
      </vt:variant>
      <vt:variant>
        <vt:lpwstr/>
      </vt:variant>
      <vt:variant>
        <vt:i4>3604592</vt:i4>
      </vt:variant>
      <vt:variant>
        <vt:i4>57</vt:i4>
      </vt:variant>
      <vt:variant>
        <vt:i4>0</vt:i4>
      </vt:variant>
      <vt:variant>
        <vt:i4>5</vt:i4>
      </vt:variant>
      <vt:variant>
        <vt:lpwstr>http://www.nevo.co.il/case/21601523</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3670140</vt:i4>
      </vt:variant>
      <vt:variant>
        <vt:i4>51</vt:i4>
      </vt:variant>
      <vt:variant>
        <vt:i4>0</vt:i4>
      </vt:variant>
      <vt:variant>
        <vt:i4>5</vt:i4>
      </vt:variant>
      <vt:variant>
        <vt:lpwstr>http://www.nevo.co.il/case/18130388</vt:lpwstr>
      </vt:variant>
      <vt:variant>
        <vt:lpwstr/>
      </vt:variant>
      <vt:variant>
        <vt:i4>983108</vt:i4>
      </vt:variant>
      <vt:variant>
        <vt:i4>48</vt:i4>
      </vt:variant>
      <vt:variant>
        <vt:i4>0</vt:i4>
      </vt:variant>
      <vt:variant>
        <vt:i4>5</vt:i4>
      </vt:variant>
      <vt:variant>
        <vt:lpwstr>http://www.nevo.co.il/case/508021</vt:lpwstr>
      </vt:variant>
      <vt:variant>
        <vt:lpwstr/>
      </vt:variant>
      <vt:variant>
        <vt:i4>3604605</vt:i4>
      </vt:variant>
      <vt:variant>
        <vt:i4>45</vt:i4>
      </vt:variant>
      <vt:variant>
        <vt:i4>0</vt:i4>
      </vt:variant>
      <vt:variant>
        <vt:i4>5</vt:i4>
      </vt:variant>
      <vt:variant>
        <vt:lpwstr>http://www.nevo.co.il/case/7945753</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4063344</vt:i4>
      </vt:variant>
      <vt:variant>
        <vt:i4>39</vt:i4>
      </vt:variant>
      <vt:variant>
        <vt:i4>0</vt:i4>
      </vt:variant>
      <vt:variant>
        <vt:i4>5</vt:i4>
      </vt:variant>
      <vt:variant>
        <vt:lpwstr>http://www.nevo.co.il/case/4552738</vt:lpwstr>
      </vt:variant>
      <vt:variant>
        <vt:lpwstr/>
      </vt:variant>
      <vt:variant>
        <vt:i4>7143476</vt:i4>
      </vt:variant>
      <vt:variant>
        <vt:i4>36</vt:i4>
      </vt:variant>
      <vt:variant>
        <vt:i4>0</vt:i4>
      </vt:variant>
      <vt:variant>
        <vt:i4>5</vt:i4>
      </vt:variant>
      <vt:variant>
        <vt:lpwstr>http://www.nevo.co.il/law/70301/383.a.1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7143476</vt:i4>
      </vt:variant>
      <vt:variant>
        <vt:i4>18</vt:i4>
      </vt:variant>
      <vt:variant>
        <vt:i4>0</vt:i4>
      </vt:variant>
      <vt:variant>
        <vt:i4>5</vt:i4>
      </vt:variant>
      <vt:variant>
        <vt:lpwstr>http://www.nevo.co.il/law/70301/383.a.1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19741</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כבהה</vt:lpwstr>
  </property>
  <property fmtid="{D5CDD505-2E9C-101B-9397-08002B2CF9AE}" pid="10" name="LAWYER">
    <vt:lpwstr>יניב זוהר;מוחמד ענבוסי</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20170913</vt:lpwstr>
  </property>
  <property fmtid="{D5CDD505-2E9C-101B-9397-08002B2CF9AE}" pid="14" name="TYPE_N_DATE">
    <vt:lpwstr>39020170913</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390020170913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4552738;7945753;508021;18130388;7791493;21601523;21014169;6180713;5962283;6000182:2;5764932;6473037;5762686;5573417;5852404;6058757;6949290;11320144;21865631;6170256</vt:lpwstr>
  </property>
  <property fmtid="{D5CDD505-2E9C-101B-9397-08002B2CF9AE}" pid="36" name="LAWLISTTMP1">
    <vt:lpwstr>70301/144.a:4;383.a.1:2;384;040i.a;40jc;040c.b;40ja;144</vt:lpwstr>
  </property>
</Properties>
</file>