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61"/>
        <w:gridCol w:w="3660"/>
      </w:tblGrid>
      <w:tr w:rsidR="00B545FE" w:rsidRPr="004D1053" w14:paraId="0E71D1F2" w14:textId="77777777" w:rsidTr="00EF38E0">
        <w:trPr>
          <w:trHeight w:hRule="exact" w:val="418"/>
          <w:jc w:val="center"/>
        </w:trPr>
        <w:tc>
          <w:tcPr>
            <w:tcW w:w="8721" w:type="dxa"/>
            <w:gridSpan w:val="2"/>
          </w:tcPr>
          <w:p w14:paraId="6C442CA6" w14:textId="77777777" w:rsidR="00B545FE" w:rsidRPr="004D1053" w:rsidRDefault="00B545FE" w:rsidP="00962E13">
            <w:pPr>
              <w:pStyle w:val="a3"/>
              <w:jc w:val="center"/>
              <w:rPr>
                <w:rFonts w:ascii="Tahoma" w:hAnsi="Tahoma" w:cs="Tahoma"/>
                <w:color w:val="000080"/>
                <w:rtl/>
              </w:rPr>
            </w:pPr>
            <w:bookmarkStart w:id="0" w:name="FirstLawyer"/>
            <w:bookmarkStart w:id="1" w:name="LastJudge"/>
            <w:r w:rsidRPr="004D1053">
              <w:rPr>
                <w:rFonts w:ascii="Tahoma" w:hAnsi="Tahoma" w:cs="Tahoma"/>
                <w:b/>
                <w:bCs/>
                <w:color w:val="000080"/>
                <w:rtl/>
              </w:rPr>
              <w:t>בית המשפט המחוזי בחיפה</w:t>
            </w:r>
          </w:p>
        </w:tc>
      </w:tr>
      <w:tr w:rsidR="00B545FE" w:rsidRPr="004D1053" w14:paraId="1C43A436" w14:textId="77777777" w:rsidTr="00EF38E0">
        <w:trPr>
          <w:trHeight w:val="337"/>
          <w:jc w:val="center"/>
        </w:trPr>
        <w:tc>
          <w:tcPr>
            <w:tcW w:w="5061" w:type="dxa"/>
          </w:tcPr>
          <w:p w14:paraId="3F8FEB49" w14:textId="77777777" w:rsidR="00B545FE" w:rsidRPr="004D1053" w:rsidRDefault="00B545FE" w:rsidP="00962E13">
            <w:pPr>
              <w:rPr>
                <w:rFonts w:cs="FrankRuehl"/>
                <w:sz w:val="28"/>
                <w:szCs w:val="28"/>
                <w:rtl/>
              </w:rPr>
            </w:pPr>
            <w:r w:rsidRPr="004D1053">
              <w:rPr>
                <w:rFonts w:cs="FrankRuehl"/>
                <w:sz w:val="28"/>
                <w:szCs w:val="28"/>
                <w:rtl/>
              </w:rPr>
              <w:t>ת"פ</w:t>
            </w:r>
            <w:r w:rsidRPr="004D1053">
              <w:rPr>
                <w:rFonts w:cs="FrankRuehl" w:hint="cs"/>
                <w:sz w:val="28"/>
                <w:szCs w:val="28"/>
                <w:rtl/>
              </w:rPr>
              <w:t xml:space="preserve"> </w:t>
            </w:r>
            <w:r w:rsidRPr="004D1053">
              <w:rPr>
                <w:rFonts w:cs="FrankRuehl"/>
                <w:sz w:val="28"/>
                <w:szCs w:val="28"/>
                <w:rtl/>
              </w:rPr>
              <w:t>633-05-17</w:t>
            </w:r>
            <w:r w:rsidRPr="004D1053">
              <w:rPr>
                <w:rFonts w:cs="FrankRuehl" w:hint="cs"/>
                <w:sz w:val="28"/>
                <w:szCs w:val="28"/>
                <w:rtl/>
              </w:rPr>
              <w:t xml:space="preserve"> </w:t>
            </w:r>
            <w:r w:rsidRPr="004D1053">
              <w:rPr>
                <w:rFonts w:cs="FrankRuehl"/>
                <w:sz w:val="28"/>
                <w:szCs w:val="28"/>
                <w:rtl/>
              </w:rPr>
              <w:t>מדינת ישראל נ' שלאעטה(עציר)</w:t>
            </w:r>
          </w:p>
          <w:p w14:paraId="0F42161B" w14:textId="77777777" w:rsidR="00B545FE" w:rsidRPr="004D1053" w:rsidRDefault="00B545FE" w:rsidP="00962E13">
            <w:pPr>
              <w:pStyle w:val="a3"/>
              <w:rPr>
                <w:rFonts w:cs="FrankRuehl"/>
                <w:sz w:val="28"/>
                <w:szCs w:val="28"/>
                <w:rtl/>
              </w:rPr>
            </w:pPr>
          </w:p>
        </w:tc>
        <w:tc>
          <w:tcPr>
            <w:tcW w:w="3660" w:type="dxa"/>
          </w:tcPr>
          <w:p w14:paraId="7556C154" w14:textId="77777777" w:rsidR="00B545FE" w:rsidRPr="004D1053" w:rsidRDefault="00B545FE" w:rsidP="00962E13">
            <w:pPr>
              <w:pStyle w:val="a3"/>
              <w:jc w:val="right"/>
              <w:rPr>
                <w:rFonts w:cs="FrankRuehl"/>
                <w:sz w:val="28"/>
                <w:szCs w:val="28"/>
                <w:rtl/>
              </w:rPr>
            </w:pPr>
          </w:p>
        </w:tc>
      </w:tr>
    </w:tbl>
    <w:p w14:paraId="69FF6649" w14:textId="77777777" w:rsidR="00B545FE" w:rsidRPr="004D1053" w:rsidRDefault="00B545FE" w:rsidP="00B545FE">
      <w:pPr>
        <w:pStyle w:val="a3"/>
        <w:rPr>
          <w:rtl/>
        </w:rPr>
      </w:pPr>
      <w:r w:rsidRPr="004D1053">
        <w:rPr>
          <w:rFonts w:hint="cs"/>
          <w:rtl/>
        </w:rPr>
        <w:t xml:space="preserve"> </w:t>
      </w:r>
    </w:p>
    <w:p w14:paraId="0603E0FB" w14:textId="77777777" w:rsidR="00B545FE" w:rsidRPr="004D1053" w:rsidRDefault="00B545FE" w:rsidP="00B545FE">
      <w:pPr>
        <w:rPr>
          <w:rFonts w:ascii="Arial" w:hAnsi="Arial"/>
          <w:rtl/>
        </w:rPr>
      </w:pPr>
    </w:p>
    <w:tbl>
      <w:tblPr>
        <w:bidiVisual/>
        <w:tblW w:w="8820" w:type="dxa"/>
        <w:tblLook w:val="01E0" w:firstRow="1" w:lastRow="1" w:firstColumn="1" w:lastColumn="1" w:noHBand="0" w:noVBand="0"/>
      </w:tblPr>
      <w:tblGrid>
        <w:gridCol w:w="743"/>
        <w:gridCol w:w="2506"/>
        <w:gridCol w:w="5571"/>
      </w:tblGrid>
      <w:tr w:rsidR="00B545FE" w:rsidRPr="004D1053" w14:paraId="6945B53D" w14:textId="77777777" w:rsidTr="00B545FE">
        <w:tc>
          <w:tcPr>
            <w:tcW w:w="743" w:type="dxa"/>
            <w:shd w:val="clear" w:color="auto" w:fill="auto"/>
          </w:tcPr>
          <w:p w14:paraId="5DDAA438" w14:textId="77777777" w:rsidR="00B545FE" w:rsidRPr="004D1053" w:rsidRDefault="00B545FE" w:rsidP="00B545FE">
            <w:pPr>
              <w:suppressLineNumbers/>
              <w:bidi w:val="0"/>
              <w:rPr>
                <w:rFonts w:ascii="Arial" w:hAnsi="Arial"/>
                <w:b/>
                <w:bCs/>
                <w:sz w:val="26"/>
                <w:szCs w:val="26"/>
              </w:rPr>
            </w:pPr>
            <w:r w:rsidRPr="004D1053">
              <w:rPr>
                <w:rFonts w:ascii="Arial" w:hAnsi="Arial" w:hint="cs"/>
                <w:b/>
                <w:bCs/>
                <w:sz w:val="26"/>
                <w:szCs w:val="26"/>
                <w:rtl/>
              </w:rPr>
              <w:t xml:space="preserve">בפני </w:t>
            </w:r>
          </w:p>
        </w:tc>
        <w:tc>
          <w:tcPr>
            <w:tcW w:w="8077" w:type="dxa"/>
            <w:gridSpan w:val="2"/>
            <w:shd w:val="clear" w:color="auto" w:fill="auto"/>
          </w:tcPr>
          <w:p w14:paraId="27DAEA89" w14:textId="77777777" w:rsidR="00B545FE" w:rsidRPr="004D1053" w:rsidRDefault="00B545FE" w:rsidP="00B545FE">
            <w:pPr>
              <w:suppressLineNumbers/>
              <w:bidi w:val="0"/>
              <w:jc w:val="right"/>
              <w:rPr>
                <w:rFonts w:ascii="Arial" w:hAnsi="Arial"/>
                <w:b/>
                <w:bCs/>
                <w:sz w:val="26"/>
                <w:szCs w:val="26"/>
              </w:rPr>
            </w:pPr>
            <w:r w:rsidRPr="004D1053">
              <w:rPr>
                <w:rFonts w:ascii="Arial" w:hAnsi="Arial" w:hint="cs"/>
                <w:b/>
                <w:bCs/>
                <w:sz w:val="26"/>
                <w:szCs w:val="26"/>
                <w:rtl/>
              </w:rPr>
              <w:t>כבוד השופט  דניאל פיש</w:t>
            </w:r>
          </w:p>
          <w:p w14:paraId="14645CB8" w14:textId="77777777" w:rsidR="00B545FE" w:rsidRPr="004D1053" w:rsidRDefault="00B545FE" w:rsidP="00B545FE">
            <w:pPr>
              <w:suppressLineNumbers/>
              <w:bidi w:val="0"/>
              <w:jc w:val="right"/>
              <w:rPr>
                <w:rFonts w:ascii="Arial" w:hAnsi="Arial"/>
                <w:b/>
                <w:bCs/>
                <w:sz w:val="26"/>
                <w:szCs w:val="26"/>
                <w:highlight w:val="yellow"/>
                <w:rtl/>
              </w:rPr>
            </w:pPr>
          </w:p>
        </w:tc>
      </w:tr>
      <w:tr w:rsidR="00B545FE" w:rsidRPr="004D1053" w14:paraId="2A0FFF1C" w14:textId="77777777" w:rsidTr="00B545FE">
        <w:tc>
          <w:tcPr>
            <w:tcW w:w="3249" w:type="dxa"/>
            <w:gridSpan w:val="2"/>
            <w:shd w:val="clear" w:color="auto" w:fill="auto"/>
          </w:tcPr>
          <w:p w14:paraId="3246E06B" w14:textId="77777777" w:rsidR="00B545FE" w:rsidRPr="004D1053" w:rsidRDefault="00B545FE" w:rsidP="00B545FE">
            <w:pPr>
              <w:suppressLineNumbers/>
              <w:bidi w:val="0"/>
              <w:jc w:val="right"/>
              <w:rPr>
                <w:rFonts w:ascii="Arial" w:hAnsi="Arial"/>
                <w:b/>
                <w:bCs/>
                <w:sz w:val="26"/>
                <w:szCs w:val="26"/>
                <w:rtl/>
              </w:rPr>
            </w:pPr>
            <w:bookmarkStart w:id="2" w:name="FirstAppellant"/>
            <w:r w:rsidRPr="004D1053">
              <w:rPr>
                <w:rFonts w:ascii="Arial" w:hAnsi="Arial" w:hint="cs"/>
                <w:b/>
                <w:bCs/>
                <w:sz w:val="26"/>
                <w:szCs w:val="26"/>
                <w:rtl/>
              </w:rPr>
              <w:t>המאשימה</w:t>
            </w:r>
          </w:p>
        </w:tc>
        <w:tc>
          <w:tcPr>
            <w:tcW w:w="5571" w:type="dxa"/>
            <w:shd w:val="clear" w:color="auto" w:fill="auto"/>
          </w:tcPr>
          <w:p w14:paraId="641C3AFE" w14:textId="77777777" w:rsidR="00B545FE" w:rsidRPr="004D1053" w:rsidRDefault="00B545FE" w:rsidP="00B545FE">
            <w:pPr>
              <w:suppressLineNumbers/>
              <w:bidi w:val="0"/>
              <w:jc w:val="right"/>
              <w:rPr>
                <w:b/>
                <w:bCs/>
                <w:sz w:val="26"/>
                <w:szCs w:val="26"/>
              </w:rPr>
            </w:pPr>
            <w:r w:rsidRPr="004D1053">
              <w:rPr>
                <w:rFonts w:ascii="Arial" w:hAnsi="Arial" w:hint="cs"/>
                <w:b/>
                <w:bCs/>
                <w:sz w:val="26"/>
                <w:szCs w:val="26"/>
                <w:rtl/>
              </w:rPr>
              <w:t>מדינת ישראל</w:t>
            </w:r>
            <w:r w:rsidRPr="004D1053">
              <w:rPr>
                <w:rFonts w:ascii="Arial" w:hAnsi="Arial" w:hint="cs"/>
                <w:b/>
                <w:bCs/>
                <w:sz w:val="26"/>
                <w:szCs w:val="26"/>
                <w:rtl/>
              </w:rPr>
              <w:br/>
            </w:r>
            <w:r w:rsidRPr="004D1053">
              <w:rPr>
                <w:rFonts w:hint="cs"/>
                <w:b/>
                <w:bCs/>
                <w:sz w:val="26"/>
                <w:szCs w:val="26"/>
                <w:rtl/>
              </w:rPr>
              <w:t xml:space="preserve">ע"י ב"כ עו"ד מאיה מצליח מפרקליטות מחוז חיפה – פלילי </w:t>
            </w:r>
          </w:p>
        </w:tc>
      </w:tr>
      <w:bookmarkEnd w:id="2"/>
      <w:tr w:rsidR="00B545FE" w:rsidRPr="004D1053" w14:paraId="39127422" w14:textId="77777777" w:rsidTr="00B545FE">
        <w:tc>
          <w:tcPr>
            <w:tcW w:w="8820" w:type="dxa"/>
            <w:gridSpan w:val="3"/>
            <w:shd w:val="clear" w:color="auto" w:fill="auto"/>
          </w:tcPr>
          <w:p w14:paraId="42BAB109" w14:textId="77777777" w:rsidR="00B545FE" w:rsidRPr="004D1053" w:rsidRDefault="00B545FE" w:rsidP="00B545FE">
            <w:pPr>
              <w:suppressLineNumbers/>
              <w:bidi w:val="0"/>
              <w:jc w:val="right"/>
              <w:rPr>
                <w:rFonts w:ascii="Arial" w:hAnsi="Arial"/>
                <w:b/>
                <w:bCs/>
                <w:sz w:val="26"/>
                <w:szCs w:val="26"/>
                <w:rtl/>
              </w:rPr>
            </w:pPr>
          </w:p>
          <w:p w14:paraId="0F267446" w14:textId="77777777" w:rsidR="00B545FE" w:rsidRPr="004D1053" w:rsidRDefault="00B545FE" w:rsidP="00B545FE">
            <w:pPr>
              <w:suppressLineNumbers/>
              <w:bidi w:val="0"/>
              <w:jc w:val="center"/>
              <w:rPr>
                <w:rFonts w:ascii="Arial" w:hAnsi="Arial"/>
                <w:b/>
                <w:bCs/>
                <w:sz w:val="26"/>
                <w:szCs w:val="26"/>
                <w:rtl/>
              </w:rPr>
            </w:pPr>
            <w:r w:rsidRPr="004D1053">
              <w:rPr>
                <w:rFonts w:ascii="Arial" w:hAnsi="Arial" w:hint="cs"/>
                <w:b/>
                <w:bCs/>
                <w:sz w:val="26"/>
                <w:szCs w:val="26"/>
                <w:rtl/>
              </w:rPr>
              <w:t>נגד</w:t>
            </w:r>
          </w:p>
          <w:p w14:paraId="51475847" w14:textId="77777777" w:rsidR="00B545FE" w:rsidRPr="004D1053" w:rsidRDefault="00B545FE" w:rsidP="00B545FE">
            <w:pPr>
              <w:suppressLineNumbers/>
              <w:bidi w:val="0"/>
              <w:jc w:val="right"/>
              <w:rPr>
                <w:rFonts w:ascii="Arial" w:hAnsi="Arial"/>
                <w:b/>
                <w:bCs/>
                <w:sz w:val="26"/>
                <w:szCs w:val="26"/>
                <w:rtl/>
              </w:rPr>
            </w:pPr>
          </w:p>
        </w:tc>
      </w:tr>
      <w:tr w:rsidR="00B545FE" w:rsidRPr="004D1053" w14:paraId="29FFD3B6" w14:textId="77777777" w:rsidTr="00B545FE">
        <w:tc>
          <w:tcPr>
            <w:tcW w:w="3249" w:type="dxa"/>
            <w:gridSpan w:val="2"/>
            <w:shd w:val="clear" w:color="auto" w:fill="auto"/>
          </w:tcPr>
          <w:p w14:paraId="13FE1C1D" w14:textId="77777777" w:rsidR="00B545FE" w:rsidRPr="004D1053" w:rsidRDefault="00B545FE" w:rsidP="00B545FE">
            <w:pPr>
              <w:suppressLineNumbers/>
              <w:bidi w:val="0"/>
              <w:jc w:val="right"/>
              <w:rPr>
                <w:rFonts w:ascii="Arial" w:hAnsi="Arial"/>
                <w:b/>
                <w:bCs/>
                <w:sz w:val="26"/>
                <w:szCs w:val="26"/>
                <w:rtl/>
              </w:rPr>
            </w:pPr>
            <w:r w:rsidRPr="004D1053">
              <w:rPr>
                <w:rFonts w:ascii="Arial" w:hAnsi="Arial" w:hint="cs"/>
                <w:b/>
                <w:bCs/>
                <w:sz w:val="26"/>
                <w:szCs w:val="26"/>
                <w:rtl/>
              </w:rPr>
              <w:t>הנאשם</w:t>
            </w:r>
          </w:p>
        </w:tc>
        <w:tc>
          <w:tcPr>
            <w:tcW w:w="5571" w:type="dxa"/>
            <w:shd w:val="clear" w:color="auto" w:fill="auto"/>
          </w:tcPr>
          <w:p w14:paraId="16893D42" w14:textId="77777777" w:rsidR="00B545FE" w:rsidRPr="004D1053" w:rsidRDefault="00B545FE" w:rsidP="00B545FE">
            <w:pPr>
              <w:suppressLineNumbers/>
              <w:bidi w:val="0"/>
              <w:jc w:val="right"/>
              <w:rPr>
                <w:b/>
                <w:bCs/>
                <w:sz w:val="26"/>
                <w:szCs w:val="26"/>
                <w:rtl/>
              </w:rPr>
            </w:pPr>
            <w:r w:rsidRPr="004D1053">
              <w:rPr>
                <w:rFonts w:hint="cs"/>
                <w:b/>
                <w:bCs/>
                <w:sz w:val="26"/>
                <w:szCs w:val="26"/>
                <w:rtl/>
              </w:rPr>
              <w:t xml:space="preserve">מוחמד שלאעטה ת.ז. </w:t>
            </w:r>
            <w:r w:rsidR="004D1053">
              <w:rPr>
                <w:b/>
                <w:bCs/>
                <w:sz w:val="26"/>
                <w:szCs w:val="26"/>
              </w:rPr>
              <w:t>xxxxxxxxx</w:t>
            </w:r>
            <w:r w:rsidRPr="004D1053">
              <w:rPr>
                <w:rFonts w:hint="cs"/>
                <w:b/>
                <w:bCs/>
                <w:sz w:val="26"/>
                <w:szCs w:val="26"/>
                <w:rtl/>
              </w:rPr>
              <w:br/>
              <w:t xml:space="preserve">ע"י ב"כ עו"ד טארק נעמאנה </w:t>
            </w:r>
          </w:p>
        </w:tc>
      </w:tr>
    </w:tbl>
    <w:p w14:paraId="5669B293" w14:textId="77777777" w:rsidR="00932081" w:rsidRDefault="00932081" w:rsidP="00EF38E0">
      <w:pPr>
        <w:jc w:val="center"/>
        <w:rPr>
          <w:rFonts w:ascii="Arial" w:hAnsi="Arial" w:cs="FrankRuehl"/>
          <w:sz w:val="32"/>
          <w:szCs w:val="32"/>
          <w:rtl/>
        </w:rPr>
      </w:pPr>
      <w:bookmarkStart w:id="3" w:name="LawTable"/>
      <w:bookmarkEnd w:id="0"/>
      <w:bookmarkEnd w:id="1"/>
      <w:bookmarkEnd w:id="3"/>
    </w:p>
    <w:p w14:paraId="2FF499DB" w14:textId="77777777" w:rsidR="00932081" w:rsidRPr="00932081" w:rsidRDefault="00932081" w:rsidP="00932081">
      <w:pPr>
        <w:spacing w:after="120" w:line="240" w:lineRule="exact"/>
        <w:ind w:left="283" w:hanging="283"/>
        <w:jc w:val="both"/>
        <w:rPr>
          <w:rFonts w:ascii="FrankRuehl" w:hAnsi="FrankRuehl" w:cs="FrankRuehl"/>
          <w:rtl/>
        </w:rPr>
      </w:pPr>
    </w:p>
    <w:p w14:paraId="55BF21FA" w14:textId="77777777" w:rsidR="00932081" w:rsidRPr="00932081" w:rsidRDefault="00932081" w:rsidP="00932081">
      <w:pPr>
        <w:spacing w:after="120" w:line="240" w:lineRule="exact"/>
        <w:ind w:left="283" w:hanging="283"/>
        <w:jc w:val="both"/>
        <w:rPr>
          <w:rFonts w:ascii="FrankRuehl" w:hAnsi="FrankRuehl" w:cs="FrankRuehl"/>
          <w:rtl/>
        </w:rPr>
      </w:pPr>
      <w:r w:rsidRPr="00932081">
        <w:rPr>
          <w:rFonts w:ascii="FrankRuehl" w:hAnsi="FrankRuehl" w:cs="FrankRuehl"/>
          <w:rtl/>
        </w:rPr>
        <w:t xml:space="preserve">חקיקה שאוזכרה: </w:t>
      </w:r>
    </w:p>
    <w:p w14:paraId="20874F3C" w14:textId="77777777" w:rsidR="00932081" w:rsidRPr="00932081" w:rsidRDefault="00932081" w:rsidP="00932081">
      <w:pPr>
        <w:spacing w:after="120" w:line="240" w:lineRule="exact"/>
        <w:ind w:left="283" w:hanging="283"/>
        <w:jc w:val="both"/>
        <w:rPr>
          <w:rFonts w:ascii="FrankRuehl" w:hAnsi="FrankRuehl" w:cs="FrankRuehl"/>
          <w:rtl/>
        </w:rPr>
      </w:pPr>
      <w:hyperlink r:id="rId6" w:history="1">
        <w:r w:rsidRPr="00932081">
          <w:rPr>
            <w:rFonts w:ascii="FrankRuehl" w:hAnsi="FrankRuehl" w:cs="FrankRuehl"/>
            <w:color w:val="0000FF"/>
            <w:u w:val="single"/>
            <w:rtl/>
          </w:rPr>
          <w:t>חוק העונשין, תשל"ז-1977</w:t>
        </w:r>
      </w:hyperlink>
      <w:r w:rsidRPr="00932081">
        <w:rPr>
          <w:rFonts w:ascii="FrankRuehl" w:hAnsi="FrankRuehl" w:cs="FrankRuehl"/>
          <w:rtl/>
        </w:rPr>
        <w:t xml:space="preserve">: סע'  </w:t>
      </w:r>
      <w:hyperlink r:id="rId7" w:history="1">
        <w:r w:rsidRPr="00932081">
          <w:rPr>
            <w:rFonts w:ascii="FrankRuehl" w:hAnsi="FrankRuehl" w:cs="FrankRuehl"/>
            <w:color w:val="0000FF"/>
            <w:u w:val="single"/>
            <w:rtl/>
          </w:rPr>
          <w:t>144(א)</w:t>
        </w:r>
      </w:hyperlink>
      <w:r w:rsidRPr="00932081">
        <w:rPr>
          <w:rFonts w:ascii="FrankRuehl" w:hAnsi="FrankRuehl" w:cs="FrankRuehl"/>
          <w:rtl/>
        </w:rPr>
        <w:t xml:space="preserve">, </w:t>
      </w:r>
      <w:hyperlink r:id="rId8" w:history="1">
        <w:r w:rsidRPr="00932081">
          <w:rPr>
            <w:rFonts w:ascii="FrankRuehl" w:hAnsi="FrankRuehl" w:cs="FrankRuehl"/>
            <w:color w:val="0000FF"/>
            <w:u w:val="single"/>
            <w:rtl/>
          </w:rPr>
          <w:t>144.ב2.</w:t>
        </w:r>
      </w:hyperlink>
      <w:r w:rsidRPr="00932081">
        <w:rPr>
          <w:rFonts w:ascii="FrankRuehl" w:hAnsi="FrankRuehl" w:cs="FrankRuehl"/>
          <w:rtl/>
        </w:rPr>
        <w:t xml:space="preserve">, </w:t>
      </w:r>
      <w:hyperlink r:id="rId9" w:history="1">
        <w:r w:rsidRPr="00932081">
          <w:rPr>
            <w:rFonts w:ascii="FrankRuehl" w:hAnsi="FrankRuehl" w:cs="FrankRuehl"/>
            <w:color w:val="0000FF"/>
            <w:u w:val="single"/>
            <w:rtl/>
          </w:rPr>
          <w:t>144.ג</w:t>
        </w:r>
      </w:hyperlink>
    </w:p>
    <w:p w14:paraId="01F77B5B" w14:textId="77777777" w:rsidR="00932081" w:rsidRPr="00932081" w:rsidRDefault="00932081" w:rsidP="00932081">
      <w:pPr>
        <w:spacing w:after="120" w:line="240" w:lineRule="exact"/>
        <w:ind w:left="283" w:hanging="283"/>
        <w:jc w:val="both"/>
        <w:rPr>
          <w:rFonts w:ascii="FrankRuehl" w:hAnsi="FrankRuehl" w:cs="FrankRuehl"/>
          <w:rtl/>
        </w:rPr>
      </w:pPr>
    </w:p>
    <w:p w14:paraId="0E43FB46" w14:textId="77777777" w:rsidR="00932081" w:rsidRPr="00932081" w:rsidRDefault="00932081" w:rsidP="00EF38E0">
      <w:pPr>
        <w:jc w:val="center"/>
        <w:rPr>
          <w:rFonts w:ascii="Arial" w:hAnsi="Arial" w:cs="FrankRuehl"/>
          <w:sz w:val="32"/>
          <w:szCs w:val="32"/>
          <w:rtl/>
        </w:rPr>
      </w:pPr>
      <w:bookmarkStart w:id="4" w:name="LawTable_End"/>
      <w:bookmarkEnd w:id="4"/>
    </w:p>
    <w:p w14:paraId="610B5C29" w14:textId="77777777" w:rsidR="00EF38E0" w:rsidRPr="00EF38E0" w:rsidRDefault="00EF38E0" w:rsidP="00EF38E0">
      <w:pPr>
        <w:jc w:val="center"/>
        <w:rPr>
          <w:rFonts w:ascii="Arial" w:hAnsi="Arial" w:cs="FrankRuehl"/>
          <w:sz w:val="32"/>
          <w:szCs w:val="32"/>
          <w:rtl/>
        </w:rPr>
      </w:pPr>
    </w:p>
    <w:p w14:paraId="0BDB766D" w14:textId="77777777" w:rsidR="00EF38E0" w:rsidRPr="004D1053" w:rsidRDefault="00EF38E0" w:rsidP="00EF38E0">
      <w:pPr>
        <w:jc w:val="center"/>
        <w:rPr>
          <w:rFonts w:ascii="Arial" w:hAnsi="Arial" w:cs="FrankRuehl"/>
          <w:b/>
          <w:bCs/>
          <w:sz w:val="32"/>
          <w:szCs w:val="32"/>
          <w:rtl/>
        </w:rPr>
      </w:pPr>
      <w:bookmarkStart w:id="5" w:name="PsakDin"/>
      <w:r w:rsidRPr="004D1053">
        <w:rPr>
          <w:rFonts w:ascii="Arial" w:hAnsi="Arial" w:cs="FrankRuehl"/>
          <w:b/>
          <w:bCs/>
          <w:sz w:val="32"/>
          <w:szCs w:val="32"/>
          <w:rtl/>
        </w:rPr>
        <w:t>גזר דין</w:t>
      </w:r>
    </w:p>
    <w:bookmarkEnd w:id="5"/>
    <w:p w14:paraId="7D5AEBCA" w14:textId="77777777" w:rsidR="00B545FE" w:rsidRPr="00B05847" w:rsidRDefault="00B545FE" w:rsidP="00B545FE">
      <w:pPr>
        <w:rPr>
          <w:rFonts w:ascii="Arial" w:hAnsi="Arial"/>
          <w:rtl/>
        </w:rPr>
      </w:pPr>
    </w:p>
    <w:p w14:paraId="2414AD6E" w14:textId="77777777" w:rsidR="00B545FE" w:rsidRDefault="00B545FE" w:rsidP="00B545FE">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הודה לאחר ניהול חלק מהליך ההוכחות בכתב אישום מתוקן באישומים הבאים: אישום ראשון- סחר בנשק לפי </w:t>
      </w:r>
      <w:hyperlink r:id="rId10" w:history="1">
        <w:r w:rsidR="00EF38E0" w:rsidRPr="00EF38E0">
          <w:rPr>
            <w:rFonts w:ascii="Arial" w:hAnsi="Arial"/>
            <w:color w:val="0000FF"/>
            <w:u w:val="single"/>
            <w:rtl/>
          </w:rPr>
          <w:t>סעיפים 144(ב2)+(ג)</w:t>
        </w:r>
      </w:hyperlink>
      <w:r>
        <w:rPr>
          <w:rFonts w:ascii="Arial" w:hAnsi="Arial" w:hint="cs"/>
          <w:rtl/>
        </w:rPr>
        <w:t xml:space="preserve"> ל</w:t>
      </w:r>
      <w:hyperlink r:id="rId11" w:history="1">
        <w:r w:rsidR="004D1053" w:rsidRPr="004D1053">
          <w:rPr>
            <w:rFonts w:ascii="Arial" w:hAnsi="Arial"/>
            <w:color w:val="0000FF"/>
            <w:u w:val="single"/>
            <w:rtl/>
          </w:rPr>
          <w:t>חוק העונשין</w:t>
        </w:r>
      </w:hyperlink>
      <w:r>
        <w:rPr>
          <w:rFonts w:ascii="Arial" w:hAnsi="Arial" w:hint="cs"/>
          <w:rtl/>
        </w:rPr>
        <w:t xml:space="preserve">+ עבירות בנשק (רכישה) לפי </w:t>
      </w:r>
      <w:hyperlink r:id="rId12" w:history="1">
        <w:r w:rsidR="00EF38E0" w:rsidRPr="00EF38E0">
          <w:rPr>
            <w:rFonts w:ascii="Arial" w:hAnsi="Arial"/>
            <w:color w:val="0000FF"/>
            <w:u w:val="single"/>
            <w:rtl/>
          </w:rPr>
          <w:t>סעיף 144(א)</w:t>
        </w:r>
      </w:hyperlink>
      <w:r>
        <w:rPr>
          <w:rFonts w:ascii="Arial" w:hAnsi="Arial" w:hint="cs"/>
          <w:rtl/>
        </w:rPr>
        <w:t xml:space="preserve"> רישא וסיפא לחוק; אישום שני- עבירות בנשק (החזקה) לפי </w:t>
      </w:r>
      <w:hyperlink r:id="rId13" w:history="1">
        <w:r w:rsidR="00EF38E0" w:rsidRPr="00EF38E0">
          <w:rPr>
            <w:rFonts w:ascii="Arial" w:hAnsi="Arial"/>
            <w:color w:val="0000FF"/>
            <w:u w:val="single"/>
            <w:rtl/>
          </w:rPr>
          <w:t>סעיף 144(א)</w:t>
        </w:r>
      </w:hyperlink>
      <w:r>
        <w:rPr>
          <w:rFonts w:ascii="Arial" w:hAnsi="Arial" w:hint="cs"/>
          <w:rtl/>
        </w:rPr>
        <w:t xml:space="preserve"> סיפא לחוק; ואישום שלישי- סחר בנשק לפי </w:t>
      </w:r>
      <w:hyperlink r:id="rId14" w:history="1">
        <w:r w:rsidR="00EF38E0" w:rsidRPr="00EF38E0">
          <w:rPr>
            <w:rFonts w:ascii="Arial" w:hAnsi="Arial"/>
            <w:color w:val="0000FF"/>
            <w:u w:val="single"/>
            <w:rtl/>
          </w:rPr>
          <w:t>סעיפים 144(ב2)+ (ג)</w:t>
        </w:r>
      </w:hyperlink>
      <w:r>
        <w:rPr>
          <w:rFonts w:ascii="Arial" w:hAnsi="Arial" w:hint="cs"/>
          <w:rtl/>
        </w:rPr>
        <w:t xml:space="preserve"> לחוק. הסדר הטיעון לא כלל הסדר אודות העונש. </w:t>
      </w:r>
    </w:p>
    <w:p w14:paraId="484E10FA" w14:textId="77777777" w:rsidR="00B545FE" w:rsidRDefault="00B545FE" w:rsidP="00B545FE">
      <w:pPr>
        <w:spacing w:line="360" w:lineRule="auto"/>
        <w:ind w:left="720" w:hanging="720"/>
        <w:jc w:val="both"/>
        <w:rPr>
          <w:rFonts w:ascii="Arial" w:hAnsi="Arial"/>
          <w:rtl/>
        </w:rPr>
      </w:pPr>
      <w:bookmarkStart w:id="7" w:name="ABSTRACT_END"/>
      <w:bookmarkEnd w:id="7"/>
    </w:p>
    <w:p w14:paraId="75EE339D" w14:textId="77777777" w:rsidR="00B545FE" w:rsidRDefault="00B545FE" w:rsidP="00B545FE">
      <w:pPr>
        <w:spacing w:line="360" w:lineRule="auto"/>
        <w:ind w:left="720" w:hanging="720"/>
        <w:jc w:val="both"/>
        <w:rPr>
          <w:rFonts w:ascii="Arial" w:hAnsi="Arial"/>
          <w:rtl/>
        </w:rPr>
      </w:pPr>
      <w:r>
        <w:rPr>
          <w:rFonts w:ascii="Arial" w:hAnsi="Arial" w:hint="cs"/>
          <w:rtl/>
        </w:rPr>
        <w:t>2.</w:t>
      </w:r>
      <w:r>
        <w:rPr>
          <w:rFonts w:ascii="Arial" w:hAnsi="Arial" w:hint="cs"/>
          <w:rtl/>
        </w:rPr>
        <w:tab/>
        <w:t xml:space="preserve">כאמור בכתב האישום המתוקן, במסגרת האישום הראשון תואר שבסביבות שנת 2013 הגיע הנאשם לביתו של רביע חוסיין ביחד עם אדם נוסף בשם נצרי ח'ליפה ורכש מרביע תת מקלע מאולתר מסוג קרלו (קרלו-גוסטב). הנאשם סיכם שישלם לרביע במועד נדחה 7,000 ₪ בתמורה. בהמשך נתגלה ויכוח ביניהם לגבי טיב הקרלו, וסוכם שהנאשם ימסור לרביע אקדח תמורתו. בהתאם לאמור מסר הנאשם לרביע אקדח חצי אוטומטי מסוג סירקיס עם מנגנון הדק חסר ומנגנון הדק מאולתר שהיה מופרד מהאקדח. פורט כי האקדח מסוגל לירות כדור או קלע שבכוחם להמית אדם. על פי האישום השני, בשנת 2013 או בסמוך לכך החזיק הנאשם בשתי מחסניות תואמות לאקדח ובמאות כדורים התואמים למחסניות ולאקדח. על פי האישום השלישי, במהלך שנת 2015 הציע הנאשם למכור לרביע אקדח מסוג </w:t>
      </w:r>
      <w:r>
        <w:rPr>
          <w:rFonts w:ascii="Arial" w:hAnsi="Arial" w:hint="cs"/>
          <w:rtl/>
        </w:rPr>
        <w:lastRenderedPageBreak/>
        <w:t xml:space="preserve">חלוואני ושתי מחסניות ריקות התואמות לאקדח תמורת 14,000 ₪. בהמשך הוא אכן מכר את הנשק והמחסניות לרביע. </w:t>
      </w:r>
    </w:p>
    <w:p w14:paraId="4E3F0459" w14:textId="77777777" w:rsidR="00B545FE" w:rsidRDefault="00B545FE" w:rsidP="00B545FE">
      <w:pPr>
        <w:spacing w:line="360" w:lineRule="auto"/>
        <w:ind w:left="720" w:hanging="720"/>
        <w:jc w:val="both"/>
        <w:rPr>
          <w:rFonts w:ascii="Arial" w:hAnsi="Arial"/>
          <w:rtl/>
        </w:rPr>
      </w:pPr>
    </w:p>
    <w:p w14:paraId="62969CFA" w14:textId="77777777" w:rsidR="00B545FE" w:rsidRDefault="00B545FE" w:rsidP="00B545FE">
      <w:pPr>
        <w:spacing w:line="360" w:lineRule="auto"/>
        <w:ind w:left="720" w:hanging="720"/>
        <w:jc w:val="both"/>
        <w:rPr>
          <w:rFonts w:ascii="Arial" w:hAnsi="Arial"/>
          <w:b/>
          <w:bCs/>
          <w:u w:val="single"/>
          <w:rtl/>
        </w:rPr>
      </w:pPr>
      <w:r>
        <w:rPr>
          <w:rFonts w:ascii="Arial" w:hAnsi="Arial" w:hint="cs"/>
          <w:b/>
          <w:bCs/>
          <w:u w:val="single"/>
          <w:rtl/>
        </w:rPr>
        <w:t>טיעוני המדינה לעניין העונש</w:t>
      </w:r>
    </w:p>
    <w:p w14:paraId="47110A12" w14:textId="77777777" w:rsidR="00B545FE" w:rsidRDefault="00B545FE" w:rsidP="00B545FE">
      <w:pPr>
        <w:spacing w:line="360" w:lineRule="auto"/>
        <w:ind w:left="720" w:hanging="720"/>
        <w:jc w:val="both"/>
        <w:rPr>
          <w:rFonts w:ascii="Arial" w:hAnsi="Arial"/>
          <w:b/>
          <w:bCs/>
          <w:u w:val="single"/>
          <w:rtl/>
        </w:rPr>
      </w:pPr>
    </w:p>
    <w:p w14:paraId="73BC39EA" w14:textId="77777777" w:rsidR="00B545FE" w:rsidRDefault="00B545FE" w:rsidP="00B545FE">
      <w:pPr>
        <w:spacing w:line="360" w:lineRule="auto"/>
        <w:ind w:left="720" w:hanging="720"/>
        <w:jc w:val="both"/>
        <w:rPr>
          <w:rFonts w:ascii="Arial" w:hAnsi="Arial"/>
          <w:rtl/>
        </w:rPr>
      </w:pPr>
      <w:r>
        <w:rPr>
          <w:rFonts w:ascii="Arial" w:hAnsi="Arial" w:hint="cs"/>
          <w:rtl/>
        </w:rPr>
        <w:t>3.</w:t>
      </w:r>
      <w:r>
        <w:rPr>
          <w:rFonts w:ascii="Arial" w:hAnsi="Arial" w:hint="cs"/>
          <w:rtl/>
        </w:rPr>
        <w:tab/>
        <w:t xml:space="preserve">נטען שנפגעו הערכים החברתיים המוגנים של שמירה על ערך החיים, ביטחון הציבור ושלומו. נטען לסכנה ברורה שנובעת מעבירות בנשק אשר יכולות לשמש בקלות למטרה בלתי חוקית- פלילית או ביטחונית. באשר לנסיבות ביצוע העבירה נטען שאין מדובר במעידה חד פעמית אלא בעיסוק באמל"ח על פני תקופה ארוכה ולאורך שנים. נטען שהמעשים לוו בתכנון מוקדם ומוקפד וצוין שמדובר בשרשרת מעשים שהנאשם יכל לחדול מהם בכל אחד מהאישומים בנפרד. הנאשם מילא חלק דומיננטי בביצוע העבירות- עמד בקשרים עם סוחר נשק, איתר מוכרים וקונים פוטנציאליים והפיק רווח מן העסקאות. נטען כי יש לתת את הדעת באשר לסוגי כלי הנשק ומגוונם שכללו בין היתר תת מקלע מאולתר, שני אקדחים, תחמושת ומחסניות. נטען שהנאשם יכל להבין את הפסול במעשיו. נטען שלנאשם לא הייתה סיבה סבירה כלשהי להחזיק ולסחור בנשקים. </w:t>
      </w:r>
    </w:p>
    <w:p w14:paraId="1706BCFF" w14:textId="77777777" w:rsidR="00B545FE" w:rsidRDefault="00B545FE" w:rsidP="00B545FE">
      <w:pPr>
        <w:spacing w:line="360" w:lineRule="auto"/>
        <w:ind w:left="720" w:hanging="720"/>
        <w:jc w:val="both"/>
        <w:rPr>
          <w:rFonts w:ascii="Arial" w:hAnsi="Arial"/>
          <w:rtl/>
        </w:rPr>
      </w:pPr>
    </w:p>
    <w:p w14:paraId="788D4731" w14:textId="77777777" w:rsidR="00B545FE" w:rsidRDefault="00B545FE" w:rsidP="00B545FE">
      <w:pPr>
        <w:spacing w:line="360" w:lineRule="auto"/>
        <w:ind w:left="720" w:hanging="720"/>
        <w:jc w:val="both"/>
        <w:rPr>
          <w:rFonts w:ascii="Arial" w:hAnsi="Arial"/>
          <w:rtl/>
        </w:rPr>
      </w:pPr>
      <w:r>
        <w:rPr>
          <w:rFonts w:ascii="Arial" w:hAnsi="Arial" w:hint="cs"/>
          <w:rtl/>
        </w:rPr>
        <w:t>4.</w:t>
      </w:r>
      <w:r>
        <w:rPr>
          <w:rFonts w:ascii="Arial" w:hAnsi="Arial" w:hint="cs"/>
          <w:rtl/>
        </w:rPr>
        <w:tab/>
        <w:t>באשר למדיניות הענישה הנוהגת צוינו המקרים הבאים:</w:t>
      </w:r>
    </w:p>
    <w:p w14:paraId="5EF12AB8" w14:textId="77777777" w:rsidR="00B545FE" w:rsidRDefault="00B545FE" w:rsidP="00B545FE">
      <w:pPr>
        <w:spacing w:line="360" w:lineRule="auto"/>
        <w:ind w:left="720" w:hanging="720"/>
        <w:jc w:val="both"/>
        <w:rPr>
          <w:rFonts w:ascii="Arial" w:hAnsi="Arial"/>
          <w:rtl/>
        </w:rPr>
      </w:pPr>
    </w:p>
    <w:p w14:paraId="6500C1DD" w14:textId="77777777" w:rsidR="00B545FE" w:rsidRPr="008617AD" w:rsidRDefault="00B545FE" w:rsidP="00B545FE">
      <w:pPr>
        <w:spacing w:line="360" w:lineRule="auto"/>
        <w:ind w:left="720" w:hanging="720"/>
        <w:jc w:val="both"/>
        <w:rPr>
          <w:rFonts w:ascii="Arial" w:hAnsi="Arial"/>
          <w:rtl/>
        </w:rPr>
      </w:pPr>
      <w:r>
        <w:rPr>
          <w:rFonts w:ascii="Arial" w:hAnsi="Arial" w:hint="cs"/>
          <w:rtl/>
        </w:rPr>
        <w:tab/>
        <w:t>ב</w:t>
      </w:r>
      <w:hyperlink r:id="rId15" w:history="1">
        <w:r w:rsidR="004D1053" w:rsidRPr="004D1053">
          <w:rPr>
            <w:rFonts w:ascii="Arial" w:hAnsi="Arial"/>
            <w:color w:val="0000FF"/>
            <w:u w:val="single"/>
            <w:rtl/>
          </w:rPr>
          <w:t>ע"פ 3288/14</w:t>
        </w:r>
      </w:hyperlink>
      <w:r>
        <w:rPr>
          <w:rFonts w:ascii="Arial" w:hAnsi="Arial" w:hint="cs"/>
          <w:rtl/>
        </w:rPr>
        <w:t xml:space="preserve"> </w:t>
      </w:r>
      <w:r>
        <w:rPr>
          <w:rFonts w:ascii="Arial" w:hAnsi="Arial" w:hint="cs"/>
          <w:b/>
          <w:bCs/>
          <w:rtl/>
        </w:rPr>
        <w:t xml:space="preserve">מדינת ישראל נ' מרדכי מטיאל קריספיל, </w:t>
      </w:r>
      <w:r>
        <w:rPr>
          <w:rFonts w:ascii="Arial" w:hAnsi="Arial" w:hint="cs"/>
          <w:rtl/>
        </w:rPr>
        <w:t xml:space="preserve">(24.8.2014) שם הורשע הנאשם בהחזקת אקדח ותחמושת והוטלו עליו 9 חודשי בפועל על ידי הערכאה הדיונית. בערעור הוחמר העונש ל-18 חודשי מאסר בפועל. </w:t>
      </w:r>
    </w:p>
    <w:p w14:paraId="691A2023" w14:textId="77777777" w:rsidR="00B545FE" w:rsidRDefault="00B545FE" w:rsidP="00B545FE">
      <w:pPr>
        <w:jc w:val="both"/>
        <w:rPr>
          <w:rtl/>
        </w:rPr>
      </w:pPr>
    </w:p>
    <w:p w14:paraId="2A4FCB4A" w14:textId="77777777" w:rsidR="00B545FE" w:rsidRDefault="00B545FE" w:rsidP="00B545FE">
      <w:pPr>
        <w:spacing w:line="360" w:lineRule="auto"/>
        <w:ind w:left="720"/>
        <w:jc w:val="both"/>
        <w:rPr>
          <w:rtl/>
        </w:rPr>
      </w:pPr>
      <w:r>
        <w:rPr>
          <w:rFonts w:hint="cs"/>
          <w:rtl/>
        </w:rPr>
        <w:t>ב</w:t>
      </w:r>
      <w:hyperlink r:id="rId16" w:history="1">
        <w:r w:rsidR="004D1053" w:rsidRPr="004D1053">
          <w:rPr>
            <w:color w:val="0000FF"/>
            <w:u w:val="single"/>
            <w:rtl/>
          </w:rPr>
          <w:t>ע"פ 761/07</w:t>
        </w:r>
      </w:hyperlink>
      <w:r>
        <w:rPr>
          <w:rFonts w:hint="cs"/>
          <w:rtl/>
        </w:rPr>
        <w:t xml:space="preserve"> </w:t>
      </w:r>
      <w:r>
        <w:rPr>
          <w:rFonts w:hint="cs"/>
          <w:b/>
          <w:bCs/>
          <w:rtl/>
        </w:rPr>
        <w:t>מדינת ישראל נ' מיכאל אדרי</w:t>
      </w:r>
      <w:r>
        <w:rPr>
          <w:rFonts w:hint="cs"/>
          <w:rtl/>
        </w:rPr>
        <w:t xml:space="preserve">, (22.2.2007) קיבל בית המשפט העליון את ערעור המדינה והשית על הנאשם עונש של שנתיים מאסר, חלף שנת מאסר בפועל תוך שצוין הסיכון הרב שכרוך בעבירות נשק. </w:t>
      </w:r>
    </w:p>
    <w:p w14:paraId="523690ED" w14:textId="77777777" w:rsidR="00B545FE" w:rsidRDefault="00B545FE" w:rsidP="00B545FE">
      <w:pPr>
        <w:spacing w:line="360" w:lineRule="auto"/>
        <w:ind w:left="720"/>
        <w:jc w:val="both"/>
        <w:rPr>
          <w:rtl/>
        </w:rPr>
      </w:pPr>
    </w:p>
    <w:p w14:paraId="1262B309" w14:textId="77777777" w:rsidR="00B545FE" w:rsidRDefault="00B545FE" w:rsidP="00B545FE">
      <w:pPr>
        <w:spacing w:line="360" w:lineRule="auto"/>
        <w:ind w:left="720"/>
        <w:jc w:val="both"/>
        <w:rPr>
          <w:rtl/>
        </w:rPr>
      </w:pPr>
      <w:r>
        <w:rPr>
          <w:rFonts w:hint="cs"/>
          <w:rtl/>
        </w:rPr>
        <w:t>ב</w:t>
      </w:r>
      <w:hyperlink r:id="rId17" w:history="1">
        <w:r w:rsidR="004D1053" w:rsidRPr="004D1053">
          <w:rPr>
            <w:color w:val="0000FF"/>
            <w:u w:val="single"/>
            <w:rtl/>
          </w:rPr>
          <w:t>ע"פ 9373/10</w:t>
        </w:r>
      </w:hyperlink>
      <w:r>
        <w:rPr>
          <w:rFonts w:hint="cs"/>
          <w:rtl/>
        </w:rPr>
        <w:t xml:space="preserve"> </w:t>
      </w:r>
      <w:r>
        <w:rPr>
          <w:rFonts w:hint="cs"/>
          <w:b/>
          <w:bCs/>
          <w:rtl/>
        </w:rPr>
        <w:t>חמד ותד נ' מדינת ישראל</w:t>
      </w:r>
      <w:r>
        <w:rPr>
          <w:rFonts w:hint="cs"/>
          <w:rtl/>
        </w:rPr>
        <w:t xml:space="preserve">, (14.09.2011) הורשע הנאשם על פי הודאתו בעבירות של החזקת ונשיאת נשק כאשר הוא החזיק אקדח </w:t>
      </w:r>
      <w:r>
        <w:rPr>
          <w:rFonts w:hint="cs"/>
        </w:rPr>
        <w:t>FN</w:t>
      </w:r>
      <w:r>
        <w:rPr>
          <w:rFonts w:hint="cs"/>
          <w:rtl/>
        </w:rPr>
        <w:t xml:space="preserve"> בביתו יחד עם 63 כדורים שהוטמנו בחצר הבית. הנאשם אף נשא את הנשק והיה בעל עבר פלילי קודם. בערעור הופחת עונשו מ-50 ל-30 חודשי מאסר בפועל, כאשר צוין שמקובלת ההשקפה שהגיעה העת להחמיר בענישת עברייני הנשק, אך שיש לעשות זאת בהדרגה. </w:t>
      </w:r>
    </w:p>
    <w:p w14:paraId="6F7B1910" w14:textId="77777777" w:rsidR="00B545FE" w:rsidRDefault="00B545FE" w:rsidP="00B545FE">
      <w:pPr>
        <w:spacing w:line="360" w:lineRule="auto"/>
        <w:ind w:left="720"/>
        <w:jc w:val="both"/>
        <w:rPr>
          <w:rtl/>
        </w:rPr>
      </w:pPr>
    </w:p>
    <w:p w14:paraId="607D6EE0" w14:textId="77777777" w:rsidR="00B545FE" w:rsidRDefault="00B545FE" w:rsidP="00B545FE">
      <w:pPr>
        <w:spacing w:line="360" w:lineRule="auto"/>
        <w:ind w:left="720"/>
        <w:jc w:val="both"/>
        <w:rPr>
          <w:rtl/>
        </w:rPr>
      </w:pPr>
      <w:r>
        <w:rPr>
          <w:rFonts w:hint="cs"/>
          <w:rtl/>
        </w:rPr>
        <w:t>ב</w:t>
      </w:r>
      <w:hyperlink r:id="rId18" w:history="1">
        <w:r w:rsidR="004D1053" w:rsidRPr="004D1053">
          <w:rPr>
            <w:color w:val="0000FF"/>
            <w:u w:val="single"/>
            <w:rtl/>
          </w:rPr>
          <w:t>ע"פ 3877/16</w:t>
        </w:r>
      </w:hyperlink>
      <w:r>
        <w:rPr>
          <w:rFonts w:hint="cs"/>
          <w:rtl/>
        </w:rPr>
        <w:t xml:space="preserve"> </w:t>
      </w:r>
      <w:r>
        <w:rPr>
          <w:rFonts w:hint="cs"/>
          <w:b/>
          <w:bCs/>
          <w:rtl/>
        </w:rPr>
        <w:t>פאדי ג'באלי נ' מדינת ישראל,</w:t>
      </w:r>
      <w:r>
        <w:rPr>
          <w:rFonts w:hint="cs"/>
          <w:rtl/>
        </w:rPr>
        <w:t xml:space="preserve"> (17.11.2016) הורשע הנאשם בנשיאת נשק, מחסנית וכדורים והוטלו עליו 34 חודשי מאסר בפועל בתוך מתחם שבין 24-48 חודשי מאסר. הערעור נדחה תוך כדי ציון החומרה היתרה בביצוע עבירות נשק. </w:t>
      </w:r>
    </w:p>
    <w:p w14:paraId="47136F27" w14:textId="77777777" w:rsidR="00B545FE" w:rsidRDefault="00B545FE" w:rsidP="00B545FE">
      <w:pPr>
        <w:spacing w:line="360" w:lineRule="auto"/>
        <w:ind w:left="720"/>
        <w:jc w:val="both"/>
        <w:rPr>
          <w:rtl/>
        </w:rPr>
      </w:pPr>
    </w:p>
    <w:p w14:paraId="4F9BF499" w14:textId="77777777" w:rsidR="00B545FE" w:rsidRDefault="00B545FE" w:rsidP="00B545FE">
      <w:pPr>
        <w:spacing w:line="360" w:lineRule="auto"/>
        <w:ind w:left="720"/>
        <w:jc w:val="both"/>
        <w:rPr>
          <w:rtl/>
        </w:rPr>
      </w:pPr>
      <w:r>
        <w:rPr>
          <w:rFonts w:hint="cs"/>
          <w:rtl/>
        </w:rPr>
        <w:lastRenderedPageBreak/>
        <w:t>ב</w:t>
      </w:r>
      <w:hyperlink r:id="rId19" w:history="1">
        <w:r w:rsidR="004D1053" w:rsidRPr="004D1053">
          <w:rPr>
            <w:color w:val="0000FF"/>
            <w:u w:val="single"/>
            <w:rtl/>
          </w:rPr>
          <w:t>ע"פ 135/17</w:t>
        </w:r>
      </w:hyperlink>
      <w:r>
        <w:rPr>
          <w:rFonts w:hint="cs"/>
          <w:rtl/>
        </w:rPr>
        <w:t xml:space="preserve"> </w:t>
      </w:r>
      <w:r>
        <w:rPr>
          <w:rFonts w:hint="cs"/>
          <w:b/>
          <w:bCs/>
          <w:rtl/>
        </w:rPr>
        <w:t xml:space="preserve">מדינת ישראל נ' סמיר בסל , </w:t>
      </w:r>
      <w:r>
        <w:rPr>
          <w:rFonts w:hint="cs"/>
          <w:rtl/>
        </w:rPr>
        <w:t xml:space="preserve">(8.3.2017) </w:t>
      </w:r>
      <w:r w:rsidRPr="00225CF8">
        <w:rPr>
          <w:rFonts w:hint="cs"/>
          <w:rtl/>
        </w:rPr>
        <w:t>הורשע הנאשם</w:t>
      </w:r>
      <w:r>
        <w:rPr>
          <w:rFonts w:hint="cs"/>
          <w:rtl/>
        </w:rPr>
        <w:t xml:space="preserve"> בעבירה של החזקה ונשיאת תת מקלע מאולתר ומחסנית והושתו עליו 12 חודשי מאסר בפועל בערכאה הדיונית. בערעור הוחמר העונש ל-18 חודשי מאסר בפועל. </w:t>
      </w:r>
    </w:p>
    <w:p w14:paraId="2D036BB9" w14:textId="77777777" w:rsidR="00B545FE" w:rsidRDefault="00B545FE" w:rsidP="00B545FE">
      <w:pPr>
        <w:spacing w:line="360" w:lineRule="auto"/>
        <w:ind w:left="720"/>
        <w:jc w:val="both"/>
        <w:rPr>
          <w:rtl/>
        </w:rPr>
      </w:pPr>
    </w:p>
    <w:p w14:paraId="77485F63" w14:textId="77777777" w:rsidR="00B545FE" w:rsidRDefault="00B545FE" w:rsidP="00B545FE">
      <w:pPr>
        <w:spacing w:line="360" w:lineRule="auto"/>
        <w:ind w:left="720"/>
        <w:jc w:val="both"/>
        <w:rPr>
          <w:rtl/>
        </w:rPr>
      </w:pPr>
      <w:r>
        <w:rPr>
          <w:rFonts w:hint="cs"/>
          <w:rtl/>
        </w:rPr>
        <w:t xml:space="preserve">בע"פ  </w:t>
      </w:r>
      <w:hyperlink r:id="rId20" w:history="1">
        <w:r w:rsidR="00932081" w:rsidRPr="00932081">
          <w:rPr>
            <w:color w:val="0000FF"/>
            <w:u w:val="single"/>
            <w:rtl/>
          </w:rPr>
          <w:t xml:space="preserve">415/16  </w:t>
        </w:r>
      </w:hyperlink>
      <w:r>
        <w:rPr>
          <w:rFonts w:hint="cs"/>
          <w:rtl/>
        </w:rPr>
        <w:t xml:space="preserve"> </w:t>
      </w:r>
      <w:r w:rsidRPr="005B7EAC">
        <w:rPr>
          <w:rFonts w:hint="cs"/>
          <w:b/>
          <w:bCs/>
          <w:rtl/>
        </w:rPr>
        <w:t>רונן דהוד נ' מדינת ישראל</w:t>
      </w:r>
      <w:r>
        <w:rPr>
          <w:rFonts w:hint="cs"/>
          <w:rtl/>
        </w:rPr>
        <w:t xml:space="preserve">, (10.1.2017) נדחה ערעור על חומרת העונש בגין שני אישומים של סחר בנשק ועבירות בנשק (החזקה ונשיאה) כאשר בשתי הזדמנויות שונות מכר המערער שהיה בעל עבר פלילי נשקים לסוכן משטרתי (אקדח יריחו ורובה צייד). בערכאה הדיונית, שם הודה המערער בשלב מוקדם, הוטל עונש של 45 חודשי מאסר בפועל ונקבע מתחם שבין שנתיים עד חמש שנות מאסר. </w:t>
      </w:r>
    </w:p>
    <w:p w14:paraId="2E80483C" w14:textId="77777777" w:rsidR="00B545FE" w:rsidRDefault="00B545FE" w:rsidP="00B545FE">
      <w:pPr>
        <w:spacing w:line="360" w:lineRule="auto"/>
        <w:ind w:left="720"/>
        <w:jc w:val="both"/>
        <w:rPr>
          <w:rtl/>
        </w:rPr>
      </w:pPr>
    </w:p>
    <w:p w14:paraId="0A5FF599" w14:textId="77777777" w:rsidR="00B545FE" w:rsidRDefault="00B545FE" w:rsidP="00B545FE">
      <w:pPr>
        <w:spacing w:line="360" w:lineRule="auto"/>
        <w:ind w:left="720"/>
        <w:jc w:val="both"/>
        <w:rPr>
          <w:rtl/>
        </w:rPr>
      </w:pPr>
      <w:r>
        <w:rPr>
          <w:rFonts w:hint="cs"/>
          <w:rtl/>
        </w:rPr>
        <w:t xml:space="preserve">בע"פ 251/11 </w:t>
      </w:r>
      <w:r w:rsidRPr="005B7EAC">
        <w:rPr>
          <w:rFonts w:hint="cs"/>
          <w:b/>
          <w:bCs/>
          <w:rtl/>
        </w:rPr>
        <w:t>נפאע נ' מדינת ישראל</w:t>
      </w:r>
      <w:r>
        <w:rPr>
          <w:rFonts w:hint="cs"/>
          <w:rtl/>
        </w:rPr>
        <w:t xml:space="preserve">, (4.12.2011), הורשע הנאשם בשתי עבירות של סחר בנשק ושתי עבירות של נשיאת נשק לאחר שמכר אקדח ותת מקלע לסוכן משטרתי. הנאשם היה בעל עבר פלילי מכביד. בערכאה הדיונית נגזרו 38 חודשי מאסר בפועל, ובית המשפט העליון החמיר את העונש לאחר שקבע שיש להעלות את רף הענישה בהדרגה ל-46 חודשי מאסר בפועל. </w:t>
      </w:r>
    </w:p>
    <w:p w14:paraId="1E5DB338" w14:textId="77777777" w:rsidR="00B545FE" w:rsidRDefault="00B545FE" w:rsidP="00B545FE">
      <w:pPr>
        <w:spacing w:line="360" w:lineRule="auto"/>
        <w:ind w:left="720"/>
        <w:jc w:val="both"/>
        <w:rPr>
          <w:rtl/>
        </w:rPr>
      </w:pPr>
    </w:p>
    <w:p w14:paraId="0BB12D82" w14:textId="77777777" w:rsidR="00B545FE" w:rsidRDefault="00B545FE" w:rsidP="00B545FE">
      <w:pPr>
        <w:spacing w:line="360" w:lineRule="auto"/>
        <w:ind w:left="720"/>
        <w:jc w:val="both"/>
        <w:rPr>
          <w:rtl/>
        </w:rPr>
      </w:pPr>
      <w:r>
        <w:rPr>
          <w:rFonts w:hint="cs"/>
          <w:rtl/>
        </w:rPr>
        <w:t>ב</w:t>
      </w:r>
      <w:hyperlink r:id="rId21" w:history="1">
        <w:r w:rsidR="004D1053" w:rsidRPr="004D1053">
          <w:rPr>
            <w:color w:val="0000FF"/>
            <w:u w:val="single"/>
            <w:rtl/>
          </w:rPr>
          <w:t>ע"פ 5913/11</w:t>
        </w:r>
      </w:hyperlink>
      <w:r>
        <w:rPr>
          <w:rFonts w:hint="cs"/>
          <w:rtl/>
        </w:rPr>
        <w:t xml:space="preserve"> </w:t>
      </w:r>
      <w:r>
        <w:rPr>
          <w:rFonts w:hint="cs"/>
          <w:b/>
          <w:bCs/>
          <w:rtl/>
        </w:rPr>
        <w:t>טאר הייבי נ' מדינת ישראל,</w:t>
      </w:r>
      <w:r>
        <w:rPr>
          <w:rFonts w:hint="cs"/>
          <w:rtl/>
        </w:rPr>
        <w:t xml:space="preserve"> (12.09.2012), נדחה ערעור על עונש של 9 שנות מאסר על המערער שהורשע בביצוע 4 עבירות של סחר בנשק ו-3 עבירות של סיוע לסחר בנשק, כאשר היה מדובר ב-4 אקדחים ו-3 תתי מקלע. הנאשם בעל עבר פלילי מכביד וביצע את העבירות כשהיה אסיר משוחרר ברישיון וכן בעת שהיה אסיר. הנאשמים האחרים באותה פרשה נידונו בערכאה הדיונית ל-30 חודשי מאסר בפועל בגין עבירה אחת של סחר בנשק ויריות באזור מגורים ו-38 חודשי מאסר בפועל בגין עבירה בודדת של סחר בנשק שלא כדין (תת מקלע) (אותו נאשם ניהל את משפטו עד תום). </w:t>
      </w:r>
    </w:p>
    <w:p w14:paraId="272B969D" w14:textId="77777777" w:rsidR="00B545FE" w:rsidRDefault="00B545FE" w:rsidP="00B545FE">
      <w:pPr>
        <w:spacing w:line="360" w:lineRule="auto"/>
        <w:ind w:left="720"/>
        <w:jc w:val="both"/>
        <w:rPr>
          <w:rtl/>
        </w:rPr>
      </w:pPr>
    </w:p>
    <w:p w14:paraId="4E3DDC53" w14:textId="77777777" w:rsidR="00B545FE" w:rsidRDefault="00B545FE" w:rsidP="00B545FE">
      <w:pPr>
        <w:spacing w:line="360" w:lineRule="auto"/>
        <w:ind w:left="720"/>
        <w:jc w:val="both"/>
        <w:rPr>
          <w:rtl/>
        </w:rPr>
      </w:pPr>
      <w:r>
        <w:rPr>
          <w:rFonts w:hint="cs"/>
          <w:rtl/>
        </w:rPr>
        <w:t>ב</w:t>
      </w:r>
      <w:hyperlink r:id="rId22" w:history="1">
        <w:r w:rsidR="004D1053" w:rsidRPr="004D1053">
          <w:rPr>
            <w:color w:val="0000FF"/>
            <w:u w:val="single"/>
            <w:rtl/>
          </w:rPr>
          <w:t>ע"פ 2405/12</w:t>
        </w:r>
      </w:hyperlink>
      <w:r>
        <w:rPr>
          <w:rFonts w:hint="cs"/>
          <w:rtl/>
        </w:rPr>
        <w:t xml:space="preserve"> </w:t>
      </w:r>
      <w:r>
        <w:rPr>
          <w:rFonts w:hint="cs"/>
          <w:b/>
          <w:bCs/>
          <w:rtl/>
        </w:rPr>
        <w:t>אמירהם ח'טיב נ' מדינת ישראל</w:t>
      </w:r>
      <w:r>
        <w:rPr>
          <w:rFonts w:hint="cs"/>
          <w:rtl/>
        </w:rPr>
        <w:t xml:space="preserve">, (17.11.2013), נדחה ערעור על חומרת העונש במקרה בו הורשע הנאשם על ידי הערכאה הדיונית על פי הודאתו בביצוע שתי עבירות של החזקת נשק ושתי עבירות של סחר בנשק ונידון ל-54 חודשי מאסר בפועל. הנאשם היה בעל עבר פלילי מכביד שהודה בתחילת משפטו. </w:t>
      </w:r>
    </w:p>
    <w:p w14:paraId="363A4D72" w14:textId="77777777" w:rsidR="00B545FE" w:rsidRDefault="00B545FE" w:rsidP="00B545FE">
      <w:pPr>
        <w:spacing w:line="360" w:lineRule="auto"/>
        <w:ind w:left="720"/>
        <w:jc w:val="both"/>
        <w:rPr>
          <w:rtl/>
        </w:rPr>
      </w:pPr>
    </w:p>
    <w:p w14:paraId="75B9DA77" w14:textId="77777777" w:rsidR="00B545FE" w:rsidRDefault="00B545FE" w:rsidP="00B545FE">
      <w:pPr>
        <w:spacing w:line="360" w:lineRule="auto"/>
        <w:ind w:left="720"/>
        <w:jc w:val="both"/>
        <w:rPr>
          <w:rtl/>
        </w:rPr>
      </w:pPr>
      <w:r>
        <w:rPr>
          <w:rFonts w:hint="cs"/>
          <w:rtl/>
        </w:rPr>
        <w:t xml:space="preserve">צוין עוד </w:t>
      </w:r>
      <w:hyperlink r:id="rId23" w:history="1">
        <w:r w:rsidR="004D1053" w:rsidRPr="004D1053">
          <w:rPr>
            <w:color w:val="0000FF"/>
            <w:u w:val="single"/>
            <w:rtl/>
          </w:rPr>
          <w:t>ת"פ 12695-05-17</w:t>
        </w:r>
      </w:hyperlink>
      <w:r>
        <w:rPr>
          <w:rFonts w:hint="cs"/>
          <w:rtl/>
        </w:rPr>
        <w:t xml:space="preserve"> </w:t>
      </w:r>
      <w:r>
        <w:rPr>
          <w:rFonts w:hint="cs"/>
          <w:b/>
          <w:bCs/>
          <w:rtl/>
        </w:rPr>
        <w:t>מדינת ישראל נ' נצרי ח'ליפה,</w:t>
      </w:r>
      <w:r>
        <w:rPr>
          <w:rFonts w:hint="cs"/>
          <w:rtl/>
        </w:rPr>
        <w:t xml:space="preserve"> (21.2.2017) שם הודה הנאשם והורשע ב-6 אישומים: שני אישומים של סחר בנשק, אישום של סיוע לסחר בנשק, ושלושה אישומים נוספים של עבירות החזקת נשק (רכישה). נקבע מתחם ענישה  בין 4-8 שנות מאסר בפועל והוטלו 6 שנות מאסר בפועל, תוך שהודגשה החשיבות של ההודיה ושיקולים נוספים שעמדו לטובתו. </w:t>
      </w:r>
    </w:p>
    <w:p w14:paraId="75FEEF14" w14:textId="77777777" w:rsidR="00B545FE" w:rsidRDefault="00B545FE" w:rsidP="00B545FE">
      <w:pPr>
        <w:spacing w:line="360" w:lineRule="auto"/>
        <w:ind w:left="720"/>
        <w:jc w:val="both"/>
        <w:rPr>
          <w:rtl/>
        </w:rPr>
      </w:pPr>
    </w:p>
    <w:p w14:paraId="5026C92D" w14:textId="77777777" w:rsidR="00B545FE" w:rsidRDefault="00B545FE" w:rsidP="00B545FE">
      <w:pPr>
        <w:spacing w:line="360" w:lineRule="auto"/>
        <w:ind w:left="720" w:hanging="720"/>
        <w:jc w:val="both"/>
        <w:rPr>
          <w:rtl/>
        </w:rPr>
      </w:pPr>
      <w:r>
        <w:rPr>
          <w:rFonts w:hint="cs"/>
          <w:rtl/>
        </w:rPr>
        <w:t>5.</w:t>
      </w:r>
      <w:r>
        <w:rPr>
          <w:rFonts w:hint="cs"/>
          <w:rtl/>
        </w:rPr>
        <w:tab/>
        <w:t xml:space="preserve">המאשימה טענה שיש להחמיר ולעלות את רף הענישה בגין עבירות הנשק לאור המציאות במדינה וזמינותם ונפיצותם הרחבה של כלי הנשק והמסוכנות הטמונה בהם. </w:t>
      </w:r>
    </w:p>
    <w:p w14:paraId="7B00A760" w14:textId="77777777" w:rsidR="00B545FE" w:rsidRDefault="00B545FE" w:rsidP="00B545FE">
      <w:pPr>
        <w:spacing w:line="360" w:lineRule="auto"/>
        <w:ind w:left="720"/>
        <w:jc w:val="both"/>
        <w:rPr>
          <w:rtl/>
        </w:rPr>
      </w:pPr>
    </w:p>
    <w:p w14:paraId="6321FA85" w14:textId="77777777" w:rsidR="00B545FE" w:rsidRDefault="00B545FE" w:rsidP="00B545FE">
      <w:pPr>
        <w:spacing w:line="360" w:lineRule="auto"/>
        <w:ind w:left="720" w:hanging="720"/>
        <w:jc w:val="both"/>
        <w:rPr>
          <w:rtl/>
        </w:rPr>
      </w:pPr>
      <w:r>
        <w:rPr>
          <w:rFonts w:hint="cs"/>
          <w:rtl/>
        </w:rPr>
        <w:t>6.</w:t>
      </w:r>
      <w:r>
        <w:rPr>
          <w:rFonts w:hint="cs"/>
          <w:rtl/>
        </w:rPr>
        <w:tab/>
        <w:t xml:space="preserve">נטען למתחם ענישה הולם שבין 4-8 שנות מאסר בפועל בצירוף מאסר על תנאי וקנס משמעותי. </w:t>
      </w:r>
    </w:p>
    <w:p w14:paraId="2994A8D8" w14:textId="77777777" w:rsidR="00B545FE" w:rsidRDefault="00B545FE" w:rsidP="00B545FE">
      <w:pPr>
        <w:spacing w:line="360" w:lineRule="auto"/>
        <w:ind w:left="720" w:hanging="720"/>
        <w:jc w:val="both"/>
        <w:rPr>
          <w:rtl/>
        </w:rPr>
      </w:pPr>
      <w:r>
        <w:rPr>
          <w:rFonts w:hint="cs"/>
          <w:rtl/>
        </w:rPr>
        <w:t>7.</w:t>
      </w:r>
      <w:r>
        <w:rPr>
          <w:rFonts w:hint="cs"/>
          <w:rtl/>
        </w:rPr>
        <w:tab/>
        <w:t>באשר לנסיבותיו האישיות ונסיבות שאינן קשורות בביצוע העבירה נטען שיש לזקוף לטובת הנאשם שהוא נעדר עבר פלילי קודם ושהוא הודה בכתב האישום המתוקן, אם כי לא בתחילת המשפט וצוין שהתקיימו מספר רב של דיוני הוכחות ונשמעה כל פרשת התביעה.</w:t>
      </w:r>
    </w:p>
    <w:p w14:paraId="471E28DB" w14:textId="77777777" w:rsidR="00B545FE" w:rsidRDefault="00B545FE" w:rsidP="00B545FE">
      <w:pPr>
        <w:spacing w:line="360" w:lineRule="auto"/>
        <w:ind w:left="720"/>
        <w:jc w:val="both"/>
        <w:rPr>
          <w:rtl/>
        </w:rPr>
      </w:pPr>
      <w:r>
        <w:rPr>
          <w:rFonts w:hint="cs"/>
          <w:rtl/>
        </w:rPr>
        <w:t xml:space="preserve">באשר לתסקיר, נטען שהיה שלילי במהותו. נטען שאין לסטות מהמתחם שצוין. </w:t>
      </w:r>
    </w:p>
    <w:p w14:paraId="6B1230D9" w14:textId="77777777" w:rsidR="00B545FE" w:rsidRDefault="00B545FE" w:rsidP="00B545FE">
      <w:pPr>
        <w:spacing w:line="360" w:lineRule="auto"/>
        <w:jc w:val="both"/>
        <w:rPr>
          <w:rtl/>
        </w:rPr>
      </w:pPr>
    </w:p>
    <w:p w14:paraId="33E8E620" w14:textId="77777777" w:rsidR="00B545FE" w:rsidRDefault="00B545FE" w:rsidP="00B545FE">
      <w:pPr>
        <w:spacing w:line="360" w:lineRule="auto"/>
        <w:jc w:val="both"/>
        <w:rPr>
          <w:b/>
          <w:bCs/>
          <w:u w:val="single"/>
          <w:rtl/>
        </w:rPr>
      </w:pPr>
      <w:r w:rsidRPr="00F72CC4">
        <w:rPr>
          <w:rFonts w:hint="cs"/>
          <w:b/>
          <w:bCs/>
          <w:u w:val="single"/>
          <w:rtl/>
        </w:rPr>
        <w:t>טיעוני הסנגוריה לעונש</w:t>
      </w:r>
    </w:p>
    <w:p w14:paraId="08D125AE" w14:textId="77777777" w:rsidR="00B545FE" w:rsidRDefault="00B545FE" w:rsidP="00B545FE">
      <w:pPr>
        <w:spacing w:line="360" w:lineRule="auto"/>
        <w:jc w:val="both"/>
        <w:rPr>
          <w:b/>
          <w:bCs/>
          <w:u w:val="single"/>
          <w:rtl/>
        </w:rPr>
      </w:pPr>
    </w:p>
    <w:p w14:paraId="5A9F45B2" w14:textId="77777777" w:rsidR="00B545FE" w:rsidRDefault="00B545FE" w:rsidP="00B545FE">
      <w:pPr>
        <w:spacing w:line="360" w:lineRule="auto"/>
        <w:ind w:left="720" w:hanging="720"/>
        <w:jc w:val="both"/>
        <w:rPr>
          <w:rtl/>
        </w:rPr>
      </w:pPr>
      <w:r>
        <w:rPr>
          <w:rFonts w:hint="cs"/>
          <w:rtl/>
        </w:rPr>
        <w:t>8.</w:t>
      </w:r>
      <w:r>
        <w:rPr>
          <w:rFonts w:hint="cs"/>
          <w:rtl/>
        </w:rPr>
        <w:tab/>
        <w:t>הסנגור טען שכתב האישום המקורי היה חמור בהרבה מכתב האישום המתוקן וכי נערכו בו תיקונים מהותיים. נטען שהשינוי נבע מקושי ראייתי שנוצר במהלך שמיעת הראיות וכי אין לזקוף לחובתו של הנאשם את הצורך לנהל אותן ישיבות שהתנהלו. נטען שיש ליתן משקל לכך שלאחר התיקונים בחר הנאשם לקחת אחריות ולהודות בעובדות כתב האישום המתוקן ובכך חסך זמן שיפוטי יקר.</w:t>
      </w:r>
    </w:p>
    <w:p w14:paraId="2B41B46D" w14:textId="77777777" w:rsidR="00B545FE" w:rsidRDefault="00B545FE" w:rsidP="00B545FE">
      <w:pPr>
        <w:spacing w:line="360" w:lineRule="auto"/>
        <w:ind w:left="720" w:hanging="720"/>
        <w:jc w:val="both"/>
        <w:rPr>
          <w:rtl/>
        </w:rPr>
      </w:pPr>
    </w:p>
    <w:p w14:paraId="12B38F9E" w14:textId="77777777" w:rsidR="00B545FE" w:rsidRDefault="00B545FE" w:rsidP="00B545FE">
      <w:pPr>
        <w:spacing w:line="360" w:lineRule="auto"/>
        <w:ind w:left="720" w:hanging="720"/>
        <w:jc w:val="both"/>
        <w:rPr>
          <w:rtl/>
        </w:rPr>
      </w:pPr>
      <w:r>
        <w:rPr>
          <w:rFonts w:hint="cs"/>
          <w:rtl/>
        </w:rPr>
        <w:t>9.</w:t>
      </w:r>
      <w:r>
        <w:rPr>
          <w:rFonts w:hint="cs"/>
          <w:rtl/>
        </w:rPr>
        <w:tab/>
        <w:t xml:space="preserve">נטען שעל פי עובדות כתב האישום רוב העבירות בוצעו לפני תקופת זמן משמעותית, למשל בשנת 2013 כאשר הנאשם היה בן 22 בלבד, או בשנת 2015 כאשר מתקופה זו ועד למעצרו של הנאשם לא נפתחו נגדו תיקים נוספים והוא לא הסתבך בפלילים. נטען שיש בדבר כדי ללמד כי החל משנת 2015 הנאשם למד לקח ובחר לחזור לדרך הישר אחרי שהתבגר. </w:t>
      </w:r>
    </w:p>
    <w:p w14:paraId="0D9967F5" w14:textId="77777777" w:rsidR="00B545FE" w:rsidRDefault="00B545FE" w:rsidP="00B545FE">
      <w:pPr>
        <w:spacing w:line="360" w:lineRule="auto"/>
        <w:ind w:left="720" w:hanging="720"/>
        <w:jc w:val="both"/>
        <w:rPr>
          <w:rtl/>
        </w:rPr>
      </w:pPr>
    </w:p>
    <w:p w14:paraId="5135E763" w14:textId="77777777" w:rsidR="00B545FE" w:rsidRDefault="00B545FE" w:rsidP="00B545FE">
      <w:pPr>
        <w:spacing w:line="360" w:lineRule="auto"/>
        <w:ind w:left="720" w:hanging="720"/>
        <w:jc w:val="both"/>
        <w:rPr>
          <w:rtl/>
        </w:rPr>
      </w:pPr>
      <w:r>
        <w:rPr>
          <w:rFonts w:hint="cs"/>
          <w:rtl/>
        </w:rPr>
        <w:t>10.</w:t>
      </w:r>
      <w:r>
        <w:rPr>
          <w:rFonts w:hint="cs"/>
          <w:rtl/>
        </w:rPr>
        <w:tab/>
        <w:t xml:space="preserve">נטען שהסתבכותו הינה בבחינת מעידה חד פעמית כאשר הוא הסתבך בעבירות הנשק רק עם שני האנשים שצוינו בכתב האישום, רביע ונצרי, ונטען שאין מדובר בסוחר שביצע מספר רב של עבירות למספר רב של רוכשים. נטען שהמניע כפי שפורט בתסקיר היה כלכלי ולא מניע אחר. </w:t>
      </w:r>
    </w:p>
    <w:p w14:paraId="1BFAA273" w14:textId="77777777" w:rsidR="00B545FE" w:rsidRDefault="00B545FE" w:rsidP="00B545FE">
      <w:pPr>
        <w:spacing w:line="360" w:lineRule="auto"/>
        <w:ind w:left="720"/>
        <w:jc w:val="both"/>
        <w:rPr>
          <w:rtl/>
        </w:rPr>
      </w:pPr>
    </w:p>
    <w:p w14:paraId="7936D550" w14:textId="77777777" w:rsidR="00B545FE" w:rsidRDefault="00B545FE" w:rsidP="00B545FE">
      <w:pPr>
        <w:spacing w:line="360" w:lineRule="auto"/>
        <w:ind w:left="720" w:hanging="720"/>
        <w:jc w:val="both"/>
        <w:rPr>
          <w:rtl/>
        </w:rPr>
      </w:pPr>
      <w:r>
        <w:rPr>
          <w:rFonts w:hint="cs"/>
          <w:rtl/>
        </w:rPr>
        <w:t>11.</w:t>
      </w:r>
      <w:r>
        <w:rPr>
          <w:rFonts w:hint="cs"/>
          <w:rtl/>
        </w:rPr>
        <w:tab/>
        <w:t>צוין שהנאשם עצור מיום 23.4.17- תקופה של כשנה ושיש להתחשב בתקופה הזו בעת גזירת הדין. נטען שאף קצינת המבחן התייחסה בתסקיר לתקופת המעצר לטובת הנאשם.</w:t>
      </w:r>
    </w:p>
    <w:p w14:paraId="47A25F77" w14:textId="77777777" w:rsidR="00B545FE" w:rsidRDefault="00B545FE" w:rsidP="00B545FE">
      <w:pPr>
        <w:spacing w:line="360" w:lineRule="auto"/>
        <w:ind w:left="720"/>
        <w:jc w:val="both"/>
        <w:rPr>
          <w:rtl/>
        </w:rPr>
      </w:pPr>
    </w:p>
    <w:p w14:paraId="3B352662" w14:textId="77777777" w:rsidR="00B545FE" w:rsidRDefault="00B545FE" w:rsidP="00B545FE">
      <w:pPr>
        <w:spacing w:line="360" w:lineRule="auto"/>
        <w:ind w:left="720" w:hanging="720"/>
        <w:jc w:val="both"/>
        <w:rPr>
          <w:rtl/>
        </w:rPr>
      </w:pPr>
      <w:r>
        <w:rPr>
          <w:rFonts w:hint="cs"/>
          <w:rtl/>
        </w:rPr>
        <w:t>12.</w:t>
      </w:r>
      <w:r>
        <w:rPr>
          <w:rFonts w:hint="cs"/>
          <w:rtl/>
        </w:rPr>
        <w:tab/>
        <w:t xml:space="preserve">נטען שכבר מתחילת ההליך הועלתה טענה של אכיפה בררנית והסנגור חזר על טענת זו וטען שיש להקל בעונש על בסיסה. נטען שהיו מספר רב של עצורים בפרשה שכולם שוחררו מבלי שהוגש נגדם כתב אישום, למעט הנאשם. הטענה של אכיפה בררנית הועלתה בקשר לחשוד נוסף ששני העדים המרכזיים נגד הנאשם אישרו כי נשק החלוואני נרכש על ידו ולמרות זאת לא הוגש נגדו כתב אישום עד היום. </w:t>
      </w:r>
    </w:p>
    <w:p w14:paraId="010E4264" w14:textId="77777777" w:rsidR="00B545FE" w:rsidRDefault="00B545FE" w:rsidP="00B545FE">
      <w:pPr>
        <w:spacing w:line="360" w:lineRule="auto"/>
        <w:ind w:left="720"/>
        <w:jc w:val="both"/>
        <w:rPr>
          <w:rtl/>
        </w:rPr>
      </w:pPr>
    </w:p>
    <w:p w14:paraId="1B15A011" w14:textId="77777777" w:rsidR="00B545FE" w:rsidRDefault="00B545FE" w:rsidP="00B545FE">
      <w:pPr>
        <w:spacing w:line="360" w:lineRule="auto"/>
        <w:ind w:left="720" w:hanging="720"/>
        <w:jc w:val="both"/>
        <w:rPr>
          <w:rtl/>
        </w:rPr>
      </w:pPr>
      <w:r>
        <w:rPr>
          <w:rFonts w:hint="cs"/>
          <w:rtl/>
        </w:rPr>
        <w:t>13.</w:t>
      </w:r>
      <w:r>
        <w:rPr>
          <w:rFonts w:hint="cs"/>
          <w:rtl/>
        </w:rPr>
        <w:tab/>
        <w:t xml:space="preserve">באשר לעונשו של נצרי ח'ליפה נטען שיש להתעלם מהעונש שהוטל עליו, כאשר הוא בעל עבר פלילי מכביד, והסתבך בעבר בעבירות ביטחוניות חמורות וחזר לעסוק בעבירות נשק לאחר שחרורו. נטען שכתב האישום נגדו היה גם חמור יותר וכי אין ללמוד ממנו ביחס לנאשם. </w:t>
      </w:r>
    </w:p>
    <w:p w14:paraId="27AA6653" w14:textId="77777777" w:rsidR="00B545FE" w:rsidRDefault="00B545FE" w:rsidP="00B545FE">
      <w:pPr>
        <w:spacing w:line="360" w:lineRule="auto"/>
        <w:ind w:left="720"/>
        <w:jc w:val="both"/>
        <w:rPr>
          <w:rtl/>
        </w:rPr>
      </w:pPr>
    </w:p>
    <w:p w14:paraId="4F243B55" w14:textId="77777777" w:rsidR="00B545FE" w:rsidRDefault="00B545FE" w:rsidP="00B545FE">
      <w:pPr>
        <w:spacing w:line="360" w:lineRule="auto"/>
        <w:ind w:left="720" w:hanging="720"/>
        <w:jc w:val="both"/>
        <w:rPr>
          <w:rtl/>
        </w:rPr>
      </w:pPr>
      <w:r>
        <w:rPr>
          <w:rFonts w:hint="cs"/>
          <w:rtl/>
        </w:rPr>
        <w:t>14.</w:t>
      </w:r>
      <w:r>
        <w:rPr>
          <w:rFonts w:hint="cs"/>
          <w:rtl/>
        </w:rPr>
        <w:tab/>
        <w:t>באשר לתסקיר שירות המבחן נטען שעולה תמונה חיובית וכי הנאשם קיבל אחריות על מעשיו ונקבע גם שמעצרו היווה גורם מרתיע עבורו. כמו כן נקבע שכעולה מהתסקיר, המניע לביצוע העבירות היה מניע כלכלי ותו לא. נטען שאלמלא אופי העבירות והעובדה שהנאשם עצור עד תום ההליכים הייתה ניתנת המלצתה על תכנית שיקומית.</w:t>
      </w:r>
    </w:p>
    <w:p w14:paraId="3C04FE6A" w14:textId="77777777" w:rsidR="00B545FE" w:rsidRDefault="00B545FE" w:rsidP="00B545FE">
      <w:pPr>
        <w:spacing w:line="360" w:lineRule="auto"/>
        <w:ind w:left="720"/>
        <w:jc w:val="both"/>
        <w:rPr>
          <w:rtl/>
        </w:rPr>
      </w:pPr>
    </w:p>
    <w:p w14:paraId="26A0F217" w14:textId="77777777" w:rsidR="00B545FE" w:rsidRDefault="00B545FE" w:rsidP="00B545FE">
      <w:pPr>
        <w:spacing w:line="360" w:lineRule="auto"/>
        <w:ind w:left="720" w:hanging="720"/>
        <w:jc w:val="both"/>
        <w:rPr>
          <w:rtl/>
        </w:rPr>
      </w:pPr>
      <w:r>
        <w:rPr>
          <w:rFonts w:hint="cs"/>
          <w:rtl/>
        </w:rPr>
        <w:t>15.</w:t>
      </w:r>
      <w:r>
        <w:rPr>
          <w:rFonts w:hint="cs"/>
          <w:rtl/>
        </w:rPr>
        <w:tab/>
        <w:t xml:space="preserve">הסנגור חזר וטען שאקדח הסירקיס לא היה תקין כפי שעלה מעדות המומחה גירבץ' בחוות דעתו ונטען שהעדר התקינות צריכה לעמוד לזכותו של הנאשם. נטען עוד שהנשק הוסתר והוחבא ולא נעשה בו שימוש, דבר הפועל לזכותו של הנאשם ומהווה סיבה מקלה גם לפי הנחיות פרקליט המדינה. </w:t>
      </w:r>
    </w:p>
    <w:p w14:paraId="07741E12" w14:textId="77777777" w:rsidR="00B545FE" w:rsidRDefault="00B545FE" w:rsidP="00B545FE">
      <w:pPr>
        <w:spacing w:line="360" w:lineRule="auto"/>
        <w:ind w:left="720"/>
        <w:jc w:val="both"/>
        <w:rPr>
          <w:rtl/>
        </w:rPr>
      </w:pPr>
    </w:p>
    <w:p w14:paraId="0CB2577B" w14:textId="77777777" w:rsidR="00B545FE" w:rsidRDefault="00B545FE" w:rsidP="00B545FE">
      <w:pPr>
        <w:spacing w:line="360" w:lineRule="auto"/>
        <w:ind w:left="720" w:hanging="720"/>
        <w:jc w:val="both"/>
        <w:rPr>
          <w:rtl/>
        </w:rPr>
      </w:pPr>
      <w:r>
        <w:rPr>
          <w:rFonts w:hint="cs"/>
          <w:rtl/>
        </w:rPr>
        <w:t>16.</w:t>
      </w:r>
      <w:r>
        <w:rPr>
          <w:rFonts w:hint="cs"/>
          <w:rtl/>
        </w:rPr>
        <w:tab/>
        <w:t xml:space="preserve">ביחס לאישום השני נטען שהנחיות פרקליט המדינה מחייבות שהיא תעתור לעונש שהינו 6 חודשי עבודות שירות ועד 6 חודשי מאסר בפועל כיוון שמדובר בתחמושת ולא בנשק. </w:t>
      </w:r>
    </w:p>
    <w:p w14:paraId="30D2D357" w14:textId="77777777" w:rsidR="00B545FE" w:rsidRDefault="00B545FE" w:rsidP="00B545FE">
      <w:pPr>
        <w:spacing w:line="360" w:lineRule="auto"/>
        <w:ind w:left="720"/>
        <w:jc w:val="both"/>
        <w:rPr>
          <w:rtl/>
        </w:rPr>
      </w:pPr>
    </w:p>
    <w:p w14:paraId="2302794A" w14:textId="77777777" w:rsidR="00B545FE" w:rsidRDefault="00B545FE" w:rsidP="00B545FE">
      <w:pPr>
        <w:spacing w:line="360" w:lineRule="auto"/>
        <w:ind w:left="720" w:hanging="720"/>
        <w:jc w:val="both"/>
        <w:rPr>
          <w:rtl/>
        </w:rPr>
      </w:pPr>
      <w:r>
        <w:rPr>
          <w:rFonts w:hint="cs"/>
          <w:rtl/>
        </w:rPr>
        <w:t>17.</w:t>
      </w:r>
      <w:r>
        <w:rPr>
          <w:rFonts w:hint="cs"/>
          <w:rtl/>
        </w:rPr>
        <w:tab/>
        <w:t xml:space="preserve">מבחינת מדיניות הענישה נטען שבמקרים דומים הוטלו מנעד רחב של עונשים על הנאשמים: </w:t>
      </w:r>
    </w:p>
    <w:p w14:paraId="30F3C6B4" w14:textId="77777777" w:rsidR="00B545FE" w:rsidRDefault="00B545FE" w:rsidP="00B545FE">
      <w:pPr>
        <w:spacing w:line="360" w:lineRule="auto"/>
        <w:ind w:left="720"/>
        <w:jc w:val="both"/>
        <w:rPr>
          <w:rtl/>
        </w:rPr>
      </w:pPr>
    </w:p>
    <w:p w14:paraId="131AB16C" w14:textId="77777777" w:rsidR="00B545FE" w:rsidRDefault="00B545FE" w:rsidP="00B545FE">
      <w:pPr>
        <w:spacing w:line="360" w:lineRule="auto"/>
        <w:ind w:left="720"/>
        <w:jc w:val="both"/>
        <w:rPr>
          <w:rtl/>
        </w:rPr>
      </w:pPr>
      <w:r w:rsidRPr="009323E7">
        <w:rPr>
          <w:rFonts w:hint="cs"/>
          <w:rtl/>
        </w:rPr>
        <w:t>ב</w:t>
      </w:r>
      <w:hyperlink r:id="rId24" w:history="1">
        <w:r w:rsidR="004D1053" w:rsidRPr="004D1053">
          <w:rPr>
            <w:color w:val="0000FF"/>
            <w:u w:val="single"/>
            <w:rtl/>
          </w:rPr>
          <w:t>ע"פ  526/14</w:t>
        </w:r>
      </w:hyperlink>
      <w:r w:rsidRPr="009323E7">
        <w:rPr>
          <w:rFonts w:hint="cs"/>
          <w:rtl/>
        </w:rPr>
        <w:t xml:space="preserve"> </w:t>
      </w:r>
      <w:r w:rsidRPr="004B783D">
        <w:rPr>
          <w:b/>
          <w:bCs/>
          <w:rtl/>
        </w:rPr>
        <w:t>פלוני נ' מדינת ישראל</w:t>
      </w:r>
      <w:r w:rsidRPr="004B783D">
        <w:rPr>
          <w:rtl/>
        </w:rPr>
        <w:t xml:space="preserve"> </w:t>
      </w:r>
      <w:r w:rsidRPr="009323E7">
        <w:rPr>
          <w:rFonts w:hint="cs"/>
          <w:rtl/>
        </w:rPr>
        <w:t>(12.03.2014) התקבל ערעורו של נאשם שהורשע בעבירות החזקת נשק וסחר בנשק כאשר הוא מכר לסוכן אקדח יריחו ומחסנית תמורת 14,000 ₪.</w:t>
      </w:r>
      <w:r>
        <w:rPr>
          <w:rFonts w:hint="cs"/>
          <w:rtl/>
        </w:rPr>
        <w:t xml:space="preserve"> לאור פוטנציאל שיקומי הוקל עונשו ונגזרו עליו 16 חודשי מאסר בפועל חלף 22 חודשי מאסר בפועל.</w:t>
      </w:r>
    </w:p>
    <w:p w14:paraId="02154166" w14:textId="77777777" w:rsidR="00B545FE" w:rsidRDefault="00B545FE" w:rsidP="00B545FE">
      <w:pPr>
        <w:spacing w:line="360" w:lineRule="auto"/>
        <w:ind w:left="720"/>
        <w:jc w:val="both"/>
        <w:rPr>
          <w:rtl/>
        </w:rPr>
      </w:pPr>
    </w:p>
    <w:p w14:paraId="047A8C46" w14:textId="77777777" w:rsidR="00B545FE" w:rsidRDefault="00B545FE" w:rsidP="00B545FE">
      <w:pPr>
        <w:spacing w:line="360" w:lineRule="auto"/>
        <w:ind w:left="720"/>
        <w:jc w:val="both"/>
        <w:rPr>
          <w:rtl/>
        </w:rPr>
      </w:pPr>
      <w:r>
        <w:rPr>
          <w:rFonts w:hint="cs"/>
          <w:rtl/>
        </w:rPr>
        <w:t>ב</w:t>
      </w:r>
      <w:hyperlink r:id="rId25" w:history="1">
        <w:r w:rsidR="004D1053" w:rsidRPr="004D1053">
          <w:rPr>
            <w:color w:val="0000FF"/>
            <w:u w:val="single"/>
            <w:rtl/>
          </w:rPr>
          <w:t>ע"פ 5955/08</w:t>
        </w:r>
      </w:hyperlink>
      <w:r>
        <w:rPr>
          <w:rFonts w:hint="cs"/>
          <w:rtl/>
        </w:rPr>
        <w:t xml:space="preserve"> </w:t>
      </w:r>
      <w:r>
        <w:rPr>
          <w:rFonts w:hint="cs"/>
          <w:b/>
          <w:bCs/>
          <w:rtl/>
        </w:rPr>
        <w:t>ווג'די נ' מדינת ישראל,</w:t>
      </w:r>
      <w:r>
        <w:rPr>
          <w:rFonts w:hint="cs"/>
          <w:rtl/>
        </w:rPr>
        <w:t xml:space="preserve"> (23.10.2008) נדחה הערעור על חומרת העונש כאשר הערכאה הדיונית הטילה 8 חודשי מאסר בפועל בגין מכירת רימון רסס.</w:t>
      </w:r>
    </w:p>
    <w:p w14:paraId="6C63FEF8" w14:textId="77777777" w:rsidR="00B545FE" w:rsidRDefault="00B545FE" w:rsidP="00B545FE">
      <w:pPr>
        <w:spacing w:line="360" w:lineRule="auto"/>
        <w:ind w:left="720"/>
        <w:jc w:val="both"/>
        <w:rPr>
          <w:rtl/>
        </w:rPr>
      </w:pPr>
    </w:p>
    <w:p w14:paraId="53396100" w14:textId="77777777" w:rsidR="00B545FE" w:rsidRDefault="00B545FE" w:rsidP="00B545FE">
      <w:pPr>
        <w:spacing w:line="360" w:lineRule="auto"/>
        <w:ind w:left="720"/>
        <w:jc w:val="both"/>
        <w:rPr>
          <w:rtl/>
        </w:rPr>
      </w:pPr>
      <w:r>
        <w:rPr>
          <w:rFonts w:hint="cs"/>
          <w:rtl/>
        </w:rPr>
        <w:t>ב</w:t>
      </w:r>
      <w:hyperlink r:id="rId26" w:history="1">
        <w:r w:rsidR="004D1053" w:rsidRPr="004D1053">
          <w:rPr>
            <w:color w:val="0000FF"/>
            <w:u w:val="single"/>
            <w:rtl/>
          </w:rPr>
          <w:t>ת"פ 36381-05-15</w:t>
        </w:r>
      </w:hyperlink>
      <w:r>
        <w:rPr>
          <w:rFonts w:hint="cs"/>
          <w:rtl/>
        </w:rPr>
        <w:t xml:space="preserve"> </w:t>
      </w:r>
      <w:r>
        <w:rPr>
          <w:rFonts w:hint="cs"/>
          <w:b/>
          <w:bCs/>
          <w:rtl/>
        </w:rPr>
        <w:t>מדינת ישראל נ' אבו שנדי</w:t>
      </w:r>
      <w:r>
        <w:rPr>
          <w:rFonts w:hint="cs"/>
          <w:rtl/>
        </w:rPr>
        <w:t xml:space="preserve"> (31.12.2015) הורשע נאשם בעבירת סחר בנשק של מקלע מאולתר לסוכן משטרתי. נקבע מתחם בין 24-48 חודשי מאסר ושם נידון ל-28 חודשי מאסר בפועל. </w:t>
      </w:r>
    </w:p>
    <w:p w14:paraId="5B4B23BA" w14:textId="77777777" w:rsidR="00B545FE" w:rsidRDefault="00B545FE" w:rsidP="00B545FE">
      <w:pPr>
        <w:spacing w:line="360" w:lineRule="auto"/>
        <w:ind w:left="720"/>
        <w:jc w:val="both"/>
        <w:rPr>
          <w:rtl/>
        </w:rPr>
      </w:pPr>
    </w:p>
    <w:p w14:paraId="6CA67188" w14:textId="77777777" w:rsidR="00B545FE" w:rsidRDefault="00B545FE" w:rsidP="00B545FE">
      <w:pPr>
        <w:spacing w:line="360" w:lineRule="auto"/>
        <w:ind w:left="720"/>
        <w:jc w:val="both"/>
        <w:rPr>
          <w:rtl/>
        </w:rPr>
      </w:pPr>
      <w:r>
        <w:rPr>
          <w:rFonts w:hint="cs"/>
          <w:rtl/>
        </w:rPr>
        <w:t>ב</w:t>
      </w:r>
      <w:hyperlink r:id="rId27" w:history="1">
        <w:r w:rsidR="004D1053" w:rsidRPr="004D1053">
          <w:rPr>
            <w:color w:val="0000FF"/>
            <w:u w:val="single"/>
            <w:rtl/>
          </w:rPr>
          <w:t>ת"פ 54615-03-16</w:t>
        </w:r>
      </w:hyperlink>
      <w:r>
        <w:rPr>
          <w:rFonts w:hint="cs"/>
          <w:rtl/>
        </w:rPr>
        <w:t xml:space="preserve"> </w:t>
      </w:r>
      <w:r>
        <w:rPr>
          <w:rFonts w:hint="cs"/>
          <w:b/>
          <w:bCs/>
          <w:rtl/>
        </w:rPr>
        <w:t xml:space="preserve">מדינת ישראל נ' מוסטפה </w:t>
      </w:r>
      <w:r>
        <w:rPr>
          <w:rFonts w:hint="cs"/>
          <w:rtl/>
        </w:rPr>
        <w:t xml:space="preserve">(14.3.2017) הורשע הנאשם בעבירת סחר בתת מקלע מסוג קרלו תמורת 3,000 ₪ (אשר בהמשך הקונה ניסה לירות עמו ללא הצלחה). נקבע מתחם ענישה שבין 20-40 חודשי מאסר כאשר היה מדובר בצעיר נורמטיבי והוא נידון ל-24 חודשי מאסר. </w:t>
      </w:r>
    </w:p>
    <w:p w14:paraId="485E5BE0" w14:textId="77777777" w:rsidR="00B545FE" w:rsidRDefault="00B545FE" w:rsidP="00B545FE">
      <w:pPr>
        <w:spacing w:line="360" w:lineRule="auto"/>
        <w:ind w:left="720"/>
        <w:jc w:val="both"/>
        <w:rPr>
          <w:rtl/>
        </w:rPr>
      </w:pPr>
    </w:p>
    <w:p w14:paraId="66F788C0" w14:textId="77777777" w:rsidR="00B545FE" w:rsidRDefault="00B545FE" w:rsidP="00B545FE">
      <w:pPr>
        <w:spacing w:line="360" w:lineRule="auto"/>
        <w:ind w:left="720"/>
        <w:jc w:val="both"/>
        <w:rPr>
          <w:rtl/>
        </w:rPr>
      </w:pPr>
      <w:r>
        <w:rPr>
          <w:rFonts w:hint="cs"/>
          <w:rtl/>
        </w:rPr>
        <w:t>ב</w:t>
      </w:r>
      <w:hyperlink r:id="rId28" w:history="1">
        <w:r w:rsidR="004D1053" w:rsidRPr="004D1053">
          <w:rPr>
            <w:color w:val="0000FF"/>
            <w:u w:val="single"/>
            <w:rtl/>
          </w:rPr>
          <w:t>ת"פ 17707-04-14</w:t>
        </w:r>
      </w:hyperlink>
      <w:r>
        <w:rPr>
          <w:rFonts w:hint="cs"/>
          <w:rtl/>
        </w:rPr>
        <w:t xml:space="preserve"> </w:t>
      </w:r>
      <w:r>
        <w:rPr>
          <w:rFonts w:hint="cs"/>
          <w:b/>
          <w:bCs/>
          <w:rtl/>
        </w:rPr>
        <w:t>מדינת ישראל נ' פואקה</w:t>
      </w:r>
      <w:r>
        <w:rPr>
          <w:rFonts w:hint="cs"/>
          <w:rtl/>
        </w:rPr>
        <w:t xml:space="preserve">, (07.12.2014) הנאשם הורשע בגין מכירת אקדח, מחסנית וכדורים לסוכן משטרתי. נקבע מתחם שבין 18-36 חודשי מאסר ונגזרו 20 חודשי מאסר בפועל מתוך התחשבות בגילו הצעיר של הנאשם והעדר עבר פלילי. </w:t>
      </w:r>
    </w:p>
    <w:p w14:paraId="41460890" w14:textId="77777777" w:rsidR="00B545FE" w:rsidRDefault="00B545FE" w:rsidP="00B545FE">
      <w:pPr>
        <w:spacing w:line="360" w:lineRule="auto"/>
        <w:ind w:left="720"/>
        <w:jc w:val="both"/>
        <w:rPr>
          <w:rtl/>
        </w:rPr>
      </w:pPr>
    </w:p>
    <w:p w14:paraId="36C35BD9" w14:textId="77777777" w:rsidR="00B545FE" w:rsidRDefault="00B545FE" w:rsidP="00B545FE">
      <w:pPr>
        <w:spacing w:line="360" w:lineRule="auto"/>
        <w:ind w:left="720" w:hanging="720"/>
        <w:jc w:val="both"/>
        <w:rPr>
          <w:rtl/>
        </w:rPr>
      </w:pPr>
      <w:r>
        <w:rPr>
          <w:rFonts w:hint="cs"/>
          <w:rtl/>
        </w:rPr>
        <w:t>18.</w:t>
      </w:r>
      <w:r>
        <w:rPr>
          <w:rFonts w:hint="cs"/>
          <w:rtl/>
        </w:rPr>
        <w:tab/>
        <w:t xml:space="preserve">נטען שבמקרה דנן לא הוכח תכנון מתוחכם טרם ביצוע העבירות. באשר לנזק הצפוי נטען כי אמנם מכירת נשק ותחמושת מהווה סיכון לציבור, אך נטען שיש להתחשב ביחס לאישום הראשון והשני שהנשק שנתפס לא היה תקין ולא הגיע לידי עבריינים. ביחס לאירוע הראשון נטען שהנזק העיקרי אינו גדול, שהרי האקדח והתחמושת נמצאו לאחר שהוכח שלא בוצע בהם שימוש. נטען שאין מדובר בכתב אישום שקשור למניע אידיאולוגי או פגיעה בביטחון המדינה ומדובר במניע פלילי גרידא והפעלת שיקול דעת מוטעה, כאשר הנאשם סבר שיהיה רווח כלכלי בעבירות. נטען עוד שאין להסתכל על כל עסקה כאירוע נפרד, וכי יש לקבוע מתחם עונש אחד לשלושת האירועים מאחר ומדובר באותן זהויות שעמם ביצע הנאשם את העסקאות, כאשר הוא התעסק בנשק רק עם רביע ונצרי. נטען שעסקת הסחר באה בעקבות עסקת רכישת הקרלו, כאשר העסקה השנייה הייתה עבור מחסניות לאותו נשק בלתי תקין. נטען שהאישום השלישי מתייחס לחלוואני והינה עסקה עוקבת לעסקה קודמת עם אותן דמויות. </w:t>
      </w:r>
    </w:p>
    <w:p w14:paraId="7FA75E02" w14:textId="77777777" w:rsidR="00B545FE" w:rsidRDefault="00B545FE" w:rsidP="00B545FE">
      <w:pPr>
        <w:spacing w:line="360" w:lineRule="auto"/>
        <w:ind w:left="720"/>
        <w:jc w:val="both"/>
        <w:rPr>
          <w:rtl/>
        </w:rPr>
      </w:pPr>
    </w:p>
    <w:p w14:paraId="52CE6C2F" w14:textId="77777777" w:rsidR="00B545FE" w:rsidRDefault="00B545FE" w:rsidP="00B545FE">
      <w:pPr>
        <w:spacing w:line="360" w:lineRule="auto"/>
        <w:jc w:val="both"/>
        <w:rPr>
          <w:rtl/>
        </w:rPr>
      </w:pPr>
      <w:r>
        <w:rPr>
          <w:rFonts w:hint="cs"/>
          <w:rtl/>
        </w:rPr>
        <w:t>19.</w:t>
      </w:r>
      <w:r>
        <w:rPr>
          <w:rFonts w:hint="cs"/>
          <w:rtl/>
        </w:rPr>
        <w:tab/>
        <w:t xml:space="preserve">בהתחשב שכל השיקולים שנמנו נטען למתחם ענישה הולם שבין 10-24 חודשים. </w:t>
      </w:r>
    </w:p>
    <w:p w14:paraId="541931D9" w14:textId="77777777" w:rsidR="00B545FE" w:rsidRDefault="00B545FE" w:rsidP="00B545FE">
      <w:pPr>
        <w:spacing w:line="360" w:lineRule="auto"/>
        <w:ind w:left="720"/>
        <w:jc w:val="both"/>
        <w:rPr>
          <w:rtl/>
        </w:rPr>
      </w:pPr>
      <w:r>
        <w:rPr>
          <w:rFonts w:hint="cs"/>
          <w:rtl/>
        </w:rPr>
        <w:t xml:space="preserve">ביחס לנסיבותיו האישיות של הנאשם נטען שזוהי הסתבכותו הראשונה עם החוק. צוין שהנאשם הודה והביע חרטה עמוקה על מעשיו. נטען שהנאשם החליט לחזור לדרך חיים נורמטיבית ועובדה היא שהוא הקים עסק להרכבת פיגומים באופן מוצלח. הוזכר פעם נוספת שמדובר בעבירות שבוצעו בין 2013-2015 ושמאז לא עסק הנאשם בפלילי. </w:t>
      </w:r>
    </w:p>
    <w:p w14:paraId="659A2573" w14:textId="77777777" w:rsidR="00B545FE" w:rsidRDefault="00B545FE" w:rsidP="00B545FE">
      <w:pPr>
        <w:spacing w:line="360" w:lineRule="auto"/>
        <w:ind w:left="720"/>
        <w:jc w:val="both"/>
        <w:rPr>
          <w:rtl/>
        </w:rPr>
      </w:pPr>
    </w:p>
    <w:p w14:paraId="659BA1E3" w14:textId="77777777" w:rsidR="00B545FE" w:rsidRDefault="00B545FE" w:rsidP="00B545FE">
      <w:pPr>
        <w:spacing w:line="360" w:lineRule="auto"/>
        <w:ind w:left="720" w:hanging="720"/>
        <w:jc w:val="both"/>
        <w:rPr>
          <w:rtl/>
        </w:rPr>
      </w:pPr>
      <w:r>
        <w:rPr>
          <w:rFonts w:hint="cs"/>
          <w:rtl/>
        </w:rPr>
        <w:t>20.</w:t>
      </w:r>
      <w:r>
        <w:rPr>
          <w:rFonts w:hint="cs"/>
          <w:rtl/>
        </w:rPr>
        <w:tab/>
        <w:t xml:space="preserve">ביחס לעונש בתוך המתחם נטען שיש להתחשב בתנאי המעצר בהם שהה הנאשם, בתסקיר החיובי ובהעדר עבר פלילי ולקבוע עונש במדרג נמוך של המתחם, דהיינו להסתפק בתקופת המעצר או לחילופין לאור סיכויי שיקום גבוהים להסתפק בתקופת המעצר. </w:t>
      </w:r>
    </w:p>
    <w:p w14:paraId="1E9E7DFF" w14:textId="77777777" w:rsidR="00B545FE" w:rsidRDefault="00B545FE" w:rsidP="00B545FE">
      <w:pPr>
        <w:spacing w:line="360" w:lineRule="auto"/>
        <w:jc w:val="both"/>
        <w:rPr>
          <w:rtl/>
        </w:rPr>
      </w:pPr>
    </w:p>
    <w:p w14:paraId="41547521" w14:textId="77777777" w:rsidR="00B545FE" w:rsidRDefault="00B545FE" w:rsidP="00B545FE">
      <w:pPr>
        <w:spacing w:line="360" w:lineRule="auto"/>
        <w:jc w:val="both"/>
        <w:rPr>
          <w:rtl/>
        </w:rPr>
      </w:pPr>
    </w:p>
    <w:p w14:paraId="601E567E" w14:textId="77777777" w:rsidR="00B545FE" w:rsidRDefault="00B545FE" w:rsidP="00B545FE">
      <w:pPr>
        <w:spacing w:line="360" w:lineRule="auto"/>
        <w:jc w:val="both"/>
        <w:rPr>
          <w:rtl/>
        </w:rPr>
      </w:pPr>
    </w:p>
    <w:p w14:paraId="06E90202" w14:textId="77777777" w:rsidR="00B545FE" w:rsidRDefault="00B545FE" w:rsidP="00B545FE">
      <w:pPr>
        <w:spacing w:line="360" w:lineRule="auto"/>
        <w:jc w:val="both"/>
        <w:rPr>
          <w:rtl/>
        </w:rPr>
      </w:pPr>
    </w:p>
    <w:p w14:paraId="33FEBF39" w14:textId="77777777" w:rsidR="00B545FE" w:rsidRDefault="00B545FE" w:rsidP="00B545FE">
      <w:pPr>
        <w:spacing w:line="360" w:lineRule="auto"/>
        <w:jc w:val="both"/>
        <w:rPr>
          <w:rtl/>
        </w:rPr>
      </w:pPr>
    </w:p>
    <w:p w14:paraId="4EFAC5E6" w14:textId="77777777" w:rsidR="00B545FE" w:rsidRDefault="00B545FE" w:rsidP="00B545FE">
      <w:pPr>
        <w:spacing w:line="360" w:lineRule="auto"/>
        <w:jc w:val="both"/>
        <w:rPr>
          <w:b/>
          <w:bCs/>
          <w:u w:val="single"/>
          <w:rtl/>
        </w:rPr>
      </w:pPr>
      <w:r>
        <w:rPr>
          <w:rFonts w:hint="cs"/>
          <w:b/>
          <w:bCs/>
          <w:u w:val="single"/>
          <w:rtl/>
        </w:rPr>
        <w:t>דיון</w:t>
      </w:r>
    </w:p>
    <w:p w14:paraId="0586DA61" w14:textId="77777777" w:rsidR="00B545FE" w:rsidRPr="005B62C3" w:rsidRDefault="00B545FE" w:rsidP="00B545FE">
      <w:pPr>
        <w:spacing w:line="360" w:lineRule="auto"/>
        <w:jc w:val="both"/>
        <w:rPr>
          <w:b/>
          <w:bCs/>
          <w:u w:val="single"/>
          <w:rtl/>
        </w:rPr>
      </w:pPr>
      <w:r>
        <w:rPr>
          <w:rFonts w:hint="cs"/>
          <w:b/>
          <w:bCs/>
          <w:u w:val="single"/>
          <w:rtl/>
        </w:rPr>
        <w:t>תסקיר המבחן</w:t>
      </w:r>
    </w:p>
    <w:p w14:paraId="21747C34" w14:textId="77777777" w:rsidR="00B545FE" w:rsidRDefault="00B545FE" w:rsidP="00B545FE">
      <w:pPr>
        <w:spacing w:line="360" w:lineRule="auto"/>
        <w:ind w:left="720"/>
        <w:jc w:val="both"/>
        <w:rPr>
          <w:rtl/>
        </w:rPr>
      </w:pPr>
    </w:p>
    <w:p w14:paraId="0CCD9CE1" w14:textId="77777777" w:rsidR="00B545FE" w:rsidRDefault="00B545FE" w:rsidP="00B545FE">
      <w:pPr>
        <w:spacing w:line="360" w:lineRule="auto"/>
        <w:ind w:left="720" w:hanging="720"/>
        <w:jc w:val="both"/>
        <w:rPr>
          <w:rtl/>
        </w:rPr>
      </w:pPr>
      <w:r>
        <w:rPr>
          <w:rFonts w:hint="cs"/>
          <w:rtl/>
        </w:rPr>
        <w:t>22.</w:t>
      </w:r>
      <w:r>
        <w:rPr>
          <w:rFonts w:hint="cs"/>
          <w:rtl/>
        </w:rPr>
        <w:tab/>
        <w:t xml:space="preserve">ביום 23.3.2018 הוגש תסקיר. תואר שהנאשם בן 27, רווק שעד למעצרו התגורר בבית הוריו בסכנין וניהל עסק להשכרת פיגומים יחד עם אחיו. תואר שהוא גדל בתנאי חיים קשים, שאביו סבל מהתמכרות לסמים ומחלה נפשית. הנאשם סיים 12 שנות לימוד במגמת אוטוטרוניקה. הוא עבד בעבודות כפיים שונות לאחר סיום הלימודים, עד לפתיחת העסק על ידו. ביחס לקבלת אחריות עבור ביצוע העבירות התרשם שירות המבחן שהנאשם מצמצם בחלקו ואינו מבין לעומק את חומרת מעשיו. בשיחה הוא גילה מודעות מסוימות לבעייתיות בהתנהגותו בלבד. הוערך שהמעצר והליכים היוו עבורו גורם מטלטל. הוערך עוד שהרקע לביצוע עבירות היה רצון לרווח כספי קל ומהיר והגברת תחושת הביטחון העצמי והגבריות. </w:t>
      </w:r>
    </w:p>
    <w:p w14:paraId="470809E0" w14:textId="77777777" w:rsidR="00B545FE" w:rsidRDefault="00B545FE" w:rsidP="00B545FE">
      <w:pPr>
        <w:spacing w:line="360" w:lineRule="auto"/>
        <w:ind w:left="720"/>
        <w:jc w:val="both"/>
        <w:rPr>
          <w:rtl/>
        </w:rPr>
      </w:pPr>
    </w:p>
    <w:p w14:paraId="1A6FC1AD" w14:textId="77777777" w:rsidR="00B545FE" w:rsidRDefault="00B545FE" w:rsidP="00B545FE">
      <w:pPr>
        <w:spacing w:line="360" w:lineRule="auto"/>
        <w:ind w:left="720" w:hanging="720"/>
        <w:jc w:val="both"/>
        <w:rPr>
          <w:rtl/>
        </w:rPr>
      </w:pPr>
      <w:r>
        <w:rPr>
          <w:rFonts w:hint="cs"/>
          <w:rtl/>
        </w:rPr>
        <w:t>23.</w:t>
      </w:r>
      <w:r>
        <w:rPr>
          <w:rFonts w:hint="cs"/>
          <w:rtl/>
        </w:rPr>
        <w:tab/>
        <w:t xml:space="preserve">שירות המבחן התרשם שהנאשם נושא באחריות לעבירות שמיוחסות לו למרות הצמצום שהוא נוקט ביחס אליהן. בסיכומו של דבר, הומלץ על ענישה מוחשית שתתחשב בתקופת המעצר הממושכת. לאור חומרת העבירות לא הומלץ על חלופות ענישה או שיקום אף הומלץ שיתאפשר לו להשתלב במסגרת מאסרו בתכניות שיקומיות טיפוליות במידה ויבקש זאת. </w:t>
      </w:r>
    </w:p>
    <w:p w14:paraId="4C65C185" w14:textId="77777777" w:rsidR="00B545FE" w:rsidRDefault="00B545FE" w:rsidP="00B545FE">
      <w:pPr>
        <w:spacing w:line="360" w:lineRule="auto"/>
        <w:ind w:left="720"/>
        <w:jc w:val="both"/>
        <w:rPr>
          <w:rtl/>
        </w:rPr>
      </w:pPr>
    </w:p>
    <w:p w14:paraId="76BDE394" w14:textId="77777777" w:rsidR="00B545FE" w:rsidRDefault="00B545FE" w:rsidP="00B545FE">
      <w:pPr>
        <w:spacing w:line="360" w:lineRule="auto"/>
        <w:ind w:left="720" w:hanging="720"/>
        <w:jc w:val="both"/>
        <w:rPr>
          <w:b/>
          <w:bCs/>
          <w:rtl/>
        </w:rPr>
      </w:pPr>
      <w:r>
        <w:rPr>
          <w:rFonts w:hint="cs"/>
          <w:rtl/>
        </w:rPr>
        <w:t>24.</w:t>
      </w:r>
      <w:r>
        <w:rPr>
          <w:rFonts w:hint="cs"/>
          <w:rtl/>
        </w:rPr>
        <w:tab/>
        <w:t>הערכים החברתיים המוגנים שנפגעו היו שלום הציבור ושמירה על בטחונו. אין צורך להכביר מילים על חומרתן של כל סוגי עבירות הנשק (</w:t>
      </w:r>
      <w:hyperlink r:id="rId29" w:history="1">
        <w:r w:rsidR="004D1053" w:rsidRPr="004D1053">
          <w:rPr>
            <w:color w:val="0000FF"/>
            <w:u w:val="single"/>
            <w:rtl/>
          </w:rPr>
          <w:t>ע"פ 5220/09</w:t>
        </w:r>
      </w:hyperlink>
      <w:r>
        <w:rPr>
          <w:rFonts w:hint="cs"/>
          <w:rtl/>
        </w:rPr>
        <w:t xml:space="preserve"> </w:t>
      </w:r>
      <w:r>
        <w:rPr>
          <w:rFonts w:hint="cs"/>
          <w:b/>
          <w:bCs/>
          <w:rtl/>
        </w:rPr>
        <w:t>היתם עוואדה נ' מדינת ישראל).</w:t>
      </w:r>
    </w:p>
    <w:p w14:paraId="6DD0A3EB" w14:textId="77777777" w:rsidR="00B545FE" w:rsidRDefault="00B545FE" w:rsidP="00B545FE">
      <w:pPr>
        <w:spacing w:line="360" w:lineRule="auto"/>
        <w:ind w:left="720"/>
        <w:jc w:val="both"/>
        <w:rPr>
          <w:b/>
          <w:bCs/>
          <w:rtl/>
        </w:rPr>
      </w:pPr>
    </w:p>
    <w:p w14:paraId="782D51A6" w14:textId="77777777" w:rsidR="00B545FE" w:rsidRDefault="00B545FE" w:rsidP="00B545FE">
      <w:pPr>
        <w:spacing w:line="360" w:lineRule="auto"/>
        <w:ind w:left="720" w:hanging="720"/>
        <w:jc w:val="both"/>
        <w:rPr>
          <w:rtl/>
        </w:rPr>
      </w:pPr>
      <w:r>
        <w:rPr>
          <w:rFonts w:hint="cs"/>
          <w:rtl/>
        </w:rPr>
        <w:t>25.</w:t>
      </w:r>
      <w:r>
        <w:rPr>
          <w:rFonts w:hint="cs"/>
          <w:rtl/>
        </w:rPr>
        <w:tab/>
      </w:r>
      <w:r w:rsidRPr="00B948E8">
        <w:rPr>
          <w:rFonts w:hint="cs"/>
          <w:rtl/>
        </w:rPr>
        <w:t xml:space="preserve">במקרה דנן </w:t>
      </w:r>
      <w:r>
        <w:rPr>
          <w:rFonts w:hint="cs"/>
          <w:rtl/>
        </w:rPr>
        <w:t xml:space="preserve">עסק הנאשם בעבירות נשק משך תקופה לא מבוטלת במספר עסקאות, כך שהפגיעה בערכים הייתה משמעותית. ברור שהיה דרוש תכנון כדי לבצע את העסקאות אף כי אין מדובר על פי עובדות המקרה בתכנון מתוחכם. בכל מקרה, חלקו היחסי של הנאשם בביצוע העבירות היה משמעותי ביותר, היה צפוי להגרם נזק משמעותי לאור העובדה כי בנשק חם עסקינן, אם כי במקרה זה נראה שהנשקים נותרו טמונים וחבויים ולא נעשה בהם שימוש. הסיבות שהביאו את הנאשם לביצוע העבירות היו פסולות, כאשר בעניין זה יש לסווג את החומרה בכך שהמטרה הייתה כפי הנראה רווח כלכלי ולא מטרה אחרת. הנאשם היה מסוגל להבין בנקל שמעשיו פסולים והיה מסוגל להימנע מביצוע העבירות בכל שלב. </w:t>
      </w:r>
    </w:p>
    <w:p w14:paraId="7DA24111" w14:textId="77777777" w:rsidR="00B545FE" w:rsidRDefault="00B545FE" w:rsidP="00B545FE">
      <w:pPr>
        <w:spacing w:line="360" w:lineRule="auto"/>
        <w:ind w:left="720"/>
        <w:jc w:val="both"/>
        <w:rPr>
          <w:rtl/>
        </w:rPr>
      </w:pPr>
    </w:p>
    <w:p w14:paraId="54A71B71" w14:textId="77777777" w:rsidR="00B545FE" w:rsidRDefault="00B545FE" w:rsidP="00B545FE">
      <w:pPr>
        <w:spacing w:line="360" w:lineRule="auto"/>
        <w:ind w:left="720" w:hanging="720"/>
        <w:jc w:val="both"/>
        <w:rPr>
          <w:rtl/>
        </w:rPr>
      </w:pPr>
      <w:r>
        <w:rPr>
          <w:rFonts w:hint="cs"/>
          <w:rtl/>
        </w:rPr>
        <w:t>26.</w:t>
      </w:r>
      <w:r>
        <w:rPr>
          <w:rFonts w:hint="cs"/>
          <w:rtl/>
        </w:rPr>
        <w:tab/>
        <w:t xml:space="preserve">באשר לשאלה אם מדובר באירוע אחד או מספר אירועים נראה לי שיש לסווג את המקרה כאירוע אחד מתמשך לאור העובדה כי בכל פעם בוצעה עסקה מול אותם צדדים. </w:t>
      </w:r>
    </w:p>
    <w:p w14:paraId="29D4980B" w14:textId="77777777" w:rsidR="00B545FE" w:rsidRDefault="00B545FE" w:rsidP="00B545FE">
      <w:pPr>
        <w:spacing w:line="360" w:lineRule="auto"/>
        <w:ind w:left="720"/>
        <w:jc w:val="both"/>
        <w:rPr>
          <w:rtl/>
        </w:rPr>
      </w:pPr>
    </w:p>
    <w:p w14:paraId="5BD9973D" w14:textId="77777777" w:rsidR="00B545FE" w:rsidRDefault="00B545FE" w:rsidP="00B545FE">
      <w:pPr>
        <w:spacing w:line="360" w:lineRule="auto"/>
        <w:ind w:left="720" w:hanging="720"/>
        <w:jc w:val="both"/>
        <w:rPr>
          <w:rtl/>
        </w:rPr>
      </w:pPr>
      <w:r>
        <w:rPr>
          <w:rFonts w:hint="cs"/>
          <w:rtl/>
        </w:rPr>
        <w:t>27.</w:t>
      </w:r>
      <w:r>
        <w:rPr>
          <w:rFonts w:hint="cs"/>
          <w:rtl/>
        </w:rPr>
        <w:tab/>
        <w:t>הגעתי למסקנה שמתחם הענישה ההולם בגין האישום הראשון נמצא בין 3-6 שנות מאסר בפועל (כאשר המקרה פחות חמור ממקרהו של חליפה).</w:t>
      </w:r>
    </w:p>
    <w:p w14:paraId="458BF6AC" w14:textId="77777777" w:rsidR="00B545FE" w:rsidRDefault="00B545FE" w:rsidP="00B545FE">
      <w:pPr>
        <w:spacing w:line="360" w:lineRule="auto"/>
        <w:ind w:left="720" w:hanging="720"/>
        <w:jc w:val="both"/>
        <w:rPr>
          <w:rtl/>
        </w:rPr>
      </w:pPr>
      <w:r>
        <w:rPr>
          <w:rFonts w:hint="cs"/>
          <w:rtl/>
        </w:rPr>
        <w:t>28.</w:t>
      </w:r>
      <w:r>
        <w:rPr>
          <w:rFonts w:hint="cs"/>
          <w:rtl/>
        </w:rPr>
        <w:tab/>
        <w:t>מתוך המתחם יש להתחשב בעיקר בתקופה המעצר הארוכה, בהודיית הנאשם בסופו של דבר, בהרתעה שצוינה לגבי מעצרו, בהעדר עבר פלילי קודם, גילו הצעיר יחסית והעובדה שמאז ביצוע העבירות ועד למעצרו הוא לא המשיך לעסוק בסחר בנשק, אלא פתח עסק רגיל וחוקי עם בן משפחה. יש בכך כדי להראות על תחילת התנתקות מדרך חיים פלילית. מכאן החלטתי שיש להטיל ענישה מרתיעה אך ברף הנמוך יותר של המתחם. כמו כן יש להתחשב בעובדה כי חלפה תקופה מאז ביצוע העבירות ועד למעצרו של הנאשם במהלכה כפי הנראה לא חזר על אותה פעילות.</w:t>
      </w:r>
    </w:p>
    <w:p w14:paraId="2582F376" w14:textId="77777777" w:rsidR="00B545FE" w:rsidRDefault="00B545FE" w:rsidP="00B545FE">
      <w:pPr>
        <w:spacing w:line="360" w:lineRule="auto"/>
        <w:jc w:val="both"/>
        <w:rPr>
          <w:rtl/>
        </w:rPr>
      </w:pPr>
    </w:p>
    <w:p w14:paraId="2BC2BA94" w14:textId="77777777" w:rsidR="00B545FE" w:rsidRPr="00BE312A" w:rsidRDefault="00B545FE" w:rsidP="00B545FE">
      <w:pPr>
        <w:spacing w:line="360" w:lineRule="auto"/>
        <w:jc w:val="both"/>
        <w:rPr>
          <w:b/>
          <w:bCs/>
          <w:u w:val="single"/>
          <w:rtl/>
        </w:rPr>
      </w:pPr>
      <w:r w:rsidRPr="00BE312A">
        <w:rPr>
          <w:rFonts w:hint="cs"/>
          <w:b/>
          <w:bCs/>
          <w:u w:val="single"/>
          <w:rtl/>
        </w:rPr>
        <w:t>מכל האמור הגעתי למסקנה שיש להטיל עונשים כדלקמן:</w:t>
      </w:r>
    </w:p>
    <w:p w14:paraId="687C88E5" w14:textId="77777777" w:rsidR="00B545FE" w:rsidRDefault="00B545FE" w:rsidP="00B545FE">
      <w:pPr>
        <w:spacing w:line="360" w:lineRule="auto"/>
        <w:jc w:val="both"/>
        <w:rPr>
          <w:rtl/>
        </w:rPr>
      </w:pPr>
    </w:p>
    <w:p w14:paraId="0C9C9DD3" w14:textId="77777777" w:rsidR="00B545FE" w:rsidRDefault="00B545FE" w:rsidP="00B545FE">
      <w:pPr>
        <w:spacing w:line="360" w:lineRule="auto"/>
        <w:jc w:val="both"/>
        <w:rPr>
          <w:rtl/>
        </w:rPr>
      </w:pPr>
      <w:r>
        <w:rPr>
          <w:rFonts w:hint="cs"/>
          <w:rtl/>
        </w:rPr>
        <w:t>א.</w:t>
      </w:r>
      <w:r>
        <w:rPr>
          <w:rFonts w:hint="cs"/>
          <w:rtl/>
        </w:rPr>
        <w:tab/>
        <w:t>מאסר בפועל לתקופה של 4 שנים מהם תנוכה תקופה המעצר החל מיום 23.4.17</w:t>
      </w:r>
    </w:p>
    <w:p w14:paraId="6F5F58F4" w14:textId="77777777" w:rsidR="00B545FE" w:rsidRDefault="00B545FE" w:rsidP="00B545FE">
      <w:pPr>
        <w:spacing w:line="360" w:lineRule="auto"/>
        <w:jc w:val="both"/>
        <w:rPr>
          <w:rtl/>
        </w:rPr>
      </w:pPr>
    </w:p>
    <w:p w14:paraId="37E47669" w14:textId="77777777" w:rsidR="00B545FE" w:rsidRDefault="00B545FE" w:rsidP="00B545FE">
      <w:pPr>
        <w:spacing w:line="360" w:lineRule="auto"/>
        <w:ind w:left="720" w:hanging="720"/>
        <w:jc w:val="both"/>
        <w:rPr>
          <w:rtl/>
        </w:rPr>
      </w:pPr>
      <w:r>
        <w:rPr>
          <w:rFonts w:hint="cs"/>
          <w:rtl/>
        </w:rPr>
        <w:t>ב.</w:t>
      </w:r>
      <w:r>
        <w:rPr>
          <w:rFonts w:hint="cs"/>
          <w:rtl/>
        </w:rPr>
        <w:tab/>
        <w:t>מאסר על תנאי לתקופה של 12 חודשים למשך 3 שנים מיום שחרורו של הנאשם כאשר התנאי יופעל במידה והנאשם מבצע עבירות נשק מסוג פשע.</w:t>
      </w:r>
    </w:p>
    <w:p w14:paraId="529F7807" w14:textId="77777777" w:rsidR="00B545FE" w:rsidRDefault="00B545FE" w:rsidP="00B545FE">
      <w:pPr>
        <w:spacing w:line="360" w:lineRule="auto"/>
        <w:jc w:val="both"/>
        <w:rPr>
          <w:rtl/>
        </w:rPr>
      </w:pPr>
    </w:p>
    <w:p w14:paraId="4ACC953C" w14:textId="77777777" w:rsidR="00B545FE" w:rsidRPr="00B05847" w:rsidRDefault="00B545FE" w:rsidP="00B545FE">
      <w:pPr>
        <w:spacing w:line="360" w:lineRule="auto"/>
        <w:jc w:val="both"/>
        <w:rPr>
          <w:rtl/>
        </w:rPr>
      </w:pPr>
      <w:r>
        <w:rPr>
          <w:rFonts w:hint="cs"/>
          <w:rtl/>
        </w:rPr>
        <w:t>ג.</w:t>
      </w:r>
      <w:r>
        <w:rPr>
          <w:rFonts w:hint="cs"/>
          <w:rtl/>
        </w:rPr>
        <w:tab/>
        <w:t>קנס בסך 15,000 ₪ לתשלום עד ליום 31.12.18.</w:t>
      </w:r>
    </w:p>
    <w:p w14:paraId="2585FFD5" w14:textId="77777777" w:rsidR="00B545FE" w:rsidRPr="00B05847" w:rsidRDefault="00B545FE" w:rsidP="00B545FE">
      <w:pPr>
        <w:jc w:val="both"/>
        <w:rPr>
          <w:rtl/>
        </w:rPr>
      </w:pPr>
    </w:p>
    <w:p w14:paraId="20B44A79" w14:textId="77777777" w:rsidR="00B545FE" w:rsidRPr="004D1053" w:rsidRDefault="004D1053" w:rsidP="00B545FE">
      <w:pPr>
        <w:rPr>
          <w:color w:val="FFFFFF"/>
          <w:sz w:val="2"/>
          <w:szCs w:val="2"/>
          <w:rtl/>
        </w:rPr>
      </w:pPr>
      <w:r w:rsidRPr="004D1053">
        <w:rPr>
          <w:color w:val="FFFFFF"/>
          <w:sz w:val="2"/>
          <w:szCs w:val="2"/>
          <w:rtl/>
        </w:rPr>
        <w:t>5129371</w:t>
      </w:r>
    </w:p>
    <w:p w14:paraId="3F99D15C" w14:textId="77777777" w:rsidR="00B545FE" w:rsidRDefault="004D1053" w:rsidP="00B545FE">
      <w:pPr>
        <w:rPr>
          <w:rFonts w:cs="FrankRuehl"/>
          <w:sz w:val="28"/>
          <w:szCs w:val="28"/>
          <w:rtl/>
        </w:rPr>
      </w:pPr>
      <w:r w:rsidRPr="004D1053">
        <w:rPr>
          <w:rFonts w:ascii="Arial" w:hAnsi="Arial"/>
          <w:color w:val="FFFFFF"/>
          <w:sz w:val="2"/>
          <w:szCs w:val="2"/>
          <w:rtl/>
        </w:rPr>
        <w:t>54678313</w:t>
      </w:r>
      <w:r>
        <w:rPr>
          <w:rFonts w:ascii="Arial" w:hAnsi="Arial"/>
          <w:rtl/>
        </w:rPr>
        <w:t xml:space="preserve">ניתן היום,  ט"ו אייר תשע"ח, 30 אפריל 2018, בהעדר הצדדים. </w:t>
      </w:r>
    </w:p>
    <w:p w14:paraId="0B018241" w14:textId="77777777" w:rsidR="00B545FE" w:rsidRDefault="00B545FE" w:rsidP="00B545F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3EEA432" w14:textId="77777777" w:rsidR="00B545FE" w:rsidRDefault="00B545FE" w:rsidP="00B545FE">
      <w:pPr>
        <w:jc w:val="center"/>
        <w:rPr>
          <w:rFonts w:ascii="Arial" w:hAnsi="Arial" w:cs="FrankRuehl"/>
          <w:sz w:val="28"/>
          <w:szCs w:val="28"/>
          <w:rtl/>
        </w:rPr>
      </w:pPr>
    </w:p>
    <w:p w14:paraId="051DEEEE" w14:textId="77777777" w:rsidR="00B545FE" w:rsidRDefault="00B545FE" w:rsidP="00B545FE">
      <w:pPr>
        <w:rPr>
          <w:rFonts w:cs="FrankRuehl"/>
          <w:sz w:val="28"/>
          <w:szCs w:val="28"/>
          <w:rtl/>
        </w:rPr>
      </w:pPr>
    </w:p>
    <w:p w14:paraId="6863CEFD" w14:textId="77777777" w:rsidR="00B545FE" w:rsidRPr="00EF38E0" w:rsidRDefault="00EF38E0" w:rsidP="00B545FE">
      <w:pPr>
        <w:pStyle w:val="a3"/>
        <w:jc w:val="center"/>
        <w:rPr>
          <w:color w:val="FFFFFF"/>
          <w:sz w:val="2"/>
          <w:szCs w:val="2"/>
          <w:rtl/>
        </w:rPr>
      </w:pPr>
      <w:r w:rsidRPr="00EF38E0">
        <w:rPr>
          <w:color w:val="FFFFFF"/>
          <w:sz w:val="2"/>
          <w:szCs w:val="2"/>
          <w:rtl/>
        </w:rPr>
        <w:t>5129371</w:t>
      </w:r>
    </w:p>
    <w:p w14:paraId="5808B865" w14:textId="77777777" w:rsidR="002D7B2F" w:rsidRPr="00EF38E0" w:rsidRDefault="00EF38E0" w:rsidP="004D1053">
      <w:pPr>
        <w:keepNext/>
        <w:rPr>
          <w:rFonts w:ascii="David" w:hAnsi="David"/>
          <w:color w:val="FFFFFF"/>
          <w:sz w:val="2"/>
          <w:szCs w:val="2"/>
          <w:rtl/>
        </w:rPr>
      </w:pPr>
      <w:r w:rsidRPr="00EF38E0">
        <w:rPr>
          <w:rFonts w:ascii="David" w:hAnsi="David"/>
          <w:color w:val="FFFFFF"/>
          <w:sz w:val="2"/>
          <w:szCs w:val="2"/>
          <w:rtl/>
        </w:rPr>
        <w:t>54678313</w:t>
      </w:r>
    </w:p>
    <w:p w14:paraId="6196D787" w14:textId="77777777" w:rsidR="004D1053" w:rsidRPr="004D1053" w:rsidRDefault="004D1053" w:rsidP="004D1053">
      <w:pPr>
        <w:keepNext/>
        <w:rPr>
          <w:rFonts w:ascii="David" w:hAnsi="David"/>
          <w:color w:val="000000"/>
          <w:sz w:val="22"/>
          <w:szCs w:val="22"/>
          <w:rtl/>
        </w:rPr>
      </w:pPr>
      <w:r w:rsidRPr="004D1053">
        <w:rPr>
          <w:rFonts w:ascii="David" w:hAnsi="David"/>
          <w:color w:val="000000"/>
          <w:sz w:val="22"/>
          <w:szCs w:val="22"/>
          <w:rtl/>
        </w:rPr>
        <w:t>דניאל פיש 54678313</w:t>
      </w:r>
    </w:p>
    <w:p w14:paraId="72D731E7" w14:textId="77777777" w:rsidR="004D1053" w:rsidRDefault="004D1053" w:rsidP="004D1053">
      <w:r w:rsidRPr="004D1053">
        <w:rPr>
          <w:color w:val="000000"/>
          <w:rtl/>
        </w:rPr>
        <w:t>נוסח מסמך זה כפוף לשינויי ניסוח ועריכה</w:t>
      </w:r>
    </w:p>
    <w:p w14:paraId="44A25F48" w14:textId="77777777" w:rsidR="004D1053" w:rsidRDefault="004D1053" w:rsidP="004D1053">
      <w:pPr>
        <w:rPr>
          <w:rtl/>
        </w:rPr>
      </w:pPr>
    </w:p>
    <w:p w14:paraId="242E2A72" w14:textId="77777777" w:rsidR="004D1053" w:rsidRDefault="004D1053" w:rsidP="004D1053">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1A1F105D" w14:textId="77777777" w:rsidR="004D1053" w:rsidRPr="004D1053" w:rsidRDefault="004D1053" w:rsidP="00EF38E0">
      <w:pPr>
        <w:rPr>
          <w:color w:val="0000FF"/>
          <w:u w:val="single"/>
        </w:rPr>
      </w:pPr>
    </w:p>
    <w:sectPr w:rsidR="004D1053" w:rsidRPr="004D1053" w:rsidSect="00EF38E0">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323C9" w14:textId="77777777" w:rsidR="00E66BF4" w:rsidRDefault="00E66BF4" w:rsidP="00D94B2B">
      <w:r>
        <w:separator/>
      </w:r>
    </w:p>
  </w:endnote>
  <w:endnote w:type="continuationSeparator" w:id="0">
    <w:p w14:paraId="6482850E" w14:textId="77777777" w:rsidR="00E66BF4" w:rsidRDefault="00E66BF4" w:rsidP="00D9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10EF1" w14:textId="77777777" w:rsidR="00EF38E0" w:rsidRDefault="00EF38E0" w:rsidP="00EF38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F6EB99" w14:textId="77777777" w:rsidR="00962E13" w:rsidRPr="00EF38E0" w:rsidRDefault="00EF38E0" w:rsidP="00EF38E0">
    <w:pPr>
      <w:pStyle w:val="a5"/>
      <w:pBdr>
        <w:top w:val="single" w:sz="4" w:space="1" w:color="auto"/>
        <w:between w:val="single" w:sz="4" w:space="0" w:color="auto"/>
      </w:pBdr>
      <w:spacing w:after="60"/>
      <w:jc w:val="center"/>
      <w:rPr>
        <w:rFonts w:ascii="FrankRuehl" w:hAnsi="FrankRuehl" w:cs="FrankRuehl"/>
        <w:color w:val="000000"/>
      </w:rPr>
    </w:pPr>
    <w:r w:rsidRPr="00EF38E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57B4" w14:textId="77777777" w:rsidR="00EF38E0" w:rsidRDefault="00EF38E0" w:rsidP="00EF38E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37E2">
      <w:rPr>
        <w:rFonts w:ascii="FrankRuehl" w:hAnsi="FrankRuehl" w:cs="FrankRuehl"/>
        <w:noProof/>
        <w:rtl/>
      </w:rPr>
      <w:t>1</w:t>
    </w:r>
    <w:r>
      <w:rPr>
        <w:rFonts w:ascii="FrankRuehl" w:hAnsi="FrankRuehl" w:cs="FrankRuehl"/>
        <w:rtl/>
      </w:rPr>
      <w:fldChar w:fldCharType="end"/>
    </w:r>
  </w:p>
  <w:p w14:paraId="3E71531B" w14:textId="77777777" w:rsidR="00962E13" w:rsidRPr="00EF38E0" w:rsidRDefault="00EF38E0" w:rsidP="00EF38E0">
    <w:pPr>
      <w:pStyle w:val="a5"/>
      <w:pBdr>
        <w:top w:val="single" w:sz="4" w:space="1" w:color="auto"/>
        <w:between w:val="single" w:sz="4" w:space="0" w:color="auto"/>
      </w:pBdr>
      <w:spacing w:after="60"/>
      <w:jc w:val="center"/>
      <w:rPr>
        <w:rFonts w:ascii="FrankRuehl" w:hAnsi="FrankRuehl" w:cs="FrankRuehl"/>
        <w:color w:val="000000"/>
      </w:rPr>
    </w:pPr>
    <w:r w:rsidRPr="00EF38E0">
      <w:rPr>
        <w:rFonts w:ascii="FrankRuehl" w:hAnsi="FrankRuehl" w:cs="FrankRuehl"/>
        <w:color w:val="000000"/>
      </w:rPr>
      <w:pict w14:anchorId="213A11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E9FE8" w14:textId="77777777" w:rsidR="00E66BF4" w:rsidRDefault="00E66BF4" w:rsidP="00D94B2B">
      <w:r>
        <w:separator/>
      </w:r>
    </w:p>
  </w:footnote>
  <w:footnote w:type="continuationSeparator" w:id="0">
    <w:p w14:paraId="036B58C7" w14:textId="77777777" w:rsidR="00E66BF4" w:rsidRDefault="00E66BF4" w:rsidP="00D94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8FCD" w14:textId="77777777" w:rsidR="004D1053" w:rsidRPr="00EF38E0" w:rsidRDefault="00EF38E0" w:rsidP="00EF38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633-05-17</w:t>
    </w:r>
    <w:r>
      <w:rPr>
        <w:rFonts w:ascii="David" w:hAnsi="David"/>
        <w:color w:val="000000"/>
        <w:sz w:val="22"/>
        <w:szCs w:val="22"/>
        <w:rtl/>
      </w:rPr>
      <w:tab/>
      <w:t xml:space="preserve"> מדינת ישראל נ' מוחמד שלאעטה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5A463" w14:textId="77777777" w:rsidR="004D1053" w:rsidRPr="00EF38E0" w:rsidRDefault="00EF38E0" w:rsidP="00EF38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633-05-17</w:t>
    </w:r>
    <w:r>
      <w:rPr>
        <w:rFonts w:ascii="David" w:hAnsi="David"/>
        <w:color w:val="000000"/>
        <w:sz w:val="22"/>
        <w:szCs w:val="22"/>
        <w:rtl/>
      </w:rPr>
      <w:tab/>
      <w:t xml:space="preserve"> מדינת ישראל נ' מוחמד שלאעטה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45FE"/>
    <w:rsid w:val="002D7B2F"/>
    <w:rsid w:val="004D1053"/>
    <w:rsid w:val="006A5C2C"/>
    <w:rsid w:val="00824534"/>
    <w:rsid w:val="008E37E2"/>
    <w:rsid w:val="00932081"/>
    <w:rsid w:val="00962E13"/>
    <w:rsid w:val="00B545FE"/>
    <w:rsid w:val="00BA16A0"/>
    <w:rsid w:val="00C4195E"/>
    <w:rsid w:val="00D94B2B"/>
    <w:rsid w:val="00E66BF4"/>
    <w:rsid w:val="00EF38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FD1B97E"/>
  <w15:chartTrackingRefBased/>
  <w15:docId w15:val="{5B7E9E24-7FC7-4524-8AEF-8F88B384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45F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45FE"/>
    <w:pPr>
      <w:tabs>
        <w:tab w:val="center" w:pos="4153"/>
        <w:tab w:val="right" w:pos="8306"/>
      </w:tabs>
    </w:pPr>
  </w:style>
  <w:style w:type="character" w:customStyle="1" w:styleId="a4">
    <w:name w:val="כותרת עליונה תו"/>
    <w:link w:val="a3"/>
    <w:rsid w:val="00B545FE"/>
    <w:rPr>
      <w:rFonts w:ascii="Times New Roman" w:eastAsia="Times New Roman" w:hAnsi="Times New Roman" w:cs="David"/>
      <w:sz w:val="24"/>
      <w:szCs w:val="24"/>
    </w:rPr>
  </w:style>
  <w:style w:type="paragraph" w:styleId="a5">
    <w:name w:val="footer"/>
    <w:basedOn w:val="a"/>
    <w:link w:val="a6"/>
    <w:rsid w:val="00B545FE"/>
    <w:pPr>
      <w:tabs>
        <w:tab w:val="center" w:pos="4153"/>
        <w:tab w:val="right" w:pos="8306"/>
      </w:tabs>
    </w:pPr>
  </w:style>
  <w:style w:type="character" w:customStyle="1" w:styleId="a6">
    <w:name w:val="כותרת תחתונה תו"/>
    <w:link w:val="a5"/>
    <w:rsid w:val="00B545FE"/>
    <w:rPr>
      <w:rFonts w:ascii="Times New Roman" w:eastAsia="Times New Roman" w:hAnsi="Times New Roman" w:cs="David"/>
      <w:sz w:val="24"/>
      <w:szCs w:val="24"/>
    </w:rPr>
  </w:style>
  <w:style w:type="table" w:styleId="a7">
    <w:name w:val="Table Grid"/>
    <w:basedOn w:val="a1"/>
    <w:rsid w:val="00B545F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545FE"/>
  </w:style>
  <w:style w:type="character" w:styleId="Hyperlink">
    <w:name w:val="Hyperlink"/>
    <w:rsid w:val="004D1053"/>
    <w:rPr>
      <w:color w:val="0563C1"/>
      <w:u w:val="single"/>
    </w:rPr>
  </w:style>
  <w:style w:type="character" w:styleId="a9">
    <w:name w:val="Unresolved Mention"/>
    <w:rsid w:val="004D10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1474168" TargetMode="External"/><Relationship Id="rId26" Type="http://schemas.openxmlformats.org/officeDocument/2006/relationships/hyperlink" Target="http://www.nevo.co.il/case/20296345" TargetMode="External"/><Relationship Id="rId3" Type="http://schemas.openxmlformats.org/officeDocument/2006/relationships/webSettings" Target="webSettings.xml"/><Relationship Id="rId21" Type="http://schemas.openxmlformats.org/officeDocument/2006/relationships/hyperlink" Target="http://www.nevo.co.il/case/5716796" TargetMode="External"/><Relationship Id="rId34" Type="http://schemas.openxmlformats.org/officeDocument/2006/relationships/footer" Target="footer2.xml"/><Relationship Id="rId7" Type="http://schemas.openxmlformats.org/officeDocument/2006/relationships/hyperlink" Target="http://www.nevo.co.il/law/70301/144.a"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6151556" TargetMode="External"/><Relationship Id="rId25" Type="http://schemas.openxmlformats.org/officeDocument/2006/relationships/hyperlink" Target="http://www.nevo.co.il/case/6041519"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5724364" TargetMode="External"/><Relationship Id="rId20" Type="http://schemas.openxmlformats.org/officeDocument/2006/relationships/hyperlink" Target="http://www.nevo.co.il/case/21474520" TargetMode="External"/><Relationship Id="rId29" Type="http://schemas.openxmlformats.org/officeDocument/2006/relationships/hyperlink" Target="http://www.nevo.co.il/case/600018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11269745"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16913730" TargetMode="External"/><Relationship Id="rId23" Type="http://schemas.openxmlformats.org/officeDocument/2006/relationships/hyperlink" Target="http://www.nevo.co.il/case/22594422" TargetMode="External"/><Relationship Id="rId28" Type="http://schemas.openxmlformats.org/officeDocument/2006/relationships/hyperlink" Target="http://www.nevo.co.il/case/16870510" TargetMode="External"/><Relationship Id="rId36" Type="http://schemas.openxmlformats.org/officeDocument/2006/relationships/theme" Target="theme/theme1.xml"/><Relationship Id="rId10" Type="http://schemas.openxmlformats.org/officeDocument/2006/relationships/hyperlink" Target="http://www.nevo.co.il/law/70301/144.b2.;144.c" TargetMode="External"/><Relationship Id="rId19" Type="http://schemas.openxmlformats.org/officeDocument/2006/relationships/hyperlink" Target="http://www.nevo.co.il/case/22006503"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4.c" TargetMode="External"/><Relationship Id="rId14" Type="http://schemas.openxmlformats.org/officeDocument/2006/relationships/hyperlink" Target="http://www.nevo.co.il/law/70301/144.b2.;144.c" TargetMode="External"/><Relationship Id="rId22" Type="http://schemas.openxmlformats.org/officeDocument/2006/relationships/hyperlink" Target="http://www.nevo.co.il/case/5580525" TargetMode="External"/><Relationship Id="rId27" Type="http://schemas.openxmlformats.org/officeDocument/2006/relationships/hyperlink" Target="http://www.nevo.co.il/case/2105596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b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2495</Words>
  <Characters>12479</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14945</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3473532</vt:i4>
      </vt:variant>
      <vt:variant>
        <vt:i4>69</vt:i4>
      </vt:variant>
      <vt:variant>
        <vt:i4>0</vt:i4>
      </vt:variant>
      <vt:variant>
        <vt:i4>5</vt:i4>
      </vt:variant>
      <vt:variant>
        <vt:lpwstr>http://www.nevo.co.il/case/6000182</vt:lpwstr>
      </vt:variant>
      <vt:variant>
        <vt:lpwstr/>
      </vt:variant>
      <vt:variant>
        <vt:i4>3670128</vt:i4>
      </vt:variant>
      <vt:variant>
        <vt:i4>66</vt:i4>
      </vt:variant>
      <vt:variant>
        <vt:i4>0</vt:i4>
      </vt:variant>
      <vt:variant>
        <vt:i4>5</vt:i4>
      </vt:variant>
      <vt:variant>
        <vt:lpwstr>http://www.nevo.co.il/case/16870510</vt:lpwstr>
      </vt:variant>
      <vt:variant>
        <vt:lpwstr/>
      </vt:variant>
      <vt:variant>
        <vt:i4>3211385</vt:i4>
      </vt:variant>
      <vt:variant>
        <vt:i4>63</vt:i4>
      </vt:variant>
      <vt:variant>
        <vt:i4>0</vt:i4>
      </vt:variant>
      <vt:variant>
        <vt:i4>5</vt:i4>
      </vt:variant>
      <vt:variant>
        <vt:lpwstr>http://www.nevo.co.il/case/21055966</vt:lpwstr>
      </vt:variant>
      <vt:variant>
        <vt:lpwstr/>
      </vt:variant>
      <vt:variant>
        <vt:i4>3276926</vt:i4>
      </vt:variant>
      <vt:variant>
        <vt:i4>60</vt:i4>
      </vt:variant>
      <vt:variant>
        <vt:i4>0</vt:i4>
      </vt:variant>
      <vt:variant>
        <vt:i4>5</vt:i4>
      </vt:variant>
      <vt:variant>
        <vt:lpwstr>http://www.nevo.co.il/case/20296345</vt:lpwstr>
      </vt:variant>
      <vt:variant>
        <vt:lpwstr/>
      </vt:variant>
      <vt:variant>
        <vt:i4>4063348</vt:i4>
      </vt:variant>
      <vt:variant>
        <vt:i4>57</vt:i4>
      </vt:variant>
      <vt:variant>
        <vt:i4>0</vt:i4>
      </vt:variant>
      <vt:variant>
        <vt:i4>5</vt:i4>
      </vt:variant>
      <vt:variant>
        <vt:lpwstr>http://www.nevo.co.il/case/6041519</vt:lpwstr>
      </vt:variant>
      <vt:variant>
        <vt:lpwstr/>
      </vt:variant>
      <vt:variant>
        <vt:i4>4063348</vt:i4>
      </vt:variant>
      <vt:variant>
        <vt:i4>54</vt:i4>
      </vt:variant>
      <vt:variant>
        <vt:i4>0</vt:i4>
      </vt:variant>
      <vt:variant>
        <vt:i4>5</vt:i4>
      </vt:variant>
      <vt:variant>
        <vt:lpwstr>http://www.nevo.co.il/case/11269745</vt:lpwstr>
      </vt:variant>
      <vt:variant>
        <vt:lpwstr/>
      </vt:variant>
      <vt:variant>
        <vt:i4>3211387</vt:i4>
      </vt:variant>
      <vt:variant>
        <vt:i4>51</vt:i4>
      </vt:variant>
      <vt:variant>
        <vt:i4>0</vt:i4>
      </vt:variant>
      <vt:variant>
        <vt:i4>5</vt:i4>
      </vt:variant>
      <vt:variant>
        <vt:lpwstr>http://www.nevo.co.il/case/22594422</vt:lpwstr>
      </vt:variant>
      <vt:variant>
        <vt:lpwstr/>
      </vt:variant>
      <vt:variant>
        <vt:i4>3997811</vt:i4>
      </vt:variant>
      <vt:variant>
        <vt:i4>48</vt:i4>
      </vt:variant>
      <vt:variant>
        <vt:i4>0</vt:i4>
      </vt:variant>
      <vt:variant>
        <vt:i4>5</vt:i4>
      </vt:variant>
      <vt:variant>
        <vt:lpwstr>http://www.nevo.co.il/case/5580525</vt:lpwstr>
      </vt:variant>
      <vt:variant>
        <vt:lpwstr/>
      </vt:variant>
      <vt:variant>
        <vt:i4>3473532</vt:i4>
      </vt:variant>
      <vt:variant>
        <vt:i4>45</vt:i4>
      </vt:variant>
      <vt:variant>
        <vt:i4>0</vt:i4>
      </vt:variant>
      <vt:variant>
        <vt:i4>5</vt:i4>
      </vt:variant>
      <vt:variant>
        <vt:lpwstr>http://www.nevo.co.il/case/5716796</vt:lpwstr>
      </vt:variant>
      <vt:variant>
        <vt:lpwstr/>
      </vt:variant>
      <vt:variant>
        <vt:i4>3145847</vt:i4>
      </vt:variant>
      <vt:variant>
        <vt:i4>42</vt:i4>
      </vt:variant>
      <vt:variant>
        <vt:i4>0</vt:i4>
      </vt:variant>
      <vt:variant>
        <vt:i4>5</vt:i4>
      </vt:variant>
      <vt:variant>
        <vt:lpwstr>http://www.nevo.co.il/case/21474520</vt:lpwstr>
      </vt:variant>
      <vt:variant>
        <vt:lpwstr/>
      </vt:variant>
      <vt:variant>
        <vt:i4>3407987</vt:i4>
      </vt:variant>
      <vt:variant>
        <vt:i4>39</vt:i4>
      </vt:variant>
      <vt:variant>
        <vt:i4>0</vt:i4>
      </vt:variant>
      <vt:variant>
        <vt:i4>5</vt:i4>
      </vt:variant>
      <vt:variant>
        <vt:lpwstr>http://www.nevo.co.il/case/22006503</vt:lpwstr>
      </vt:variant>
      <vt:variant>
        <vt:lpwstr/>
      </vt:variant>
      <vt:variant>
        <vt:i4>3407987</vt:i4>
      </vt:variant>
      <vt:variant>
        <vt:i4>36</vt:i4>
      </vt:variant>
      <vt:variant>
        <vt:i4>0</vt:i4>
      </vt:variant>
      <vt:variant>
        <vt:i4>5</vt:i4>
      </vt:variant>
      <vt:variant>
        <vt:lpwstr>http://www.nevo.co.il/case/21474168</vt:lpwstr>
      </vt:variant>
      <vt:variant>
        <vt:lpwstr/>
      </vt:variant>
      <vt:variant>
        <vt:i4>3145841</vt:i4>
      </vt:variant>
      <vt:variant>
        <vt:i4>33</vt:i4>
      </vt:variant>
      <vt:variant>
        <vt:i4>0</vt:i4>
      </vt:variant>
      <vt:variant>
        <vt:i4>5</vt:i4>
      </vt:variant>
      <vt:variant>
        <vt:lpwstr>http://www.nevo.co.il/case/6151556</vt:lpwstr>
      </vt:variant>
      <vt:variant>
        <vt:lpwstr/>
      </vt:variant>
      <vt:variant>
        <vt:i4>3145841</vt:i4>
      </vt:variant>
      <vt:variant>
        <vt:i4>30</vt:i4>
      </vt:variant>
      <vt:variant>
        <vt:i4>0</vt:i4>
      </vt:variant>
      <vt:variant>
        <vt:i4>5</vt:i4>
      </vt:variant>
      <vt:variant>
        <vt:lpwstr>http://www.nevo.co.il/case/5724364</vt:lpwstr>
      </vt:variant>
      <vt:variant>
        <vt:lpwstr/>
      </vt:variant>
      <vt:variant>
        <vt:i4>3670132</vt:i4>
      </vt:variant>
      <vt:variant>
        <vt:i4>27</vt:i4>
      </vt:variant>
      <vt:variant>
        <vt:i4>0</vt:i4>
      </vt:variant>
      <vt:variant>
        <vt:i4>5</vt:i4>
      </vt:variant>
      <vt:variant>
        <vt:lpwstr>http://www.nevo.co.il/case/16913730</vt:lpwstr>
      </vt:variant>
      <vt:variant>
        <vt:lpwstr/>
      </vt:variant>
      <vt:variant>
        <vt:i4>6029337</vt:i4>
      </vt:variant>
      <vt:variant>
        <vt:i4>24</vt:i4>
      </vt:variant>
      <vt:variant>
        <vt:i4>0</vt:i4>
      </vt:variant>
      <vt:variant>
        <vt:i4>5</vt:i4>
      </vt:variant>
      <vt:variant>
        <vt:lpwstr>http://www.nevo.co.il/law/70301/144.b2.;144.c</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6029337</vt:i4>
      </vt:variant>
      <vt:variant>
        <vt:i4>12</vt:i4>
      </vt:variant>
      <vt:variant>
        <vt:i4>0</vt:i4>
      </vt:variant>
      <vt:variant>
        <vt:i4>5</vt:i4>
      </vt:variant>
      <vt:variant>
        <vt:lpwstr>http://www.nevo.co.il/law/70301/144.b2.;144.c</vt:lpwstr>
      </vt:variant>
      <vt:variant>
        <vt:lpwstr/>
      </vt:variant>
      <vt:variant>
        <vt:i4>5177424</vt:i4>
      </vt:variant>
      <vt:variant>
        <vt:i4>9</vt:i4>
      </vt:variant>
      <vt:variant>
        <vt:i4>0</vt:i4>
      </vt:variant>
      <vt:variant>
        <vt:i4>5</vt:i4>
      </vt:variant>
      <vt:variant>
        <vt:lpwstr>http://www.nevo.co.il/law/70301/144.c</vt:lpwstr>
      </vt:variant>
      <vt:variant>
        <vt:lpwstr/>
      </vt:variant>
      <vt:variant>
        <vt:i4>8192050</vt:i4>
      </vt:variant>
      <vt:variant>
        <vt:i4>6</vt:i4>
      </vt:variant>
      <vt:variant>
        <vt:i4>0</vt:i4>
      </vt:variant>
      <vt:variant>
        <vt:i4>5</vt:i4>
      </vt:variant>
      <vt:variant>
        <vt:lpwstr>http://www.nevo.co.il/law/70301/144.b2.</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2024-01-07T12:08:00Z</dcterms:created>
  <dcterms:modified xsi:type="dcterms:W3CDTF">2024-01-07T12:08:00Z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633</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מוחמד שלאעטה</vt:lpwstr>
  </property>
  <property fmtid="{D5CDD505-2E9C-101B-9397-08002B2CF9AE}" pid="10" name="LAWYER">
    <vt:lpwstr>מאיה מצליח;טארק נעמאנה</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20180430</vt:lpwstr>
  </property>
  <property fmtid="{D5CDD505-2E9C-101B-9397-08002B2CF9AE}" pid="14" name="TYPE_N_DATE">
    <vt:lpwstr>39020180430</vt:lpwstr>
  </property>
  <property fmtid="{D5CDD505-2E9C-101B-9397-08002B2CF9AE}" pid="15" name="WORDNUMPAGES">
    <vt:lpwstr>8</vt:lpwstr>
  </property>
  <property fmtid="{D5CDD505-2E9C-101B-9397-08002B2CF9AE}" pid="16" name="TYPE_ABS_DATE">
    <vt:lpwstr>390020180430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16913730;5724364;6151556;21474168;22006503;21474520;5716796;5580525;22594422;11269745;6041519;20296345;21055966;16870510;6000182</vt:lpwstr>
  </property>
  <property fmtid="{D5CDD505-2E9C-101B-9397-08002B2CF9AE}" pid="36" name="LAWLISTTMP1">
    <vt:lpwstr>70301/144.b2:2;144.c:2;144.a:2</vt:lpwstr>
  </property>
</Properties>
</file>