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E3496A" w:rsidRPr="002A528E" w:rsidTr="00014A63">
        <w:trPr>
          <w:trHeight w:hRule="exact" w:val="418"/>
          <w:jc w:val="center"/>
        </w:trPr>
        <w:tc>
          <w:tcPr>
            <w:tcW w:w="8721" w:type="dxa"/>
            <w:gridSpan w:val="2"/>
          </w:tcPr>
          <w:p w:rsidR="00E3496A" w:rsidRPr="002A528E" w:rsidRDefault="00E3496A" w:rsidP="006D1786">
            <w:pPr>
              <w:pStyle w:val="a3"/>
              <w:jc w:val="center"/>
              <w:rPr>
                <w:rFonts w:ascii="Tahoma" w:hAnsi="Tahoma" w:cs="Tahoma"/>
                <w:color w:val="000080"/>
                <w:rtl/>
              </w:rPr>
            </w:pPr>
            <w:bookmarkStart w:id="0" w:name="LastJudge"/>
            <w:r w:rsidRPr="002A528E">
              <w:rPr>
                <w:rFonts w:ascii="Tahoma" w:hAnsi="Tahoma" w:cs="Tahoma"/>
                <w:b/>
                <w:bCs/>
                <w:color w:val="000080"/>
                <w:rtl/>
              </w:rPr>
              <w:t>בית המשפט המחוזי בחיפה</w:t>
            </w:r>
          </w:p>
        </w:tc>
      </w:tr>
      <w:tr w:rsidR="00E3496A" w:rsidRPr="002A528E" w:rsidTr="00014A63">
        <w:trPr>
          <w:trHeight w:val="337"/>
          <w:jc w:val="center"/>
        </w:trPr>
        <w:tc>
          <w:tcPr>
            <w:tcW w:w="5057" w:type="dxa"/>
          </w:tcPr>
          <w:p w:rsidR="00E3496A" w:rsidRPr="002A528E" w:rsidRDefault="00E3496A" w:rsidP="006D1786">
            <w:pPr>
              <w:rPr>
                <w:sz w:val="26"/>
                <w:szCs w:val="26"/>
                <w:rtl/>
              </w:rPr>
            </w:pPr>
            <w:r w:rsidRPr="002A528E">
              <w:rPr>
                <w:sz w:val="22"/>
                <w:szCs w:val="22"/>
                <w:rtl/>
              </w:rPr>
              <w:t>ת"פ</w:t>
            </w:r>
            <w:r w:rsidRPr="002A528E">
              <w:rPr>
                <w:rFonts w:hint="cs"/>
                <w:sz w:val="26"/>
                <w:szCs w:val="26"/>
                <w:rtl/>
              </w:rPr>
              <w:t xml:space="preserve"> </w:t>
            </w:r>
            <w:r w:rsidRPr="002A528E">
              <w:rPr>
                <w:sz w:val="22"/>
                <w:szCs w:val="22"/>
                <w:rtl/>
              </w:rPr>
              <w:t>28615-08-17</w:t>
            </w:r>
            <w:r w:rsidRPr="002A528E">
              <w:rPr>
                <w:rFonts w:hint="cs"/>
                <w:sz w:val="26"/>
                <w:szCs w:val="26"/>
                <w:rtl/>
              </w:rPr>
              <w:t xml:space="preserve"> </w:t>
            </w:r>
            <w:r w:rsidRPr="002A528E">
              <w:rPr>
                <w:sz w:val="22"/>
                <w:szCs w:val="22"/>
                <w:rtl/>
              </w:rPr>
              <w:t>מדינת ישראל נ' חמדוני(עציר)</w:t>
            </w:r>
          </w:p>
        </w:tc>
        <w:tc>
          <w:tcPr>
            <w:tcW w:w="3664" w:type="dxa"/>
          </w:tcPr>
          <w:p w:rsidR="00E3496A" w:rsidRPr="002A528E" w:rsidRDefault="00E3496A" w:rsidP="006D1786">
            <w:pPr>
              <w:pStyle w:val="a3"/>
              <w:jc w:val="right"/>
              <w:rPr>
                <w:rFonts w:cs="FrankRuehl"/>
                <w:sz w:val="28"/>
                <w:szCs w:val="28"/>
                <w:rtl/>
              </w:rPr>
            </w:pPr>
          </w:p>
        </w:tc>
      </w:tr>
    </w:tbl>
    <w:p w:rsidR="00E3496A" w:rsidRPr="002A528E" w:rsidRDefault="00E3496A" w:rsidP="00E3496A">
      <w:pPr>
        <w:pStyle w:val="a3"/>
        <w:rPr>
          <w:rtl/>
        </w:rPr>
      </w:pPr>
      <w:r w:rsidRPr="002A528E">
        <w:rPr>
          <w:rFonts w:hint="cs"/>
          <w:rtl/>
        </w:rPr>
        <w:t xml:space="preserve"> </w:t>
      </w:r>
    </w:p>
    <w:p w:rsidR="00E3496A" w:rsidRPr="002A528E" w:rsidRDefault="00E3496A" w:rsidP="00E3496A">
      <w:pPr>
        <w:jc w:val="both"/>
        <w:rPr>
          <w:rFonts w:ascii="David" w:hAnsi="David"/>
          <w:b/>
          <w:bCs/>
          <w:rtl/>
        </w:rPr>
      </w:pPr>
    </w:p>
    <w:tbl>
      <w:tblPr>
        <w:bidiVisual/>
        <w:tblW w:w="8802" w:type="dxa"/>
        <w:tblInd w:w="-28" w:type="dxa"/>
        <w:tblLook w:val="01E0" w:firstRow="1" w:lastRow="1" w:firstColumn="1" w:lastColumn="1" w:noHBand="0" w:noVBand="0"/>
      </w:tblPr>
      <w:tblGrid>
        <w:gridCol w:w="2880"/>
        <w:gridCol w:w="5838"/>
        <w:gridCol w:w="84"/>
      </w:tblGrid>
      <w:tr w:rsidR="006D1786" w:rsidRPr="002A528E" w:rsidTr="00E3496A">
        <w:trPr>
          <w:gridAfter w:val="1"/>
          <w:wAfter w:w="56" w:type="dxa"/>
        </w:trPr>
        <w:tc>
          <w:tcPr>
            <w:tcW w:w="8718" w:type="dxa"/>
            <w:gridSpan w:val="2"/>
            <w:shd w:val="clear" w:color="auto" w:fill="auto"/>
          </w:tcPr>
          <w:p w:rsidR="00E3496A" w:rsidRPr="002A528E" w:rsidRDefault="00E3496A" w:rsidP="006D1786">
            <w:pPr>
              <w:rPr>
                <w:b/>
                <w:bCs/>
                <w:sz w:val="26"/>
                <w:szCs w:val="26"/>
                <w:rtl/>
              </w:rPr>
            </w:pPr>
            <w:r w:rsidRPr="002A528E">
              <w:rPr>
                <w:rFonts w:hint="cs"/>
                <w:b/>
                <w:bCs/>
                <w:sz w:val="26"/>
                <w:szCs w:val="26"/>
                <w:rtl/>
              </w:rPr>
              <w:t>לפני כבוד השופט אמיר טובי</w:t>
            </w:r>
            <w:r w:rsidRPr="002A528E">
              <w:rPr>
                <w:rStyle w:val="TimesNewRomanTimesNewRoman"/>
                <w:rFonts w:eastAsia="Calibri" w:hint="cs"/>
                <w:rtl/>
              </w:rPr>
              <w:t xml:space="preserve"> </w:t>
            </w:r>
          </w:p>
        </w:tc>
      </w:tr>
      <w:tr w:rsidR="006D1786" w:rsidRPr="002A528E" w:rsidTr="00E3496A">
        <w:trPr>
          <w:cantSplit/>
          <w:trHeight w:val="724"/>
        </w:trPr>
        <w:tc>
          <w:tcPr>
            <w:tcW w:w="2880" w:type="dxa"/>
            <w:shd w:val="clear" w:color="auto" w:fill="auto"/>
          </w:tcPr>
          <w:p w:rsidR="00E3496A" w:rsidRPr="002A528E" w:rsidRDefault="00E3496A" w:rsidP="00E3496A">
            <w:pPr>
              <w:ind w:left="26"/>
              <w:rPr>
                <w:b/>
                <w:bCs/>
                <w:sz w:val="26"/>
                <w:szCs w:val="26"/>
                <w:rtl/>
              </w:rPr>
            </w:pPr>
            <w:bookmarkStart w:id="1" w:name="FirstAppellant"/>
          </w:p>
          <w:p w:rsidR="00E3496A" w:rsidRPr="002A528E" w:rsidRDefault="00E3496A" w:rsidP="00E3496A">
            <w:pPr>
              <w:ind w:left="26"/>
              <w:rPr>
                <w:b/>
                <w:bCs/>
                <w:sz w:val="26"/>
                <w:szCs w:val="26"/>
                <w:rtl/>
              </w:rPr>
            </w:pPr>
            <w:r w:rsidRPr="002A528E">
              <w:rPr>
                <w:rFonts w:hint="cs"/>
                <w:b/>
                <w:bCs/>
                <w:sz w:val="26"/>
                <w:szCs w:val="26"/>
                <w:rtl/>
              </w:rPr>
              <w:t>המאשימה</w:t>
            </w:r>
          </w:p>
        </w:tc>
        <w:tc>
          <w:tcPr>
            <w:tcW w:w="5922" w:type="dxa"/>
            <w:gridSpan w:val="2"/>
            <w:shd w:val="clear" w:color="auto" w:fill="auto"/>
          </w:tcPr>
          <w:p w:rsidR="00E3496A" w:rsidRPr="002A528E" w:rsidRDefault="00E3496A" w:rsidP="006D1786">
            <w:pPr>
              <w:rPr>
                <w:rtl/>
              </w:rPr>
            </w:pPr>
          </w:p>
          <w:p w:rsidR="00E3496A" w:rsidRPr="002A528E" w:rsidRDefault="00E3496A" w:rsidP="006D1786">
            <w:pPr>
              <w:rPr>
                <w:b/>
                <w:bCs/>
                <w:sz w:val="26"/>
                <w:szCs w:val="26"/>
                <w:rtl/>
              </w:rPr>
            </w:pPr>
            <w:r w:rsidRPr="002A528E">
              <w:rPr>
                <w:rtl/>
              </w:rPr>
              <w:t xml:space="preserve"> </w:t>
            </w:r>
            <w:r w:rsidRPr="002A528E">
              <w:rPr>
                <w:rFonts w:hint="cs"/>
                <w:b/>
                <w:bCs/>
                <w:sz w:val="26"/>
                <w:szCs w:val="26"/>
                <w:rtl/>
              </w:rPr>
              <w:t>מדינת ישראל</w:t>
            </w:r>
          </w:p>
          <w:p w:rsidR="00E3496A" w:rsidRPr="002A528E" w:rsidRDefault="00E3496A" w:rsidP="006D1786">
            <w:pPr>
              <w:rPr>
                <w:b/>
                <w:bCs/>
                <w:sz w:val="26"/>
                <w:szCs w:val="26"/>
                <w:rtl/>
              </w:rPr>
            </w:pPr>
          </w:p>
        </w:tc>
      </w:tr>
      <w:bookmarkEnd w:id="1"/>
      <w:tr w:rsidR="006D1786" w:rsidRPr="002A528E" w:rsidTr="00E3496A">
        <w:tc>
          <w:tcPr>
            <w:tcW w:w="8802" w:type="dxa"/>
            <w:gridSpan w:val="3"/>
            <w:shd w:val="clear" w:color="auto" w:fill="auto"/>
            <w:vAlign w:val="center"/>
          </w:tcPr>
          <w:p w:rsidR="00E3496A" w:rsidRPr="002A528E" w:rsidRDefault="00E3496A" w:rsidP="00E3496A">
            <w:pPr>
              <w:jc w:val="center"/>
              <w:rPr>
                <w:rFonts w:ascii="Arial" w:hAnsi="Arial"/>
                <w:b/>
                <w:bCs/>
                <w:sz w:val="26"/>
                <w:szCs w:val="26"/>
                <w:rtl/>
              </w:rPr>
            </w:pPr>
          </w:p>
          <w:p w:rsidR="00E3496A" w:rsidRPr="002A528E" w:rsidRDefault="00E3496A" w:rsidP="00E3496A">
            <w:pPr>
              <w:jc w:val="center"/>
              <w:rPr>
                <w:rFonts w:ascii="Arial" w:hAnsi="Arial"/>
                <w:b/>
                <w:bCs/>
                <w:sz w:val="26"/>
                <w:szCs w:val="26"/>
                <w:rtl/>
              </w:rPr>
            </w:pPr>
            <w:r w:rsidRPr="002A528E">
              <w:rPr>
                <w:rFonts w:ascii="Arial" w:hAnsi="Arial" w:hint="cs"/>
                <w:b/>
                <w:bCs/>
                <w:sz w:val="26"/>
                <w:szCs w:val="26"/>
                <w:rtl/>
              </w:rPr>
              <w:t>נגד</w:t>
            </w:r>
          </w:p>
          <w:p w:rsidR="00E3496A" w:rsidRPr="002A528E" w:rsidRDefault="00E3496A" w:rsidP="006D1786">
            <w:pPr>
              <w:rPr>
                <w:rFonts w:ascii="Arial" w:hAnsi="Arial"/>
                <w:b/>
                <w:bCs/>
                <w:sz w:val="26"/>
                <w:szCs w:val="26"/>
                <w:rtl/>
              </w:rPr>
            </w:pPr>
          </w:p>
        </w:tc>
      </w:tr>
      <w:tr w:rsidR="006D1786" w:rsidRPr="002A528E" w:rsidTr="00E3496A">
        <w:tc>
          <w:tcPr>
            <w:tcW w:w="2880" w:type="dxa"/>
            <w:shd w:val="clear" w:color="auto" w:fill="auto"/>
          </w:tcPr>
          <w:p w:rsidR="00E3496A" w:rsidRPr="002A528E" w:rsidRDefault="00E3496A" w:rsidP="00E3496A">
            <w:pPr>
              <w:ind w:left="26"/>
              <w:rPr>
                <w:b/>
                <w:bCs/>
                <w:sz w:val="26"/>
                <w:szCs w:val="26"/>
              </w:rPr>
            </w:pPr>
            <w:r w:rsidRPr="002A528E">
              <w:rPr>
                <w:rFonts w:hint="cs"/>
                <w:b/>
                <w:bCs/>
                <w:sz w:val="26"/>
                <w:szCs w:val="26"/>
                <w:rtl/>
              </w:rPr>
              <w:t>הנאשם</w:t>
            </w:r>
          </w:p>
        </w:tc>
        <w:tc>
          <w:tcPr>
            <w:tcW w:w="5922" w:type="dxa"/>
            <w:gridSpan w:val="2"/>
            <w:shd w:val="clear" w:color="auto" w:fill="auto"/>
          </w:tcPr>
          <w:p w:rsidR="00E3496A" w:rsidRPr="002A528E" w:rsidRDefault="00E3496A" w:rsidP="006D1786">
            <w:pPr>
              <w:rPr>
                <w:b/>
                <w:bCs/>
                <w:sz w:val="26"/>
                <w:szCs w:val="26"/>
                <w:rtl/>
              </w:rPr>
            </w:pPr>
            <w:r w:rsidRPr="002A528E">
              <w:rPr>
                <w:rtl/>
              </w:rPr>
              <w:t xml:space="preserve"> </w:t>
            </w:r>
            <w:r w:rsidRPr="002A528E">
              <w:rPr>
                <w:rFonts w:hint="cs"/>
                <w:b/>
                <w:bCs/>
                <w:sz w:val="26"/>
                <w:szCs w:val="26"/>
                <w:rtl/>
              </w:rPr>
              <w:t>פראס חמדוני (עציר)</w:t>
            </w:r>
            <w:r w:rsidRPr="002A528E">
              <w:rPr>
                <w:rtl/>
              </w:rPr>
              <w:t xml:space="preserve"> </w:t>
            </w:r>
            <w:r w:rsidRPr="002A528E">
              <w:rPr>
                <w:rFonts w:hint="cs"/>
                <w:b/>
                <w:bCs/>
                <w:sz w:val="26"/>
                <w:szCs w:val="26"/>
                <w:rtl/>
              </w:rPr>
              <w:t xml:space="preserve">ת.ז.  </w:t>
            </w:r>
            <w:r w:rsidR="002A528E">
              <w:rPr>
                <w:b/>
                <w:bCs/>
                <w:sz w:val="26"/>
                <w:szCs w:val="26"/>
              </w:rPr>
              <w:t>xxxxxxxxxx</w:t>
            </w:r>
          </w:p>
        </w:tc>
      </w:tr>
    </w:tbl>
    <w:p w:rsidR="00F47836" w:rsidRDefault="00F47836" w:rsidP="00E3496A">
      <w:pPr>
        <w:spacing w:line="360" w:lineRule="auto"/>
        <w:jc w:val="both"/>
        <w:rPr>
          <w:sz w:val="2"/>
          <w:szCs w:val="2"/>
          <w:rtl/>
        </w:rPr>
      </w:pPr>
      <w:bookmarkStart w:id="2" w:name="LawTable"/>
      <w:bookmarkEnd w:id="2"/>
    </w:p>
    <w:p w:rsidR="00F47836" w:rsidRPr="00F47836" w:rsidRDefault="00F47836" w:rsidP="00F47836">
      <w:pPr>
        <w:spacing w:after="120" w:line="240" w:lineRule="exact"/>
        <w:ind w:left="283" w:hanging="283"/>
        <w:jc w:val="both"/>
        <w:rPr>
          <w:rFonts w:ascii="FrankRuehl" w:hAnsi="FrankRuehl" w:cs="FrankRuehl"/>
          <w:rtl/>
        </w:rPr>
      </w:pPr>
    </w:p>
    <w:p w:rsidR="00F47836" w:rsidRPr="00F47836" w:rsidRDefault="00F47836" w:rsidP="00F47836">
      <w:pPr>
        <w:spacing w:after="120" w:line="240" w:lineRule="exact"/>
        <w:ind w:left="283" w:hanging="283"/>
        <w:jc w:val="both"/>
        <w:rPr>
          <w:rFonts w:ascii="FrankRuehl" w:hAnsi="FrankRuehl" w:cs="FrankRuehl"/>
          <w:rtl/>
        </w:rPr>
      </w:pPr>
      <w:r w:rsidRPr="00F47836">
        <w:rPr>
          <w:rFonts w:ascii="FrankRuehl" w:hAnsi="FrankRuehl" w:cs="FrankRuehl"/>
          <w:rtl/>
        </w:rPr>
        <w:t xml:space="preserve">חקיקה שאוזכרה: </w:t>
      </w:r>
    </w:p>
    <w:p w:rsidR="00F47836" w:rsidRPr="00F47836" w:rsidRDefault="00F47836" w:rsidP="00F47836">
      <w:pPr>
        <w:spacing w:after="120" w:line="240" w:lineRule="exact"/>
        <w:ind w:left="283" w:hanging="283"/>
        <w:jc w:val="both"/>
        <w:rPr>
          <w:rFonts w:ascii="FrankRuehl" w:hAnsi="FrankRuehl" w:cs="FrankRuehl"/>
          <w:rtl/>
        </w:rPr>
      </w:pPr>
      <w:hyperlink r:id="rId6" w:history="1">
        <w:r w:rsidRPr="00F47836">
          <w:rPr>
            <w:rFonts w:ascii="FrankRuehl" w:hAnsi="FrankRuehl" w:cs="FrankRuehl"/>
            <w:color w:val="0000FF"/>
            <w:u w:val="single"/>
            <w:rtl/>
          </w:rPr>
          <w:t>חוק העונשין, תשל"ז-1977</w:t>
        </w:r>
      </w:hyperlink>
      <w:r w:rsidRPr="00F47836">
        <w:rPr>
          <w:rFonts w:ascii="FrankRuehl" w:hAnsi="FrankRuehl" w:cs="FrankRuehl"/>
          <w:rtl/>
        </w:rPr>
        <w:t xml:space="preserve">: סע'  </w:t>
      </w:r>
      <w:hyperlink r:id="rId7" w:history="1">
        <w:r w:rsidRPr="00F47836">
          <w:rPr>
            <w:rFonts w:ascii="FrankRuehl" w:hAnsi="FrankRuehl" w:cs="FrankRuehl"/>
            <w:color w:val="0000FF"/>
            <w:u w:val="single"/>
            <w:rtl/>
          </w:rPr>
          <w:t>40ג</w:t>
        </w:r>
      </w:hyperlink>
      <w:r w:rsidRPr="00F47836">
        <w:rPr>
          <w:rFonts w:ascii="FrankRuehl" w:hAnsi="FrankRuehl" w:cs="FrankRuehl"/>
          <w:rtl/>
        </w:rPr>
        <w:t xml:space="preserve">, </w:t>
      </w:r>
      <w:hyperlink r:id="rId8" w:history="1">
        <w:r w:rsidRPr="00F47836">
          <w:rPr>
            <w:rFonts w:ascii="FrankRuehl" w:hAnsi="FrankRuehl" w:cs="FrankRuehl"/>
            <w:color w:val="0000FF"/>
            <w:u w:val="single"/>
            <w:rtl/>
          </w:rPr>
          <w:t>144.א.</w:t>
        </w:r>
      </w:hyperlink>
      <w:r w:rsidRPr="00F47836">
        <w:rPr>
          <w:rFonts w:ascii="FrankRuehl" w:hAnsi="FrankRuehl" w:cs="FrankRuehl"/>
          <w:rtl/>
        </w:rPr>
        <w:t xml:space="preserve">, </w:t>
      </w:r>
      <w:hyperlink r:id="rId9" w:history="1">
        <w:r w:rsidRPr="00F47836">
          <w:rPr>
            <w:rFonts w:ascii="FrankRuehl" w:hAnsi="FrankRuehl" w:cs="FrankRuehl"/>
            <w:color w:val="0000FF"/>
            <w:u w:val="single"/>
            <w:rtl/>
          </w:rPr>
          <w:t>144.ב</w:t>
        </w:r>
      </w:hyperlink>
      <w:r w:rsidRPr="00F47836">
        <w:rPr>
          <w:rFonts w:ascii="FrankRuehl" w:hAnsi="FrankRuehl" w:cs="FrankRuehl"/>
          <w:rtl/>
        </w:rPr>
        <w:t xml:space="preserve">, </w:t>
      </w:r>
      <w:hyperlink r:id="rId10" w:history="1">
        <w:r w:rsidRPr="00F47836">
          <w:rPr>
            <w:rFonts w:ascii="FrankRuehl" w:hAnsi="FrankRuehl" w:cs="FrankRuehl"/>
            <w:color w:val="0000FF"/>
            <w:u w:val="single"/>
            <w:rtl/>
          </w:rPr>
          <w:t>275</w:t>
        </w:r>
      </w:hyperlink>
    </w:p>
    <w:p w:rsidR="00F47836" w:rsidRPr="00F47836" w:rsidRDefault="00F47836" w:rsidP="00F47836">
      <w:pPr>
        <w:spacing w:after="120" w:line="240" w:lineRule="exact"/>
        <w:ind w:left="283" w:hanging="283"/>
        <w:jc w:val="both"/>
        <w:rPr>
          <w:rFonts w:ascii="FrankRuehl" w:hAnsi="FrankRuehl" w:cs="FrankRuehl"/>
          <w:rtl/>
        </w:rPr>
      </w:pPr>
    </w:p>
    <w:p w:rsidR="00F47836" w:rsidRPr="00F47836" w:rsidRDefault="00F47836" w:rsidP="00E3496A">
      <w:pPr>
        <w:spacing w:line="360" w:lineRule="auto"/>
        <w:jc w:val="both"/>
        <w:rPr>
          <w:sz w:val="2"/>
          <w:szCs w:val="2"/>
          <w:rtl/>
        </w:rPr>
      </w:pPr>
      <w:bookmarkStart w:id="3" w:name="LawTable_End"/>
      <w:bookmarkEnd w:id="3"/>
    </w:p>
    <w:p w:rsidR="00E3496A" w:rsidRPr="002A528E" w:rsidRDefault="00E3496A" w:rsidP="00E3496A">
      <w:pPr>
        <w:spacing w:line="360" w:lineRule="auto"/>
        <w:jc w:val="both"/>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1786" w:rsidRPr="007F7D5B" w:rsidTr="00E3496A">
        <w:trPr>
          <w:trHeight w:val="355"/>
          <w:jc w:val="center"/>
        </w:trPr>
        <w:tc>
          <w:tcPr>
            <w:tcW w:w="8820" w:type="dxa"/>
            <w:tcBorders>
              <w:top w:val="nil"/>
              <w:left w:val="nil"/>
              <w:bottom w:val="nil"/>
              <w:right w:val="nil"/>
            </w:tcBorders>
            <w:shd w:val="clear" w:color="auto" w:fill="auto"/>
          </w:tcPr>
          <w:p w:rsidR="002A528E" w:rsidRPr="002A528E" w:rsidRDefault="002A528E" w:rsidP="002A528E">
            <w:pPr>
              <w:jc w:val="center"/>
              <w:rPr>
                <w:rFonts w:ascii="Arial" w:hAnsi="Arial" w:cs="FrankRuehl"/>
                <w:b/>
                <w:bCs/>
                <w:sz w:val="32"/>
                <w:szCs w:val="32"/>
                <w:u w:val="single"/>
                <w:rtl/>
              </w:rPr>
            </w:pPr>
            <w:bookmarkStart w:id="4" w:name="PsakDin" w:colFirst="0" w:colLast="0"/>
            <w:bookmarkEnd w:id="0"/>
            <w:r w:rsidRPr="002A528E">
              <w:rPr>
                <w:rFonts w:ascii="Arial" w:hAnsi="Arial" w:cs="FrankRuehl"/>
                <w:b/>
                <w:bCs/>
                <w:sz w:val="32"/>
                <w:szCs w:val="32"/>
                <w:u w:val="single"/>
                <w:rtl/>
              </w:rPr>
              <w:t>גזר דין</w:t>
            </w:r>
          </w:p>
          <w:p w:rsidR="00E3496A" w:rsidRPr="002A528E" w:rsidRDefault="00E3496A" w:rsidP="002A528E">
            <w:pPr>
              <w:jc w:val="center"/>
              <w:rPr>
                <w:rFonts w:ascii="Arial" w:hAnsi="Arial" w:cs="FrankRuehl"/>
                <w:bCs/>
                <w:sz w:val="32"/>
                <w:szCs w:val="32"/>
                <w:u w:val="single"/>
                <w:rtl/>
              </w:rPr>
            </w:pPr>
          </w:p>
        </w:tc>
      </w:tr>
      <w:bookmarkEnd w:id="4"/>
    </w:tbl>
    <w:p w:rsidR="00E3496A" w:rsidRPr="007F7D5B" w:rsidRDefault="00E3496A" w:rsidP="00E3496A">
      <w:pPr>
        <w:spacing w:line="360" w:lineRule="auto"/>
        <w:jc w:val="both"/>
        <w:rPr>
          <w:sz w:val="2"/>
          <w:szCs w:val="2"/>
          <w:u w:val="single"/>
        </w:rPr>
      </w:pPr>
    </w:p>
    <w:p w:rsidR="00E3496A" w:rsidRPr="007F7D5B" w:rsidRDefault="00E3496A" w:rsidP="00E3496A">
      <w:pPr>
        <w:tabs>
          <w:tab w:val="left" w:pos="720"/>
        </w:tabs>
        <w:spacing w:line="360" w:lineRule="auto"/>
        <w:jc w:val="both"/>
        <w:rPr>
          <w:rFonts w:ascii="Arial" w:hAnsi="Arial"/>
          <w:u w:val="single"/>
          <w:rtl/>
        </w:rPr>
      </w:pPr>
      <w:r w:rsidRPr="007F7D5B">
        <w:rPr>
          <w:rFonts w:ascii="Arial" w:hAnsi="Arial" w:hint="cs"/>
          <w:u w:val="single"/>
          <w:rtl/>
        </w:rPr>
        <w:t>כתב האישום</w:t>
      </w:r>
    </w:p>
    <w:p w:rsidR="00E3496A" w:rsidRPr="007F7D5B" w:rsidRDefault="00E3496A" w:rsidP="00E3496A">
      <w:pPr>
        <w:tabs>
          <w:tab w:val="left" w:pos="720"/>
        </w:tabs>
        <w:spacing w:line="360" w:lineRule="auto"/>
        <w:jc w:val="both"/>
        <w:rPr>
          <w:rFonts w:ascii="Arial" w:hAnsi="Arial"/>
          <w:u w:val="single"/>
          <w:rtl/>
        </w:rPr>
      </w:pPr>
    </w:p>
    <w:p w:rsidR="00E3496A" w:rsidRPr="00E3496A" w:rsidRDefault="00E3496A" w:rsidP="00E3496A">
      <w:pPr>
        <w:spacing w:line="360" w:lineRule="auto"/>
        <w:ind w:left="720" w:hanging="720"/>
        <w:jc w:val="both"/>
        <w:rPr>
          <w:rFonts w:ascii="Calibri" w:eastAsia="Calibri" w:hAnsi="Calibri"/>
          <w:rtl/>
        </w:rPr>
      </w:pPr>
      <w:r w:rsidRPr="007F7D5B">
        <w:rPr>
          <w:rFonts w:hint="cs"/>
          <w:rtl/>
        </w:rPr>
        <w:t>1.</w:t>
      </w:r>
      <w:r w:rsidRPr="007F7D5B">
        <w:rPr>
          <w:rFonts w:hint="cs"/>
          <w:rtl/>
        </w:rPr>
        <w:tab/>
      </w:r>
      <w:bookmarkStart w:id="5" w:name="ABSTRACT_START"/>
      <w:bookmarkEnd w:id="5"/>
      <w:r w:rsidRPr="007F7D5B">
        <w:rPr>
          <w:rFonts w:hint="cs"/>
          <w:rtl/>
        </w:rPr>
        <w:t>הנאשם הורשע על פי הודייתו בעובדות כתב אישום מתוקן (להלן: "</w:t>
      </w:r>
      <w:r w:rsidRPr="007F7D5B">
        <w:rPr>
          <w:rFonts w:hint="cs"/>
          <w:b/>
          <w:bCs/>
          <w:rtl/>
        </w:rPr>
        <w:t>כתב האישום</w:t>
      </w:r>
      <w:r w:rsidRPr="007F7D5B">
        <w:rPr>
          <w:rFonts w:hint="cs"/>
          <w:rtl/>
        </w:rPr>
        <w:t xml:space="preserve">"), במסגרת הסדר טיעון אשר לא כלל הסכמה לעניין העונש, בעבירות בנשק (החזקה ונשיאה), לפי </w:t>
      </w:r>
      <w:hyperlink r:id="rId11" w:history="1">
        <w:r w:rsidR="00014A63" w:rsidRPr="00014A63">
          <w:rPr>
            <w:color w:val="0000FF"/>
            <w:u w:val="single"/>
            <w:rtl/>
          </w:rPr>
          <w:t>סעיף 144(א)+(ב)</w:t>
        </w:r>
      </w:hyperlink>
      <w:r w:rsidRPr="007F7D5B">
        <w:rPr>
          <w:rFonts w:hint="cs"/>
          <w:rtl/>
        </w:rPr>
        <w:t xml:space="preserve"> רישא+סיפא ל</w:t>
      </w:r>
      <w:hyperlink r:id="rId12" w:history="1">
        <w:r w:rsidR="002A528E" w:rsidRPr="002A528E">
          <w:rPr>
            <w:color w:val="0000FF"/>
            <w:u w:val="single"/>
            <w:rtl/>
          </w:rPr>
          <w:t>חוק העונשין</w:t>
        </w:r>
      </w:hyperlink>
      <w:r w:rsidRPr="007F7D5B">
        <w:rPr>
          <w:rFonts w:hint="cs"/>
          <w:rtl/>
        </w:rPr>
        <w:t>, תשל"ז-1977 (להלן: "</w:t>
      </w:r>
      <w:r w:rsidRPr="007F7D5B">
        <w:rPr>
          <w:rFonts w:hint="cs"/>
          <w:b/>
          <w:bCs/>
          <w:rtl/>
        </w:rPr>
        <w:t>חוק העונשין</w:t>
      </w:r>
      <w:r w:rsidRPr="007F7D5B">
        <w:rPr>
          <w:rFonts w:hint="cs"/>
          <w:rtl/>
        </w:rPr>
        <w:t xml:space="preserve">") וכן בעבירת הפרעה לשוטר במילוי תפקידו, לפי </w:t>
      </w:r>
      <w:hyperlink r:id="rId13" w:history="1">
        <w:r w:rsidR="00014A63" w:rsidRPr="00014A63">
          <w:rPr>
            <w:color w:val="0000FF"/>
            <w:u w:val="single"/>
            <w:rtl/>
          </w:rPr>
          <w:t>סעיף 275</w:t>
        </w:r>
      </w:hyperlink>
      <w:r w:rsidRPr="007F7D5B">
        <w:rPr>
          <w:rFonts w:hint="cs"/>
          <w:rtl/>
        </w:rPr>
        <w:t xml:space="preserve"> לחוק העונשין. </w:t>
      </w:r>
    </w:p>
    <w:p w:rsidR="00E3496A" w:rsidRPr="00E3496A" w:rsidRDefault="00E3496A" w:rsidP="00E3496A">
      <w:pPr>
        <w:spacing w:line="360" w:lineRule="auto"/>
        <w:ind w:left="720" w:hanging="720"/>
        <w:jc w:val="both"/>
        <w:rPr>
          <w:rFonts w:ascii="Calibri" w:eastAsia="Calibri" w:hAnsi="Calibri"/>
          <w:rtl/>
        </w:rPr>
      </w:pPr>
      <w:bookmarkStart w:id="6" w:name="ABSTRACT_END"/>
      <w:bookmarkEnd w:id="6"/>
    </w:p>
    <w:p w:rsidR="00E3496A" w:rsidRPr="007F7D5B" w:rsidRDefault="00E3496A" w:rsidP="00E3496A">
      <w:pPr>
        <w:spacing w:line="360" w:lineRule="auto"/>
        <w:ind w:left="720" w:hanging="720"/>
        <w:jc w:val="both"/>
        <w:rPr>
          <w:rtl/>
        </w:rPr>
      </w:pPr>
      <w:r w:rsidRPr="007F7D5B">
        <w:rPr>
          <w:rFonts w:hint="cs"/>
          <w:rtl/>
        </w:rPr>
        <w:t>2.</w:t>
      </w:r>
      <w:r w:rsidRPr="007F7D5B">
        <w:rPr>
          <w:rFonts w:hint="cs"/>
          <w:rtl/>
        </w:rPr>
        <w:tab/>
        <w:t>לפי עובדות כתב האישום, בתאריך 30.7.2017 החזיק הנאשם בלא רשות על פי דין תת מקלע מאולתר בקוטר 9 מ"מ, שמסוגל לירות כדור ובכוחו להמית אדם (להלן: "</w:t>
      </w:r>
      <w:r w:rsidRPr="007F7D5B">
        <w:rPr>
          <w:rFonts w:hint="cs"/>
          <w:b/>
          <w:bCs/>
          <w:rtl/>
        </w:rPr>
        <w:t>הנשק</w:t>
      </w:r>
      <w:r w:rsidRPr="007F7D5B">
        <w:rPr>
          <w:rFonts w:hint="cs"/>
          <w:rtl/>
        </w:rPr>
        <w:t>"), מחסנית המתאימה לנשק ובתוכה 9 כדורים, קופסה ובה 50 כדורים בקוטר 9 מ"מ (להלן: "</w:t>
      </w:r>
      <w:r w:rsidRPr="007F7D5B">
        <w:rPr>
          <w:rFonts w:hint="cs"/>
          <w:b/>
          <w:bCs/>
          <w:rtl/>
        </w:rPr>
        <w:t>התחמושת</w:t>
      </w:r>
      <w:r w:rsidRPr="007F7D5B">
        <w:rPr>
          <w:rFonts w:hint="cs"/>
          <w:rtl/>
        </w:rPr>
        <w:t>"), וכן רימון יד מסוג הלם סינוור שבכוחו להזיק לאדם בעת פעולתו (להלן: "</w:t>
      </w:r>
      <w:r w:rsidRPr="007F7D5B">
        <w:rPr>
          <w:rFonts w:hint="cs"/>
          <w:b/>
          <w:bCs/>
          <w:rtl/>
        </w:rPr>
        <w:t>הרימון</w:t>
      </w:r>
      <w:r w:rsidRPr="007F7D5B">
        <w:rPr>
          <w:rFonts w:hint="cs"/>
          <w:rtl/>
        </w:rPr>
        <w:t>"). בשעה 19:57 או בסמוך לכך, הגיע הנאשם למתחם תחנת דלק שליד קיבוץ בית העמק (להלן: "</w:t>
      </w:r>
      <w:r w:rsidRPr="007F7D5B">
        <w:rPr>
          <w:rFonts w:hint="cs"/>
          <w:b/>
          <w:bCs/>
          <w:rtl/>
        </w:rPr>
        <w:t>המתחם</w:t>
      </w:r>
      <w:r w:rsidRPr="007F7D5B">
        <w:rPr>
          <w:rFonts w:hint="cs"/>
          <w:rtl/>
        </w:rPr>
        <w:t>") כשהוא מחזיק ונושא את הנשק, התחמושת והרימון בתוך תיק (התיק על תכולתו ייקרא להלן: "</w:t>
      </w:r>
      <w:r w:rsidRPr="007F7D5B">
        <w:rPr>
          <w:rFonts w:hint="cs"/>
          <w:b/>
          <w:bCs/>
          <w:rtl/>
        </w:rPr>
        <w:t>התיק</w:t>
      </w:r>
      <w:r w:rsidRPr="007F7D5B">
        <w:rPr>
          <w:rFonts w:hint="cs"/>
          <w:rtl/>
        </w:rPr>
        <w:t>"). עם הגעתו למתחם, הכניס את התיק לתוך פח אשפה המצוי במתחם (להלן: "</w:t>
      </w:r>
      <w:r w:rsidRPr="007F7D5B">
        <w:rPr>
          <w:rFonts w:hint="cs"/>
          <w:b/>
          <w:bCs/>
          <w:rtl/>
        </w:rPr>
        <w:t>הפח</w:t>
      </w:r>
      <w:r w:rsidRPr="007F7D5B">
        <w:rPr>
          <w:rFonts w:hint="cs"/>
          <w:rtl/>
        </w:rPr>
        <w:t>"). בהמשך לכך, שהה הנאשם יחד עם אחרים בחלק הצפוני של המתחם, במרחק מטרים ספורים מהפח ובמקום בו הפח נראה לעין, באופן רצוף עד השעה 22:59, אז ניגש לחנות "פיצוצייה", שהה בה כדקה, וחזר למקום בו שהה קודם לכן בחלק הצפוני של המתחם. סמוך לשעה 23:02 נסעה ניידת משטרה ובה כוח משטרתי המונה 5 שוטרים (להלן: "</w:t>
      </w:r>
      <w:r w:rsidRPr="007F7D5B">
        <w:rPr>
          <w:rFonts w:hint="cs"/>
          <w:b/>
          <w:bCs/>
          <w:rtl/>
        </w:rPr>
        <w:t>הניידת"</w:t>
      </w:r>
      <w:r w:rsidRPr="007F7D5B">
        <w:rPr>
          <w:rFonts w:hint="cs"/>
          <w:rtl/>
        </w:rPr>
        <w:t>, "</w:t>
      </w:r>
      <w:r w:rsidRPr="007F7D5B">
        <w:rPr>
          <w:rFonts w:hint="cs"/>
          <w:b/>
          <w:bCs/>
          <w:rtl/>
        </w:rPr>
        <w:t>השוטרים</w:t>
      </w:r>
      <w:r w:rsidRPr="007F7D5B">
        <w:rPr>
          <w:rFonts w:hint="cs"/>
          <w:rtl/>
        </w:rPr>
        <w:t xml:space="preserve">"), על כביש 70 והתקרבה למתחם. הנאשם הבחין בניידת, רץ במהירות אל הפח, הוציא מתוכו את התיק, והמשיך בריצה עם התיק </w:t>
      </w:r>
      <w:r w:rsidRPr="007F7D5B">
        <w:rPr>
          <w:rFonts w:hint="cs"/>
          <w:rtl/>
        </w:rPr>
        <w:lastRenderedPageBreak/>
        <w:t>לכיוון דרום. בשעה 23:04 נכנסה הניידת אל המתחם ונסעה לכיוון היציאה ממנו. הנאשם הבחין בניידת והחל להימלט מפניה ומפני השוטרים כשבידו התיק. השוטרים, שהבחינו בהתנהגות החשודה של הנאשם, יצאו מהניידת כשהם לבושים מדי יס"מ, רדפו אחרי הנאשם, והורו לו מספר פעמים "עצור משטרה", אולם הנאשם המשיך במנוסתו. במהלך הבריחה מפני השוטרים השליך הנאשם את התיק לתוך מיכל מחזור (להלן: "</w:t>
      </w:r>
      <w:r w:rsidRPr="007F7D5B">
        <w:rPr>
          <w:rFonts w:hint="cs"/>
          <w:b/>
          <w:bCs/>
          <w:rtl/>
        </w:rPr>
        <w:t>המיכל</w:t>
      </w:r>
      <w:r w:rsidRPr="007F7D5B">
        <w:rPr>
          <w:rFonts w:hint="cs"/>
          <w:rtl/>
        </w:rPr>
        <w:t xml:space="preserve">"). בהמשך איתרו השוטרים את הנאשם כשהוא מסתתר בשיחים בקרבת מקום, ובסריקה שערכו מיד לאחר מכן איתרו בתוך המיכל את התיק שבתוכו הנשק, התחמושת והרימון.  </w:t>
      </w:r>
    </w:p>
    <w:p w:rsidR="00E3496A" w:rsidRPr="007F7D5B" w:rsidRDefault="00E3496A" w:rsidP="00E3496A">
      <w:pPr>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3.</w:t>
      </w:r>
      <w:r w:rsidRPr="007F7D5B">
        <w:rPr>
          <w:rFonts w:hint="cs"/>
          <w:rtl/>
        </w:rPr>
        <w:tab/>
        <w:t xml:space="preserve">תחילה כפר הנאשם במיוחס לו, אולם ביום 14.2.2018 הודיעו הצדדים כי הגיעו להסדר טיעון כמפורט לעיל. לבקשת ב"כ הנאשם, הוריתי על עריכת תסקיר בטרם שמיעת הטיעונים לעונש.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spacing w:line="360" w:lineRule="auto"/>
        <w:ind w:left="567" w:hanging="567"/>
        <w:jc w:val="both"/>
        <w:rPr>
          <w:rtl/>
        </w:rPr>
      </w:pPr>
      <w:r w:rsidRPr="007F7D5B">
        <w:rPr>
          <w:rFonts w:ascii="David" w:hAnsi="David" w:hint="cs"/>
          <w:u w:val="single"/>
          <w:rtl/>
        </w:rPr>
        <w:t xml:space="preserve">תסקיר שירות המבחן </w:t>
      </w:r>
    </w:p>
    <w:p w:rsidR="00E3496A" w:rsidRPr="007F7D5B" w:rsidRDefault="002A528E" w:rsidP="00E3496A">
      <w:pPr>
        <w:spacing w:line="360" w:lineRule="auto"/>
        <w:ind w:left="567" w:hanging="567"/>
        <w:jc w:val="both"/>
        <w:rPr>
          <w:sz w:val="12"/>
          <w:szCs w:val="12"/>
        </w:rPr>
      </w:pPr>
      <w:r>
        <w:rPr>
          <w:rFonts w:ascii="David" w:hAnsi="David" w:hint="cs"/>
          <w:sz w:val="12"/>
          <w:szCs w:val="12"/>
          <w:rtl/>
        </w:rPr>
        <w:t xml:space="preserve"> </w:t>
      </w:r>
    </w:p>
    <w:p w:rsidR="00E3496A" w:rsidRPr="007F7D5B" w:rsidRDefault="00E3496A" w:rsidP="00E3496A">
      <w:pPr>
        <w:tabs>
          <w:tab w:val="left" w:pos="720"/>
        </w:tabs>
        <w:spacing w:line="360" w:lineRule="auto"/>
        <w:ind w:left="720" w:hanging="720"/>
        <w:jc w:val="both"/>
        <w:rPr>
          <w:rtl/>
        </w:rPr>
      </w:pPr>
      <w:r w:rsidRPr="007F7D5B">
        <w:rPr>
          <w:rFonts w:hint="cs"/>
          <w:rtl/>
        </w:rPr>
        <w:t>4.</w:t>
      </w:r>
      <w:r w:rsidRPr="007F7D5B">
        <w:rPr>
          <w:rFonts w:hint="cs"/>
          <w:rtl/>
        </w:rPr>
        <w:tab/>
        <w:t xml:space="preserve">בתסקיר שירות המבחן מיום 27.3.2018 צוין כי מדובר בצעיר בן 24, רווק, תושב אבו סנאן, בן למשפחה המונה הורים ו-5 ילדים, כאשר הנאשם הנו הבן הבכור במשפחה. טרם מעצרו עבד הנאשם  בכריתת עצים ופינוי עצים להסקה במקום מגוריו, לאחר שסיים 12 שנות לימוד בבית ספר טכנולוגי, ללא תעודת בגרות.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5.</w:t>
      </w:r>
      <w:r w:rsidRPr="007F7D5B">
        <w:rPr>
          <w:rFonts w:hint="cs"/>
          <w:rtl/>
        </w:rPr>
        <w:tab/>
        <w:t xml:space="preserve">עיון בגיליון רישומו הפלילי מלמד כי לחובת הנאשם שלוש הרשעות קודמות, בין השנים 2016-2017, בעבירות סמים, איומים, תקיפה, היזק לרכוש והפרעה לשוטר במילוי תפקידו, בגינן נידון לעונשים צופי פני עתיד, קנס ופסילה.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jc w:val="both"/>
        <w:rPr>
          <w:rtl/>
        </w:rPr>
      </w:pPr>
      <w:r w:rsidRPr="007F7D5B">
        <w:rPr>
          <w:rFonts w:hint="cs"/>
          <w:rtl/>
        </w:rPr>
        <w:t>שירות המבחן ציין כי משיחה עם הנאשם בנוגע להרשעותיו הקודמות, עולה כי עמדותיו מצמצמות מהיקף אחריותו. עוד נאמר, כי הנאשם היה תחת צו פיקוח של שירות המבחן למשך 18 חודשים בגין עבירות תעבורה, וכי הצו הופקע עקב מעצרו בהליך הנוכחי. עד לפקיעת הצו כאמור, שמר הנאשם על קשר רציף עם שירות המבחן והקפיד להגיע לשיחות פרטניות, עד לשילובו בקבוצה לטיפול באנשים שביצעו עבירות תעבורה.</w:t>
      </w:r>
    </w:p>
    <w:p w:rsidR="00E3496A" w:rsidRPr="007F7D5B" w:rsidRDefault="00E3496A" w:rsidP="00E3496A">
      <w:pPr>
        <w:tabs>
          <w:tab w:val="left" w:pos="720"/>
        </w:tabs>
        <w:spacing w:line="360" w:lineRule="auto"/>
        <w:ind w:left="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6.</w:t>
      </w:r>
      <w:r w:rsidRPr="007F7D5B">
        <w:rPr>
          <w:rFonts w:hint="cs"/>
          <w:rtl/>
        </w:rPr>
        <w:tab/>
        <w:t xml:space="preserve">באשר לעבירות נשוא הדיון, הודה הנאשם במיוחס לו וציין כי הנשק שייך לאחר, וכי פעולותיו המתוארות בכתב האישום נעשו מתוך ניסיון לסייע לחבריו וחשש לפגיעה מצד השוטרים. לדבריו, מטרת אחזקת הנשק הייתה לשם שימוש בחתונה, כדרך של מנהג תרבותי מקובל. צוין כי הנאשם אמנם התקשה להתחבר לרגשותיו שהיו ברקע לבחירותיו והתנהלותו, אך יחד עם זאת ביטא תחושות של צער וחרטה נוכח האירועים שהובילו למעורבותו בפלילים.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lastRenderedPageBreak/>
        <w:t>7.</w:t>
      </w:r>
      <w:r w:rsidRPr="007F7D5B">
        <w:rPr>
          <w:rFonts w:hint="cs"/>
          <w:rtl/>
        </w:rPr>
        <w:tab/>
        <w:t xml:space="preserve">שירות המבחן הפנה לתסקיר שערך במסגרת תיק המעצר, אז התרשם כי הנאשם מתקשה לבחון באופן מעמיק וביקורתי את התנהלותו המכשילה ואת דפוסי חשיבתו, והעריך כי רמת הסיכון להישנות עבירות דומות הינה בינונית-גבוהה. בנוסף צוין, כי המפקחים שהוצעו על ידי הנאשם נמצאו כלא מתאימים לשמש כמשמורנים ולכן לא באה המלצה על שחרור. עוד נאמר כי הנאשם תיאר צריכת חומרים ממכרים מגיל צעיר, הכוללת צריכת אלכוהול וסמים מסוג קנאביס. לדברי הנאשם, נוכח השפעה שלילית על תפקודו בעבודה והוצאה כספית על אותם חומרים ממכרים, החליט להפסיק בגיל 18 את צריכתם, ומאז הוא מתאר ניקיון, בעיקר מסמים.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 xml:space="preserve">8. </w:t>
      </w:r>
      <w:r w:rsidRPr="007F7D5B">
        <w:rPr>
          <w:rFonts w:hint="cs"/>
          <w:rtl/>
        </w:rPr>
        <w:tab/>
        <w:t xml:space="preserve">מהשיחה עמו, התרשמה קצינת המבחן כי הנאשם הינו בעל אישיות לא מגובשת ולא בוגרת המתאפיינת בדימוי עצמי נמוך ורצון להשתייך ולבסס את מעמדו החברתי, במיוחד במקרים בהם מופעל עליו לחץ ע"י הסובבים להוכחת דימוי גברי. עוד צוין כי הנאשם מתקשה לגלות שיקול דעת בוגר ואחראי במצבי לחץ, ואינו עורך התבוננות על בחירותיו השגויות ועל השלכות מעשיו ופועל באופן חסר גבולות.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9.</w:t>
      </w:r>
      <w:r w:rsidRPr="007F7D5B">
        <w:rPr>
          <w:rFonts w:hint="cs"/>
          <w:rtl/>
        </w:rPr>
        <w:tab/>
        <w:t>קצינת המבחן הפנתה לכך שהתייחסותו של הנאשם לעבירות נשוא הדיון, כמו גם לעברו הפלילי, אופיינה בהשלכות ובמזעור. בהתייחס להליך הפלילי ביטא הנאשם חרטה, אך שירות המבחן התרשם מקיומו של קושי בנטילת אחריות פנימית ועריכת בחינה עצמית לגבי בחירותיו וכשליו ההתנהגותיים. על כן הוערך כי רמת הסיכון הנשקפת מהנאשם להישנות עבירות דומות בעתיד היא גבוהה, בעיקר בהעדר התערבות טיפולית. אולם בשלב זה, לא נוצר פתח לאפיק שיקומי בשל עמדותיו של הנאשם המתקשה לזהות את חומרת מצבו והעובדה כי העבירות הנדונות בתיק זה נעשו על ידו בהיותו נתון בצו מבחן.</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10.</w:t>
      </w:r>
      <w:r w:rsidRPr="007F7D5B">
        <w:rPr>
          <w:rFonts w:hint="cs"/>
          <w:rtl/>
        </w:rPr>
        <w:tab/>
        <w:t>נוכח האמור, לא בא שירות המבחן בהמלצה טיפולית לגבי הנאשם, והעריך כי קיים צורך בענישה מוחשית, שתחדד עבורו את הגבולות ותהווה גורם מרתיע בפני ביצוע עבירות דומות בעתיד.</w:t>
      </w:r>
    </w:p>
    <w:p w:rsidR="00E3496A" w:rsidRPr="007F7D5B" w:rsidRDefault="00E3496A" w:rsidP="00E3496A">
      <w:pPr>
        <w:tabs>
          <w:tab w:val="left" w:pos="720"/>
        </w:tabs>
        <w:spacing w:line="360" w:lineRule="auto"/>
        <w:ind w:left="720" w:hanging="720"/>
        <w:jc w:val="both"/>
        <w:rPr>
          <w:rtl/>
        </w:rPr>
      </w:pPr>
    </w:p>
    <w:p w:rsidR="00E3496A" w:rsidRPr="00E3496A" w:rsidRDefault="00E3496A" w:rsidP="00E3496A">
      <w:pPr>
        <w:spacing w:line="360" w:lineRule="auto"/>
        <w:jc w:val="both"/>
        <w:rPr>
          <w:rFonts w:ascii="Calibri" w:eastAsia="Calibri" w:hAnsi="Calibri"/>
          <w:sz w:val="2"/>
          <w:szCs w:val="2"/>
          <w:u w:val="single"/>
          <w:rtl/>
        </w:rPr>
      </w:pPr>
    </w:p>
    <w:p w:rsidR="00E3496A" w:rsidRPr="007F7D5B" w:rsidRDefault="00E3496A" w:rsidP="00E3496A">
      <w:pPr>
        <w:spacing w:line="360" w:lineRule="auto"/>
        <w:jc w:val="both"/>
        <w:rPr>
          <w:u w:val="single"/>
          <w:rtl/>
        </w:rPr>
      </w:pPr>
      <w:r w:rsidRPr="007F7D5B">
        <w:rPr>
          <w:rFonts w:hint="cs"/>
          <w:u w:val="single"/>
          <w:rtl/>
        </w:rPr>
        <w:t>ראיות הצדדים לעונש</w:t>
      </w:r>
    </w:p>
    <w:p w:rsidR="00E3496A" w:rsidRPr="007F7D5B" w:rsidRDefault="00E3496A" w:rsidP="00E3496A">
      <w:pPr>
        <w:spacing w:line="360" w:lineRule="auto"/>
        <w:jc w:val="both"/>
        <w:rPr>
          <w:u w:val="single"/>
          <w:rtl/>
        </w:rPr>
      </w:pPr>
    </w:p>
    <w:p w:rsidR="00E3496A" w:rsidRPr="007F7D5B" w:rsidRDefault="00E3496A" w:rsidP="00E3496A">
      <w:pPr>
        <w:tabs>
          <w:tab w:val="left" w:pos="720"/>
        </w:tabs>
        <w:spacing w:line="360" w:lineRule="auto"/>
        <w:ind w:left="720" w:hanging="720"/>
        <w:jc w:val="both"/>
        <w:rPr>
          <w:rtl/>
        </w:rPr>
      </w:pPr>
      <w:r w:rsidRPr="007F7D5B">
        <w:rPr>
          <w:rFonts w:hint="cs"/>
          <w:rtl/>
        </w:rPr>
        <w:t>11.</w:t>
      </w:r>
      <w:r w:rsidRPr="007F7D5B">
        <w:rPr>
          <w:rFonts w:hint="cs"/>
          <w:rtl/>
        </w:rPr>
        <w:tab/>
        <w:t>בטרם נשמעו טיעוני הצדדים לעונש, הציגה המאשימה את גיליון המרשם הפלילי והתעבורתי של הנאשם (מע/1) ממנו עולה כי לחובתו ארבע הרשעות קודמות בעבירות של החזקה / שימוש בסמים לצריכה עצמית, איומים, תקיפה סתם, הפרעה לשוטר במילוי תפקידו והיזק לרכוש במזיד.  בנוסף, עולה כי לחובת הנאשם עבר תעבורתי, אשר כולל נהיגת רכב בשכרות, נהיגה ללא רישיון רכב ושימוש בטלפון בזמן נהיגה.</w:t>
      </w:r>
    </w:p>
    <w:p w:rsidR="00E3496A" w:rsidRPr="007F7D5B" w:rsidRDefault="00E3496A" w:rsidP="00E3496A">
      <w:pPr>
        <w:tabs>
          <w:tab w:val="left" w:pos="720"/>
        </w:tabs>
        <w:spacing w:line="360" w:lineRule="auto"/>
        <w:ind w:left="720" w:hanging="720"/>
        <w:jc w:val="both"/>
      </w:pPr>
    </w:p>
    <w:p w:rsidR="00E3496A" w:rsidRPr="007F7D5B" w:rsidRDefault="00E3496A" w:rsidP="00E3496A">
      <w:pPr>
        <w:tabs>
          <w:tab w:val="left" w:pos="720"/>
        </w:tabs>
        <w:spacing w:line="360" w:lineRule="auto"/>
        <w:ind w:left="720" w:hanging="720"/>
        <w:jc w:val="both"/>
        <w:rPr>
          <w:rtl/>
        </w:rPr>
      </w:pPr>
      <w:r w:rsidRPr="007F7D5B">
        <w:rPr>
          <w:rFonts w:hint="cs"/>
          <w:rtl/>
        </w:rPr>
        <w:tab/>
        <w:t>עוד הציגה המאשימה את כתב האישום, הכרעת הדין וגזר הדין שניתנו כנגד הנאשם על ידי בית משפט השלום בעכו ב</w:t>
      </w:r>
      <w:hyperlink r:id="rId14" w:history="1">
        <w:r w:rsidR="002A528E" w:rsidRPr="002A528E">
          <w:rPr>
            <w:color w:val="0000FF"/>
            <w:u w:val="single"/>
            <w:rtl/>
          </w:rPr>
          <w:t>ת"פ 36093-03-14</w:t>
        </w:r>
      </w:hyperlink>
      <w:r w:rsidRPr="007F7D5B">
        <w:rPr>
          <w:rFonts w:hint="cs"/>
          <w:rtl/>
        </w:rPr>
        <w:t xml:space="preserve"> (מע/2), תוך שביקשה להפעיל את העונש המותנה בן 6 חודשים שהושת עליו באותו תיק.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u w:val="single"/>
          <w:rtl/>
        </w:rPr>
      </w:pPr>
      <w:r w:rsidRPr="007F7D5B">
        <w:rPr>
          <w:rFonts w:hint="cs"/>
          <w:rtl/>
        </w:rPr>
        <w:t>12.</w:t>
      </w:r>
      <w:r w:rsidRPr="007F7D5B">
        <w:rPr>
          <w:rFonts w:hint="cs"/>
          <w:rtl/>
        </w:rPr>
        <w:tab/>
        <w:t>מטעם הנאשם לא הוצגו כל ראיות לעונש.</w:t>
      </w:r>
    </w:p>
    <w:p w:rsidR="00E3496A" w:rsidRPr="007F7D5B" w:rsidRDefault="00E3496A" w:rsidP="00E3496A">
      <w:pPr>
        <w:spacing w:line="360" w:lineRule="auto"/>
        <w:jc w:val="both"/>
        <w:rPr>
          <w:u w:val="single"/>
          <w:rtl/>
        </w:rPr>
      </w:pPr>
      <w:r w:rsidRPr="007F7D5B">
        <w:rPr>
          <w:rFonts w:hint="cs"/>
          <w:u w:val="single"/>
          <w:rtl/>
        </w:rPr>
        <w:t>טיעוני המאשימה לעונש</w:t>
      </w:r>
    </w:p>
    <w:p w:rsidR="00E3496A" w:rsidRPr="007F7D5B" w:rsidRDefault="00E3496A" w:rsidP="00E3496A">
      <w:pPr>
        <w:spacing w:line="360" w:lineRule="auto"/>
        <w:jc w:val="both"/>
        <w:rPr>
          <w:u w:val="single"/>
          <w:rtl/>
        </w:rPr>
      </w:pPr>
    </w:p>
    <w:p w:rsidR="00E3496A" w:rsidRPr="007F7D5B" w:rsidRDefault="00E3496A" w:rsidP="00E3496A">
      <w:pPr>
        <w:tabs>
          <w:tab w:val="left" w:pos="720"/>
        </w:tabs>
        <w:spacing w:line="360" w:lineRule="auto"/>
        <w:ind w:left="720" w:hanging="720"/>
        <w:jc w:val="both"/>
        <w:rPr>
          <w:rtl/>
        </w:rPr>
      </w:pPr>
      <w:r w:rsidRPr="007F7D5B">
        <w:rPr>
          <w:rFonts w:hint="cs"/>
          <w:rtl/>
        </w:rPr>
        <w:t>13.</w:t>
      </w:r>
      <w:r w:rsidRPr="007F7D5B">
        <w:rPr>
          <w:rFonts w:hint="cs"/>
          <w:rtl/>
        </w:rPr>
        <w:tab/>
        <w:t xml:space="preserve">בטיעוניה ציינה המאשימה כי הנאשם סיכן ופגע בשלום הציבור ובטחונו, שעה שהחזיק כלי נשק שאין להם כל לתכלית למעט גרימת נזק והרג.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14.</w:t>
      </w:r>
      <w:r w:rsidRPr="007F7D5B">
        <w:rPr>
          <w:rFonts w:hint="cs"/>
          <w:rtl/>
        </w:rPr>
        <w:tab/>
        <w:t xml:space="preserve">ביחס לנסיבות ביצוע העבירות, הדגישה המאשימה את סוגי הנשק, תת מקלע מאולתר, שהוא קטלני ומסוכן וכן רימון הלם, תוך שנאמר כי לשניהם אין תכלית הגנתית. עוד צוין כי מדובר במעשים מתוכננים, שעה שהנאשם החזיק במספר כלי נשק ותחמושת, למשך מספר שעות, ונשא אותם עמו בתוך תיק. הנזק שהיה צפוי להיגרם הוא חמור וקטלני, זאת במיוחד לאור העובדה שהנשק הוחזק עם מחסנית ובתוכה כדורים, כשהוא מוכן לשימוש. בהתייחס לחלקו של הנאשם במעשים צוין כי הוא מלא ובלעדי.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15.</w:t>
      </w:r>
      <w:r w:rsidRPr="007F7D5B">
        <w:rPr>
          <w:rFonts w:hint="cs"/>
          <w:rtl/>
        </w:rPr>
        <w:tab/>
        <w:t>בנסיבות שאינן קשורות בביצוע העבירות, הודגש עברו הפלילי המכביד של הנאשם, אשר הורשע לא מכבר בביצוע עבירות אחרות, כמפורט לעיל. עוד צוין, כי בתי המשפט התחשבו בעבר בנאשם, כאשר הטילו עליו עונשים מותנים וצו מבחן. אלא שבכך לא היה כדי להרתיעו מלשוב ולהסתבך בפלילים בשנית.</w:t>
      </w:r>
    </w:p>
    <w:p w:rsidR="00E3496A" w:rsidRPr="007F7D5B" w:rsidRDefault="00E3496A" w:rsidP="00E3496A">
      <w:pPr>
        <w:tabs>
          <w:tab w:val="left" w:pos="720"/>
        </w:tabs>
        <w:spacing w:line="360" w:lineRule="auto"/>
        <w:ind w:left="720" w:hanging="720"/>
        <w:jc w:val="both"/>
        <w:rPr>
          <w:rtl/>
        </w:rPr>
      </w:pPr>
    </w:p>
    <w:p w:rsidR="00E3496A" w:rsidRPr="00E3496A" w:rsidRDefault="00E3496A" w:rsidP="00E3496A">
      <w:pPr>
        <w:tabs>
          <w:tab w:val="left" w:pos="720"/>
        </w:tabs>
        <w:spacing w:line="360" w:lineRule="auto"/>
        <w:ind w:left="720" w:hanging="720"/>
        <w:jc w:val="both"/>
        <w:rPr>
          <w:rFonts w:ascii="David" w:eastAsia="Calibri" w:hAnsi="Calibri"/>
          <w:rtl/>
        </w:rPr>
      </w:pPr>
      <w:r w:rsidRPr="007F7D5B">
        <w:rPr>
          <w:rFonts w:hint="cs"/>
          <w:rtl/>
        </w:rPr>
        <w:t>16.</w:t>
      </w:r>
      <w:r w:rsidRPr="007F7D5B">
        <w:rPr>
          <w:rFonts w:hint="cs"/>
          <w:rtl/>
        </w:rPr>
        <w:tab/>
        <w:t xml:space="preserve">המאשימה הפנתה לפסיקה המתייחסת לחומרה ולסכנה הטמונה בעבירות של החזקת נשק, כמו גם לצורך להחמיר בענישה של מי שהורשעו בעבירות בנשק. כן הפנתה המאשימה להנחיית פרקליט המדינה 9.16 המתווה את </w:t>
      </w:r>
      <w:r w:rsidRPr="007F7D5B">
        <w:rPr>
          <w:rFonts w:ascii="David" w:hint="cs"/>
          <w:rtl/>
        </w:rPr>
        <w:t>מדיניות</w:t>
      </w:r>
      <w:r w:rsidRPr="007F7D5B">
        <w:rPr>
          <w:rFonts w:ascii="David" w:hint="cs"/>
        </w:rPr>
        <w:t xml:space="preserve"> </w:t>
      </w:r>
      <w:r w:rsidRPr="007F7D5B">
        <w:rPr>
          <w:rFonts w:ascii="David" w:hint="cs"/>
          <w:rtl/>
        </w:rPr>
        <w:t>הענישה</w:t>
      </w:r>
      <w:r w:rsidRPr="007F7D5B">
        <w:rPr>
          <w:rFonts w:ascii="David" w:hint="cs"/>
        </w:rPr>
        <w:t xml:space="preserve"> </w:t>
      </w:r>
      <w:r w:rsidRPr="007F7D5B">
        <w:rPr>
          <w:rFonts w:ascii="David" w:hint="cs"/>
          <w:rtl/>
        </w:rPr>
        <w:t>של</w:t>
      </w:r>
      <w:r w:rsidRPr="007F7D5B">
        <w:rPr>
          <w:rFonts w:ascii="David" w:hint="cs"/>
        </w:rPr>
        <w:t xml:space="preserve"> </w:t>
      </w:r>
      <w:r w:rsidRPr="007F7D5B">
        <w:rPr>
          <w:rFonts w:ascii="David" w:hint="cs"/>
          <w:rtl/>
        </w:rPr>
        <w:t>התביעה</w:t>
      </w:r>
      <w:r w:rsidRPr="007F7D5B">
        <w:rPr>
          <w:rFonts w:ascii="David" w:hint="cs"/>
        </w:rPr>
        <w:t xml:space="preserve"> </w:t>
      </w:r>
      <w:r w:rsidRPr="007F7D5B">
        <w:rPr>
          <w:rFonts w:ascii="David" w:hint="cs"/>
          <w:rtl/>
        </w:rPr>
        <w:t>הכללית</w:t>
      </w:r>
      <w:r w:rsidRPr="007F7D5B">
        <w:rPr>
          <w:rFonts w:ascii="David" w:hint="cs"/>
        </w:rPr>
        <w:t xml:space="preserve"> </w:t>
      </w:r>
      <w:r w:rsidRPr="007F7D5B">
        <w:rPr>
          <w:rFonts w:ascii="David" w:hint="cs"/>
          <w:rtl/>
        </w:rPr>
        <w:t>בעבירות</w:t>
      </w:r>
      <w:r w:rsidRPr="007F7D5B">
        <w:rPr>
          <w:rFonts w:ascii="David" w:hint="cs"/>
        </w:rPr>
        <w:t xml:space="preserve"> </w:t>
      </w:r>
      <w:r w:rsidRPr="007F7D5B">
        <w:rPr>
          <w:rFonts w:ascii="David" w:hint="cs"/>
          <w:rtl/>
        </w:rPr>
        <w:t>נשק.</w:t>
      </w:r>
    </w:p>
    <w:p w:rsidR="00E3496A" w:rsidRPr="00E3496A" w:rsidRDefault="00E3496A" w:rsidP="00E3496A">
      <w:pPr>
        <w:tabs>
          <w:tab w:val="left" w:pos="720"/>
        </w:tabs>
        <w:spacing w:line="360" w:lineRule="auto"/>
        <w:ind w:left="720" w:hanging="720"/>
        <w:jc w:val="both"/>
        <w:rPr>
          <w:rFonts w:ascii="David" w:eastAsia="Calibri" w:hAnsi="Calibri"/>
          <w:rtl/>
        </w:rPr>
      </w:pPr>
    </w:p>
    <w:p w:rsidR="00E3496A" w:rsidRPr="00E3496A" w:rsidRDefault="00E3496A" w:rsidP="00E3496A">
      <w:pPr>
        <w:tabs>
          <w:tab w:val="left" w:pos="720"/>
        </w:tabs>
        <w:spacing w:line="360" w:lineRule="auto"/>
        <w:ind w:left="720" w:hanging="720"/>
        <w:jc w:val="both"/>
        <w:rPr>
          <w:rFonts w:ascii="Calibri"/>
          <w:rtl/>
        </w:rPr>
      </w:pPr>
      <w:r w:rsidRPr="007F7D5B">
        <w:rPr>
          <w:rFonts w:hint="cs"/>
          <w:rtl/>
        </w:rPr>
        <w:t>17.</w:t>
      </w:r>
      <w:r w:rsidRPr="007F7D5B">
        <w:rPr>
          <w:rFonts w:hint="cs"/>
          <w:rtl/>
        </w:rPr>
        <w:tab/>
        <w:t>בפסקי הדין שהובאו על ידי המאשימה נגזרו על המורשעים בעבירות נשק עונשים הנעים בין 6 ל- 52 חודשי מאסר בפועל.</w:t>
      </w:r>
    </w:p>
    <w:p w:rsidR="00E3496A" w:rsidRPr="00E3496A" w:rsidRDefault="00E3496A" w:rsidP="00E3496A">
      <w:pPr>
        <w:tabs>
          <w:tab w:val="left" w:pos="720"/>
        </w:tabs>
        <w:spacing w:line="360" w:lineRule="auto"/>
        <w:ind w:left="720" w:hanging="720"/>
        <w:jc w:val="both"/>
        <w:rPr>
          <w:rFonts w:ascii="Calibri"/>
          <w:rtl/>
        </w:rPr>
      </w:pPr>
    </w:p>
    <w:p w:rsidR="00E3496A" w:rsidRPr="007F7D5B" w:rsidRDefault="00E3496A" w:rsidP="00E3496A">
      <w:pPr>
        <w:tabs>
          <w:tab w:val="left" w:pos="720"/>
        </w:tabs>
        <w:spacing w:line="360" w:lineRule="auto"/>
        <w:ind w:left="720" w:hanging="720"/>
        <w:jc w:val="both"/>
        <w:rPr>
          <w:rtl/>
        </w:rPr>
      </w:pPr>
      <w:r w:rsidRPr="007F7D5B">
        <w:rPr>
          <w:rFonts w:hint="cs"/>
          <w:rtl/>
        </w:rPr>
        <w:tab/>
        <w:t xml:space="preserve">נוכח האמור, ביקשה המאשימה מבית המשפט שיקבע, כי מתחם העונש ההולם, בענייננו, נע בין 3 ל-5.5 שנות מאסר בפועל, וישית על הנאשם עונש בחציו העליון של המתחם.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18.</w:t>
      </w:r>
      <w:r w:rsidRPr="007F7D5B">
        <w:rPr>
          <w:rFonts w:hint="cs"/>
          <w:rtl/>
        </w:rPr>
        <w:tab/>
        <w:t>בנוסף, עתרה המאשימה להפעיל את המאסר המותנה שנגזר על הנאשם ב</w:t>
      </w:r>
      <w:hyperlink r:id="rId15" w:history="1">
        <w:r w:rsidR="002A528E" w:rsidRPr="002A528E">
          <w:rPr>
            <w:color w:val="0000FF"/>
            <w:u w:val="single"/>
            <w:rtl/>
          </w:rPr>
          <w:t>ת"פ 36093-03-14</w:t>
        </w:r>
      </w:hyperlink>
      <w:r w:rsidRPr="007F7D5B">
        <w:rPr>
          <w:rFonts w:hint="cs"/>
          <w:rtl/>
        </w:rPr>
        <w:t xml:space="preserve">. זאת, אף שלכאורה עולה מגזר הדין כי העונש יופעל באם יעבור הנאשם עבירות של הפרעה לשוטר במילוי תפקידו </w:t>
      </w:r>
      <w:r w:rsidRPr="007F7D5B">
        <w:rPr>
          <w:rFonts w:hint="cs"/>
          <w:b/>
          <w:bCs/>
          <w:rtl/>
        </w:rPr>
        <w:t>ו</w:t>
      </w:r>
      <w:r w:rsidRPr="007F7D5B">
        <w:rPr>
          <w:rFonts w:hint="cs"/>
          <w:rtl/>
        </w:rPr>
        <w:t xml:space="preserve">גרימת נזק לרכוש במזיד, יחד. לעניין זה נטען, כי מדובר בטעות, שכן הנאשם כלל לא הואשם ולא הורשע, באותו מקרה, בעבירה של גרימת נזק לרכוש. בנוסף, לפי </w:t>
      </w:r>
      <w:hyperlink r:id="rId16" w:history="1">
        <w:r w:rsidR="002A528E" w:rsidRPr="002A528E">
          <w:rPr>
            <w:color w:val="0000FF"/>
            <w:u w:val="single"/>
            <w:rtl/>
          </w:rPr>
          <w:t>חוק העונשין</w:t>
        </w:r>
      </w:hyperlink>
      <w:r w:rsidRPr="007F7D5B">
        <w:rPr>
          <w:rFonts w:hint="cs"/>
          <w:rtl/>
        </w:rPr>
        <w:t xml:space="preserve"> לא ניתן לקבוע שהתנאי יופעל בהתקיים שתי עבירות יחד, כפי שפירש זאת ב"כ הנאשם.</w:t>
      </w:r>
    </w:p>
    <w:p w:rsidR="00E3496A" w:rsidRPr="007F7D5B" w:rsidRDefault="00E3496A" w:rsidP="00E3496A">
      <w:pPr>
        <w:spacing w:line="360" w:lineRule="auto"/>
        <w:jc w:val="both"/>
        <w:rPr>
          <w:u w:val="single"/>
          <w:rtl/>
        </w:rPr>
      </w:pPr>
      <w:r w:rsidRPr="007F7D5B">
        <w:rPr>
          <w:rFonts w:hint="cs"/>
          <w:u w:val="single"/>
          <w:rtl/>
        </w:rPr>
        <w:t>טיעוני ההגנה לעונש</w:t>
      </w:r>
    </w:p>
    <w:p w:rsidR="00E3496A" w:rsidRPr="007F7D5B" w:rsidRDefault="00E3496A" w:rsidP="00E3496A">
      <w:pPr>
        <w:spacing w:line="360" w:lineRule="auto"/>
        <w:jc w:val="both"/>
        <w:rPr>
          <w:u w:val="single"/>
          <w:rtl/>
        </w:rPr>
      </w:pPr>
    </w:p>
    <w:p w:rsidR="00E3496A" w:rsidRPr="007F7D5B" w:rsidRDefault="00E3496A" w:rsidP="00E3496A">
      <w:pPr>
        <w:tabs>
          <w:tab w:val="left" w:pos="720"/>
        </w:tabs>
        <w:spacing w:line="360" w:lineRule="auto"/>
        <w:ind w:left="720" w:hanging="720"/>
        <w:jc w:val="both"/>
        <w:rPr>
          <w:rtl/>
        </w:rPr>
      </w:pPr>
      <w:r w:rsidRPr="007F7D5B">
        <w:rPr>
          <w:rFonts w:hint="cs"/>
          <w:rtl/>
        </w:rPr>
        <w:t>19.</w:t>
      </w:r>
      <w:r w:rsidRPr="007F7D5B">
        <w:rPr>
          <w:rFonts w:hint="cs"/>
          <w:rtl/>
        </w:rPr>
        <w:tab/>
        <w:t>בטיעוניו לעונש, ביקש הסנגור שלא למצות את הדין עם הנאשם. בהתייחסו לנסיבות ביצוע העבירות ציין הסנגור, לזכות הנאשם, כי המטרה של החזקת הנשק ונשיאתו במקרה דנא לא הייתה לצורך פגיעה בביטחון המדינה או לביצוע עבירה ספציפית. כמו כן, נשיאת הנשק כמתואר בכתב האישום הייתה קצרה בזמן ותחומה למקום אחד.</w:t>
      </w:r>
    </w:p>
    <w:p w:rsidR="00E3496A" w:rsidRPr="007F7D5B" w:rsidRDefault="00E3496A" w:rsidP="00E3496A">
      <w:pPr>
        <w:tabs>
          <w:tab w:val="left" w:pos="720"/>
        </w:tabs>
        <w:spacing w:line="360" w:lineRule="auto"/>
        <w:ind w:left="720" w:hanging="720"/>
        <w:jc w:val="both"/>
      </w:pPr>
    </w:p>
    <w:p w:rsidR="00E3496A" w:rsidRPr="007F7D5B" w:rsidRDefault="00E3496A" w:rsidP="00E3496A">
      <w:pPr>
        <w:tabs>
          <w:tab w:val="left" w:pos="720"/>
        </w:tabs>
        <w:spacing w:line="360" w:lineRule="auto"/>
        <w:ind w:left="720" w:hanging="720"/>
        <w:jc w:val="both"/>
        <w:rPr>
          <w:rtl/>
        </w:rPr>
      </w:pPr>
      <w:r w:rsidRPr="007F7D5B">
        <w:rPr>
          <w:rFonts w:hint="cs"/>
          <w:rtl/>
        </w:rPr>
        <w:t>20.</w:t>
      </w:r>
      <w:r w:rsidRPr="007F7D5B">
        <w:rPr>
          <w:rFonts w:hint="cs"/>
          <w:rtl/>
        </w:rPr>
        <w:tab/>
        <w:t xml:space="preserve">אשר לנסיבות שאינן קשורות בביצוע העבירות צוין, כי עברו הפלילי של הנאשם אינו חמור וכי המעצר הממושך בו הוא נתון זעזע אותו. </w:t>
      </w:r>
    </w:p>
    <w:p w:rsidR="00E3496A" w:rsidRPr="007F7D5B" w:rsidRDefault="00E3496A" w:rsidP="00E3496A">
      <w:pPr>
        <w:tabs>
          <w:tab w:val="left" w:pos="720"/>
        </w:tabs>
        <w:spacing w:line="360" w:lineRule="auto"/>
        <w:ind w:left="720" w:hanging="720"/>
        <w:jc w:val="both"/>
        <w:rPr>
          <w:rtl/>
        </w:rPr>
      </w:pPr>
    </w:p>
    <w:p w:rsidR="00E3496A" w:rsidRPr="00E3496A" w:rsidRDefault="00E3496A" w:rsidP="00E3496A">
      <w:pPr>
        <w:tabs>
          <w:tab w:val="left" w:pos="720"/>
        </w:tabs>
        <w:spacing w:line="360" w:lineRule="auto"/>
        <w:ind w:left="720" w:hanging="720"/>
        <w:jc w:val="both"/>
        <w:rPr>
          <w:rFonts w:ascii="Calibri" w:eastAsia="Calibri" w:hAnsi="Calibri"/>
          <w:rtl/>
        </w:rPr>
      </w:pPr>
      <w:r w:rsidRPr="007F7D5B">
        <w:rPr>
          <w:rFonts w:hint="cs"/>
          <w:rtl/>
        </w:rPr>
        <w:t xml:space="preserve">21. </w:t>
      </w:r>
      <w:r w:rsidRPr="007F7D5B">
        <w:rPr>
          <w:rFonts w:hint="cs"/>
          <w:rtl/>
        </w:rPr>
        <w:tab/>
        <w:t xml:space="preserve">לעניין מתחם הענישה ציין הסנגור, כי כפי שעולה מפרסום של חטיבת התביעות במשטרה, מתחם העונש לעבירת החזקת נשק טעון, נע בין 18 ל- 30 חודשי מאסר. כן נטען כי קשת הענישה רחבה מאד, וישנם גם תיקים דומים אשר מסתיימים בלא הרשעה, של"צ ועבודות שירות. לעניין זה הפנה הסנגור לפסקי דין התומכים בעמדתו ביחס לעונש שיש להטיל על הנאשם, בהם הוטלו לכל היותר 22 חודשי מאסר בפועל. </w:t>
      </w:r>
    </w:p>
    <w:p w:rsidR="00E3496A" w:rsidRPr="00E3496A" w:rsidRDefault="00E3496A" w:rsidP="00E3496A">
      <w:pPr>
        <w:tabs>
          <w:tab w:val="left" w:pos="720"/>
        </w:tabs>
        <w:spacing w:line="360" w:lineRule="auto"/>
        <w:ind w:left="720" w:hanging="720"/>
        <w:jc w:val="both"/>
        <w:rPr>
          <w:rFonts w:ascii="Calibri" w:eastAsia="Calibri" w:hAnsi="Calibri"/>
          <w:rtl/>
        </w:rPr>
      </w:pPr>
    </w:p>
    <w:p w:rsidR="00E3496A" w:rsidRPr="007F7D5B" w:rsidRDefault="00E3496A" w:rsidP="00E3496A">
      <w:pPr>
        <w:tabs>
          <w:tab w:val="left" w:pos="720"/>
        </w:tabs>
        <w:spacing w:line="360" w:lineRule="auto"/>
        <w:ind w:left="720" w:hanging="720"/>
        <w:jc w:val="both"/>
        <w:rPr>
          <w:rtl/>
        </w:rPr>
      </w:pPr>
      <w:r w:rsidRPr="007F7D5B">
        <w:rPr>
          <w:rFonts w:hint="cs"/>
          <w:rtl/>
        </w:rPr>
        <w:t>22.</w:t>
      </w:r>
      <w:r w:rsidRPr="007F7D5B">
        <w:rPr>
          <w:rFonts w:hint="cs"/>
          <w:rtl/>
        </w:rPr>
        <w:tab/>
        <w:t xml:space="preserve"> נוכח כל האמור לעיל, ביקש הסנגור מבית המשפט לקבוע כי מתחם העונש ההולם נע בין 6 ל- 12 חודשים, ולהטיל על הנאשם עונש באמצע המתחם.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23.</w:t>
      </w:r>
      <w:r w:rsidRPr="007F7D5B">
        <w:rPr>
          <w:rFonts w:hint="cs"/>
          <w:rtl/>
        </w:rPr>
        <w:tab/>
        <w:t>ביחס לשאלת הפעלת המאסר המותנה, אישר הסנגור כי אכן נפלה טעות בגזר הדין של בית משפט השלום, בו נדון הנאשם למאסר מותנה על עבירה בה לא הורשע וציין כי בית המשפט לא היה מוסמך לקבוע עונש כאמור. יחד עם זאת, לאור הפרשנות המילולית של גזר הדין האמור, והצורך לפרשו בדרך המקלה עם הנאשם, יש להימנע מהפעלת התנאי במקרה זה, ולכל היותר, להפעילו בחופף לעונש שיוטל עליו במסגרת התיק דנא.</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u w:val="single"/>
          <w:rtl/>
        </w:rPr>
      </w:pPr>
      <w:r w:rsidRPr="007F7D5B">
        <w:rPr>
          <w:rFonts w:hint="cs"/>
          <w:u w:val="single"/>
          <w:rtl/>
        </w:rPr>
        <w:t>דבר הנאשם</w:t>
      </w:r>
    </w:p>
    <w:p w:rsidR="00E3496A" w:rsidRPr="007F7D5B" w:rsidRDefault="00E3496A" w:rsidP="00E3496A">
      <w:pPr>
        <w:tabs>
          <w:tab w:val="left" w:pos="720"/>
        </w:tabs>
        <w:spacing w:line="360" w:lineRule="auto"/>
        <w:ind w:left="720" w:hanging="720"/>
        <w:jc w:val="both"/>
        <w:rPr>
          <w:u w:val="single"/>
          <w:rtl/>
        </w:rPr>
      </w:pPr>
    </w:p>
    <w:p w:rsidR="00E3496A" w:rsidRPr="007F7D5B" w:rsidRDefault="00E3496A" w:rsidP="00E3496A">
      <w:pPr>
        <w:tabs>
          <w:tab w:val="left" w:pos="720"/>
        </w:tabs>
        <w:spacing w:line="360" w:lineRule="auto"/>
        <w:ind w:left="720" w:hanging="720"/>
        <w:jc w:val="both"/>
        <w:rPr>
          <w:rtl/>
        </w:rPr>
      </w:pPr>
      <w:r w:rsidRPr="007F7D5B">
        <w:rPr>
          <w:rFonts w:hint="cs"/>
          <w:rtl/>
        </w:rPr>
        <w:t>24.</w:t>
      </w:r>
      <w:r w:rsidRPr="007F7D5B">
        <w:rPr>
          <w:rFonts w:hint="cs"/>
          <w:rtl/>
        </w:rPr>
        <w:tab/>
        <w:t>בדברו האחרון הביע הנאשם חרטה על מעשיו, וציין כי הפיק לקח מן המעצר. כן הוסיף כי בתשעת חודשי מעצרו התנהלותו הייתה תקינה.</w:t>
      </w:r>
    </w:p>
    <w:p w:rsidR="00E3496A" w:rsidRPr="007F7D5B" w:rsidRDefault="00E3496A" w:rsidP="00E3496A">
      <w:pPr>
        <w:tabs>
          <w:tab w:val="left" w:pos="720"/>
        </w:tabs>
        <w:spacing w:line="360" w:lineRule="auto"/>
        <w:ind w:left="720" w:hanging="720"/>
        <w:jc w:val="both"/>
      </w:pPr>
    </w:p>
    <w:p w:rsidR="00E3496A" w:rsidRPr="007F7D5B" w:rsidRDefault="00E3496A" w:rsidP="00E3496A">
      <w:pPr>
        <w:tabs>
          <w:tab w:val="left" w:pos="720"/>
        </w:tabs>
        <w:spacing w:line="360" w:lineRule="auto"/>
        <w:ind w:left="720" w:hanging="720"/>
        <w:jc w:val="both"/>
        <w:rPr>
          <w:b/>
          <w:bCs/>
          <w:u w:val="single"/>
          <w:rtl/>
        </w:rPr>
      </w:pPr>
      <w:r w:rsidRPr="007F7D5B">
        <w:rPr>
          <w:rFonts w:hint="cs"/>
          <w:b/>
          <w:bCs/>
          <w:u w:val="single"/>
          <w:rtl/>
        </w:rPr>
        <w:t xml:space="preserve">דיון והכרעה  </w:t>
      </w:r>
    </w:p>
    <w:p w:rsidR="00E3496A" w:rsidRPr="007F7D5B" w:rsidRDefault="00E3496A" w:rsidP="00E3496A">
      <w:pPr>
        <w:tabs>
          <w:tab w:val="left" w:pos="720"/>
        </w:tabs>
        <w:spacing w:line="360" w:lineRule="auto"/>
        <w:ind w:left="720" w:hanging="720"/>
        <w:jc w:val="both"/>
        <w:rPr>
          <w:b/>
          <w:bCs/>
          <w:u w:val="single"/>
          <w:rtl/>
        </w:rPr>
      </w:pPr>
    </w:p>
    <w:p w:rsidR="00E3496A" w:rsidRPr="007F7D5B" w:rsidRDefault="00E3496A" w:rsidP="00E3496A">
      <w:pPr>
        <w:tabs>
          <w:tab w:val="left" w:pos="720"/>
        </w:tabs>
        <w:spacing w:line="360" w:lineRule="auto"/>
        <w:ind w:left="720" w:hanging="720"/>
        <w:jc w:val="both"/>
        <w:rPr>
          <w:u w:val="single"/>
          <w:rtl/>
        </w:rPr>
      </w:pPr>
      <w:r w:rsidRPr="007F7D5B">
        <w:rPr>
          <w:rFonts w:hint="cs"/>
          <w:u w:val="single"/>
          <w:rtl/>
        </w:rPr>
        <w:t>קביעת מתחם הענישה ההולם</w:t>
      </w:r>
    </w:p>
    <w:p w:rsidR="00E3496A" w:rsidRPr="007F7D5B" w:rsidRDefault="00E3496A" w:rsidP="00E3496A">
      <w:pPr>
        <w:tabs>
          <w:tab w:val="left" w:pos="720"/>
        </w:tabs>
        <w:spacing w:line="360" w:lineRule="auto"/>
        <w:ind w:left="720" w:hanging="720"/>
        <w:jc w:val="both"/>
        <w:rPr>
          <w:rtl/>
        </w:rPr>
      </w:pPr>
      <w:r w:rsidRPr="007F7D5B">
        <w:rPr>
          <w:rFonts w:hint="cs"/>
          <w:rtl/>
        </w:rPr>
        <w:t>25.</w:t>
      </w:r>
      <w:r w:rsidRPr="007F7D5B">
        <w:rPr>
          <w:rFonts w:hint="cs"/>
          <w:rtl/>
        </w:rPr>
        <w:tab/>
        <w:t xml:space="preserve">בפתח הדברים יצוין, כי העבירות בהן הורשע הנאשם מקימות אירוע עברייני אחד, מאחר ויש ביניהן קשר ענייני הדוק והן חלק ממסכת עבריינית אחת. העבירות בנשק וההפרעה לשוטר נעשו בסמיכות זמנים ומקום. בנוסף, העבירה האחרונה עניינה למעשה הימלטות הנאשם מפני המשטרה בעקבות ביצוע עבירות הנשק (לעניין סיווג מעשים עברייניים שונים לאירוע אחד או אירועים נפרדים ראו ע"פ </w:t>
      </w:r>
      <w:hyperlink r:id="rId17" w:history="1">
        <w:r w:rsidR="00F47836" w:rsidRPr="00F47836">
          <w:rPr>
            <w:color w:val="0000FF"/>
            <w:u w:val="single"/>
            <w:rtl/>
          </w:rPr>
          <w:t xml:space="preserve">5668/13‏ </w:t>
        </w:r>
      </w:hyperlink>
      <w:r w:rsidRPr="007F7D5B">
        <w:rPr>
          <w:rFonts w:hint="cs"/>
          <w:rtl/>
        </w:rPr>
        <w:t xml:space="preserve"> </w:t>
      </w:r>
      <w:r w:rsidRPr="007F7D5B">
        <w:rPr>
          <w:rFonts w:hint="cs"/>
          <w:b/>
          <w:bCs/>
          <w:rtl/>
        </w:rPr>
        <w:t>ערן מזרחי נ' מדינת ישראל</w:t>
      </w:r>
      <w:r w:rsidRPr="007F7D5B">
        <w:rPr>
          <w:rFonts w:hint="cs"/>
          <w:rtl/>
        </w:rPr>
        <w:t xml:space="preserve"> (17.6.2016); </w:t>
      </w:r>
      <w:hyperlink r:id="rId18" w:history="1">
        <w:r w:rsidR="002A528E" w:rsidRPr="002A528E">
          <w:rPr>
            <w:color w:val="0000FF"/>
            <w:u w:val="single"/>
            <w:rtl/>
          </w:rPr>
          <w:t>ע"פ 1261/15</w:t>
        </w:r>
      </w:hyperlink>
      <w:r w:rsidRPr="007F7D5B">
        <w:rPr>
          <w:rFonts w:hint="cs"/>
          <w:rtl/>
        </w:rPr>
        <w:t xml:space="preserve"> ‏</w:t>
      </w:r>
      <w:r w:rsidRPr="007F7D5B">
        <w:rPr>
          <w:rFonts w:hint="cs"/>
          <w:b/>
          <w:bCs/>
          <w:rtl/>
        </w:rPr>
        <w:t>מדינת ישראל נ' יוסף דלאל</w:t>
      </w:r>
      <w:r w:rsidRPr="007F7D5B">
        <w:rPr>
          <w:rFonts w:hint="cs"/>
          <w:rtl/>
        </w:rPr>
        <w:t xml:space="preserve"> (3.9.2015)).</w:t>
      </w:r>
    </w:p>
    <w:p w:rsidR="00E3496A" w:rsidRPr="007F7D5B" w:rsidRDefault="00E3496A" w:rsidP="00E3496A">
      <w:pPr>
        <w:tabs>
          <w:tab w:val="left" w:pos="720"/>
        </w:tabs>
        <w:spacing w:line="360" w:lineRule="auto"/>
        <w:ind w:left="720" w:hanging="720"/>
        <w:jc w:val="both"/>
      </w:pPr>
    </w:p>
    <w:p w:rsidR="00E3496A" w:rsidRPr="007F7D5B" w:rsidRDefault="00E3496A" w:rsidP="00E3496A">
      <w:pPr>
        <w:tabs>
          <w:tab w:val="left" w:pos="720"/>
        </w:tabs>
        <w:spacing w:line="360" w:lineRule="auto"/>
        <w:ind w:left="720" w:hanging="720"/>
        <w:jc w:val="both"/>
        <w:rPr>
          <w:rtl/>
        </w:rPr>
      </w:pPr>
      <w:r w:rsidRPr="007F7D5B">
        <w:rPr>
          <w:rFonts w:hint="cs"/>
          <w:rtl/>
        </w:rPr>
        <w:t>26.</w:t>
      </w:r>
      <w:r w:rsidRPr="007F7D5B">
        <w:rPr>
          <w:rFonts w:hint="cs"/>
          <w:rtl/>
        </w:rPr>
        <w:tab/>
        <w:t>ככלל, מתחם הענישה ההולם ייקבע בהתאם לעקרון ההלימה, ולשם כך בית המשפט נדרש להתחשב בערכים החברתיים שנפגעו מביצוע העבירות, במידת הפגיעה בהם, במדיניות הענישה הנהוגה ובנסיבות הקשורות בביצוע העבירות (</w:t>
      </w:r>
      <w:hyperlink r:id="rId19" w:history="1">
        <w:r w:rsidR="00014A63" w:rsidRPr="00014A63">
          <w:rPr>
            <w:color w:val="0000FF"/>
            <w:u w:val="single"/>
            <w:rtl/>
          </w:rPr>
          <w:t>סעיף 40ג</w:t>
        </w:r>
      </w:hyperlink>
      <w:r w:rsidRPr="007F7D5B">
        <w:rPr>
          <w:rFonts w:hint="cs"/>
          <w:rtl/>
        </w:rPr>
        <w:t xml:space="preserve"> </w:t>
      </w:r>
      <w:r w:rsidRPr="00E3496A">
        <w:rPr>
          <w:rFonts w:hint="cs"/>
          <w:color w:val="000000"/>
          <w:rtl/>
        </w:rPr>
        <w:t>ל</w:t>
      </w:r>
      <w:hyperlink r:id="rId20" w:history="1">
        <w:r w:rsidR="002A528E" w:rsidRPr="002A528E">
          <w:rPr>
            <w:color w:val="0000FF"/>
            <w:u w:val="single"/>
            <w:rtl/>
          </w:rPr>
          <w:t>חוק העונשין</w:t>
        </w:r>
      </w:hyperlink>
      <w:r w:rsidRPr="00E3496A">
        <w:rPr>
          <w:rFonts w:hint="cs"/>
          <w:color w:val="000000"/>
          <w:rtl/>
        </w:rPr>
        <w:t>).</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spacing w:line="360" w:lineRule="auto"/>
        <w:ind w:left="720" w:hanging="720"/>
        <w:jc w:val="both"/>
        <w:rPr>
          <w:rtl/>
        </w:rPr>
      </w:pPr>
      <w:r w:rsidRPr="007F7D5B">
        <w:rPr>
          <w:rFonts w:hint="cs"/>
          <w:rtl/>
        </w:rPr>
        <w:t>27.</w:t>
      </w:r>
      <w:r w:rsidRPr="007F7D5B">
        <w:rPr>
          <w:rFonts w:hint="cs"/>
          <w:rtl/>
        </w:rPr>
        <w:tab/>
        <w:t xml:space="preserve">העבירות שעניינן החזקה ונשיאה של נשק בלתי חוקי הן חמורות, שכן הן פוגעות בערך המוגן הבסיסי ביותר של שמירת חיי אדם, ביטחונו ושלומו. בית המשפט העליון עמד לא אחת על כך שעבירות בנשק הפכו זה מכבר למכת מדינה של ממש, שיש צורך להתייחס אליה בחומרה, זאת מן הטעם שהן מקימות פוטנציאל להסלמה עבריינית, ויוצרות סיכון ממשי לשלום הציבור וביטחונו, הוא הערך החברתי המוגן העומד בבסיס עבירות אלה (ראו: </w:t>
      </w:r>
      <w:hyperlink r:id="rId21" w:history="1">
        <w:r w:rsidR="002A528E" w:rsidRPr="002A528E">
          <w:rPr>
            <w:color w:val="0000FF"/>
            <w:u w:val="single"/>
            <w:rtl/>
          </w:rPr>
          <w:t>ע"פ 9373/10</w:t>
        </w:r>
      </w:hyperlink>
      <w:r w:rsidRPr="007F7D5B">
        <w:rPr>
          <w:rFonts w:hint="cs"/>
          <w:rtl/>
        </w:rPr>
        <w:t xml:space="preserve"> </w:t>
      </w:r>
      <w:r w:rsidRPr="007F7D5B">
        <w:rPr>
          <w:rFonts w:hint="cs"/>
          <w:b/>
          <w:bCs/>
          <w:rtl/>
        </w:rPr>
        <w:t>חמד וותד נ' מדינת ישראל</w:t>
      </w:r>
      <w:r w:rsidRPr="007F7D5B">
        <w:rPr>
          <w:rFonts w:hint="cs"/>
          <w:rtl/>
        </w:rPr>
        <w:t xml:space="preserve"> (14.9.2011); </w:t>
      </w:r>
      <w:hyperlink r:id="rId22" w:history="1">
        <w:r w:rsidR="002A528E" w:rsidRPr="002A528E">
          <w:rPr>
            <w:color w:val="0000FF"/>
            <w:u w:val="single"/>
            <w:rtl/>
          </w:rPr>
          <w:t>ע"פ 2251/11</w:t>
        </w:r>
      </w:hyperlink>
      <w:r w:rsidRPr="00E3496A">
        <w:rPr>
          <w:rFonts w:hint="cs"/>
          <w:color w:val="000000"/>
          <w:rtl/>
        </w:rPr>
        <w:t xml:space="preserve"> ו</w:t>
      </w:r>
      <w:hyperlink r:id="rId23" w:history="1">
        <w:r w:rsidR="002A528E" w:rsidRPr="002A528E">
          <w:rPr>
            <w:color w:val="0000FF"/>
            <w:u w:val="single"/>
            <w:rtl/>
          </w:rPr>
          <w:t>ע"פ 2368/11</w:t>
        </w:r>
      </w:hyperlink>
      <w:r w:rsidRPr="00E3496A">
        <w:rPr>
          <w:rFonts w:hint="cs"/>
          <w:color w:val="000000"/>
          <w:rtl/>
        </w:rPr>
        <w:t xml:space="preserve"> </w:t>
      </w:r>
      <w:r w:rsidRPr="00E3496A">
        <w:rPr>
          <w:rFonts w:hint="cs"/>
          <w:b/>
          <w:bCs/>
          <w:color w:val="000000"/>
          <w:rtl/>
        </w:rPr>
        <w:t>מדינת ישראל נ' ג'מאל נפאע</w:t>
      </w:r>
      <w:r w:rsidRPr="00E3496A">
        <w:rPr>
          <w:rFonts w:hint="cs"/>
          <w:color w:val="000000"/>
          <w:rtl/>
        </w:rPr>
        <w:t xml:space="preserve"> (4.12.2011); </w:t>
      </w:r>
      <w:hyperlink r:id="rId24" w:history="1">
        <w:r w:rsidR="002A528E" w:rsidRPr="002A528E">
          <w:rPr>
            <w:color w:val="0000FF"/>
            <w:u w:val="single"/>
            <w:rtl/>
          </w:rPr>
          <w:t>ע"פ 3156/11</w:t>
        </w:r>
      </w:hyperlink>
      <w:r w:rsidRPr="00E3496A">
        <w:rPr>
          <w:rFonts w:hint="cs"/>
          <w:color w:val="000000"/>
          <w:rtl/>
        </w:rPr>
        <w:t xml:space="preserve"> </w:t>
      </w:r>
      <w:r w:rsidRPr="00E3496A">
        <w:rPr>
          <w:rFonts w:hint="cs"/>
          <w:b/>
          <w:bCs/>
          <w:color w:val="000000"/>
          <w:rtl/>
        </w:rPr>
        <w:t>זראיעה נ' מדינת ישראל</w:t>
      </w:r>
      <w:r w:rsidRPr="00E3496A">
        <w:rPr>
          <w:rFonts w:hint="cs"/>
          <w:color w:val="000000"/>
          <w:rtl/>
        </w:rPr>
        <w:t xml:space="preserve"> (21.02.2012); </w:t>
      </w:r>
      <w:hyperlink r:id="rId25" w:history="1">
        <w:r w:rsidR="002A528E" w:rsidRPr="002A528E">
          <w:rPr>
            <w:color w:val="0000FF"/>
            <w:u w:val="single"/>
            <w:rtl/>
          </w:rPr>
          <w:t>ע"פ 2918/13</w:t>
        </w:r>
      </w:hyperlink>
      <w:r w:rsidRPr="00E3496A">
        <w:rPr>
          <w:rFonts w:hint="cs"/>
          <w:color w:val="000000"/>
          <w:rtl/>
        </w:rPr>
        <w:t xml:space="preserve"> </w:t>
      </w:r>
      <w:r w:rsidRPr="00E3496A">
        <w:rPr>
          <w:rFonts w:hint="cs"/>
          <w:b/>
          <w:bCs/>
          <w:color w:val="000000"/>
          <w:rtl/>
        </w:rPr>
        <w:t>דבס נ' מדינת ישראל</w:t>
      </w:r>
      <w:r w:rsidRPr="00E3496A">
        <w:rPr>
          <w:rFonts w:hint="cs"/>
          <w:color w:val="000000"/>
          <w:rtl/>
        </w:rPr>
        <w:t xml:space="preserve"> (18.7.2013); </w:t>
      </w:r>
      <w:hyperlink r:id="rId26" w:history="1">
        <w:r w:rsidR="002A528E" w:rsidRPr="002A528E">
          <w:rPr>
            <w:color w:val="0000FF"/>
            <w:u w:val="single"/>
            <w:rtl/>
          </w:rPr>
          <w:t>ע"פ 5913/11</w:t>
        </w:r>
      </w:hyperlink>
      <w:r w:rsidRPr="00E3496A">
        <w:rPr>
          <w:rFonts w:hint="cs"/>
          <w:color w:val="000000"/>
          <w:rtl/>
        </w:rPr>
        <w:t xml:space="preserve"> </w:t>
      </w:r>
      <w:r w:rsidRPr="00E3496A">
        <w:rPr>
          <w:rFonts w:hint="cs"/>
          <w:b/>
          <w:bCs/>
          <w:color w:val="000000"/>
          <w:rtl/>
        </w:rPr>
        <w:t>תאר הייב נ' מדינת ישראל</w:t>
      </w:r>
      <w:r w:rsidRPr="00E3496A">
        <w:rPr>
          <w:rFonts w:hint="cs"/>
          <w:color w:val="000000"/>
          <w:rtl/>
        </w:rPr>
        <w:t xml:space="preserve"> (12.9.2012); </w:t>
      </w:r>
      <w:hyperlink r:id="rId27" w:history="1">
        <w:r w:rsidR="002A528E" w:rsidRPr="002A528E">
          <w:rPr>
            <w:color w:val="0000FF"/>
            <w:u w:val="single"/>
            <w:rtl/>
          </w:rPr>
          <w:t>ע"פ 5900/15</w:t>
        </w:r>
      </w:hyperlink>
      <w:r w:rsidRPr="00E3496A">
        <w:rPr>
          <w:rFonts w:hint="cs"/>
          <w:color w:val="000000"/>
          <w:rtl/>
        </w:rPr>
        <w:t xml:space="preserve"> </w:t>
      </w:r>
      <w:r w:rsidRPr="00E3496A">
        <w:rPr>
          <w:rFonts w:hint="cs"/>
          <w:b/>
          <w:bCs/>
          <w:color w:val="000000"/>
          <w:rtl/>
        </w:rPr>
        <w:t>אייל מעוז נ' מדינת ישראל</w:t>
      </w:r>
      <w:r w:rsidRPr="00E3496A">
        <w:rPr>
          <w:rFonts w:hint="cs"/>
          <w:color w:val="000000"/>
          <w:rtl/>
        </w:rPr>
        <w:t xml:space="preserve"> (10.5.2016); </w:t>
      </w:r>
      <w:hyperlink r:id="rId28" w:history="1">
        <w:r w:rsidR="002A528E" w:rsidRPr="002A528E">
          <w:rPr>
            <w:color w:val="0000FF"/>
            <w:u w:val="single"/>
            <w:rtl/>
          </w:rPr>
          <w:t>ע"פ 8959/14</w:t>
        </w:r>
      </w:hyperlink>
      <w:r w:rsidRPr="00E3496A">
        <w:rPr>
          <w:rFonts w:hint="cs"/>
          <w:color w:val="000000"/>
          <w:rtl/>
        </w:rPr>
        <w:t xml:space="preserve"> </w:t>
      </w:r>
      <w:r w:rsidRPr="00E3496A">
        <w:rPr>
          <w:rFonts w:hint="cs"/>
          <w:b/>
          <w:bCs/>
          <w:color w:val="000000"/>
          <w:rtl/>
        </w:rPr>
        <w:t>דנ</w:t>
      </w:r>
      <w:r w:rsidRPr="007F7D5B">
        <w:rPr>
          <w:rFonts w:hint="cs"/>
          <w:b/>
          <w:bCs/>
          <w:rtl/>
        </w:rPr>
        <w:t>יאל בן סימון נ' מדינת ישראל</w:t>
      </w:r>
      <w:r w:rsidRPr="007F7D5B">
        <w:rPr>
          <w:rFonts w:hint="cs"/>
          <w:rtl/>
        </w:rPr>
        <w:t xml:space="preserve"> (24.6.2015).</w:t>
      </w:r>
    </w:p>
    <w:p w:rsidR="00E3496A" w:rsidRPr="007F7D5B" w:rsidRDefault="00E3496A" w:rsidP="00E3496A">
      <w:pPr>
        <w:spacing w:line="360" w:lineRule="auto"/>
        <w:ind w:left="720" w:hanging="720"/>
        <w:jc w:val="both"/>
      </w:pPr>
    </w:p>
    <w:p w:rsidR="00E3496A" w:rsidRPr="007F7D5B" w:rsidRDefault="00E3496A" w:rsidP="00E3496A">
      <w:pPr>
        <w:spacing w:line="360" w:lineRule="auto"/>
        <w:ind w:left="720" w:hanging="720"/>
        <w:jc w:val="both"/>
        <w:rPr>
          <w:rtl/>
        </w:rPr>
      </w:pPr>
      <w:r w:rsidRPr="007F7D5B">
        <w:rPr>
          <w:rFonts w:hint="cs"/>
          <w:rtl/>
        </w:rPr>
        <w:t xml:space="preserve">28. </w:t>
      </w:r>
      <w:r w:rsidRPr="007F7D5B">
        <w:rPr>
          <w:rFonts w:hint="cs"/>
          <w:rtl/>
        </w:rPr>
        <w:tab/>
        <w:t xml:space="preserve">המגמה ההולכת וגוברת בפסיקת בתי המשפט הינה מגמה של החמרה כלפי אלה המהינים לבצע עבירות של החזקת נשק ונשיאתו. יפים לעניין זה דברי בית המשפט בע"פ </w:t>
      </w:r>
      <w:hyperlink r:id="rId29" w:history="1">
        <w:r w:rsidR="00F47836" w:rsidRPr="00F47836">
          <w:rPr>
            <w:color w:val="0000FF"/>
            <w:u w:val="single"/>
            <w:rtl/>
          </w:rPr>
          <w:t xml:space="preserve">9702/16‏ </w:t>
        </w:r>
      </w:hyperlink>
      <w:r w:rsidRPr="007F7D5B">
        <w:rPr>
          <w:rFonts w:hint="cs"/>
          <w:b/>
          <w:bCs/>
          <w:rtl/>
        </w:rPr>
        <w:t xml:space="preserve"> סאמי אבו אלוליאיה נ' מדינת ישראל</w:t>
      </w:r>
      <w:r w:rsidRPr="007F7D5B">
        <w:rPr>
          <w:rFonts w:hint="cs"/>
          <w:rtl/>
        </w:rPr>
        <w:t xml:space="preserve"> (13.9.2017):</w:t>
      </w:r>
    </w:p>
    <w:p w:rsidR="00E3496A" w:rsidRPr="007F7D5B" w:rsidRDefault="00E3496A" w:rsidP="00E3496A">
      <w:pPr>
        <w:spacing w:line="360" w:lineRule="auto"/>
        <w:ind w:left="720" w:hanging="720"/>
        <w:jc w:val="both"/>
        <w:rPr>
          <w:rtl/>
        </w:rPr>
      </w:pPr>
    </w:p>
    <w:p w:rsidR="00E3496A" w:rsidRPr="00E3496A" w:rsidRDefault="00E3496A" w:rsidP="00E3496A">
      <w:pPr>
        <w:pStyle w:val="1"/>
        <w:ind w:left="1440"/>
        <w:rPr>
          <w:color w:val="000000"/>
          <w:rtl/>
        </w:rPr>
      </w:pPr>
      <w:r w:rsidRPr="007F7D5B">
        <w:rPr>
          <w:rFonts w:hint="cs"/>
          <w:rtl/>
        </w:rPr>
        <w:t>"</w:t>
      </w:r>
      <w:r w:rsidRPr="007F7D5B">
        <w:rPr>
          <w:rFonts w:hint="cs"/>
          <w:b/>
          <w:bCs/>
          <w:rtl/>
        </w:rPr>
        <w:t>ככלל, בפסיקת בית משפט זה באה לידי ביטוי, בשורה ארוכה של פסקי דין, מדיניות של החמרה בענישה בעבירות נשק (</w:t>
      </w:r>
      <w:r w:rsidRPr="00E3496A">
        <w:rPr>
          <w:rFonts w:hint="cs"/>
          <w:b/>
          <w:bCs/>
          <w:color w:val="000000"/>
          <w:rtl/>
        </w:rPr>
        <w:t xml:space="preserve">ראו למשל: </w:t>
      </w:r>
      <w:hyperlink r:id="rId30"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4945/13</w:t>
        </w:r>
      </w:hyperlink>
      <w:r w:rsidRPr="00E3496A">
        <w:rPr>
          <w:rFonts w:hint="cs"/>
          <w:b/>
          <w:bCs/>
          <w:color w:val="000000"/>
          <w:rtl/>
        </w:rPr>
        <w:t xml:space="preserve"> מדינת ישראל נ' עבד אלכרים סלימאן [19.1.2014); </w:t>
      </w:r>
      <w:hyperlink r:id="rId31"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2251/11</w:t>
        </w:r>
      </w:hyperlink>
      <w:r w:rsidRPr="00E3496A">
        <w:rPr>
          <w:rFonts w:hint="cs"/>
          <w:b/>
          <w:bCs/>
          <w:color w:val="000000"/>
          <w:rtl/>
        </w:rPr>
        <w:t xml:space="preserve"> נפאע נ' מדינת ישראל, בפסקה 7 (4.12.2011); </w:t>
      </w:r>
      <w:hyperlink r:id="rId32"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6371/11</w:t>
        </w:r>
      </w:hyperlink>
      <w:r w:rsidRPr="00E3496A">
        <w:rPr>
          <w:rFonts w:hint="cs"/>
          <w:b/>
          <w:bCs/>
          <w:color w:val="000000"/>
          <w:rtl/>
        </w:rPr>
        <w:t xml:space="preserve"> מדינת ישראל נ' הייבי (18.12.2011); </w:t>
      </w:r>
      <w:hyperlink r:id="rId33"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1323/13</w:t>
        </w:r>
      </w:hyperlink>
      <w:r w:rsidRPr="00E3496A">
        <w:rPr>
          <w:rFonts w:hint="cs"/>
          <w:b/>
          <w:bCs/>
          <w:color w:val="000000"/>
          <w:rtl/>
        </w:rPr>
        <w:t xml:space="preserve"> חסן נ' מדינת </w:t>
      </w:r>
      <w:r w:rsidRPr="007F7D5B">
        <w:rPr>
          <w:rFonts w:hint="cs"/>
          <w:b/>
          <w:bCs/>
          <w:rtl/>
        </w:rPr>
        <w:t xml:space="preserve">ישראל (5.6.2013)). גם כאשר מדובר בעבירות של החזקה ונשיאת נשק שלא כדין בלבד, בית משפט זה עמד לא פעם על החומרה הרבה הטמונה בעבירות אלו ועל הצורך להרתיע מפניהן בדרך של הטלת </w:t>
      </w:r>
      <w:r w:rsidRPr="00E3496A">
        <w:rPr>
          <w:rFonts w:hint="cs"/>
          <w:b/>
          <w:bCs/>
          <w:color w:val="000000"/>
          <w:rtl/>
        </w:rPr>
        <w:t xml:space="preserve">עונשי מאסר, גם על נאשם שאין לו עבר פלילי מכביד (וראו למשל: </w:t>
      </w:r>
      <w:hyperlink r:id="rId34"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8846/15</w:t>
        </w:r>
      </w:hyperlink>
      <w:r w:rsidRPr="00E3496A">
        <w:rPr>
          <w:rFonts w:hint="cs"/>
          <w:b/>
          <w:bCs/>
          <w:color w:val="000000"/>
          <w:rtl/>
        </w:rPr>
        <w:t xml:space="preserve"> דראז נ' מדינת ישראל (13.3.2016); </w:t>
      </w:r>
      <w:hyperlink r:id="rId35"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5681/14</w:t>
        </w:r>
      </w:hyperlink>
      <w:r w:rsidRPr="00E3496A">
        <w:rPr>
          <w:rFonts w:hint="cs"/>
          <w:b/>
          <w:bCs/>
          <w:color w:val="000000"/>
          <w:rtl/>
        </w:rPr>
        <w:t xml:space="preserve"> מדינת ישראל נ' טאטור (1.2.2015)). הכלל של השתת מאסר בפועל לתקופה משמעותית בעבירת החזקת נשק חל גם כאשר מדובר בעבירות שאינן במדרג הגבוה, כמו מקרה זה (</w:t>
      </w:r>
      <w:hyperlink r:id="rId36"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5220/09</w:t>
        </w:r>
      </w:hyperlink>
      <w:r w:rsidRPr="00E3496A">
        <w:rPr>
          <w:rFonts w:hint="cs"/>
          <w:b/>
          <w:bCs/>
          <w:color w:val="000000"/>
          <w:rtl/>
        </w:rPr>
        <w:t xml:space="preserve"> עוואודה נ' מדינת ישראל (30.12.2009); </w:t>
      </w:r>
      <w:hyperlink r:id="rId37"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2398/14</w:t>
        </w:r>
      </w:hyperlink>
      <w:r w:rsidRPr="00E3496A">
        <w:rPr>
          <w:rFonts w:hint="cs"/>
          <w:b/>
          <w:bCs/>
          <w:color w:val="000000"/>
          <w:rtl/>
        </w:rPr>
        <w:t xml:space="preserve"> אלהזייל נ' מדינת ישראל (8.7.2014)). במסגרת זו יש להביא בחשבון כי גם 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 (ראו גם: </w:t>
      </w:r>
      <w:hyperlink r:id="rId38"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1903/13</w:t>
        </w:r>
      </w:hyperlink>
      <w:r w:rsidRPr="00E3496A">
        <w:rPr>
          <w:rFonts w:hint="cs"/>
          <w:b/>
          <w:bCs/>
          <w:color w:val="000000"/>
          <w:rtl/>
        </w:rPr>
        <w:t xml:space="preserve"> עיאשה נ' מדינת ישראל (14.7.2013); </w:t>
      </w:r>
      <w:hyperlink r:id="rId39"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1323/13</w:t>
        </w:r>
      </w:hyperlink>
      <w:r w:rsidRPr="00E3496A">
        <w:rPr>
          <w:rFonts w:hint="cs"/>
          <w:b/>
          <w:bCs/>
          <w:color w:val="000000"/>
          <w:rtl/>
        </w:rPr>
        <w:t xml:space="preserve"> בעניין חסן הנ"ל). זאת על אחת כמה וכמה שעה שמדובר בסוג של כלי נשק שעשוי להביא למותו של אדם</w:t>
      </w:r>
      <w:r w:rsidRPr="00E3496A">
        <w:rPr>
          <w:rFonts w:hint="cs"/>
          <w:color w:val="000000"/>
          <w:rtl/>
        </w:rPr>
        <w:t>".</w:t>
      </w:r>
    </w:p>
    <w:p w:rsidR="00E3496A" w:rsidRPr="00E3496A" w:rsidRDefault="00E3496A" w:rsidP="00E3496A">
      <w:pPr>
        <w:rPr>
          <w:color w:val="000000"/>
          <w:rtl/>
        </w:rPr>
      </w:pPr>
    </w:p>
    <w:p w:rsidR="00E3496A" w:rsidRPr="007F7D5B" w:rsidRDefault="00E3496A" w:rsidP="00E3496A">
      <w:pPr>
        <w:spacing w:line="360" w:lineRule="auto"/>
        <w:ind w:left="720" w:hanging="720"/>
        <w:jc w:val="both"/>
        <w:rPr>
          <w:rtl/>
        </w:rPr>
      </w:pPr>
      <w:r w:rsidRPr="00E3496A">
        <w:rPr>
          <w:rFonts w:hint="cs"/>
          <w:color w:val="000000"/>
          <w:rtl/>
        </w:rPr>
        <w:tab/>
      </w:r>
      <w:r w:rsidRPr="00E3496A">
        <w:rPr>
          <w:rFonts w:hint="cs"/>
          <w:color w:val="000000"/>
          <w:rtl/>
        </w:rPr>
        <w:tab/>
        <w:t>כן ראו דברי בית המשפט ב</w:t>
      </w:r>
      <w:hyperlink r:id="rId40" w:history="1">
        <w:r w:rsidR="002A528E" w:rsidRPr="002A528E">
          <w:rPr>
            <w:color w:val="0000FF"/>
            <w:u w:val="single"/>
            <w:rtl/>
          </w:rPr>
          <w:t>ע"פ 135/17</w:t>
        </w:r>
      </w:hyperlink>
      <w:r w:rsidRPr="00E3496A">
        <w:rPr>
          <w:rFonts w:hint="cs"/>
          <w:color w:val="000000"/>
          <w:rtl/>
        </w:rPr>
        <w:t xml:space="preserve"> </w:t>
      </w:r>
      <w:r w:rsidRPr="00E3496A">
        <w:rPr>
          <w:rFonts w:hint="cs"/>
          <w:b/>
          <w:bCs/>
          <w:color w:val="000000"/>
          <w:rtl/>
        </w:rPr>
        <w:t>מדי</w:t>
      </w:r>
      <w:r w:rsidRPr="007F7D5B">
        <w:rPr>
          <w:rFonts w:hint="cs"/>
          <w:b/>
          <w:bCs/>
          <w:rtl/>
        </w:rPr>
        <w:t>נת ישראל נ' סמיר בסל</w:t>
      </w:r>
      <w:r w:rsidRPr="007F7D5B">
        <w:rPr>
          <w:rFonts w:hint="cs"/>
          <w:rtl/>
        </w:rPr>
        <w:t xml:space="preserve"> (8.3.2017):</w:t>
      </w:r>
    </w:p>
    <w:p w:rsidR="00E3496A" w:rsidRPr="007F7D5B" w:rsidRDefault="00E3496A" w:rsidP="00E3496A">
      <w:pPr>
        <w:pStyle w:val="1"/>
        <w:ind w:left="1440"/>
        <w:rPr>
          <w:rtl/>
        </w:rPr>
      </w:pPr>
      <w:r w:rsidRPr="007F7D5B">
        <w:rPr>
          <w:rFonts w:hint="cs"/>
          <w:rtl/>
        </w:rPr>
        <w:t>"</w:t>
      </w:r>
      <w:r w:rsidRPr="007F7D5B">
        <w:rPr>
          <w:rFonts w:hint="cs"/>
          <w:b/>
          <w:bCs/>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w:t>
      </w:r>
      <w:r w:rsidRPr="00E3496A">
        <w:rPr>
          <w:rFonts w:hint="cs"/>
          <w:b/>
          <w:bCs/>
          <w:color w:val="000000"/>
          <w:rtl/>
        </w:rPr>
        <w:t xml:space="preserve">למשל: </w:t>
      </w:r>
      <w:hyperlink r:id="rId41"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2422/14</w:t>
        </w:r>
      </w:hyperlink>
      <w:r w:rsidRPr="00E3496A">
        <w:rPr>
          <w:rFonts w:hint="cs"/>
          <w:b/>
          <w:bCs/>
          <w:color w:val="000000"/>
          <w:rtl/>
        </w:rPr>
        <w:t xml:space="preserve"> ח'דר נ' מדינת ישראל, פסקה 10 וההפניות שם (21.12.2014); </w:t>
      </w:r>
      <w:hyperlink r:id="rId42"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2918/13</w:t>
        </w:r>
      </w:hyperlink>
      <w:r w:rsidRPr="00E3496A">
        <w:rPr>
          <w:rFonts w:hint="cs"/>
          <w:b/>
          <w:bCs/>
          <w:color w:val="000000"/>
          <w:rtl/>
        </w:rPr>
        <w:t xml:space="preserve"> דבס נ' מדינת ישראל, פסקה 8 וההפניות שם (18.7.2013)). לא אחת גם צוין כי קיימת מגמת החמרה הדרגתית בעונשים המושתים על עבריינות נשק (</w:t>
      </w:r>
      <w:hyperlink r:id="rId43"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4945/13</w:t>
        </w:r>
      </w:hyperlink>
      <w:r w:rsidRPr="00E3496A">
        <w:rPr>
          <w:rFonts w:hint="cs"/>
          <w:b/>
          <w:bCs/>
          <w:color w:val="000000"/>
          <w:rtl/>
        </w:rPr>
        <w:t xml:space="preserve"> מדינת ישראל נ' סלימאן, פסקה 14 וההפניות שם (19.1.2014); </w:t>
      </w:r>
      <w:hyperlink r:id="rId44"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9373/10</w:t>
        </w:r>
      </w:hyperlink>
      <w:r w:rsidRPr="00E3496A">
        <w:rPr>
          <w:rFonts w:hint="cs"/>
          <w:b/>
          <w:bCs/>
          <w:color w:val="000000"/>
          <w:rtl/>
        </w:rPr>
        <w:t xml:space="preserve"> ותד נ' מדינת ישראל  </w:t>
      </w:r>
      <w:r w:rsidRPr="007F7D5B">
        <w:rPr>
          <w:rFonts w:hint="cs"/>
          <w:b/>
          <w:bCs/>
          <w:rtl/>
        </w:rPr>
        <w:t>(</w:t>
      </w:r>
      <w:r w:rsidRPr="007F7D5B">
        <w:rPr>
          <w:rFonts w:hint="cs"/>
          <w:rtl/>
        </w:rPr>
        <w:t>14.9.2011)".</w:t>
      </w:r>
    </w:p>
    <w:p w:rsidR="00E3496A" w:rsidRPr="007F7D5B" w:rsidRDefault="00E3496A" w:rsidP="00E3496A">
      <w:pPr>
        <w:spacing w:line="360" w:lineRule="auto"/>
        <w:jc w:val="both"/>
        <w:rPr>
          <w:rtl/>
        </w:rPr>
      </w:pPr>
    </w:p>
    <w:p w:rsidR="00E3496A" w:rsidRPr="007F7D5B" w:rsidRDefault="00E3496A" w:rsidP="00E3496A">
      <w:pPr>
        <w:spacing w:line="360" w:lineRule="auto"/>
        <w:ind w:left="1440" w:hanging="1440"/>
        <w:jc w:val="both"/>
        <w:rPr>
          <w:rtl/>
        </w:rPr>
      </w:pPr>
      <w:r w:rsidRPr="007F7D5B">
        <w:rPr>
          <w:rFonts w:hint="cs"/>
          <w:rtl/>
        </w:rPr>
        <w:t>29.</w:t>
      </w:r>
      <w:r w:rsidRPr="007F7D5B">
        <w:rPr>
          <w:rFonts w:hint="cs"/>
          <w:rtl/>
        </w:rPr>
        <w:tab/>
      </w:r>
      <w:r w:rsidRPr="00E3496A">
        <w:rPr>
          <w:rFonts w:hint="cs"/>
          <w:color w:val="000000"/>
          <w:rtl/>
        </w:rPr>
        <w:t>ב</w:t>
      </w:r>
      <w:r w:rsidRPr="002A528E">
        <w:rPr>
          <w:rFonts w:hint="cs"/>
          <w:color w:val="000000"/>
          <w:rtl/>
        </w:rPr>
        <w:t xml:space="preserve">ע"פ </w:t>
      </w:r>
      <w:hyperlink r:id="rId45" w:history="1">
        <w:r w:rsidR="00F47836" w:rsidRPr="00F47836">
          <w:rPr>
            <w:color w:val="0000FF"/>
            <w:u w:val="single"/>
            <w:rtl/>
          </w:rPr>
          <w:t xml:space="preserve">1332/04 </w:t>
        </w:r>
      </w:hyperlink>
      <w:r w:rsidRPr="00E3496A">
        <w:rPr>
          <w:rFonts w:hint="cs"/>
          <w:color w:val="000000"/>
          <w:rtl/>
        </w:rPr>
        <w:t xml:space="preserve"> </w:t>
      </w:r>
      <w:r w:rsidRPr="00E3496A">
        <w:rPr>
          <w:rFonts w:hint="cs"/>
          <w:b/>
          <w:bCs/>
          <w:color w:val="000000"/>
          <w:rtl/>
        </w:rPr>
        <w:t>פס נ' מדינת ישראל</w:t>
      </w:r>
      <w:r w:rsidRPr="00E3496A">
        <w:rPr>
          <w:rFonts w:hint="cs"/>
          <w:color w:val="000000"/>
          <w:rtl/>
        </w:rPr>
        <w:t>, פ"ד נח(5) 541 נקבע כי בין השיקולים לעניין נסי</w:t>
      </w:r>
      <w:r w:rsidRPr="007F7D5B">
        <w:rPr>
          <w:rFonts w:hint="cs"/>
          <w:rtl/>
        </w:rPr>
        <w:t>בות העבירה, יש להתחשב גם בסוג הנשק המוחזק:</w:t>
      </w:r>
    </w:p>
    <w:p w:rsidR="00E3496A" w:rsidRPr="007F7D5B" w:rsidRDefault="00E3496A" w:rsidP="00E3496A">
      <w:pPr>
        <w:spacing w:line="360" w:lineRule="auto"/>
        <w:ind w:left="1440" w:hanging="1440"/>
        <w:jc w:val="both"/>
        <w:rPr>
          <w:rtl/>
        </w:rPr>
      </w:pPr>
    </w:p>
    <w:p w:rsidR="00E3496A" w:rsidRPr="007F7D5B" w:rsidRDefault="00E3496A" w:rsidP="00E3496A">
      <w:pPr>
        <w:pStyle w:val="1"/>
        <w:ind w:left="1440" w:hanging="306"/>
        <w:rPr>
          <w:rtl/>
        </w:rPr>
      </w:pPr>
      <w:r w:rsidRPr="007F7D5B">
        <w:rPr>
          <w:rFonts w:hint="cs"/>
          <w:rtl/>
        </w:rPr>
        <w:tab/>
        <w:t>"</w:t>
      </w:r>
      <w:r w:rsidRPr="007F7D5B">
        <w:rPr>
          <w:rFonts w:hint="cs"/>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sidRPr="00E3496A">
        <w:rPr>
          <w:rFonts w:hint="cs"/>
          <w:b/>
          <w:bCs/>
          <w:color w:val="000000"/>
          <w:rtl/>
        </w:rPr>
        <w:t xml:space="preserve">השוו </w:t>
      </w:r>
      <w:hyperlink r:id="rId46" w:history="1">
        <w:r w:rsidR="002A528E" w:rsidRPr="002A528E">
          <w:rPr>
            <w:rFonts w:hint="cs"/>
            <w:b/>
            <w:bCs/>
            <w:color w:val="0000FF"/>
            <w:u w:val="single"/>
            <w:rtl/>
          </w:rPr>
          <w:t>ב</w:t>
        </w:r>
        <w:r w:rsidR="002A528E" w:rsidRPr="002A528E">
          <w:rPr>
            <w:b/>
            <w:bCs/>
            <w:color w:val="0000FF"/>
            <w:u w:val="single"/>
            <w:rtl/>
          </w:rPr>
          <w:t>"</w:t>
        </w:r>
        <w:r w:rsidR="002A528E" w:rsidRPr="002A528E">
          <w:rPr>
            <w:rFonts w:hint="cs"/>
            <w:b/>
            <w:bCs/>
            <w:color w:val="0000FF"/>
            <w:u w:val="single"/>
            <w:rtl/>
          </w:rPr>
          <w:t>ש</w:t>
        </w:r>
        <w:r w:rsidR="002A528E" w:rsidRPr="002A528E">
          <w:rPr>
            <w:b/>
            <w:bCs/>
            <w:color w:val="0000FF"/>
            <w:u w:val="single"/>
            <w:rtl/>
          </w:rPr>
          <w:t xml:space="preserve"> 625/82</w:t>
        </w:r>
      </w:hyperlink>
      <w:r w:rsidRPr="007F7D5B">
        <w:rPr>
          <w:rFonts w:hint="cs"/>
          <w:b/>
          <w:bCs/>
          <w:rtl/>
        </w:rPr>
        <w:t xml:space="preserve"> מחמוד נ' מדינת ישראל [1]). </w:t>
      </w:r>
      <w:r w:rsidRPr="007F7D5B">
        <w:rPr>
          <w:rFonts w:hint="cs"/>
          <w:b/>
          <w:bCs/>
          <w:u w:val="single"/>
          <w:rtl/>
        </w:rPr>
        <w:t>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7F7D5B">
        <w:rPr>
          <w:rFonts w:hint="cs"/>
          <w:rtl/>
        </w:rPr>
        <w:t>" (ההדגשה אינה במקור - א.ט).</w:t>
      </w:r>
    </w:p>
    <w:p w:rsidR="00E3496A" w:rsidRPr="007F7D5B" w:rsidRDefault="00E3496A" w:rsidP="00E3496A">
      <w:pPr>
        <w:rPr>
          <w:rtl/>
        </w:rPr>
      </w:pPr>
    </w:p>
    <w:p w:rsidR="00E3496A" w:rsidRPr="007F7D5B" w:rsidRDefault="00E3496A" w:rsidP="00E3496A">
      <w:pPr>
        <w:spacing w:line="360" w:lineRule="auto"/>
        <w:ind w:left="720" w:hanging="720"/>
        <w:jc w:val="both"/>
        <w:rPr>
          <w:sz w:val="12"/>
          <w:szCs w:val="12"/>
          <w:rtl/>
        </w:rPr>
      </w:pPr>
    </w:p>
    <w:p w:rsidR="00E3496A" w:rsidRPr="007F7D5B" w:rsidRDefault="00E3496A" w:rsidP="00E3496A">
      <w:pPr>
        <w:spacing w:line="360" w:lineRule="auto"/>
        <w:ind w:left="720" w:hanging="720"/>
        <w:jc w:val="both"/>
        <w:rPr>
          <w:rtl/>
        </w:rPr>
      </w:pPr>
      <w:r w:rsidRPr="007F7D5B">
        <w:rPr>
          <w:rFonts w:hint="cs"/>
          <w:rtl/>
        </w:rPr>
        <w:t>30.</w:t>
      </w:r>
      <w:r w:rsidRPr="007F7D5B">
        <w:rPr>
          <w:rFonts w:hint="cs"/>
          <w:rtl/>
        </w:rPr>
        <w:tab/>
        <w:t xml:space="preserve">בענייננו, לפי עובדות כתב האישום בהן הודה הנאשם, הוא החזיק שלא כדין תת מקלע מאולתר בקוטר 9 מ"מ, מחסנית טעונה ב-9 כדורים, קופסה ובה 50 כדורים וכן רימון יד. מדובר בנשק רב עוצמה, מאובזר בתחמושת כאמור ובכך טמונה החומרה היתרה שבהחזקתו ונשיאתו. אין צורך להכביר מילים באשר לנזק הפוטנציאלי והפגיעות הנרחבות העלולות להיגרם מאמצעי לחימה מסוג זה. אציין כי דברי הנאשם בפני שירות המבחן, כי הנשק האמור נועד לשמש בחתונה "כדרך של מנהג תרבותי מקובל" אינם עולים מעובדות כתב האישום, מה גם שאין בגרסה זו כדי להקהות מחומרת המעשים, שכן מדובר בתופעה כעורה הגובה לא אחת מחיר כבד, אותה יש לעקור מן השורש. </w:t>
      </w:r>
    </w:p>
    <w:p w:rsidR="00E3496A" w:rsidRPr="007F7D5B" w:rsidRDefault="00E3496A" w:rsidP="00E3496A">
      <w:pPr>
        <w:spacing w:line="360" w:lineRule="auto"/>
        <w:ind w:left="720" w:hanging="720"/>
        <w:jc w:val="both"/>
        <w:rPr>
          <w:rtl/>
        </w:rPr>
      </w:pPr>
    </w:p>
    <w:p w:rsidR="00E3496A" w:rsidRPr="007F7D5B" w:rsidRDefault="00E3496A" w:rsidP="00E3496A">
      <w:pPr>
        <w:spacing w:line="360" w:lineRule="auto"/>
        <w:ind w:left="720" w:hanging="720"/>
        <w:jc w:val="both"/>
        <w:rPr>
          <w:rtl/>
        </w:rPr>
      </w:pPr>
      <w:r w:rsidRPr="007F7D5B">
        <w:rPr>
          <w:rFonts w:hint="cs"/>
          <w:rtl/>
        </w:rPr>
        <w:t>31.</w:t>
      </w:r>
      <w:r w:rsidRPr="007F7D5B">
        <w:rPr>
          <w:rFonts w:hint="cs"/>
          <w:rtl/>
        </w:rPr>
        <w:tab/>
        <w:t>בנוסף, יש בפעולות הנאשם אשר פעל להסוות את הנשק והתחמושת, עוד בטרם הגיעה המשטרה למקום, כדי לרמז על כוונות שאינן תמימות.</w:t>
      </w:r>
    </w:p>
    <w:p w:rsidR="00E3496A" w:rsidRPr="007F7D5B" w:rsidRDefault="00E3496A" w:rsidP="00E3496A">
      <w:pPr>
        <w:spacing w:line="360" w:lineRule="auto"/>
        <w:ind w:left="720" w:hanging="720"/>
        <w:jc w:val="both"/>
        <w:rPr>
          <w:rtl/>
        </w:rPr>
      </w:pPr>
    </w:p>
    <w:p w:rsidR="00E3496A" w:rsidRPr="007F7D5B" w:rsidRDefault="00E3496A" w:rsidP="00E3496A">
      <w:pPr>
        <w:spacing w:line="360" w:lineRule="auto"/>
        <w:ind w:left="720" w:hanging="720"/>
        <w:jc w:val="both"/>
        <w:rPr>
          <w:rtl/>
        </w:rPr>
      </w:pPr>
      <w:r w:rsidRPr="007F7D5B">
        <w:rPr>
          <w:rFonts w:hint="cs"/>
          <w:rtl/>
        </w:rPr>
        <w:t>32.</w:t>
      </w:r>
      <w:r w:rsidRPr="007F7D5B">
        <w:rPr>
          <w:rFonts w:hint="cs"/>
          <w:rtl/>
        </w:rPr>
        <w:tab/>
        <w:t xml:space="preserve">ודוק: למרבה המזל, בענייננו לא נעשה שימוש בנשק, ולא נגרם כתוצאה מביצוע העבירות נזק ממשי וישיר בפועל. ואולם, פוטנציאל הנזק שגלום בעבירות מסוג זה, לאינטרס הציבורי הוא רב.  </w:t>
      </w:r>
    </w:p>
    <w:p w:rsidR="00E3496A" w:rsidRPr="007F7D5B" w:rsidRDefault="00E3496A" w:rsidP="00E3496A">
      <w:pPr>
        <w:spacing w:line="360" w:lineRule="auto"/>
        <w:ind w:left="720" w:hanging="720"/>
        <w:jc w:val="both"/>
        <w:rPr>
          <w:rtl/>
        </w:rPr>
      </w:pPr>
    </w:p>
    <w:p w:rsidR="00E3496A" w:rsidRPr="007F7D5B" w:rsidRDefault="00E3496A" w:rsidP="00E3496A">
      <w:pPr>
        <w:spacing w:line="360" w:lineRule="auto"/>
        <w:ind w:left="720" w:hanging="720"/>
        <w:jc w:val="both"/>
        <w:rPr>
          <w:rtl/>
        </w:rPr>
      </w:pPr>
      <w:r w:rsidRPr="007F7D5B">
        <w:rPr>
          <w:rFonts w:hint="cs"/>
          <w:rtl/>
        </w:rPr>
        <w:t>33.</w:t>
      </w:r>
      <w:r w:rsidRPr="007F7D5B">
        <w:rPr>
          <w:rFonts w:hint="cs"/>
          <w:rtl/>
        </w:rPr>
        <w:tab/>
        <w:t xml:space="preserve">אשר למדיניות הענישה הנוהגת. לצד מקרים מועטים בהם נגזרו בגין עבירות בנשק חודשי מאסר בודדים (ת"פ </w:t>
      </w:r>
      <w:hyperlink r:id="rId47" w:history="1">
        <w:r w:rsidR="00F47836" w:rsidRPr="00F47836">
          <w:rPr>
            <w:color w:val="0000FF"/>
            <w:u w:val="single"/>
            <w:rtl/>
          </w:rPr>
          <w:t xml:space="preserve">207/08 </w:t>
        </w:r>
      </w:hyperlink>
      <w:r w:rsidRPr="007F7D5B">
        <w:rPr>
          <w:rFonts w:hint="cs"/>
          <w:rtl/>
        </w:rPr>
        <w:t xml:space="preserve"> </w:t>
      </w:r>
      <w:r w:rsidRPr="007F7D5B">
        <w:rPr>
          <w:rFonts w:hint="cs"/>
          <w:b/>
          <w:bCs/>
          <w:rtl/>
        </w:rPr>
        <w:t>מדינת ישראל נ' ליאור בלטי</w:t>
      </w:r>
      <w:r w:rsidRPr="007F7D5B">
        <w:rPr>
          <w:rFonts w:hint="cs"/>
          <w:rtl/>
        </w:rPr>
        <w:t xml:space="preserve"> (2.11.2008</w:t>
      </w:r>
      <w:r w:rsidRPr="00E3496A">
        <w:rPr>
          <w:rFonts w:hint="cs"/>
          <w:color w:val="000000"/>
          <w:rtl/>
        </w:rPr>
        <w:t xml:space="preserve">); </w:t>
      </w:r>
      <w:hyperlink r:id="rId48" w:history="1">
        <w:r w:rsidR="002A528E" w:rsidRPr="002A528E">
          <w:rPr>
            <w:color w:val="0000FF"/>
            <w:u w:val="single"/>
            <w:rtl/>
          </w:rPr>
          <w:t>ע"פ 5220/09</w:t>
        </w:r>
      </w:hyperlink>
      <w:r w:rsidRPr="00E3496A">
        <w:rPr>
          <w:rFonts w:hint="cs"/>
          <w:color w:val="000000"/>
          <w:rtl/>
        </w:rPr>
        <w:t xml:space="preserve"> </w:t>
      </w:r>
      <w:r w:rsidRPr="00E3496A">
        <w:rPr>
          <w:rFonts w:hint="cs"/>
          <w:b/>
          <w:bCs/>
          <w:color w:val="000000"/>
          <w:rtl/>
        </w:rPr>
        <w:t xml:space="preserve">עוואודה נ' מדינת ישראל </w:t>
      </w:r>
      <w:r w:rsidRPr="00E3496A">
        <w:rPr>
          <w:rFonts w:hint="cs"/>
          <w:color w:val="000000"/>
          <w:rtl/>
        </w:rPr>
        <w:t>(30.12.2009)), ניתן למצוא גם מקרים בהם נגזרו תקופות מאסר משמעותיות יותר, הנעות בין 20 ל- 34 חודשי מאסר בפועל (</w:t>
      </w:r>
      <w:hyperlink r:id="rId49" w:history="1">
        <w:r w:rsidR="002A528E" w:rsidRPr="002A528E">
          <w:rPr>
            <w:color w:val="0000FF"/>
            <w:u w:val="single"/>
            <w:rtl/>
          </w:rPr>
          <w:t>ע"פ 2892/13</w:t>
        </w:r>
      </w:hyperlink>
      <w:r w:rsidRPr="00E3496A">
        <w:rPr>
          <w:rFonts w:hint="cs"/>
          <w:color w:val="000000"/>
          <w:rtl/>
        </w:rPr>
        <w:t xml:space="preserve"> </w:t>
      </w:r>
      <w:r w:rsidRPr="00E3496A">
        <w:rPr>
          <w:rFonts w:hint="cs"/>
          <w:b/>
          <w:bCs/>
          <w:color w:val="000000"/>
          <w:rtl/>
        </w:rPr>
        <w:t xml:space="preserve">עודתאללה </w:t>
      </w:r>
      <w:r w:rsidRPr="007F7D5B">
        <w:rPr>
          <w:rFonts w:hint="cs"/>
          <w:b/>
          <w:bCs/>
          <w:rtl/>
        </w:rPr>
        <w:t>נ' מדינת ישראל</w:t>
      </w:r>
      <w:r w:rsidRPr="007F7D5B">
        <w:rPr>
          <w:rFonts w:hint="cs"/>
          <w:rtl/>
        </w:rPr>
        <w:t xml:space="preserve"> (29.9.2013); </w:t>
      </w:r>
      <w:hyperlink r:id="rId50" w:history="1">
        <w:r w:rsidR="002A528E" w:rsidRPr="002A528E">
          <w:rPr>
            <w:color w:val="0000FF"/>
            <w:u w:val="single"/>
            <w:rtl/>
          </w:rPr>
          <w:t>ת"פ 24364-10-16</w:t>
        </w:r>
      </w:hyperlink>
      <w:r w:rsidRPr="007F7D5B">
        <w:rPr>
          <w:rFonts w:hint="cs"/>
          <w:rtl/>
        </w:rPr>
        <w:t xml:space="preserve"> </w:t>
      </w:r>
      <w:r w:rsidRPr="007F7D5B">
        <w:rPr>
          <w:rFonts w:hint="cs"/>
          <w:b/>
          <w:bCs/>
          <w:rtl/>
        </w:rPr>
        <w:t>מדינת ישראל נ' חנינה</w:t>
      </w:r>
      <w:r w:rsidRPr="007F7D5B">
        <w:rPr>
          <w:rFonts w:hint="cs"/>
          <w:rtl/>
        </w:rPr>
        <w:t xml:space="preserve"> (5.7.2017); </w:t>
      </w:r>
      <w:hyperlink r:id="rId51" w:history="1">
        <w:r w:rsidR="002A528E" w:rsidRPr="002A528E">
          <w:rPr>
            <w:color w:val="0000FF"/>
            <w:u w:val="single"/>
            <w:rtl/>
          </w:rPr>
          <w:t>ע"פ 761/07</w:t>
        </w:r>
      </w:hyperlink>
      <w:r w:rsidRPr="007F7D5B">
        <w:rPr>
          <w:rFonts w:hint="cs"/>
          <w:rtl/>
        </w:rPr>
        <w:t xml:space="preserve"> </w:t>
      </w:r>
      <w:r w:rsidRPr="007F7D5B">
        <w:rPr>
          <w:rFonts w:hint="cs"/>
          <w:b/>
          <w:bCs/>
          <w:rtl/>
        </w:rPr>
        <w:t>מדינת ישראל נ' אדרי</w:t>
      </w:r>
      <w:r w:rsidRPr="007F7D5B">
        <w:rPr>
          <w:rFonts w:hint="cs"/>
          <w:rtl/>
        </w:rPr>
        <w:t xml:space="preserve"> (22.2.2007); </w:t>
      </w:r>
      <w:hyperlink r:id="rId52" w:history="1">
        <w:r w:rsidR="002A528E" w:rsidRPr="002A528E">
          <w:rPr>
            <w:color w:val="0000FF"/>
            <w:u w:val="single"/>
            <w:rtl/>
          </w:rPr>
          <w:t>ת"פ 336-05-16</w:t>
        </w:r>
      </w:hyperlink>
      <w:r w:rsidRPr="007F7D5B">
        <w:rPr>
          <w:rFonts w:hint="cs"/>
          <w:rtl/>
        </w:rPr>
        <w:t xml:space="preserve"> </w:t>
      </w:r>
      <w:r w:rsidRPr="007F7D5B">
        <w:rPr>
          <w:rFonts w:hint="cs"/>
          <w:b/>
          <w:bCs/>
          <w:rtl/>
        </w:rPr>
        <w:t>מדינת ישראל נ' פדילה</w:t>
      </w:r>
      <w:r w:rsidRPr="007F7D5B">
        <w:rPr>
          <w:rFonts w:hint="cs"/>
          <w:rtl/>
        </w:rPr>
        <w:t xml:space="preserve"> (6.9.2017).</w:t>
      </w:r>
    </w:p>
    <w:p w:rsidR="00E3496A" w:rsidRPr="007F7D5B" w:rsidRDefault="00E3496A" w:rsidP="00E3496A">
      <w:pPr>
        <w:spacing w:line="360" w:lineRule="auto"/>
        <w:ind w:left="720" w:hanging="720"/>
        <w:jc w:val="both"/>
        <w:rPr>
          <w:rtl/>
        </w:rPr>
      </w:pPr>
    </w:p>
    <w:p w:rsidR="00E3496A" w:rsidRPr="007F7D5B" w:rsidRDefault="00E3496A" w:rsidP="00E3496A">
      <w:pPr>
        <w:spacing w:line="360" w:lineRule="auto"/>
        <w:ind w:left="720" w:hanging="720"/>
        <w:jc w:val="both"/>
        <w:rPr>
          <w:rtl/>
        </w:rPr>
      </w:pPr>
      <w:r w:rsidRPr="007F7D5B">
        <w:rPr>
          <w:rFonts w:hint="cs"/>
          <w:rtl/>
        </w:rPr>
        <w:tab/>
        <w:t>במסגרת הפסיקה אותה הציגה בפניי המאשימה, הוגש גזר הדין שניתן ב</w:t>
      </w:r>
      <w:hyperlink r:id="rId53" w:history="1">
        <w:r w:rsidR="002A528E" w:rsidRPr="002A528E">
          <w:rPr>
            <w:color w:val="0000FF"/>
            <w:u w:val="single"/>
            <w:rtl/>
          </w:rPr>
          <w:t>ת"פ 26087-05-16</w:t>
        </w:r>
      </w:hyperlink>
      <w:r w:rsidRPr="007F7D5B">
        <w:rPr>
          <w:rFonts w:hint="cs"/>
          <w:rtl/>
        </w:rPr>
        <w:t xml:space="preserve"> (מח' חיפה) </w:t>
      </w:r>
      <w:r w:rsidRPr="007F7D5B">
        <w:rPr>
          <w:rFonts w:hint="cs"/>
          <w:b/>
          <w:bCs/>
          <w:rtl/>
        </w:rPr>
        <w:t>מדינת ישראל נ' מהדי בסל</w:t>
      </w:r>
      <w:r w:rsidRPr="007F7D5B">
        <w:rPr>
          <w:rFonts w:hint="cs"/>
          <w:rtl/>
        </w:rPr>
        <w:t xml:space="preserve"> (16.11.2016), שם הוטלו על הנאשם שהורשע ברכישת נשק, החזקתו, נשיאתו והובלתו 42 חודשי מאסר ובנוסף הופעל עונש מאסר מותנה בן 10 חודשים, כך שבסה"כ נקבע כי הנאשם שם ירצה 52 חודשי מאסר בפועל. יחד עם זאת, בערעור שהוגש לבית המשפט העליון מטעם אותו נאשם שם, כנגד חומרת העונש, הוקל העונש והועמד על 46 חודשי מאסר בפועל, וזאת נוכח עיקרון אחידות הענישה. (</w:t>
      </w:r>
      <w:hyperlink r:id="rId54" w:history="1">
        <w:r w:rsidR="002A528E" w:rsidRPr="002A528E">
          <w:rPr>
            <w:color w:val="0000FF"/>
            <w:u w:val="single"/>
            <w:rtl/>
          </w:rPr>
          <w:t>ע"פ 27/17</w:t>
        </w:r>
      </w:hyperlink>
      <w:r w:rsidRPr="007F7D5B">
        <w:rPr>
          <w:rFonts w:hint="cs"/>
          <w:rtl/>
        </w:rPr>
        <w:t xml:space="preserve"> </w:t>
      </w:r>
      <w:r w:rsidRPr="007F7D5B">
        <w:rPr>
          <w:rFonts w:hint="cs"/>
          <w:b/>
          <w:bCs/>
          <w:rtl/>
        </w:rPr>
        <w:t>מהדי בסל נ' מדינת ישראל</w:t>
      </w:r>
      <w:r w:rsidRPr="007F7D5B">
        <w:rPr>
          <w:rFonts w:hint="cs"/>
          <w:rtl/>
        </w:rPr>
        <w:t xml:space="preserve"> (12.12.2017)). ראוי היה שהמאשימה תציין דבר הגשת הערעור וההקלה בעונשו של הנאשם שם, בד בבד עם הגשת פסק דינו של בית המשפט המחוזי. </w:t>
      </w:r>
    </w:p>
    <w:p w:rsidR="00E3496A" w:rsidRPr="007F7D5B" w:rsidRDefault="00E3496A" w:rsidP="00E3496A">
      <w:pPr>
        <w:spacing w:line="360" w:lineRule="auto"/>
        <w:ind w:left="720" w:hanging="720"/>
        <w:jc w:val="both"/>
        <w:rPr>
          <w:rtl/>
        </w:rPr>
      </w:pPr>
    </w:p>
    <w:p w:rsidR="00E3496A" w:rsidRPr="007F7D5B" w:rsidRDefault="00E3496A" w:rsidP="00E3496A">
      <w:pPr>
        <w:spacing w:line="360" w:lineRule="auto"/>
        <w:ind w:left="720" w:hanging="720"/>
        <w:jc w:val="both"/>
        <w:rPr>
          <w:rtl/>
        </w:rPr>
      </w:pPr>
      <w:r w:rsidRPr="007F7D5B">
        <w:rPr>
          <w:rFonts w:hint="cs"/>
          <w:rtl/>
        </w:rPr>
        <w:t>34.</w:t>
      </w:r>
      <w:r w:rsidRPr="007F7D5B">
        <w:rPr>
          <w:rFonts w:hint="cs"/>
          <w:rtl/>
        </w:rPr>
        <w:tab/>
        <w:t xml:space="preserve">מעיון בפסיקה הרלוונטית עולה כי קשת הענישה במקרים דומים היא רחבה, כל מקרה לפי נסיבותיו הקונקרטיות. </w:t>
      </w:r>
      <w:r w:rsidRPr="007F7D5B">
        <w:rPr>
          <w:rFonts w:hint="cs"/>
          <w:b/>
          <w:bCs/>
          <w:rtl/>
        </w:rPr>
        <w:t>בעניין סמיר בסל</w:t>
      </w:r>
      <w:r w:rsidRPr="007F7D5B">
        <w:rPr>
          <w:rFonts w:hint="cs"/>
          <w:rtl/>
        </w:rPr>
        <w:t xml:space="preserve"> הנ"ל, שניתן לפני חודשים ספורים, התייחס בית המשפט למנעד הענישה, בנותנו משקל משמעותי למדיניות הענישה המחמירה בעת האחרונה:</w:t>
      </w:r>
    </w:p>
    <w:p w:rsidR="00E3496A" w:rsidRPr="007F7D5B" w:rsidRDefault="00E3496A" w:rsidP="00E3496A">
      <w:pPr>
        <w:spacing w:line="360" w:lineRule="auto"/>
        <w:ind w:left="720" w:hanging="720"/>
        <w:jc w:val="both"/>
        <w:rPr>
          <w:sz w:val="12"/>
          <w:szCs w:val="12"/>
          <w:rtl/>
        </w:rPr>
      </w:pPr>
    </w:p>
    <w:p w:rsidR="00E3496A" w:rsidRPr="007F7D5B" w:rsidRDefault="00E3496A" w:rsidP="00E3496A">
      <w:pPr>
        <w:pStyle w:val="1"/>
        <w:ind w:left="1440"/>
        <w:rPr>
          <w:rtl/>
        </w:rPr>
      </w:pPr>
      <w:r w:rsidRPr="007F7D5B">
        <w:rPr>
          <w:rFonts w:hint="cs"/>
          <w:rtl/>
        </w:rPr>
        <w:t>"</w:t>
      </w:r>
      <w:r w:rsidRPr="007F7D5B">
        <w:rPr>
          <w:rFonts w:hint="cs"/>
          <w:b/>
          <w:bCs/>
          <w:rtl/>
        </w:rPr>
        <w:t>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מכל מקום, אף שסנגורו של בסל הציג לפנינו פסקי דין שבהם נקבעה רמת ענישה הדומה במידה מסויימת לענייננו, דומני כי הצדק עם המדינה בטענתה שרמת הענישה המקובלת בעת האחרונה, והראויה בשים לב למגמת ההחמרה עליה עמדתי לעיל, גבוהה באופן ניכר מזו שנגזרה בעניין דנן. ודוק: בסל הוציא את הנשק מרשותו והעבירו לאחר, מבלי לדעת מה יעלה בגורלו ולמה ישמש. באופן אקראי הסתיים הסיפור בשלום, אך גם תרחיש אחר היה יכול, חלילה, להתרחש. אכן, ניתן לראות כי עונש המאסר המושת על מבצעי עבירות כגון דא בעת האחרונה עומד לעתים גם על פי שניים ושלושה מעונש המאסר שנגזר בענייננו (ראו: עניין ותד</w:t>
      </w:r>
      <w:r w:rsidRPr="00E3496A">
        <w:rPr>
          <w:rFonts w:hint="cs"/>
          <w:b/>
          <w:bCs/>
          <w:color w:val="000000"/>
          <w:rtl/>
        </w:rPr>
        <w:t xml:space="preserve">; </w:t>
      </w:r>
      <w:hyperlink r:id="rId55" w:history="1">
        <w:r w:rsidR="002A528E" w:rsidRPr="002A528E">
          <w:rPr>
            <w:rFonts w:hint="cs"/>
            <w:b/>
            <w:bCs/>
            <w:color w:val="0000FF"/>
            <w:u w:val="single"/>
            <w:rtl/>
          </w:rPr>
          <w:t>ע</w:t>
        </w:r>
        <w:r w:rsidR="002A528E" w:rsidRPr="002A528E">
          <w:rPr>
            <w:b/>
            <w:bCs/>
            <w:color w:val="0000FF"/>
            <w:u w:val="single"/>
            <w:rtl/>
          </w:rPr>
          <w:t>"</w:t>
        </w:r>
        <w:r w:rsidR="002A528E" w:rsidRPr="002A528E">
          <w:rPr>
            <w:rFonts w:hint="cs"/>
            <w:b/>
            <w:bCs/>
            <w:color w:val="0000FF"/>
            <w:u w:val="single"/>
            <w:rtl/>
          </w:rPr>
          <w:t>פ</w:t>
        </w:r>
        <w:r w:rsidR="002A528E" w:rsidRPr="002A528E">
          <w:rPr>
            <w:b/>
            <w:bCs/>
            <w:color w:val="0000FF"/>
            <w:u w:val="single"/>
            <w:rtl/>
          </w:rPr>
          <w:t xml:space="preserve"> 5900/15</w:t>
        </w:r>
      </w:hyperlink>
      <w:r w:rsidRPr="007F7D5B">
        <w:rPr>
          <w:rFonts w:hint="cs"/>
          <w:b/>
          <w:bCs/>
          <w:rtl/>
        </w:rPr>
        <w:t xml:space="preserve"> מעוז נ' מדינת ישראל (10.5.2016</w:t>
      </w:r>
      <w:r w:rsidRPr="007F7D5B">
        <w:rPr>
          <w:rFonts w:hint="cs"/>
          <w:rtl/>
        </w:rPr>
        <w:t xml:space="preserve">))". </w:t>
      </w:r>
    </w:p>
    <w:p w:rsidR="00E3496A" w:rsidRPr="007F7D5B" w:rsidRDefault="00E3496A" w:rsidP="00E3496A">
      <w:pPr>
        <w:spacing w:line="360" w:lineRule="auto"/>
        <w:ind w:left="720" w:hanging="720"/>
        <w:jc w:val="both"/>
        <w:rPr>
          <w:sz w:val="12"/>
          <w:szCs w:val="12"/>
          <w:rtl/>
        </w:rPr>
      </w:pPr>
    </w:p>
    <w:p w:rsidR="00E3496A" w:rsidRPr="007F7D5B" w:rsidRDefault="00E3496A" w:rsidP="00E3496A">
      <w:pPr>
        <w:spacing w:line="360" w:lineRule="auto"/>
        <w:ind w:left="720" w:hanging="720"/>
        <w:jc w:val="both"/>
        <w:rPr>
          <w:rtl/>
        </w:rPr>
      </w:pPr>
      <w:r w:rsidRPr="007F7D5B">
        <w:rPr>
          <w:rFonts w:hint="cs"/>
          <w:rtl/>
        </w:rPr>
        <w:t>35.</w:t>
      </w:r>
      <w:r w:rsidRPr="007F7D5B">
        <w:rPr>
          <w:rFonts w:hint="cs"/>
          <w:rtl/>
        </w:rPr>
        <w:tab/>
        <w:t>בקביעת המתחם תילקח בחשבון גם העובדה כי בענייננו נלוותה לעבירות בנשק גם עבירת הפרעה לשוטר במילוי תפקידו, שהתבטאה במנוסתו של הנאשם מהשוטרים, וניסיונותיו להעלים מהם את התיק עם הרימון, הנשק והתחמושת. בעבירה זו פגע הנאשם בערכים המוגנים שעניינם שמירת הסדר הציבורי ואכיפת החוק.</w:t>
      </w:r>
    </w:p>
    <w:p w:rsidR="00E3496A" w:rsidRPr="007F7D5B" w:rsidRDefault="00E3496A" w:rsidP="00E3496A">
      <w:pPr>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Fonts w:ascii="David" w:hAnsi="David"/>
          <w:rtl/>
        </w:rPr>
      </w:pPr>
      <w:r w:rsidRPr="007F7D5B">
        <w:rPr>
          <w:rFonts w:hint="cs"/>
          <w:rtl/>
        </w:rPr>
        <w:t>36.</w:t>
      </w:r>
      <w:r w:rsidRPr="007F7D5B">
        <w:rPr>
          <w:rFonts w:hint="cs"/>
          <w:rtl/>
        </w:rPr>
        <w:tab/>
        <w:t>לאור כל האמור לעיל, הן לעניין נסיבות ביצוע העבירות, והן לעניין הענישה הנוהגת במקרים דומים, אני רואה להעמיד את מתחם העונש הראוי בטווח שבין 16 ל- 40 חודשי מאסר</w:t>
      </w:r>
      <w:r w:rsidRPr="007F7D5B">
        <w:rPr>
          <w:rFonts w:ascii="David" w:hAnsi="David" w:hint="cs"/>
          <w:rtl/>
        </w:rPr>
        <w:t>, בצירוף עונש נלווה של מאסר מותנה</w:t>
      </w:r>
      <w:r w:rsidRPr="007F7D5B">
        <w:rPr>
          <w:rFonts w:ascii="Calibri" w:hAnsi="Calibri" w:hint="cs"/>
          <w:rtl/>
        </w:rPr>
        <w:t>.</w:t>
      </w:r>
    </w:p>
    <w:p w:rsidR="00E3496A" w:rsidRPr="007F7D5B" w:rsidRDefault="00E3496A" w:rsidP="00E3496A">
      <w:pPr>
        <w:tabs>
          <w:tab w:val="left" w:pos="720"/>
        </w:tabs>
        <w:spacing w:line="360" w:lineRule="auto"/>
        <w:ind w:left="720" w:hanging="720"/>
        <w:jc w:val="both"/>
        <w:rPr>
          <w:rFonts w:ascii="David" w:hAnsi="David"/>
          <w:rtl/>
        </w:rPr>
      </w:pPr>
    </w:p>
    <w:p w:rsidR="00E3496A" w:rsidRPr="00E3496A" w:rsidRDefault="00E3496A" w:rsidP="00E3496A">
      <w:pPr>
        <w:tabs>
          <w:tab w:val="left" w:pos="720"/>
        </w:tabs>
        <w:spacing w:line="360" w:lineRule="auto"/>
        <w:ind w:left="720" w:hanging="720"/>
        <w:jc w:val="both"/>
        <w:rPr>
          <w:rFonts w:ascii="Calibri" w:eastAsia="Calibri" w:hAnsi="Calibri"/>
          <w:u w:val="single"/>
          <w:rtl/>
        </w:rPr>
      </w:pPr>
      <w:r w:rsidRPr="007F7D5B">
        <w:rPr>
          <w:rFonts w:hint="cs"/>
          <w:u w:val="single"/>
          <w:rtl/>
        </w:rPr>
        <w:t xml:space="preserve">גזירת העונש בתוך המתחם </w:t>
      </w:r>
    </w:p>
    <w:p w:rsidR="00E3496A" w:rsidRPr="00E3496A" w:rsidRDefault="00E3496A" w:rsidP="00E3496A">
      <w:pPr>
        <w:tabs>
          <w:tab w:val="left" w:pos="720"/>
        </w:tabs>
        <w:spacing w:line="360" w:lineRule="auto"/>
        <w:ind w:left="720" w:hanging="720"/>
        <w:jc w:val="both"/>
        <w:rPr>
          <w:rFonts w:ascii="Calibri" w:eastAsia="Calibri" w:hAnsi="Calibri"/>
          <w:u w:val="single"/>
          <w:rtl/>
        </w:rPr>
      </w:pPr>
    </w:p>
    <w:p w:rsidR="00E3496A" w:rsidRPr="007F7D5B" w:rsidRDefault="00E3496A" w:rsidP="00E3496A">
      <w:pPr>
        <w:tabs>
          <w:tab w:val="left" w:pos="720"/>
        </w:tabs>
        <w:spacing w:line="360" w:lineRule="auto"/>
        <w:ind w:left="720" w:hanging="720"/>
        <w:jc w:val="both"/>
        <w:rPr>
          <w:rFonts w:ascii="David" w:hAnsi="David"/>
          <w:rtl/>
        </w:rPr>
      </w:pPr>
      <w:r w:rsidRPr="007F7D5B">
        <w:rPr>
          <w:rFonts w:hint="cs"/>
          <w:rtl/>
        </w:rPr>
        <w:t>37.</w:t>
      </w:r>
      <w:r w:rsidRPr="007F7D5B">
        <w:rPr>
          <w:rFonts w:hint="cs"/>
          <w:rtl/>
        </w:rPr>
        <w:tab/>
      </w:r>
      <w:r w:rsidRPr="007F7D5B">
        <w:rPr>
          <w:rFonts w:ascii="David" w:hAnsi="David" w:hint="cs"/>
          <w:rtl/>
        </w:rPr>
        <w:t xml:space="preserve">בנסיבות שאינן קשורות בביצוע העבירות ראיתי להביא בחשבון את עברו הפלילי של הנאשם. למרבה הצער, חרף גילו הצעיר, הספיק הנאשם "לצבור" עד כה ארבע הרשעות במספר, בתוך פחות משנתיים, זאת בנוסף להרשעות מתחום התעבורה. דומה כי הדין אינו מטיל את מוראו על הנאשם, שלפי שעה ממאן לחזור לדרך המוטב. עד כה הקלו בתי המשפט עם הנאשם, ועד למעצרו בתיק זה הוא לא שהה מאחורי סורג ובריח. בשים לב לגילו הצעיר, יש לקוות כי העונש בתיק דידן יגרום לו להישיר את דרכיו, ויהווה גורם מרתיע עבורו, כפי שציין בעצמו בפני שירות המבחן. </w:t>
      </w:r>
    </w:p>
    <w:p w:rsidR="00E3496A" w:rsidRPr="007F7D5B" w:rsidRDefault="00E3496A" w:rsidP="00E3496A">
      <w:pPr>
        <w:tabs>
          <w:tab w:val="left" w:pos="720"/>
        </w:tabs>
        <w:spacing w:line="360" w:lineRule="auto"/>
        <w:ind w:left="720" w:hanging="720"/>
        <w:jc w:val="both"/>
        <w:rPr>
          <w:rFonts w:ascii="David" w:hAnsi="David"/>
        </w:rPr>
      </w:pPr>
    </w:p>
    <w:p w:rsidR="00E3496A" w:rsidRPr="00E3496A" w:rsidRDefault="00E3496A" w:rsidP="00E3496A">
      <w:pPr>
        <w:tabs>
          <w:tab w:val="left" w:pos="720"/>
        </w:tabs>
        <w:spacing w:line="360" w:lineRule="auto"/>
        <w:ind w:left="720"/>
        <w:jc w:val="both"/>
        <w:rPr>
          <w:rFonts w:ascii="Calibri" w:hAnsi="Calibri"/>
          <w:rtl/>
        </w:rPr>
      </w:pPr>
      <w:r w:rsidRPr="007F7D5B">
        <w:rPr>
          <w:rFonts w:ascii="David" w:hAnsi="David" w:hint="cs"/>
          <w:rtl/>
        </w:rPr>
        <w:t>לקולא, ראיתי</w:t>
      </w:r>
      <w:r w:rsidRPr="007F7D5B">
        <w:rPr>
          <w:rFonts w:hint="cs"/>
          <w:rtl/>
        </w:rPr>
        <w:t xml:space="preserve"> להתחשב בהודייתו של הנאשם בשלב מוקדם של ההליך ובנטילת האחריות מצדו והחרטה שהביע על מעשיו.</w:t>
      </w:r>
    </w:p>
    <w:p w:rsidR="00E3496A" w:rsidRPr="00E3496A" w:rsidRDefault="00E3496A" w:rsidP="00E3496A">
      <w:pPr>
        <w:tabs>
          <w:tab w:val="left" w:pos="720"/>
        </w:tabs>
        <w:spacing w:line="360" w:lineRule="auto"/>
        <w:ind w:left="720"/>
        <w:jc w:val="both"/>
        <w:rPr>
          <w:rFonts w:ascii="Calibri" w:hAnsi="Calibri"/>
          <w:rtl/>
        </w:rPr>
      </w:pPr>
    </w:p>
    <w:p w:rsidR="00E3496A" w:rsidRPr="007F7D5B" w:rsidRDefault="00E3496A" w:rsidP="00E3496A">
      <w:pPr>
        <w:tabs>
          <w:tab w:val="left" w:pos="720"/>
        </w:tabs>
        <w:spacing w:line="360" w:lineRule="auto"/>
        <w:ind w:left="720" w:hanging="720"/>
        <w:jc w:val="both"/>
        <w:rPr>
          <w:rtl/>
        </w:rPr>
      </w:pPr>
      <w:r w:rsidRPr="007F7D5B">
        <w:rPr>
          <w:rFonts w:hint="cs"/>
          <w:rtl/>
        </w:rPr>
        <w:t>38.</w:t>
      </w:r>
      <w:r w:rsidRPr="007F7D5B">
        <w:rPr>
          <w:rFonts w:hint="cs"/>
          <w:rtl/>
        </w:rPr>
        <w:tab/>
        <w:t>אשר להפעלת המאסר המותנה, כפי שצוין, הנאשם הורשע ב</w:t>
      </w:r>
      <w:hyperlink r:id="rId56" w:history="1">
        <w:r w:rsidR="002A528E" w:rsidRPr="002A528E">
          <w:rPr>
            <w:color w:val="0000FF"/>
            <w:u w:val="single"/>
            <w:rtl/>
          </w:rPr>
          <w:t>ת"פ 36093-03-14</w:t>
        </w:r>
      </w:hyperlink>
      <w:r w:rsidRPr="007F7D5B">
        <w:rPr>
          <w:rFonts w:hint="cs"/>
          <w:rtl/>
        </w:rPr>
        <w:t xml:space="preserve"> בבית משפט השלום בעכו בעבירה של הפרעה לשוטר במילוי תפקידו, ואין חולק כי מבחינה מהותית, ביצוע עבירה זו בשנית הוא תנאי להפעלת העונש המותנה. אכן, בגזר הדין הנ"ל נפלה טעות, שעה שצוינה, בגדר העבירות שבכוחן להפעיל את התנאי, עבירת היזק לרכוש, אשר לא יוחסה כלל לנאשם. </w:t>
      </w: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39.</w:t>
      </w:r>
      <w:r w:rsidRPr="007F7D5B">
        <w:rPr>
          <w:rFonts w:hint="cs"/>
          <w:rtl/>
        </w:rPr>
        <w:tab/>
        <w:t>זאת ועוד, גם אם נניח כי ציון העבירה של היזק לרכוש, כחלק מהעבירות שבכוחן להפעיל את התנאי, היה במקומו וכי לא מדובר בשגגה, אין בכך כדי להוביל לקבלת עמדת ההגנה אשר סבורה כי רק הרשעה בשתי העבירות יחד מצדיק את הפעלתו של התנאי. מקרה דומה נדון ב</w:t>
      </w:r>
      <w:hyperlink r:id="rId57" w:history="1">
        <w:r w:rsidR="002A528E" w:rsidRPr="002A528E">
          <w:rPr>
            <w:color w:val="0000FF"/>
            <w:u w:val="single"/>
            <w:rtl/>
          </w:rPr>
          <w:t>ע"פ 5877/13</w:t>
        </w:r>
      </w:hyperlink>
      <w:r w:rsidRPr="007F7D5B">
        <w:rPr>
          <w:rFonts w:hint="cs"/>
          <w:rtl/>
        </w:rPr>
        <w:t xml:space="preserve"> ‏</w:t>
      </w:r>
      <w:r w:rsidRPr="007F7D5B">
        <w:rPr>
          <w:rFonts w:hint="cs"/>
          <w:b/>
          <w:bCs/>
          <w:rtl/>
        </w:rPr>
        <w:t>בדארנה גאלב נ' מדינת ישראל</w:t>
      </w:r>
      <w:r w:rsidRPr="007F7D5B">
        <w:rPr>
          <w:rFonts w:hint="cs"/>
          <w:rtl/>
        </w:rPr>
        <w:t xml:space="preserve"> (2.4.2015), שם ציין בית המשפט כי לצד החשיבות שיש בהקפדה יתרה בניסוח התנאי, "</w:t>
      </w:r>
      <w:r w:rsidRPr="007F7D5B">
        <w:rPr>
          <w:rFonts w:hint="cs"/>
          <w:b/>
          <w:bCs/>
          <w:rtl/>
        </w:rPr>
        <w:t>קשה לטעון ברצינות כי השופט שהטיל את התנאי נתכוון כי רק שילוב של העבירות של נהיגה בפסילה ואיומים יפעיל את התנאי</w:t>
      </w:r>
      <w:r w:rsidRPr="007F7D5B">
        <w:rPr>
          <w:rFonts w:hint="cs"/>
          <w:rtl/>
        </w:rPr>
        <w:t xml:space="preserve">". בענייננו הדברים אף נכונים מכח קל וחומר, כשעבירת ההיזק לרכוש שורבבה לגזר הדין בטעות. </w:t>
      </w:r>
    </w:p>
    <w:p w:rsidR="00E3496A" w:rsidRDefault="00E3496A" w:rsidP="00E3496A">
      <w:pPr>
        <w:tabs>
          <w:tab w:val="left" w:pos="720"/>
        </w:tabs>
        <w:spacing w:line="360" w:lineRule="auto"/>
        <w:ind w:left="720" w:hanging="720"/>
        <w:jc w:val="both"/>
        <w:rPr>
          <w:rtl/>
        </w:rPr>
      </w:pPr>
    </w:p>
    <w:p w:rsidR="00E3496A" w:rsidRDefault="00E3496A" w:rsidP="00E3496A">
      <w:pPr>
        <w:tabs>
          <w:tab w:val="left" w:pos="720"/>
        </w:tabs>
        <w:spacing w:line="360" w:lineRule="auto"/>
        <w:ind w:left="720" w:hanging="720"/>
        <w:jc w:val="both"/>
        <w:rPr>
          <w:rtl/>
        </w:rPr>
      </w:pPr>
    </w:p>
    <w:p w:rsidR="00E3496A"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p>
    <w:p w:rsidR="00E3496A" w:rsidRPr="007F7D5B" w:rsidRDefault="00E3496A" w:rsidP="00E3496A">
      <w:pPr>
        <w:tabs>
          <w:tab w:val="left" w:pos="720"/>
        </w:tabs>
        <w:spacing w:line="360" w:lineRule="auto"/>
        <w:ind w:left="720" w:hanging="720"/>
        <w:jc w:val="both"/>
        <w:rPr>
          <w:rtl/>
        </w:rPr>
      </w:pPr>
      <w:r w:rsidRPr="007F7D5B">
        <w:rPr>
          <w:rFonts w:hint="cs"/>
          <w:rtl/>
        </w:rPr>
        <w:t>40.</w:t>
      </w:r>
      <w:r w:rsidRPr="007F7D5B">
        <w:rPr>
          <w:rFonts w:hint="cs"/>
          <w:rtl/>
        </w:rPr>
        <w:tab/>
        <w:t>על יסוד מקבץ השיקולים שמניתי לעיל, אני גוזר על הנאשם את העונשים הבאים:</w:t>
      </w:r>
    </w:p>
    <w:p w:rsidR="00E3496A" w:rsidRPr="007F7D5B" w:rsidRDefault="00E3496A" w:rsidP="00E3496A">
      <w:pPr>
        <w:tabs>
          <w:tab w:val="left" w:pos="720"/>
        </w:tabs>
        <w:spacing w:line="360" w:lineRule="auto"/>
        <w:ind w:left="720" w:hanging="720"/>
        <w:jc w:val="both"/>
        <w:rPr>
          <w:rtl/>
        </w:rPr>
      </w:pPr>
    </w:p>
    <w:p w:rsidR="00E3496A" w:rsidRDefault="00E3496A" w:rsidP="00E3496A">
      <w:pPr>
        <w:tabs>
          <w:tab w:val="left" w:pos="720"/>
        </w:tabs>
        <w:spacing w:line="360" w:lineRule="auto"/>
        <w:ind w:left="1440" w:hanging="720"/>
        <w:jc w:val="both"/>
        <w:rPr>
          <w:rtl/>
        </w:rPr>
      </w:pPr>
      <w:r w:rsidRPr="007F7D5B">
        <w:rPr>
          <w:rFonts w:hint="cs"/>
          <w:rtl/>
        </w:rPr>
        <w:t>א.</w:t>
      </w:r>
      <w:r w:rsidRPr="007F7D5B">
        <w:rPr>
          <w:rFonts w:hint="cs"/>
          <w:rtl/>
        </w:rPr>
        <w:tab/>
        <w:t>22 חודשי מאסר בפועל. בנוסף, אני מורה על הפעלת המאסר המותנה בן 6 חודשים שהושת על הנאשם על ידי בית משפט השלום בעכו ב</w:t>
      </w:r>
      <w:hyperlink r:id="rId58" w:history="1">
        <w:r w:rsidR="002A528E" w:rsidRPr="002A528E">
          <w:rPr>
            <w:color w:val="0000FF"/>
            <w:u w:val="single"/>
            <w:rtl/>
          </w:rPr>
          <w:t>ת"פ 36093-03-14</w:t>
        </w:r>
      </w:hyperlink>
      <w:r w:rsidRPr="007F7D5B">
        <w:rPr>
          <w:rFonts w:hint="cs"/>
          <w:rtl/>
        </w:rPr>
        <w:t xml:space="preserve">, באופן שחציו ירוצה במצטבר וחציו בחופף לעונש דלעיל. בסך הכל ירצה הנאשם 25 חודשי מאסר בפועל, בניכוי ימי מעצרו מיום 30.7.2017. </w:t>
      </w:r>
    </w:p>
    <w:p w:rsidR="00E3496A" w:rsidRPr="007F7D5B" w:rsidRDefault="00E3496A" w:rsidP="00E3496A">
      <w:pPr>
        <w:tabs>
          <w:tab w:val="left" w:pos="720"/>
        </w:tabs>
        <w:spacing w:line="360" w:lineRule="auto"/>
        <w:ind w:left="1440" w:hanging="720"/>
        <w:jc w:val="both"/>
      </w:pPr>
    </w:p>
    <w:p w:rsidR="00E3496A" w:rsidRDefault="00E3496A" w:rsidP="00E3496A">
      <w:pPr>
        <w:tabs>
          <w:tab w:val="left" w:pos="720"/>
        </w:tabs>
        <w:spacing w:line="360" w:lineRule="auto"/>
        <w:ind w:left="1440" w:hanging="1440"/>
        <w:jc w:val="both"/>
        <w:rPr>
          <w:rFonts w:ascii="David" w:hAnsi="David"/>
          <w:rtl/>
        </w:rPr>
      </w:pPr>
      <w:r w:rsidRPr="007F7D5B">
        <w:rPr>
          <w:rFonts w:hint="cs"/>
          <w:rtl/>
        </w:rPr>
        <w:tab/>
        <w:t>ב.</w:t>
      </w:r>
      <w:r w:rsidRPr="007F7D5B">
        <w:rPr>
          <w:rFonts w:hint="cs"/>
          <w:rtl/>
        </w:rPr>
        <w:tab/>
        <w:t xml:space="preserve">12 חודשי מאסר על תנאי למשך 3 שנים לבל יעבור עבירות </w:t>
      </w:r>
      <w:r w:rsidRPr="007F7D5B">
        <w:rPr>
          <w:rFonts w:ascii="David" w:hAnsi="David" w:hint="cs"/>
          <w:rtl/>
        </w:rPr>
        <w:t>נשק מסוג פשע ויורשע בגינן.</w:t>
      </w:r>
    </w:p>
    <w:p w:rsidR="00E3496A" w:rsidRPr="007F7D5B" w:rsidRDefault="00E3496A" w:rsidP="00E3496A">
      <w:pPr>
        <w:tabs>
          <w:tab w:val="left" w:pos="720"/>
        </w:tabs>
        <w:spacing w:line="360" w:lineRule="auto"/>
        <w:ind w:left="1440" w:hanging="1440"/>
        <w:jc w:val="both"/>
        <w:rPr>
          <w:rFonts w:ascii="David" w:hAnsi="David"/>
          <w:rtl/>
        </w:rPr>
      </w:pPr>
    </w:p>
    <w:p w:rsidR="00E3496A" w:rsidRPr="007F7D5B" w:rsidRDefault="00E3496A" w:rsidP="00E3496A">
      <w:pPr>
        <w:tabs>
          <w:tab w:val="left" w:pos="720"/>
        </w:tabs>
        <w:spacing w:line="360" w:lineRule="auto"/>
        <w:ind w:left="1440" w:hanging="720"/>
        <w:jc w:val="both"/>
        <w:rPr>
          <w:rFonts w:ascii="David" w:hAnsi="David"/>
          <w:rtl/>
        </w:rPr>
      </w:pPr>
      <w:r w:rsidRPr="007F7D5B">
        <w:rPr>
          <w:rFonts w:ascii="David" w:hAnsi="David" w:hint="cs"/>
          <w:rtl/>
        </w:rPr>
        <w:t xml:space="preserve">ג. </w:t>
      </w:r>
      <w:r w:rsidRPr="007F7D5B">
        <w:rPr>
          <w:rFonts w:ascii="David" w:hAnsi="David" w:hint="cs"/>
          <w:rtl/>
        </w:rPr>
        <w:tab/>
        <w:t xml:space="preserve">6 </w:t>
      </w:r>
      <w:r w:rsidRPr="007F7D5B">
        <w:rPr>
          <w:rFonts w:hint="cs"/>
          <w:rtl/>
        </w:rPr>
        <w:t xml:space="preserve">חודשי מאסר על תנאי למשך 3 שנים לבל יעבור עבירות </w:t>
      </w:r>
      <w:r w:rsidRPr="007F7D5B">
        <w:rPr>
          <w:rFonts w:ascii="David" w:hAnsi="David" w:hint="cs"/>
          <w:rtl/>
        </w:rPr>
        <w:t>נשק מסוג עוון ויורשע בגינן או עבירה של הפרעה לשוטר במילוי תפקידו .</w:t>
      </w:r>
    </w:p>
    <w:p w:rsidR="00E3496A" w:rsidRPr="007F7D5B" w:rsidRDefault="00E3496A" w:rsidP="00E3496A">
      <w:pPr>
        <w:tabs>
          <w:tab w:val="left" w:pos="720"/>
        </w:tabs>
        <w:spacing w:line="360" w:lineRule="auto"/>
        <w:ind w:left="1440" w:hanging="720"/>
        <w:jc w:val="both"/>
        <w:rPr>
          <w:rFonts w:ascii="David" w:hAnsi="David"/>
          <w:rtl/>
        </w:rPr>
      </w:pPr>
    </w:p>
    <w:p w:rsidR="00E3496A" w:rsidRPr="007F7D5B" w:rsidRDefault="00E3496A" w:rsidP="00E3496A">
      <w:pPr>
        <w:spacing w:line="360" w:lineRule="auto"/>
        <w:jc w:val="both"/>
        <w:rPr>
          <w:rFonts w:ascii="David" w:hAnsi="David"/>
          <w:b/>
          <w:bCs/>
          <w:rtl/>
        </w:rPr>
      </w:pPr>
      <w:r w:rsidRPr="007F7D5B">
        <w:rPr>
          <w:rFonts w:ascii="David" w:hAnsi="David" w:hint="cs"/>
          <w:b/>
          <w:bCs/>
          <w:u w:val="single"/>
          <w:rtl/>
        </w:rPr>
        <w:t>זכות ערעור לבית המשפט העליון תוך 45 ימים</w:t>
      </w:r>
      <w:r w:rsidRPr="007F7D5B">
        <w:rPr>
          <w:rFonts w:ascii="David" w:hAnsi="David" w:hint="cs"/>
          <w:b/>
          <w:bCs/>
          <w:rtl/>
        </w:rPr>
        <w:t>.</w:t>
      </w:r>
    </w:p>
    <w:p w:rsidR="00E3496A" w:rsidRPr="007F7D5B" w:rsidRDefault="00E3496A" w:rsidP="00E3496A">
      <w:pPr>
        <w:spacing w:line="360" w:lineRule="auto"/>
        <w:jc w:val="both"/>
        <w:rPr>
          <w:rtl/>
        </w:rPr>
      </w:pPr>
    </w:p>
    <w:p w:rsidR="00E3496A" w:rsidRPr="002A528E" w:rsidRDefault="002A528E" w:rsidP="00E3496A">
      <w:pPr>
        <w:rPr>
          <w:color w:val="FFFFFF"/>
          <w:sz w:val="2"/>
          <w:szCs w:val="2"/>
          <w:rtl/>
        </w:rPr>
      </w:pPr>
      <w:r w:rsidRPr="002A528E">
        <w:rPr>
          <w:color w:val="FFFFFF"/>
          <w:sz w:val="2"/>
          <w:szCs w:val="2"/>
          <w:rtl/>
        </w:rPr>
        <w:t>5129371</w:t>
      </w:r>
    </w:p>
    <w:p w:rsidR="00E3496A" w:rsidRPr="007F7D5B" w:rsidRDefault="002A528E" w:rsidP="00E3496A">
      <w:pPr>
        <w:rPr>
          <w:rFonts w:cs="FrankRuehl"/>
          <w:sz w:val="28"/>
          <w:szCs w:val="28"/>
          <w:rtl/>
        </w:rPr>
      </w:pPr>
      <w:r w:rsidRPr="002A528E">
        <w:rPr>
          <w:rFonts w:ascii="Arial" w:hAnsi="Arial"/>
          <w:color w:val="FFFFFF"/>
          <w:sz w:val="2"/>
          <w:szCs w:val="2"/>
          <w:rtl/>
        </w:rPr>
        <w:t>54678313</w:t>
      </w:r>
      <w:r>
        <w:rPr>
          <w:rFonts w:ascii="Arial" w:hAnsi="Arial"/>
          <w:rtl/>
        </w:rPr>
        <w:t xml:space="preserve">ניתן היום,  ח' אייר תשע"ח, 23 אפריל 2018, בהעדר הצדדים. </w:t>
      </w:r>
    </w:p>
    <w:p w:rsidR="00E3496A" w:rsidRDefault="00E3496A" w:rsidP="00E3496A">
      <w:pPr>
        <w:jc w:val="center"/>
      </w:pPr>
      <w:r w:rsidRPr="007F7D5B">
        <w:rPr>
          <w:rFonts w:hint="cs"/>
          <w:rtl/>
        </w:rPr>
        <w:t xml:space="preserve">   </w:t>
      </w:r>
      <w:r w:rsidRPr="007F7D5B">
        <w:rPr>
          <w:rFonts w:hint="cs"/>
          <w:rtl/>
        </w:rPr>
        <w:tab/>
      </w:r>
      <w:r w:rsidRPr="007F7D5B">
        <w:rPr>
          <w:rFonts w:hint="cs"/>
          <w:rtl/>
        </w:rPr>
        <w:tab/>
      </w:r>
      <w:r w:rsidRPr="007F7D5B">
        <w:rPr>
          <w:rFonts w:hint="cs"/>
          <w:rtl/>
        </w:rPr>
        <w:tab/>
      </w:r>
      <w:r w:rsidRPr="007F7D5B">
        <w:rPr>
          <w:rFonts w:hint="cs"/>
          <w:rtl/>
        </w:rPr>
        <w:tab/>
      </w:r>
      <w:r w:rsidRPr="007F7D5B">
        <w:rPr>
          <w:rFonts w:hint="cs"/>
          <w:rtl/>
        </w:rPr>
        <w:tab/>
      </w:r>
      <w:r>
        <w:rPr>
          <w:rtl/>
        </w:rPr>
        <w:t xml:space="preserve">     </w:t>
      </w:r>
    </w:p>
    <w:p w:rsidR="00E3496A" w:rsidRDefault="00E3496A" w:rsidP="00E3496A">
      <w:pPr>
        <w:jc w:val="center"/>
        <w:rPr>
          <w:rFonts w:ascii="Arial" w:hAnsi="Arial" w:cs="FrankRuehl"/>
          <w:sz w:val="28"/>
          <w:szCs w:val="28"/>
          <w:rtl/>
        </w:rPr>
      </w:pPr>
    </w:p>
    <w:p w:rsidR="00E3496A" w:rsidRDefault="00E3496A" w:rsidP="00E3496A">
      <w:pPr>
        <w:rPr>
          <w:rFonts w:cs="FrankRuehl"/>
          <w:sz w:val="28"/>
          <w:szCs w:val="28"/>
          <w:rtl/>
        </w:rPr>
      </w:pPr>
    </w:p>
    <w:p w:rsidR="00E3496A" w:rsidRPr="00014A63" w:rsidRDefault="00014A63" w:rsidP="00E3496A">
      <w:pPr>
        <w:pStyle w:val="a3"/>
        <w:jc w:val="center"/>
        <w:rPr>
          <w:color w:val="FFFFFF"/>
          <w:sz w:val="2"/>
          <w:szCs w:val="2"/>
          <w:rtl/>
        </w:rPr>
      </w:pPr>
      <w:r w:rsidRPr="00014A63">
        <w:rPr>
          <w:color w:val="FFFFFF"/>
          <w:sz w:val="2"/>
          <w:szCs w:val="2"/>
          <w:rtl/>
        </w:rPr>
        <w:t>5129371</w:t>
      </w:r>
    </w:p>
    <w:p w:rsidR="002D7B2F" w:rsidRPr="00014A63" w:rsidRDefault="00014A63" w:rsidP="002A528E">
      <w:pPr>
        <w:keepNext/>
        <w:rPr>
          <w:rFonts w:ascii="David" w:hAnsi="David"/>
          <w:color w:val="FFFFFF"/>
          <w:sz w:val="2"/>
          <w:szCs w:val="2"/>
          <w:rtl/>
        </w:rPr>
      </w:pPr>
      <w:r w:rsidRPr="00014A63">
        <w:rPr>
          <w:rFonts w:ascii="David" w:hAnsi="David"/>
          <w:color w:val="FFFFFF"/>
          <w:sz w:val="2"/>
          <w:szCs w:val="2"/>
          <w:rtl/>
        </w:rPr>
        <w:t>54678313</w:t>
      </w:r>
    </w:p>
    <w:p w:rsidR="002A528E" w:rsidRDefault="002A528E" w:rsidP="002A528E">
      <w:pPr>
        <w:rPr>
          <w:rtl/>
        </w:rPr>
      </w:pPr>
    </w:p>
    <w:p w:rsidR="002A528E" w:rsidRDefault="002A528E" w:rsidP="002A528E">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rsidR="00014A63" w:rsidRPr="00014A63" w:rsidRDefault="00014A63" w:rsidP="00014A63">
      <w:pPr>
        <w:keepNext/>
        <w:rPr>
          <w:rFonts w:ascii="David" w:hAnsi="David"/>
          <w:color w:val="000000"/>
          <w:sz w:val="22"/>
          <w:szCs w:val="22"/>
          <w:rtl/>
        </w:rPr>
      </w:pPr>
    </w:p>
    <w:p w:rsidR="00014A63" w:rsidRPr="00014A63" w:rsidRDefault="00014A63" w:rsidP="00014A63">
      <w:pPr>
        <w:keepNext/>
        <w:rPr>
          <w:rFonts w:ascii="David" w:hAnsi="David"/>
          <w:color w:val="000000"/>
          <w:sz w:val="22"/>
          <w:szCs w:val="22"/>
          <w:rtl/>
        </w:rPr>
      </w:pPr>
      <w:r w:rsidRPr="00014A63">
        <w:rPr>
          <w:rFonts w:ascii="David" w:hAnsi="David"/>
          <w:color w:val="000000"/>
          <w:sz w:val="22"/>
          <w:szCs w:val="22"/>
          <w:rtl/>
        </w:rPr>
        <w:t>אמיר טובי 54678313-/</w:t>
      </w:r>
    </w:p>
    <w:p w:rsidR="002A528E" w:rsidRPr="002A528E" w:rsidRDefault="00014A63" w:rsidP="00014A63">
      <w:pPr>
        <w:rPr>
          <w:color w:val="0000FF"/>
          <w:u w:val="single"/>
        </w:rPr>
      </w:pPr>
      <w:r w:rsidRPr="00014A63">
        <w:rPr>
          <w:color w:val="000000"/>
          <w:u w:val="single"/>
          <w:rtl/>
        </w:rPr>
        <w:t>נוסח מסמך זה כפוף לשינויי ניסוח ועריכה</w:t>
      </w:r>
    </w:p>
    <w:sectPr w:rsidR="002A528E" w:rsidRPr="002A528E" w:rsidSect="00014A63">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B6F" w:rsidRDefault="006E0B6F" w:rsidP="00771EC2">
      <w:r>
        <w:separator/>
      </w:r>
    </w:p>
  </w:endnote>
  <w:endnote w:type="continuationSeparator" w:id="0">
    <w:p w:rsidR="006E0B6F" w:rsidRDefault="006E0B6F" w:rsidP="0077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A63" w:rsidRDefault="00014A63" w:rsidP="00014A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6D1786" w:rsidRPr="00014A63" w:rsidRDefault="00014A63" w:rsidP="00014A63">
    <w:pPr>
      <w:pStyle w:val="a5"/>
      <w:pBdr>
        <w:top w:val="single" w:sz="4" w:space="1" w:color="auto"/>
        <w:between w:val="single" w:sz="4" w:space="0" w:color="auto"/>
      </w:pBdr>
      <w:spacing w:after="60"/>
      <w:jc w:val="center"/>
      <w:rPr>
        <w:rFonts w:ascii="FrankRuehl" w:hAnsi="FrankRuehl" w:cs="FrankRuehl"/>
        <w:color w:val="000000"/>
      </w:rPr>
    </w:pPr>
    <w:r w:rsidRPr="00014A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4A63" w:rsidRDefault="00014A63" w:rsidP="00014A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6784">
      <w:rPr>
        <w:rFonts w:ascii="FrankRuehl" w:hAnsi="FrankRuehl" w:cs="FrankRuehl"/>
        <w:noProof/>
        <w:rtl/>
      </w:rPr>
      <w:t>1</w:t>
    </w:r>
    <w:r>
      <w:rPr>
        <w:rFonts w:ascii="FrankRuehl" w:hAnsi="FrankRuehl" w:cs="FrankRuehl"/>
        <w:rtl/>
      </w:rPr>
      <w:fldChar w:fldCharType="end"/>
    </w:r>
  </w:p>
  <w:p w:rsidR="006D1786" w:rsidRPr="00014A63" w:rsidRDefault="00014A63" w:rsidP="00014A63">
    <w:pPr>
      <w:pStyle w:val="a5"/>
      <w:pBdr>
        <w:top w:val="single" w:sz="4" w:space="1" w:color="auto"/>
        <w:between w:val="single" w:sz="4" w:space="0" w:color="auto"/>
      </w:pBdr>
      <w:spacing w:after="60"/>
      <w:jc w:val="center"/>
      <w:rPr>
        <w:rFonts w:ascii="FrankRuehl" w:hAnsi="FrankRuehl" w:cs="FrankRuehl"/>
        <w:color w:val="000000"/>
      </w:rPr>
    </w:pPr>
    <w:r w:rsidRPr="00014A6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B6F" w:rsidRDefault="006E0B6F" w:rsidP="00771EC2">
      <w:r>
        <w:separator/>
      </w:r>
    </w:p>
  </w:footnote>
  <w:footnote w:type="continuationSeparator" w:id="0">
    <w:p w:rsidR="006E0B6F" w:rsidRDefault="006E0B6F" w:rsidP="00771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28E" w:rsidRPr="00014A63" w:rsidRDefault="00014A63" w:rsidP="00014A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28615-08-17</w:t>
    </w:r>
    <w:r>
      <w:rPr>
        <w:rFonts w:ascii="David" w:hAnsi="David"/>
        <w:color w:val="000000"/>
        <w:sz w:val="22"/>
        <w:szCs w:val="22"/>
        <w:rtl/>
      </w:rPr>
      <w:tab/>
      <w:t xml:space="preserve"> מדינת ישראל נ' פראס חמדוני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28E" w:rsidRPr="00014A63" w:rsidRDefault="00014A63" w:rsidP="00014A6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28615-08-17</w:t>
    </w:r>
    <w:r>
      <w:rPr>
        <w:rFonts w:ascii="David" w:hAnsi="David"/>
        <w:color w:val="000000"/>
        <w:sz w:val="22"/>
        <w:szCs w:val="22"/>
        <w:rtl/>
      </w:rPr>
      <w:tab/>
      <w:t xml:space="preserve"> מדינת ישראל נ' פראס חמדוני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496A"/>
    <w:rsid w:val="00014A63"/>
    <w:rsid w:val="002A528E"/>
    <w:rsid w:val="002D7B2F"/>
    <w:rsid w:val="00316253"/>
    <w:rsid w:val="006D1786"/>
    <w:rsid w:val="006E0B6F"/>
    <w:rsid w:val="00746784"/>
    <w:rsid w:val="00771EC2"/>
    <w:rsid w:val="00AE1DB0"/>
    <w:rsid w:val="00BA16A0"/>
    <w:rsid w:val="00D95B2C"/>
    <w:rsid w:val="00E3496A"/>
    <w:rsid w:val="00F478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3D7215F-BB96-4EB0-8452-EAFF51F1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9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496A"/>
    <w:pPr>
      <w:tabs>
        <w:tab w:val="center" w:pos="4153"/>
        <w:tab w:val="right" w:pos="8306"/>
      </w:tabs>
    </w:pPr>
  </w:style>
  <w:style w:type="character" w:customStyle="1" w:styleId="a4">
    <w:name w:val="כותרת עליונה תו"/>
    <w:link w:val="a3"/>
    <w:rsid w:val="00E3496A"/>
    <w:rPr>
      <w:rFonts w:ascii="Times New Roman" w:eastAsia="Times New Roman" w:hAnsi="Times New Roman" w:cs="David"/>
      <w:sz w:val="24"/>
      <w:szCs w:val="24"/>
    </w:rPr>
  </w:style>
  <w:style w:type="paragraph" w:styleId="a5">
    <w:name w:val="footer"/>
    <w:basedOn w:val="a"/>
    <w:link w:val="a6"/>
    <w:rsid w:val="00E3496A"/>
    <w:pPr>
      <w:tabs>
        <w:tab w:val="center" w:pos="4153"/>
        <w:tab w:val="right" w:pos="8306"/>
      </w:tabs>
    </w:pPr>
  </w:style>
  <w:style w:type="character" w:customStyle="1" w:styleId="a6">
    <w:name w:val="כותרת תחתונה תו"/>
    <w:link w:val="a5"/>
    <w:rsid w:val="00E3496A"/>
    <w:rPr>
      <w:rFonts w:ascii="Times New Roman" w:eastAsia="Times New Roman" w:hAnsi="Times New Roman" w:cs="David"/>
      <w:sz w:val="24"/>
      <w:szCs w:val="24"/>
    </w:rPr>
  </w:style>
  <w:style w:type="table" w:styleId="a7">
    <w:name w:val="Table Grid"/>
    <w:basedOn w:val="a1"/>
    <w:rsid w:val="00E349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496A"/>
  </w:style>
  <w:style w:type="character" w:customStyle="1" w:styleId="TimesNewRomanTimesNewRoman">
    <w:name w:val="סגנון (לטיני) Times New Roman (עברית ושפות אחרות) Times New Roman..."/>
    <w:rsid w:val="00E3496A"/>
    <w:rPr>
      <w:rFonts w:ascii="Times New Roman" w:hAnsi="Times New Roman" w:cs="David" w:hint="default"/>
      <w:b/>
      <w:bCs/>
      <w:sz w:val="26"/>
      <w:szCs w:val="26"/>
    </w:rPr>
  </w:style>
  <w:style w:type="character" w:customStyle="1" w:styleId="QuoteChar">
    <w:name w:val="Quote Char"/>
    <w:link w:val="1"/>
    <w:locked/>
    <w:rsid w:val="00E3496A"/>
    <w:rPr>
      <w:rFonts w:ascii="Calibri" w:eastAsia="Calibri" w:hAnsi="Calibri" w:cs="David"/>
      <w:i/>
      <w:szCs w:val="24"/>
    </w:rPr>
  </w:style>
  <w:style w:type="paragraph" w:customStyle="1" w:styleId="1">
    <w:name w:val="ציטוט1"/>
    <w:basedOn w:val="a"/>
    <w:next w:val="a"/>
    <w:link w:val="QuoteChar"/>
    <w:rsid w:val="00E3496A"/>
    <w:pPr>
      <w:spacing w:line="360" w:lineRule="auto"/>
      <w:ind w:left="1134" w:right="1134"/>
      <w:jc w:val="both"/>
    </w:pPr>
    <w:rPr>
      <w:rFonts w:ascii="Calibri" w:eastAsia="Calibri" w:hAnsi="Calibri"/>
      <w:i/>
      <w:sz w:val="22"/>
    </w:rPr>
  </w:style>
  <w:style w:type="character" w:styleId="Hyperlink">
    <w:name w:val="Hyperlink"/>
    <w:rsid w:val="00E3496A"/>
    <w:rPr>
      <w:color w:val="0000FF"/>
      <w:u w:val="single"/>
    </w:rPr>
  </w:style>
  <w:style w:type="character" w:styleId="a9">
    <w:name w:val="Unresolved Mention"/>
    <w:rsid w:val="002A52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16796" TargetMode="External"/><Relationship Id="rId21" Type="http://schemas.openxmlformats.org/officeDocument/2006/relationships/hyperlink" Target="http://www.nevo.co.il/case/6151556" TargetMode="External"/><Relationship Id="rId34" Type="http://schemas.openxmlformats.org/officeDocument/2006/relationships/hyperlink" Target="http://www.nevo.co.il/case/20817891" TargetMode="External"/><Relationship Id="rId42" Type="http://schemas.openxmlformats.org/officeDocument/2006/relationships/hyperlink" Target="http://www.nevo.co.il/case/6950458" TargetMode="External"/><Relationship Id="rId47" Type="http://schemas.openxmlformats.org/officeDocument/2006/relationships/hyperlink" Target="http://www.nevo.co.il/case/687125" TargetMode="External"/><Relationship Id="rId50" Type="http://schemas.openxmlformats.org/officeDocument/2006/relationships/hyperlink" Target="http://www.nevo.co.il/case/21566004" TargetMode="External"/><Relationship Id="rId55" Type="http://schemas.openxmlformats.org/officeDocument/2006/relationships/hyperlink" Target="http://www.nevo.co.il/case/21472954" TargetMode="External"/><Relationship Id="rId63" Type="http://schemas.openxmlformats.org/officeDocument/2006/relationships/footer" Target="footer2.xml"/><Relationship Id="rId7" Type="http://schemas.openxmlformats.org/officeDocument/2006/relationships/hyperlink" Target="http://www.nevo.co.il/law/70301/40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1771409" TargetMode="External"/><Relationship Id="rId11" Type="http://schemas.openxmlformats.org/officeDocument/2006/relationships/hyperlink" Target="http://www.nevo.co.il/law/70301/144.a.;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5594385" TargetMode="External"/><Relationship Id="rId37" Type="http://schemas.openxmlformats.org/officeDocument/2006/relationships/hyperlink" Target="http://www.nevo.co.il/case/13093744" TargetMode="External"/><Relationship Id="rId40" Type="http://schemas.openxmlformats.org/officeDocument/2006/relationships/hyperlink" Target="http://www.nevo.co.il/case/22006503" TargetMode="External"/><Relationship Id="rId45" Type="http://schemas.openxmlformats.org/officeDocument/2006/relationships/hyperlink" Target="http://www.nevo.co.il/case/5762686" TargetMode="External"/><Relationship Id="rId53" Type="http://schemas.openxmlformats.org/officeDocument/2006/relationships/hyperlink" Target="http://www.nevo.co.il/case/21697402" TargetMode="External"/><Relationship Id="rId58" Type="http://schemas.openxmlformats.org/officeDocument/2006/relationships/hyperlink" Target="http://www.nevo.co.il/case/13063540"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70301/40c" TargetMode="External"/><Relationship Id="rId14" Type="http://schemas.openxmlformats.org/officeDocument/2006/relationships/hyperlink" Target="http://www.nevo.co.il/case/13063540"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21472954"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17954222" TargetMode="External"/><Relationship Id="rId43" Type="http://schemas.openxmlformats.org/officeDocument/2006/relationships/hyperlink" Target="http://www.nevo.co.il/case/7791493" TargetMode="External"/><Relationship Id="rId48" Type="http://schemas.openxmlformats.org/officeDocument/2006/relationships/hyperlink" Target="http://www.nevo.co.il/case/6000182" TargetMode="External"/><Relationship Id="rId56" Type="http://schemas.openxmlformats.org/officeDocument/2006/relationships/hyperlink" Target="http://www.nevo.co.il/case/13063540" TargetMode="External"/><Relationship Id="rId64"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case/5724364"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7958246" TargetMode="External"/><Relationship Id="rId25" Type="http://schemas.openxmlformats.org/officeDocument/2006/relationships/hyperlink" Target="http://www.nevo.co.il/case/6950458"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6824952" TargetMode="External"/><Relationship Id="rId46" Type="http://schemas.openxmlformats.org/officeDocument/2006/relationships/hyperlink" Target="http://www.nevo.co.il/case/1792906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3090914" TargetMode="External"/><Relationship Id="rId54" Type="http://schemas.openxmlformats.org/officeDocument/2006/relationships/hyperlink" Target="http://www.nevo.co.il/case/21946424"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13063540" TargetMode="External"/><Relationship Id="rId23" Type="http://schemas.openxmlformats.org/officeDocument/2006/relationships/hyperlink" Target="http://www.nevo.co.il/case/5821328" TargetMode="External"/><Relationship Id="rId28" Type="http://schemas.openxmlformats.org/officeDocument/2006/relationships/hyperlink" Target="http://www.nevo.co.il/case/20395125" TargetMode="External"/><Relationship Id="rId36" Type="http://schemas.openxmlformats.org/officeDocument/2006/relationships/hyperlink" Target="http://www.nevo.co.il/case/6000182" TargetMode="External"/><Relationship Id="rId49" Type="http://schemas.openxmlformats.org/officeDocument/2006/relationships/hyperlink" Target="http://www.nevo.co.il/case/6949290" TargetMode="External"/><Relationship Id="rId57" Type="http://schemas.openxmlformats.org/officeDocument/2006/relationships/hyperlink" Target="http://www.nevo.co.il/case/7977559" TargetMode="External"/><Relationship Id="rId10" Type="http://schemas.openxmlformats.org/officeDocument/2006/relationships/hyperlink" Target="http://www.nevo.co.il/law/70301/275" TargetMode="External"/><Relationship Id="rId31" Type="http://schemas.openxmlformats.org/officeDocument/2006/relationships/hyperlink" Target="http://www.nevo.co.il/case/5821327" TargetMode="External"/><Relationship Id="rId44" Type="http://schemas.openxmlformats.org/officeDocument/2006/relationships/hyperlink" Target="http://www.nevo.co.il/case/6151556" TargetMode="External"/><Relationship Id="rId52" Type="http://schemas.openxmlformats.org/officeDocument/2006/relationships/hyperlink" Target="http://www.nevo.co.il/case/21857866"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20033641" TargetMode="External"/><Relationship Id="rId39" Type="http://schemas.openxmlformats.org/officeDocument/2006/relationships/hyperlink" Target="http://www.nevo.co.il/case/64730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3670</Words>
  <Characters>18354</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21981</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3539060</vt:i4>
      </vt:variant>
      <vt:variant>
        <vt:i4>156</vt:i4>
      </vt:variant>
      <vt:variant>
        <vt:i4>0</vt:i4>
      </vt:variant>
      <vt:variant>
        <vt:i4>5</vt:i4>
      </vt:variant>
      <vt:variant>
        <vt:lpwstr>http://www.nevo.co.il/case/13063540</vt:lpwstr>
      </vt:variant>
      <vt:variant>
        <vt:lpwstr/>
      </vt:variant>
      <vt:variant>
        <vt:i4>3932287</vt:i4>
      </vt:variant>
      <vt:variant>
        <vt:i4>153</vt:i4>
      </vt:variant>
      <vt:variant>
        <vt:i4>0</vt:i4>
      </vt:variant>
      <vt:variant>
        <vt:i4>5</vt:i4>
      </vt:variant>
      <vt:variant>
        <vt:lpwstr>http://www.nevo.co.il/case/7977559</vt:lpwstr>
      </vt:variant>
      <vt:variant>
        <vt:lpwstr/>
      </vt:variant>
      <vt:variant>
        <vt:i4>3539060</vt:i4>
      </vt:variant>
      <vt:variant>
        <vt:i4>150</vt:i4>
      </vt:variant>
      <vt:variant>
        <vt:i4>0</vt:i4>
      </vt:variant>
      <vt:variant>
        <vt:i4>5</vt:i4>
      </vt:variant>
      <vt:variant>
        <vt:lpwstr>http://www.nevo.co.il/case/13063540</vt:lpwstr>
      </vt:variant>
      <vt:variant>
        <vt:lpwstr/>
      </vt:variant>
      <vt:variant>
        <vt:i4>3211387</vt:i4>
      </vt:variant>
      <vt:variant>
        <vt:i4>147</vt:i4>
      </vt:variant>
      <vt:variant>
        <vt:i4>0</vt:i4>
      </vt:variant>
      <vt:variant>
        <vt:i4>5</vt:i4>
      </vt:variant>
      <vt:variant>
        <vt:lpwstr>http://www.nevo.co.il/case/21472954</vt:lpwstr>
      </vt:variant>
      <vt:variant>
        <vt:lpwstr/>
      </vt:variant>
      <vt:variant>
        <vt:i4>4128885</vt:i4>
      </vt:variant>
      <vt:variant>
        <vt:i4>144</vt:i4>
      </vt:variant>
      <vt:variant>
        <vt:i4>0</vt:i4>
      </vt:variant>
      <vt:variant>
        <vt:i4>5</vt:i4>
      </vt:variant>
      <vt:variant>
        <vt:lpwstr>http://www.nevo.co.il/case/21946424</vt:lpwstr>
      </vt:variant>
      <vt:variant>
        <vt:lpwstr/>
      </vt:variant>
      <vt:variant>
        <vt:i4>3342456</vt:i4>
      </vt:variant>
      <vt:variant>
        <vt:i4>141</vt:i4>
      </vt:variant>
      <vt:variant>
        <vt:i4>0</vt:i4>
      </vt:variant>
      <vt:variant>
        <vt:i4>5</vt:i4>
      </vt:variant>
      <vt:variant>
        <vt:lpwstr>http://www.nevo.co.il/case/21697402</vt:lpwstr>
      </vt:variant>
      <vt:variant>
        <vt:lpwstr/>
      </vt:variant>
      <vt:variant>
        <vt:i4>3866744</vt:i4>
      </vt:variant>
      <vt:variant>
        <vt:i4>138</vt:i4>
      </vt:variant>
      <vt:variant>
        <vt:i4>0</vt:i4>
      </vt:variant>
      <vt:variant>
        <vt:i4>5</vt:i4>
      </vt:variant>
      <vt:variant>
        <vt:lpwstr>http://www.nevo.co.il/case/21857866</vt:lpwstr>
      </vt:variant>
      <vt:variant>
        <vt:lpwstr/>
      </vt:variant>
      <vt:variant>
        <vt:i4>3145841</vt:i4>
      </vt:variant>
      <vt:variant>
        <vt:i4>135</vt:i4>
      </vt:variant>
      <vt:variant>
        <vt:i4>0</vt:i4>
      </vt:variant>
      <vt:variant>
        <vt:i4>5</vt:i4>
      </vt:variant>
      <vt:variant>
        <vt:lpwstr>http://www.nevo.co.il/case/5724364</vt:lpwstr>
      </vt:variant>
      <vt:variant>
        <vt:lpwstr/>
      </vt:variant>
      <vt:variant>
        <vt:i4>3211379</vt:i4>
      </vt:variant>
      <vt:variant>
        <vt:i4>132</vt:i4>
      </vt:variant>
      <vt:variant>
        <vt:i4>0</vt:i4>
      </vt:variant>
      <vt:variant>
        <vt:i4>5</vt:i4>
      </vt:variant>
      <vt:variant>
        <vt:lpwstr>http://www.nevo.co.il/case/21566004</vt:lpwstr>
      </vt:variant>
      <vt:variant>
        <vt:lpwstr/>
      </vt:variant>
      <vt:variant>
        <vt:i4>3145853</vt:i4>
      </vt:variant>
      <vt:variant>
        <vt:i4>129</vt:i4>
      </vt:variant>
      <vt:variant>
        <vt:i4>0</vt:i4>
      </vt:variant>
      <vt:variant>
        <vt:i4>5</vt:i4>
      </vt:variant>
      <vt:variant>
        <vt:lpwstr>http://www.nevo.co.il/case/6949290</vt:lpwstr>
      </vt:variant>
      <vt:variant>
        <vt:lpwstr/>
      </vt:variant>
      <vt:variant>
        <vt:i4>3473532</vt:i4>
      </vt:variant>
      <vt:variant>
        <vt:i4>126</vt:i4>
      </vt:variant>
      <vt:variant>
        <vt:i4>0</vt:i4>
      </vt:variant>
      <vt:variant>
        <vt:i4>5</vt:i4>
      </vt:variant>
      <vt:variant>
        <vt:lpwstr>http://www.nevo.co.il/case/6000182</vt:lpwstr>
      </vt:variant>
      <vt:variant>
        <vt:lpwstr/>
      </vt:variant>
      <vt:variant>
        <vt:i4>196685</vt:i4>
      </vt:variant>
      <vt:variant>
        <vt:i4>123</vt:i4>
      </vt:variant>
      <vt:variant>
        <vt:i4>0</vt:i4>
      </vt:variant>
      <vt:variant>
        <vt:i4>5</vt:i4>
      </vt:variant>
      <vt:variant>
        <vt:lpwstr>http://www.nevo.co.il/case/687125</vt:lpwstr>
      </vt:variant>
      <vt:variant>
        <vt:lpwstr/>
      </vt:variant>
      <vt:variant>
        <vt:i4>3604593</vt:i4>
      </vt:variant>
      <vt:variant>
        <vt:i4>120</vt:i4>
      </vt:variant>
      <vt:variant>
        <vt:i4>0</vt:i4>
      </vt:variant>
      <vt:variant>
        <vt:i4>5</vt:i4>
      </vt:variant>
      <vt:variant>
        <vt:lpwstr>http://www.nevo.co.il/case/17929065</vt:lpwstr>
      </vt:variant>
      <vt:variant>
        <vt:lpwstr/>
      </vt:variant>
      <vt:variant>
        <vt:i4>3342457</vt:i4>
      </vt:variant>
      <vt:variant>
        <vt:i4>117</vt:i4>
      </vt:variant>
      <vt:variant>
        <vt:i4>0</vt:i4>
      </vt:variant>
      <vt:variant>
        <vt:i4>5</vt:i4>
      </vt:variant>
      <vt:variant>
        <vt:lpwstr>http://www.nevo.co.il/case/5762686</vt:lpwstr>
      </vt:variant>
      <vt:variant>
        <vt:lpwstr/>
      </vt:variant>
      <vt:variant>
        <vt:i4>3145841</vt:i4>
      </vt:variant>
      <vt:variant>
        <vt:i4>114</vt:i4>
      </vt:variant>
      <vt:variant>
        <vt:i4>0</vt:i4>
      </vt:variant>
      <vt:variant>
        <vt:i4>5</vt:i4>
      </vt:variant>
      <vt:variant>
        <vt:lpwstr>http://www.nevo.co.il/case/6151556</vt:lpwstr>
      </vt:variant>
      <vt:variant>
        <vt:lpwstr/>
      </vt:variant>
      <vt:variant>
        <vt:i4>3735675</vt:i4>
      </vt:variant>
      <vt:variant>
        <vt:i4>111</vt:i4>
      </vt:variant>
      <vt:variant>
        <vt:i4>0</vt:i4>
      </vt:variant>
      <vt:variant>
        <vt:i4>5</vt:i4>
      </vt:variant>
      <vt:variant>
        <vt:lpwstr>http://www.nevo.co.il/case/7791493</vt:lpwstr>
      </vt:variant>
      <vt:variant>
        <vt:lpwstr/>
      </vt:variant>
      <vt:variant>
        <vt:i4>4128888</vt:i4>
      </vt:variant>
      <vt:variant>
        <vt:i4>108</vt:i4>
      </vt:variant>
      <vt:variant>
        <vt:i4>0</vt:i4>
      </vt:variant>
      <vt:variant>
        <vt:i4>5</vt:i4>
      </vt:variant>
      <vt:variant>
        <vt:lpwstr>http://www.nevo.co.il/case/6950458</vt:lpwstr>
      </vt:variant>
      <vt:variant>
        <vt:lpwstr/>
      </vt:variant>
      <vt:variant>
        <vt:i4>3145847</vt:i4>
      </vt:variant>
      <vt:variant>
        <vt:i4>105</vt:i4>
      </vt:variant>
      <vt:variant>
        <vt:i4>0</vt:i4>
      </vt:variant>
      <vt:variant>
        <vt:i4>5</vt:i4>
      </vt:variant>
      <vt:variant>
        <vt:lpwstr>http://www.nevo.co.il/case/13090914</vt:lpwstr>
      </vt:variant>
      <vt:variant>
        <vt:lpwstr/>
      </vt:variant>
      <vt:variant>
        <vt:i4>3407987</vt:i4>
      </vt:variant>
      <vt:variant>
        <vt:i4>102</vt:i4>
      </vt:variant>
      <vt:variant>
        <vt:i4>0</vt:i4>
      </vt:variant>
      <vt:variant>
        <vt:i4>5</vt:i4>
      </vt:variant>
      <vt:variant>
        <vt:lpwstr>http://www.nevo.co.il/case/22006503</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3539065</vt:i4>
      </vt:variant>
      <vt:variant>
        <vt:i4>93</vt:i4>
      </vt:variant>
      <vt:variant>
        <vt:i4>0</vt:i4>
      </vt:variant>
      <vt:variant>
        <vt:i4>5</vt:i4>
      </vt:variant>
      <vt:variant>
        <vt:lpwstr>http://www.nevo.co.il/case/13093744</vt:lpwstr>
      </vt:variant>
      <vt:variant>
        <vt:lpwstr/>
      </vt:variant>
      <vt:variant>
        <vt:i4>3473532</vt:i4>
      </vt:variant>
      <vt:variant>
        <vt:i4>90</vt:i4>
      </vt:variant>
      <vt:variant>
        <vt:i4>0</vt:i4>
      </vt:variant>
      <vt:variant>
        <vt:i4>5</vt:i4>
      </vt:variant>
      <vt:variant>
        <vt:lpwstr>http://www.nevo.co.il/case/6000182</vt:lpwstr>
      </vt:variant>
      <vt:variant>
        <vt:lpwstr/>
      </vt:variant>
      <vt:variant>
        <vt:i4>4063348</vt:i4>
      </vt:variant>
      <vt:variant>
        <vt:i4>87</vt:i4>
      </vt:variant>
      <vt:variant>
        <vt:i4>0</vt:i4>
      </vt:variant>
      <vt:variant>
        <vt:i4>5</vt:i4>
      </vt:variant>
      <vt:variant>
        <vt:lpwstr>http://www.nevo.co.il/case/17954222</vt:lpwstr>
      </vt:variant>
      <vt:variant>
        <vt:lpwstr/>
      </vt:variant>
      <vt:variant>
        <vt:i4>3407997</vt:i4>
      </vt:variant>
      <vt:variant>
        <vt:i4>84</vt:i4>
      </vt:variant>
      <vt:variant>
        <vt:i4>0</vt:i4>
      </vt:variant>
      <vt:variant>
        <vt:i4>5</vt:i4>
      </vt:variant>
      <vt:variant>
        <vt:lpwstr>http://www.nevo.co.il/case/20817891</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3801213</vt:i4>
      </vt:variant>
      <vt:variant>
        <vt:i4>78</vt:i4>
      </vt:variant>
      <vt:variant>
        <vt:i4>0</vt:i4>
      </vt:variant>
      <vt:variant>
        <vt:i4>5</vt:i4>
      </vt:variant>
      <vt:variant>
        <vt:lpwstr>http://www.nevo.co.il/case/5594385</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3407990</vt:i4>
      </vt:variant>
      <vt:variant>
        <vt:i4>69</vt:i4>
      </vt:variant>
      <vt:variant>
        <vt:i4>0</vt:i4>
      </vt:variant>
      <vt:variant>
        <vt:i4>5</vt:i4>
      </vt:variant>
      <vt:variant>
        <vt:lpwstr>http://www.nevo.co.il/case/21771409</vt:lpwstr>
      </vt:variant>
      <vt:variant>
        <vt:lpwstr/>
      </vt:variant>
      <vt:variant>
        <vt:i4>3539068</vt:i4>
      </vt:variant>
      <vt:variant>
        <vt:i4>66</vt:i4>
      </vt:variant>
      <vt:variant>
        <vt:i4>0</vt:i4>
      </vt:variant>
      <vt:variant>
        <vt:i4>5</vt:i4>
      </vt:variant>
      <vt:variant>
        <vt:lpwstr>http://www.nevo.co.il/case/20395125</vt:lpwstr>
      </vt:variant>
      <vt:variant>
        <vt:lpwstr/>
      </vt:variant>
      <vt:variant>
        <vt:i4>3211387</vt:i4>
      </vt:variant>
      <vt:variant>
        <vt:i4>63</vt:i4>
      </vt:variant>
      <vt:variant>
        <vt:i4>0</vt:i4>
      </vt:variant>
      <vt:variant>
        <vt:i4>5</vt:i4>
      </vt:variant>
      <vt:variant>
        <vt:lpwstr>http://www.nevo.co.il/case/21472954</vt:lpwstr>
      </vt:variant>
      <vt:variant>
        <vt:lpwstr/>
      </vt:variant>
      <vt:variant>
        <vt:i4>3473532</vt:i4>
      </vt:variant>
      <vt:variant>
        <vt:i4>60</vt:i4>
      </vt:variant>
      <vt:variant>
        <vt:i4>0</vt:i4>
      </vt:variant>
      <vt:variant>
        <vt:i4>5</vt:i4>
      </vt:variant>
      <vt:variant>
        <vt:lpwstr>http://www.nevo.co.il/case/5716796</vt:lpwstr>
      </vt:variant>
      <vt:variant>
        <vt:lpwstr/>
      </vt:variant>
      <vt:variant>
        <vt:i4>4128888</vt:i4>
      </vt:variant>
      <vt:variant>
        <vt:i4>57</vt:i4>
      </vt:variant>
      <vt:variant>
        <vt:i4>0</vt:i4>
      </vt:variant>
      <vt:variant>
        <vt:i4>5</vt:i4>
      </vt:variant>
      <vt:variant>
        <vt:lpwstr>http://www.nevo.co.il/case/6950458</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3932287</vt:i4>
      </vt:variant>
      <vt:variant>
        <vt:i4>51</vt:i4>
      </vt:variant>
      <vt:variant>
        <vt:i4>0</vt:i4>
      </vt:variant>
      <vt:variant>
        <vt:i4>5</vt:i4>
      </vt:variant>
      <vt:variant>
        <vt:lpwstr>http://www.nevo.co.il/case/5821328</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3145841</vt:i4>
      </vt:variant>
      <vt:variant>
        <vt:i4>45</vt:i4>
      </vt:variant>
      <vt:variant>
        <vt:i4>0</vt:i4>
      </vt:variant>
      <vt:variant>
        <vt:i4>5</vt:i4>
      </vt:variant>
      <vt:variant>
        <vt:lpwstr>http://www.nevo.co.il/case/6151556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3473521</vt:i4>
      </vt:variant>
      <vt:variant>
        <vt:i4>36</vt:i4>
      </vt:variant>
      <vt:variant>
        <vt:i4>0</vt:i4>
      </vt:variant>
      <vt:variant>
        <vt:i4>5</vt:i4>
      </vt:variant>
      <vt:variant>
        <vt:lpwstr>http://www.nevo.co.il/case/20033641</vt:lpwstr>
      </vt:variant>
      <vt:variant>
        <vt:lpwstr/>
      </vt:variant>
      <vt:variant>
        <vt:i4>3539057</vt:i4>
      </vt:variant>
      <vt:variant>
        <vt:i4>33</vt:i4>
      </vt:variant>
      <vt:variant>
        <vt:i4>0</vt:i4>
      </vt:variant>
      <vt:variant>
        <vt:i4>5</vt:i4>
      </vt:variant>
      <vt:variant>
        <vt:lpwstr>http://www.nevo.co.il/case/7958246</vt:lpwstr>
      </vt:variant>
      <vt:variant>
        <vt:lpwstr/>
      </vt:variant>
      <vt:variant>
        <vt:i4>7995492</vt:i4>
      </vt:variant>
      <vt:variant>
        <vt:i4>30</vt:i4>
      </vt:variant>
      <vt:variant>
        <vt:i4>0</vt:i4>
      </vt:variant>
      <vt:variant>
        <vt:i4>5</vt:i4>
      </vt:variant>
      <vt:variant>
        <vt:lpwstr>http://www.nevo.co.il/law/70301</vt:lpwstr>
      </vt:variant>
      <vt:variant>
        <vt:lpwstr/>
      </vt:variant>
      <vt:variant>
        <vt:i4>3539060</vt:i4>
      </vt:variant>
      <vt:variant>
        <vt:i4>27</vt:i4>
      </vt:variant>
      <vt:variant>
        <vt:i4>0</vt:i4>
      </vt:variant>
      <vt:variant>
        <vt:i4>5</vt:i4>
      </vt:variant>
      <vt:variant>
        <vt:lpwstr>http://www.nevo.co.il/case/13063540</vt:lpwstr>
      </vt:variant>
      <vt:variant>
        <vt:lpwstr/>
      </vt:variant>
      <vt:variant>
        <vt:i4>3539060</vt:i4>
      </vt:variant>
      <vt:variant>
        <vt:i4>24</vt:i4>
      </vt:variant>
      <vt:variant>
        <vt:i4>0</vt:i4>
      </vt:variant>
      <vt:variant>
        <vt:i4>5</vt:i4>
      </vt:variant>
      <vt:variant>
        <vt:lpwstr>http://www.nevo.co.il/case/13063540</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393232</vt:i4>
      </vt:variant>
      <vt:variant>
        <vt:i4>15</vt:i4>
      </vt:variant>
      <vt:variant>
        <vt:i4>0</vt:i4>
      </vt:variant>
      <vt:variant>
        <vt:i4>5</vt:i4>
      </vt:variant>
      <vt:variant>
        <vt:lpwstr>http://www.nevo.co.il/law/70301/144.a.;144.b</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28615</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פראס חמדוני</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20180423</vt:lpwstr>
  </property>
  <property fmtid="{D5CDD505-2E9C-101B-9397-08002B2CF9AE}" pid="13" name="TYPE_N_DATE">
    <vt:lpwstr>39020180423</vt:lpwstr>
  </property>
  <property fmtid="{D5CDD505-2E9C-101B-9397-08002B2CF9AE}" pid="14" name="WORDNUMPAGES">
    <vt:lpwstr>11</vt:lpwstr>
  </property>
  <property fmtid="{D5CDD505-2E9C-101B-9397-08002B2CF9AE}" pid="15" name="TYPE_ABS_DATE">
    <vt:lpwstr>390020180423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13063540:4;7958246;20033641;6151556:2;5821327:2;5821328;5878682;6950458:2;5716796;21472954:2;20395125;21771409;7791493:2;5594385;6473037:2;20817891;17954222;6000182:2;13093744;6824952;22006503;13090914;5762686;17929065;687125;6949290;21566004;5724364</vt:lpwstr>
  </property>
  <property fmtid="{D5CDD505-2E9C-101B-9397-08002B2CF9AE}" pid="36" name="CASESLISTTMP2">
    <vt:lpwstr>21857866;21697402;21946424;7977559</vt:lpwstr>
  </property>
  <property fmtid="{D5CDD505-2E9C-101B-9397-08002B2CF9AE}" pid="37" name="LAWLISTTMP1">
    <vt:lpwstr>70301/144.a;144.b;275;040c</vt:lpwstr>
  </property>
</Properties>
</file>