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A75CE1" w:rsidRPr="001F21E7" w14:paraId="0AD702CB" w14:textId="77777777" w:rsidTr="00D6318A">
        <w:trPr>
          <w:trHeight w:hRule="exact" w:val="418"/>
          <w:jc w:val="center"/>
        </w:trPr>
        <w:tc>
          <w:tcPr>
            <w:tcW w:w="8721" w:type="dxa"/>
            <w:gridSpan w:val="2"/>
          </w:tcPr>
          <w:p w14:paraId="49A99C1E" w14:textId="77777777" w:rsidR="00A75CE1" w:rsidRPr="001F21E7" w:rsidRDefault="00A75CE1" w:rsidP="00E93BD9">
            <w:pPr>
              <w:pStyle w:val="a3"/>
              <w:jc w:val="center"/>
              <w:rPr>
                <w:rFonts w:ascii="Tahoma" w:hAnsi="Tahoma" w:cs="Tahoma"/>
                <w:color w:val="000080"/>
                <w:rtl/>
              </w:rPr>
            </w:pPr>
            <w:bookmarkStart w:id="0" w:name="LastJudge"/>
            <w:r w:rsidRPr="001F21E7">
              <w:rPr>
                <w:rFonts w:ascii="Tahoma" w:hAnsi="Tahoma" w:cs="Tahoma"/>
                <w:b/>
                <w:bCs/>
                <w:color w:val="000080"/>
                <w:rtl/>
              </w:rPr>
              <w:t>בית המשפט המחוזי בירושלים</w:t>
            </w:r>
          </w:p>
        </w:tc>
      </w:tr>
      <w:tr w:rsidR="00A75CE1" w:rsidRPr="001F21E7" w14:paraId="7E943846" w14:textId="77777777" w:rsidTr="00D6318A">
        <w:trPr>
          <w:trHeight w:val="337"/>
          <w:jc w:val="center"/>
        </w:trPr>
        <w:tc>
          <w:tcPr>
            <w:tcW w:w="5057" w:type="dxa"/>
          </w:tcPr>
          <w:p w14:paraId="7592DBB1" w14:textId="77777777" w:rsidR="00A75CE1" w:rsidRPr="001F21E7" w:rsidRDefault="00A75CE1" w:rsidP="00E93BD9">
            <w:pPr>
              <w:rPr>
                <w:rFonts w:cs="FrankRuehl"/>
                <w:sz w:val="28"/>
                <w:szCs w:val="28"/>
                <w:rtl/>
              </w:rPr>
            </w:pPr>
            <w:r w:rsidRPr="001F21E7">
              <w:rPr>
                <w:rFonts w:cs="FrankRuehl"/>
                <w:sz w:val="28"/>
                <w:szCs w:val="28"/>
                <w:rtl/>
              </w:rPr>
              <w:t>ת"פ</w:t>
            </w:r>
            <w:r w:rsidRPr="001F21E7">
              <w:rPr>
                <w:rFonts w:cs="FrankRuehl" w:hint="cs"/>
                <w:sz w:val="28"/>
                <w:szCs w:val="28"/>
                <w:rtl/>
              </w:rPr>
              <w:t xml:space="preserve"> </w:t>
            </w:r>
            <w:r w:rsidRPr="001F21E7">
              <w:rPr>
                <w:rFonts w:cs="FrankRuehl"/>
                <w:sz w:val="28"/>
                <w:szCs w:val="28"/>
                <w:rtl/>
              </w:rPr>
              <w:t>30972-10-18</w:t>
            </w:r>
            <w:r w:rsidRPr="001F21E7">
              <w:rPr>
                <w:rFonts w:cs="FrankRuehl" w:hint="cs"/>
                <w:sz w:val="28"/>
                <w:szCs w:val="28"/>
                <w:rtl/>
              </w:rPr>
              <w:t xml:space="preserve"> </w:t>
            </w:r>
            <w:r w:rsidRPr="001F21E7">
              <w:rPr>
                <w:rFonts w:cs="FrankRuehl"/>
                <w:sz w:val="28"/>
                <w:szCs w:val="28"/>
                <w:rtl/>
              </w:rPr>
              <w:t>מדינת ישראל נ' הינדי(עציר)</w:t>
            </w:r>
          </w:p>
          <w:p w14:paraId="1E030D1D" w14:textId="77777777" w:rsidR="00A75CE1" w:rsidRPr="001F21E7" w:rsidRDefault="00A75CE1" w:rsidP="00E93BD9">
            <w:pPr>
              <w:pStyle w:val="a3"/>
              <w:rPr>
                <w:rFonts w:cs="FrankRuehl"/>
                <w:sz w:val="28"/>
                <w:szCs w:val="28"/>
                <w:rtl/>
              </w:rPr>
            </w:pPr>
          </w:p>
        </w:tc>
        <w:tc>
          <w:tcPr>
            <w:tcW w:w="3664" w:type="dxa"/>
          </w:tcPr>
          <w:p w14:paraId="761AD617" w14:textId="77777777" w:rsidR="00A75CE1" w:rsidRPr="001F21E7" w:rsidRDefault="00A75CE1" w:rsidP="00E93BD9">
            <w:pPr>
              <w:pStyle w:val="a3"/>
              <w:jc w:val="right"/>
              <w:rPr>
                <w:rFonts w:cs="FrankRuehl"/>
                <w:sz w:val="28"/>
                <w:szCs w:val="28"/>
                <w:rtl/>
              </w:rPr>
            </w:pPr>
          </w:p>
        </w:tc>
      </w:tr>
    </w:tbl>
    <w:p w14:paraId="173FC274" w14:textId="77777777" w:rsidR="00A75CE1" w:rsidRPr="001F21E7" w:rsidRDefault="00A75CE1" w:rsidP="00A75CE1">
      <w:pPr>
        <w:pStyle w:val="a3"/>
        <w:rPr>
          <w:rtl/>
        </w:rPr>
      </w:pPr>
      <w:r w:rsidRPr="001F21E7">
        <w:rPr>
          <w:rFonts w:hint="cs"/>
          <w:rtl/>
        </w:rPr>
        <w:t xml:space="preserve"> </w:t>
      </w:r>
    </w:p>
    <w:p w14:paraId="04139AB6" w14:textId="77777777" w:rsidR="00A75CE1" w:rsidRPr="001F21E7" w:rsidRDefault="00A75CE1" w:rsidP="00A75CE1">
      <w:pPr>
        <w:pStyle w:val="12"/>
        <w:rPr>
          <w:b w:val="0"/>
          <w:bCs w:val="0"/>
          <w:u w:val="none"/>
          <w:rtl/>
        </w:rPr>
      </w:pPr>
    </w:p>
    <w:tbl>
      <w:tblPr>
        <w:bidiVisual/>
        <w:tblW w:w="8802" w:type="dxa"/>
        <w:tblInd w:w="-28" w:type="dxa"/>
        <w:tblLook w:val="01E0" w:firstRow="1" w:lastRow="1" w:firstColumn="1" w:lastColumn="1" w:noHBand="0" w:noVBand="0"/>
      </w:tblPr>
      <w:tblGrid>
        <w:gridCol w:w="3697"/>
        <w:gridCol w:w="5022"/>
        <w:gridCol w:w="83"/>
      </w:tblGrid>
      <w:tr w:rsidR="00A75CE1" w:rsidRPr="001F21E7" w14:paraId="3AD4833F" w14:textId="77777777" w:rsidTr="00A75CE1">
        <w:trPr>
          <w:gridAfter w:val="1"/>
          <w:wAfter w:w="55" w:type="dxa"/>
        </w:trPr>
        <w:tc>
          <w:tcPr>
            <w:tcW w:w="8719" w:type="dxa"/>
            <w:gridSpan w:val="2"/>
            <w:shd w:val="clear" w:color="auto" w:fill="auto"/>
          </w:tcPr>
          <w:p w14:paraId="7F22DEED" w14:textId="77777777" w:rsidR="00A75CE1" w:rsidRPr="001F21E7" w:rsidRDefault="00A75CE1" w:rsidP="00A75CE1">
            <w:pPr>
              <w:jc w:val="both"/>
              <w:rPr>
                <w:rFonts w:ascii="Arial" w:hAnsi="Arial" w:cs="Times New Roman"/>
                <w:rtl/>
              </w:rPr>
            </w:pPr>
            <w:r w:rsidRPr="001F21E7">
              <w:rPr>
                <w:rFonts w:hint="cs"/>
                <w:b/>
                <w:bCs/>
                <w:sz w:val="26"/>
                <w:szCs w:val="26"/>
                <w:rtl/>
              </w:rPr>
              <w:t>לפני כבוד השופטת תמר בר-אשר</w:t>
            </w:r>
          </w:p>
          <w:p w14:paraId="77CF2DBE" w14:textId="77777777" w:rsidR="00A75CE1" w:rsidRPr="001F21E7" w:rsidRDefault="00A75CE1" w:rsidP="00A75CE1">
            <w:pPr>
              <w:jc w:val="both"/>
              <w:rPr>
                <w:rFonts w:ascii="Arial" w:hAnsi="Arial" w:cs="Times New Roman"/>
                <w:sz w:val="22"/>
                <w:szCs w:val="22"/>
                <w:rtl/>
              </w:rPr>
            </w:pPr>
          </w:p>
          <w:p w14:paraId="621AD7C5" w14:textId="77777777" w:rsidR="00A75CE1" w:rsidRPr="001F21E7" w:rsidRDefault="00A75CE1" w:rsidP="00A75CE1">
            <w:pPr>
              <w:jc w:val="both"/>
              <w:rPr>
                <w:rFonts w:ascii="Arial" w:hAnsi="Arial" w:cs="Times New Roman"/>
                <w:sz w:val="22"/>
                <w:szCs w:val="22"/>
                <w:rtl/>
              </w:rPr>
            </w:pPr>
          </w:p>
        </w:tc>
      </w:tr>
      <w:tr w:rsidR="00A75CE1" w:rsidRPr="001F21E7" w14:paraId="44D9D78F" w14:textId="77777777" w:rsidTr="00A75CE1">
        <w:tc>
          <w:tcPr>
            <w:tcW w:w="3697" w:type="dxa"/>
            <w:shd w:val="clear" w:color="auto" w:fill="auto"/>
          </w:tcPr>
          <w:p w14:paraId="05BBEA32" w14:textId="77777777" w:rsidR="00A75CE1" w:rsidRPr="001F21E7" w:rsidRDefault="00A75CE1" w:rsidP="00A75CE1">
            <w:pPr>
              <w:ind w:left="26"/>
              <w:rPr>
                <w:b/>
                <w:bCs/>
                <w:sz w:val="26"/>
                <w:szCs w:val="26"/>
                <w:rtl/>
              </w:rPr>
            </w:pPr>
            <w:bookmarkStart w:id="1" w:name="FirstAppellant"/>
            <w:r w:rsidRPr="001F21E7">
              <w:rPr>
                <w:rFonts w:hint="cs"/>
                <w:b/>
                <w:bCs/>
                <w:sz w:val="26"/>
                <w:szCs w:val="26"/>
                <w:rtl/>
              </w:rPr>
              <w:t>המאשימה</w:t>
            </w:r>
          </w:p>
        </w:tc>
        <w:tc>
          <w:tcPr>
            <w:tcW w:w="5105" w:type="dxa"/>
            <w:gridSpan w:val="2"/>
            <w:shd w:val="clear" w:color="auto" w:fill="auto"/>
          </w:tcPr>
          <w:p w14:paraId="15143FA2" w14:textId="77777777" w:rsidR="00A75CE1" w:rsidRPr="001F21E7" w:rsidRDefault="00A75CE1" w:rsidP="00E93BD9">
            <w:pPr>
              <w:rPr>
                <w:b/>
                <w:bCs/>
                <w:sz w:val="26"/>
                <w:szCs w:val="26"/>
                <w:rtl/>
              </w:rPr>
            </w:pPr>
            <w:r w:rsidRPr="001F21E7">
              <w:rPr>
                <w:rFonts w:hint="cs"/>
                <w:b/>
                <w:bCs/>
                <w:sz w:val="26"/>
                <w:szCs w:val="26"/>
                <w:rtl/>
              </w:rPr>
              <w:t xml:space="preserve"> מדינת ישראל</w:t>
            </w:r>
          </w:p>
        </w:tc>
      </w:tr>
      <w:bookmarkEnd w:id="1"/>
      <w:tr w:rsidR="00A75CE1" w:rsidRPr="001F21E7" w14:paraId="345E04DD" w14:textId="77777777" w:rsidTr="00A75CE1">
        <w:tc>
          <w:tcPr>
            <w:tcW w:w="8802" w:type="dxa"/>
            <w:gridSpan w:val="3"/>
            <w:shd w:val="clear" w:color="auto" w:fill="auto"/>
          </w:tcPr>
          <w:p w14:paraId="742F5B25" w14:textId="77777777" w:rsidR="00A75CE1" w:rsidRPr="001F21E7" w:rsidRDefault="00A75CE1" w:rsidP="00A75CE1">
            <w:pPr>
              <w:jc w:val="both"/>
              <w:rPr>
                <w:rFonts w:ascii="Arial" w:hAnsi="Arial"/>
                <w:b/>
                <w:bCs/>
                <w:rtl/>
              </w:rPr>
            </w:pPr>
          </w:p>
          <w:p w14:paraId="57C87E3F" w14:textId="77777777" w:rsidR="00A75CE1" w:rsidRPr="001F21E7" w:rsidRDefault="00A75CE1" w:rsidP="00A75CE1">
            <w:pPr>
              <w:jc w:val="center"/>
              <w:rPr>
                <w:rFonts w:ascii="Arial" w:hAnsi="Arial"/>
                <w:b/>
                <w:bCs/>
                <w:sz w:val="26"/>
                <w:szCs w:val="26"/>
                <w:rtl/>
              </w:rPr>
            </w:pPr>
            <w:r w:rsidRPr="001F21E7">
              <w:rPr>
                <w:rFonts w:ascii="Arial" w:hAnsi="Arial" w:hint="cs"/>
                <w:b/>
                <w:bCs/>
                <w:sz w:val="26"/>
                <w:szCs w:val="26"/>
                <w:rtl/>
              </w:rPr>
              <w:t>נגד</w:t>
            </w:r>
          </w:p>
          <w:p w14:paraId="41A00EA1" w14:textId="77777777" w:rsidR="00A75CE1" w:rsidRPr="001F21E7" w:rsidRDefault="00A75CE1" w:rsidP="00A75CE1">
            <w:pPr>
              <w:jc w:val="center"/>
              <w:rPr>
                <w:rFonts w:ascii="Arial" w:hAnsi="Arial"/>
                <w:b/>
                <w:bCs/>
                <w:rtl/>
              </w:rPr>
            </w:pPr>
          </w:p>
        </w:tc>
      </w:tr>
      <w:tr w:rsidR="00A75CE1" w:rsidRPr="001F21E7" w14:paraId="45653E38" w14:textId="77777777" w:rsidTr="00A75CE1">
        <w:tc>
          <w:tcPr>
            <w:tcW w:w="3697" w:type="dxa"/>
            <w:shd w:val="clear" w:color="auto" w:fill="auto"/>
          </w:tcPr>
          <w:p w14:paraId="15ED6BFA" w14:textId="77777777" w:rsidR="00A75CE1" w:rsidRPr="001F21E7" w:rsidRDefault="00A75CE1" w:rsidP="00A75CE1">
            <w:pPr>
              <w:ind w:left="26"/>
              <w:rPr>
                <w:b/>
                <w:bCs/>
                <w:sz w:val="26"/>
                <w:szCs w:val="26"/>
              </w:rPr>
            </w:pPr>
            <w:r w:rsidRPr="001F21E7">
              <w:rPr>
                <w:rFonts w:hint="cs"/>
                <w:b/>
                <w:bCs/>
                <w:sz w:val="26"/>
                <w:szCs w:val="26"/>
                <w:rtl/>
              </w:rPr>
              <w:t>הנאשם</w:t>
            </w:r>
          </w:p>
        </w:tc>
        <w:tc>
          <w:tcPr>
            <w:tcW w:w="5105" w:type="dxa"/>
            <w:gridSpan w:val="2"/>
            <w:shd w:val="clear" w:color="auto" w:fill="auto"/>
          </w:tcPr>
          <w:p w14:paraId="5054198E" w14:textId="77777777" w:rsidR="00A75CE1" w:rsidRPr="001F21E7" w:rsidRDefault="00A75CE1" w:rsidP="00E93BD9">
            <w:pPr>
              <w:rPr>
                <w:b/>
                <w:bCs/>
                <w:sz w:val="26"/>
                <w:szCs w:val="26"/>
                <w:rtl/>
              </w:rPr>
            </w:pPr>
            <w:r w:rsidRPr="001F21E7">
              <w:rPr>
                <w:rFonts w:hint="cs"/>
                <w:b/>
                <w:bCs/>
                <w:sz w:val="26"/>
                <w:szCs w:val="26"/>
                <w:rtl/>
              </w:rPr>
              <w:t>אדהם הינדי</w:t>
            </w:r>
          </w:p>
        </w:tc>
      </w:tr>
    </w:tbl>
    <w:p w14:paraId="5810B7D2" w14:textId="77777777" w:rsidR="00A75CE1" w:rsidRPr="001F21E7" w:rsidRDefault="00A75CE1" w:rsidP="00A75CE1">
      <w:pPr>
        <w:pStyle w:val="12"/>
        <w:rPr>
          <w:b w:val="0"/>
          <w:bCs w:val="0"/>
          <w:u w:val="none"/>
          <w:rtl/>
        </w:rPr>
      </w:pPr>
    </w:p>
    <w:p w14:paraId="1468C616" w14:textId="77777777" w:rsidR="00A75CE1" w:rsidRPr="001F21E7" w:rsidRDefault="00A75CE1" w:rsidP="00A75CE1">
      <w:pPr>
        <w:pStyle w:val="12"/>
        <w:rPr>
          <w:b w:val="0"/>
          <w:bCs w:val="0"/>
          <w:u w:val="none"/>
          <w:rtl/>
        </w:rPr>
      </w:pPr>
      <w:bookmarkStart w:id="2" w:name="FirstLawyer"/>
      <w:r w:rsidRPr="001F21E7">
        <w:rPr>
          <w:rFonts w:hint="cs"/>
          <w:b w:val="0"/>
          <w:bCs w:val="0"/>
          <w:u w:val="none"/>
          <w:rtl/>
        </w:rPr>
        <w:t>באת-כ</w:t>
      </w:r>
      <w:bookmarkEnd w:id="2"/>
      <w:r w:rsidRPr="001F21E7">
        <w:rPr>
          <w:rFonts w:hint="cs"/>
          <w:b w:val="0"/>
          <w:bCs w:val="0"/>
          <w:u w:val="none"/>
          <w:rtl/>
        </w:rPr>
        <w:t xml:space="preserve">וח המאשימה: עו"ד הדס עמיר (פרקליטות מחוז ירושלים </w:t>
      </w:r>
      <w:r w:rsidRPr="001F21E7">
        <w:rPr>
          <w:b w:val="0"/>
          <w:bCs w:val="0"/>
          <w:u w:val="none"/>
          <w:rtl/>
        </w:rPr>
        <w:t>–</w:t>
      </w:r>
      <w:r w:rsidRPr="001F21E7">
        <w:rPr>
          <w:rFonts w:hint="cs"/>
          <w:b w:val="0"/>
          <w:bCs w:val="0"/>
          <w:u w:val="none"/>
          <w:rtl/>
        </w:rPr>
        <w:t xml:space="preserve"> פלילי)</w:t>
      </w:r>
    </w:p>
    <w:p w14:paraId="128408D2" w14:textId="77777777" w:rsidR="00A75CE1" w:rsidRPr="001F21E7" w:rsidRDefault="00A75CE1" w:rsidP="00A75CE1">
      <w:pPr>
        <w:pStyle w:val="12"/>
        <w:rPr>
          <w:b w:val="0"/>
          <w:bCs w:val="0"/>
          <w:u w:val="none"/>
          <w:rtl/>
        </w:rPr>
      </w:pPr>
      <w:r w:rsidRPr="001F21E7">
        <w:rPr>
          <w:rFonts w:hint="cs"/>
          <w:b w:val="0"/>
          <w:bCs w:val="0"/>
          <w:u w:val="none"/>
          <w:rtl/>
        </w:rPr>
        <w:t>בא-כוח הנאשם: עו"ד רמי עותמאן</w:t>
      </w:r>
    </w:p>
    <w:p w14:paraId="6E53170F" w14:textId="77777777" w:rsidR="00A75CE1" w:rsidRPr="001F21E7" w:rsidRDefault="00A75CE1" w:rsidP="00A75CE1"/>
    <w:p w14:paraId="04A89230" w14:textId="77777777" w:rsidR="00D334C9" w:rsidRPr="00D334C9" w:rsidRDefault="00D334C9" w:rsidP="00D334C9">
      <w:pPr>
        <w:spacing w:before="120" w:after="120" w:line="240" w:lineRule="exact"/>
        <w:ind w:left="283" w:hanging="283"/>
        <w:jc w:val="both"/>
        <w:rPr>
          <w:rFonts w:ascii="FrankRuehl" w:hAnsi="FrankRuehl" w:cs="FrankRuehl"/>
          <w:rtl/>
        </w:rPr>
      </w:pPr>
      <w:bookmarkStart w:id="3" w:name="LawTable"/>
      <w:bookmarkEnd w:id="3"/>
    </w:p>
    <w:p w14:paraId="51FCF91A" w14:textId="77777777" w:rsidR="00D334C9" w:rsidRPr="00D334C9" w:rsidRDefault="00D334C9" w:rsidP="00D334C9">
      <w:pPr>
        <w:spacing w:before="120" w:after="120" w:line="240" w:lineRule="exact"/>
        <w:ind w:left="283" w:hanging="283"/>
        <w:jc w:val="both"/>
        <w:rPr>
          <w:rFonts w:ascii="FrankRuehl" w:hAnsi="FrankRuehl" w:cs="FrankRuehl"/>
          <w:rtl/>
        </w:rPr>
      </w:pPr>
    </w:p>
    <w:p w14:paraId="70ED4717" w14:textId="77777777" w:rsidR="00D334C9" w:rsidRPr="00D334C9" w:rsidRDefault="00D334C9" w:rsidP="00D334C9">
      <w:pPr>
        <w:spacing w:before="120" w:after="120" w:line="240" w:lineRule="exact"/>
        <w:ind w:left="283" w:hanging="283"/>
        <w:jc w:val="both"/>
        <w:rPr>
          <w:rFonts w:ascii="FrankRuehl" w:hAnsi="FrankRuehl" w:cs="FrankRuehl"/>
          <w:rtl/>
        </w:rPr>
      </w:pPr>
      <w:r w:rsidRPr="00D334C9">
        <w:rPr>
          <w:rFonts w:ascii="FrankRuehl" w:hAnsi="FrankRuehl" w:cs="FrankRuehl"/>
          <w:rtl/>
        </w:rPr>
        <w:t xml:space="preserve">חקיקה שאוזכרה: </w:t>
      </w:r>
    </w:p>
    <w:p w14:paraId="59CD25BB" w14:textId="77777777" w:rsidR="00D334C9" w:rsidRPr="00D334C9" w:rsidRDefault="00D334C9" w:rsidP="00D334C9">
      <w:pPr>
        <w:spacing w:before="120" w:after="120" w:line="240" w:lineRule="exact"/>
        <w:ind w:left="283" w:hanging="283"/>
        <w:jc w:val="both"/>
        <w:rPr>
          <w:rFonts w:ascii="FrankRuehl" w:hAnsi="FrankRuehl" w:cs="FrankRuehl"/>
          <w:color w:val="0000FF"/>
          <w:rtl/>
        </w:rPr>
      </w:pPr>
      <w:hyperlink r:id="rId6" w:history="1">
        <w:r w:rsidRPr="00D334C9">
          <w:rPr>
            <w:rStyle w:val="Hyperlink"/>
            <w:rFonts w:ascii="FrankRuehl" w:hAnsi="FrankRuehl" w:cs="FrankRuehl"/>
            <w:rtl/>
          </w:rPr>
          <w:t>חוק העונשין, תשל"ז-1977</w:t>
        </w:r>
      </w:hyperlink>
      <w:r w:rsidRPr="00D334C9">
        <w:rPr>
          <w:rFonts w:ascii="FrankRuehl" w:hAnsi="FrankRuehl" w:cs="FrankRuehl"/>
          <w:color w:val="0000FF"/>
          <w:u w:val="single"/>
          <w:rtl/>
        </w:rPr>
        <w:t xml:space="preserve">: סע'  </w:t>
      </w:r>
      <w:hyperlink r:id="rId7" w:history="1">
        <w:r w:rsidRPr="00D334C9">
          <w:rPr>
            <w:rStyle w:val="Hyperlink"/>
            <w:rFonts w:ascii="FrankRuehl" w:hAnsi="FrankRuehl" w:cs="FrankRuehl"/>
          </w:rPr>
          <w:t>25</w:t>
        </w:r>
      </w:hyperlink>
      <w:r w:rsidRPr="00D334C9">
        <w:rPr>
          <w:rFonts w:ascii="FrankRuehl" w:hAnsi="FrankRuehl" w:cs="FrankRuehl"/>
          <w:color w:val="0000FF"/>
          <w:u w:val="single"/>
          <w:rtl/>
        </w:rPr>
        <w:t xml:space="preserve">, </w:t>
      </w:r>
      <w:hyperlink r:id="rId8" w:history="1">
        <w:r w:rsidRPr="00D334C9">
          <w:rPr>
            <w:rStyle w:val="Hyperlink"/>
            <w:rFonts w:ascii="FrankRuehl" w:hAnsi="FrankRuehl" w:cs="FrankRuehl"/>
          </w:rPr>
          <w:t>28</w:t>
        </w:r>
      </w:hyperlink>
      <w:r w:rsidRPr="00D334C9">
        <w:rPr>
          <w:rFonts w:ascii="FrankRuehl" w:hAnsi="FrankRuehl" w:cs="FrankRuehl"/>
          <w:color w:val="0000FF"/>
          <w:u w:val="single"/>
          <w:rtl/>
        </w:rPr>
        <w:t xml:space="preserve">, </w:t>
      </w:r>
      <w:hyperlink r:id="rId9" w:history="1">
        <w:r w:rsidRPr="00D334C9">
          <w:rPr>
            <w:rStyle w:val="Hyperlink"/>
            <w:rFonts w:ascii="FrankRuehl" w:hAnsi="FrankRuehl" w:cs="FrankRuehl"/>
          </w:rPr>
          <w:t>34</w:t>
        </w:r>
        <w:r w:rsidRPr="00D334C9">
          <w:rPr>
            <w:rStyle w:val="Hyperlink"/>
            <w:rFonts w:ascii="FrankRuehl" w:hAnsi="FrankRuehl" w:cs="FrankRuehl"/>
            <w:rtl/>
          </w:rPr>
          <w:t>ד</w:t>
        </w:r>
      </w:hyperlink>
      <w:r w:rsidRPr="00D334C9">
        <w:rPr>
          <w:rFonts w:ascii="FrankRuehl" w:hAnsi="FrankRuehl" w:cs="FrankRuehl"/>
          <w:color w:val="0000FF"/>
          <w:u w:val="single"/>
          <w:rtl/>
        </w:rPr>
        <w:t xml:space="preserve">, </w:t>
      </w:r>
      <w:hyperlink r:id="rId10" w:history="1">
        <w:r w:rsidRPr="00D334C9">
          <w:rPr>
            <w:rStyle w:val="Hyperlink"/>
            <w:rFonts w:ascii="FrankRuehl" w:hAnsi="FrankRuehl" w:cs="FrankRuehl"/>
          </w:rPr>
          <w:t>144</w:t>
        </w:r>
      </w:hyperlink>
      <w:r w:rsidRPr="00D334C9">
        <w:rPr>
          <w:rFonts w:ascii="FrankRuehl" w:hAnsi="FrankRuehl" w:cs="FrankRuehl"/>
          <w:color w:val="0000FF"/>
          <w:rtl/>
        </w:rPr>
        <w:t xml:space="preserve">(ב2), </w:t>
      </w:r>
      <w:hyperlink r:id="rId11" w:history="1">
        <w:r w:rsidRPr="00D334C9">
          <w:rPr>
            <w:rStyle w:val="Hyperlink"/>
            <w:rFonts w:ascii="FrankRuehl" w:hAnsi="FrankRuehl" w:cs="FrankRuehl"/>
          </w:rPr>
          <w:t>499</w:t>
        </w:r>
      </w:hyperlink>
    </w:p>
    <w:p w14:paraId="2E2D51D3" w14:textId="77777777" w:rsidR="00A75CE1" w:rsidRPr="00D334C9" w:rsidRDefault="00A75CE1" w:rsidP="00D334C9">
      <w:pPr>
        <w:spacing w:line="360" w:lineRule="auto"/>
        <w:jc w:val="both"/>
        <w:rPr>
          <w:rtl/>
        </w:rPr>
      </w:pPr>
      <w:bookmarkStart w:id="4" w:name="LawTable_End"/>
      <w:bookmarkEnd w:id="4"/>
    </w:p>
    <w:p w14:paraId="1BA8CBCB" w14:textId="77777777" w:rsidR="00D6318A" w:rsidRPr="00D6318A" w:rsidRDefault="00D6318A" w:rsidP="00D6318A">
      <w:pPr>
        <w:spacing w:after="120" w:line="240" w:lineRule="exact"/>
        <w:ind w:left="283" w:hanging="283"/>
        <w:jc w:val="both"/>
        <w:rPr>
          <w:rFonts w:ascii="FrankRuehl" w:hAnsi="FrankRuehl" w:cs="FrankRuehl"/>
          <w:rtl/>
        </w:rPr>
      </w:pPr>
      <w:bookmarkStart w:id="5" w:name="ABSTRACT_START"/>
      <w:bookmarkEnd w:id="0"/>
      <w:bookmarkEnd w:id="5"/>
    </w:p>
    <w:p w14:paraId="359EF0CE" w14:textId="77777777" w:rsidR="00D6318A" w:rsidRPr="00D6318A" w:rsidRDefault="00D6318A" w:rsidP="00D6318A">
      <w:pPr>
        <w:spacing w:after="120" w:line="240" w:lineRule="exact"/>
        <w:ind w:left="283" w:hanging="283"/>
        <w:jc w:val="both"/>
        <w:rPr>
          <w:rFonts w:ascii="FrankRuehl" w:hAnsi="FrankRuehl" w:cs="FrankRuehl"/>
          <w:rtl/>
        </w:rPr>
      </w:pPr>
      <w:r w:rsidRPr="00D6318A">
        <w:rPr>
          <w:rFonts w:ascii="FrankRuehl" w:hAnsi="FrankRuehl" w:cs="FrankRuehl"/>
          <w:rtl/>
        </w:rPr>
        <w:t xml:space="preserve">חקיקה שאוזכרה: </w:t>
      </w:r>
    </w:p>
    <w:p w14:paraId="2D88E24F" w14:textId="77777777" w:rsidR="00D6318A" w:rsidRPr="00D6318A" w:rsidRDefault="00D6318A" w:rsidP="00D6318A">
      <w:pPr>
        <w:spacing w:after="120" w:line="240" w:lineRule="exact"/>
        <w:ind w:left="283" w:hanging="283"/>
        <w:jc w:val="both"/>
        <w:rPr>
          <w:rFonts w:ascii="FrankRuehl" w:hAnsi="FrankRuehl" w:cs="FrankRuehl"/>
          <w:rtl/>
        </w:rPr>
      </w:pPr>
      <w:hyperlink r:id="rId12" w:history="1">
        <w:r w:rsidRPr="00D6318A">
          <w:rPr>
            <w:rFonts w:ascii="FrankRuehl" w:hAnsi="FrankRuehl" w:cs="FrankRuehl"/>
            <w:color w:val="0000FF"/>
            <w:u w:val="single"/>
            <w:rtl/>
          </w:rPr>
          <w:t>חוק העונשין, תשל"ז-1977</w:t>
        </w:r>
      </w:hyperlink>
      <w:r w:rsidRPr="00D6318A">
        <w:rPr>
          <w:rFonts w:ascii="FrankRuehl" w:hAnsi="FrankRuehl" w:cs="FrankRuehl"/>
          <w:rtl/>
        </w:rPr>
        <w:t xml:space="preserve">: סע'  </w:t>
      </w:r>
      <w:hyperlink r:id="rId13" w:history="1">
        <w:r w:rsidRPr="00D6318A">
          <w:rPr>
            <w:rFonts w:ascii="FrankRuehl" w:hAnsi="FrankRuehl" w:cs="FrankRuehl"/>
            <w:color w:val="0000FF"/>
            <w:u w:val="single"/>
            <w:rtl/>
          </w:rPr>
          <w:t>25</w:t>
        </w:r>
      </w:hyperlink>
      <w:r w:rsidRPr="00D6318A">
        <w:rPr>
          <w:rFonts w:ascii="FrankRuehl" w:hAnsi="FrankRuehl" w:cs="FrankRuehl"/>
          <w:rtl/>
        </w:rPr>
        <w:t xml:space="preserve">, </w:t>
      </w:r>
      <w:hyperlink r:id="rId14" w:history="1">
        <w:r w:rsidRPr="00D6318A">
          <w:rPr>
            <w:rFonts w:ascii="FrankRuehl" w:hAnsi="FrankRuehl" w:cs="FrankRuehl"/>
            <w:color w:val="0000FF"/>
            <w:u w:val="single"/>
            <w:rtl/>
          </w:rPr>
          <w:t>28</w:t>
        </w:r>
      </w:hyperlink>
      <w:r w:rsidRPr="00D6318A">
        <w:rPr>
          <w:rFonts w:ascii="FrankRuehl" w:hAnsi="FrankRuehl" w:cs="FrankRuehl"/>
          <w:rtl/>
        </w:rPr>
        <w:t xml:space="preserve">, </w:t>
      </w:r>
      <w:hyperlink r:id="rId15" w:history="1">
        <w:r w:rsidRPr="00D6318A">
          <w:rPr>
            <w:rFonts w:ascii="FrankRuehl" w:hAnsi="FrankRuehl" w:cs="FrankRuehl"/>
            <w:color w:val="0000FF"/>
            <w:u w:val="single"/>
            <w:rtl/>
          </w:rPr>
          <w:t>34ד</w:t>
        </w:r>
      </w:hyperlink>
      <w:r w:rsidRPr="00D6318A">
        <w:rPr>
          <w:rFonts w:ascii="FrankRuehl" w:hAnsi="FrankRuehl" w:cs="FrankRuehl"/>
          <w:rtl/>
        </w:rPr>
        <w:t xml:space="preserve">, </w:t>
      </w:r>
      <w:hyperlink r:id="rId16" w:history="1">
        <w:r w:rsidRPr="00D6318A">
          <w:rPr>
            <w:rFonts w:ascii="FrankRuehl" w:hAnsi="FrankRuehl" w:cs="FrankRuehl"/>
            <w:color w:val="0000FF"/>
            <w:u w:val="single"/>
            <w:rtl/>
          </w:rPr>
          <w:t>144(ב2)</w:t>
        </w:r>
      </w:hyperlink>
      <w:r w:rsidRPr="00D6318A">
        <w:rPr>
          <w:rFonts w:ascii="FrankRuehl" w:hAnsi="FrankRuehl" w:cs="FrankRuehl"/>
          <w:rtl/>
        </w:rPr>
        <w:t xml:space="preserve">, </w:t>
      </w:r>
      <w:hyperlink r:id="rId17" w:history="1">
        <w:r w:rsidRPr="00D6318A">
          <w:rPr>
            <w:rFonts w:ascii="FrankRuehl" w:hAnsi="FrankRuehl" w:cs="FrankRuehl"/>
            <w:color w:val="0000FF"/>
            <w:u w:val="single"/>
            <w:rtl/>
          </w:rPr>
          <w:t>499</w:t>
        </w:r>
      </w:hyperlink>
    </w:p>
    <w:p w14:paraId="775EB182" w14:textId="77777777" w:rsidR="00D6318A" w:rsidRPr="00D6318A" w:rsidRDefault="00D6318A" w:rsidP="00D6318A">
      <w:pPr>
        <w:spacing w:after="120" w:line="240" w:lineRule="exact"/>
        <w:ind w:left="283" w:hanging="283"/>
        <w:jc w:val="both"/>
        <w:rPr>
          <w:rFonts w:ascii="FrankRuehl" w:hAnsi="FrankRuehl" w:cs="FrankRuehl"/>
          <w:rtl/>
        </w:rPr>
      </w:pPr>
    </w:p>
    <w:p w14:paraId="06CCCD01" w14:textId="77777777" w:rsidR="00D6318A" w:rsidRPr="00D6318A" w:rsidRDefault="00D6318A" w:rsidP="00D6318A">
      <w:pPr>
        <w:jc w:val="center"/>
        <w:rPr>
          <w:rFonts w:ascii="Arial" w:hAnsi="Arial"/>
          <w:sz w:val="28"/>
          <w:szCs w:val="28"/>
          <w:rtl/>
        </w:rPr>
      </w:pPr>
    </w:p>
    <w:p w14:paraId="79E14DBE" w14:textId="77777777" w:rsidR="00D6318A" w:rsidRPr="001F21E7" w:rsidRDefault="00D6318A" w:rsidP="00D6318A">
      <w:pPr>
        <w:jc w:val="center"/>
        <w:rPr>
          <w:rFonts w:ascii="Arial" w:hAnsi="Arial"/>
          <w:sz w:val="28"/>
          <w:szCs w:val="28"/>
          <w:rtl/>
        </w:rPr>
      </w:pPr>
    </w:p>
    <w:p w14:paraId="53705C92" w14:textId="77777777" w:rsidR="00D6318A" w:rsidRPr="001F21E7" w:rsidRDefault="00D6318A" w:rsidP="00D6318A">
      <w:pPr>
        <w:jc w:val="center"/>
        <w:rPr>
          <w:rFonts w:ascii="Arial" w:hAnsi="Arial"/>
          <w:b/>
          <w:bCs/>
          <w:sz w:val="28"/>
          <w:szCs w:val="28"/>
          <w:u w:val="single"/>
          <w:rtl/>
        </w:rPr>
      </w:pPr>
      <w:bookmarkStart w:id="6" w:name="PsakDin"/>
      <w:r w:rsidRPr="001F21E7">
        <w:rPr>
          <w:rFonts w:ascii="Arial" w:hAnsi="Arial"/>
          <w:b/>
          <w:bCs/>
          <w:sz w:val="28"/>
          <w:szCs w:val="28"/>
          <w:u w:val="single"/>
          <w:rtl/>
        </w:rPr>
        <w:t xml:space="preserve">גזר </w:t>
      </w:r>
      <w:bookmarkEnd w:id="6"/>
      <w:r w:rsidRPr="001F21E7">
        <w:rPr>
          <w:rFonts w:ascii="Arial" w:hAnsi="Arial"/>
          <w:b/>
          <w:bCs/>
          <w:sz w:val="28"/>
          <w:szCs w:val="28"/>
          <w:u w:val="single"/>
          <w:rtl/>
        </w:rPr>
        <w:t>דין</w:t>
      </w:r>
    </w:p>
    <w:p w14:paraId="189C3245" w14:textId="77777777" w:rsidR="00D6318A" w:rsidRDefault="00D6318A" w:rsidP="00A75CE1">
      <w:pPr>
        <w:spacing w:line="360" w:lineRule="auto"/>
        <w:jc w:val="both"/>
        <w:rPr>
          <w:rFonts w:hint="cs"/>
          <w:rtl/>
        </w:rPr>
      </w:pPr>
    </w:p>
    <w:p w14:paraId="3B4143C1" w14:textId="77777777" w:rsidR="00D6318A" w:rsidRDefault="00D6318A" w:rsidP="00A75CE1">
      <w:pPr>
        <w:spacing w:line="360" w:lineRule="auto"/>
        <w:jc w:val="both"/>
        <w:rPr>
          <w:rFonts w:hint="cs"/>
          <w:rtl/>
        </w:rPr>
      </w:pPr>
    </w:p>
    <w:p w14:paraId="51D10FEA" w14:textId="77777777" w:rsidR="00D6318A" w:rsidRDefault="00D6318A" w:rsidP="00A75CE1">
      <w:pPr>
        <w:spacing w:line="360" w:lineRule="auto"/>
        <w:jc w:val="both"/>
        <w:rPr>
          <w:rFonts w:hint="cs"/>
          <w:rtl/>
        </w:rPr>
      </w:pPr>
    </w:p>
    <w:p w14:paraId="5C5C64D0" w14:textId="77777777" w:rsidR="00A75CE1" w:rsidRPr="00FD5DC8" w:rsidRDefault="00A75CE1" w:rsidP="00A75CE1">
      <w:pPr>
        <w:spacing w:line="360" w:lineRule="auto"/>
        <w:jc w:val="both"/>
        <w:rPr>
          <w:rtl/>
        </w:rPr>
      </w:pPr>
      <w:r w:rsidRPr="00FD5DC8">
        <w:rPr>
          <w:rtl/>
        </w:rPr>
        <w:t xml:space="preserve">על-פי הכרעת הדין מיום 14.3.2019, הנאשם הורשע בעבירה של ניסיון לעסקה בנשק, לפי </w:t>
      </w:r>
      <w:hyperlink r:id="rId18" w:history="1">
        <w:r w:rsidR="00D6318A" w:rsidRPr="00D6318A">
          <w:rPr>
            <w:color w:val="0000FF"/>
            <w:u w:val="single"/>
            <w:rtl/>
          </w:rPr>
          <w:t>סעיף 144(ב2)</w:t>
        </w:r>
      </w:hyperlink>
      <w:r w:rsidRPr="00FD5DC8">
        <w:rPr>
          <w:rtl/>
        </w:rPr>
        <w:t xml:space="preserve"> בצירוף </w:t>
      </w:r>
      <w:hyperlink r:id="rId19" w:history="1">
        <w:r w:rsidR="00D6318A" w:rsidRPr="00D6318A">
          <w:rPr>
            <w:color w:val="0000FF"/>
            <w:u w:val="single"/>
            <w:rtl/>
          </w:rPr>
          <w:t>סעיף 25</w:t>
        </w:r>
      </w:hyperlink>
      <w:r w:rsidRPr="00FD5DC8">
        <w:rPr>
          <w:rtl/>
        </w:rPr>
        <w:t xml:space="preserve"> ב</w:t>
      </w:r>
      <w:hyperlink r:id="rId20" w:history="1">
        <w:r w:rsidR="001F21E7" w:rsidRPr="001F21E7">
          <w:rPr>
            <w:color w:val="0000FF"/>
            <w:u w:val="single"/>
            <w:rtl/>
          </w:rPr>
          <w:t>חוק העונשין</w:t>
        </w:r>
      </w:hyperlink>
      <w:r w:rsidRPr="00FD5DC8">
        <w:rPr>
          <w:rtl/>
        </w:rPr>
        <w:t xml:space="preserve">, התשל"ז-1977 (להלן – </w:t>
      </w:r>
      <w:r w:rsidRPr="00FD5DC8">
        <w:rPr>
          <w:b/>
          <w:bCs/>
          <w:rtl/>
        </w:rPr>
        <w:t>חוק העונשין</w:t>
      </w:r>
      <w:r w:rsidRPr="00FD5DC8">
        <w:rPr>
          <w:rtl/>
        </w:rPr>
        <w:t xml:space="preserve"> או </w:t>
      </w:r>
      <w:r w:rsidRPr="00FD5DC8">
        <w:rPr>
          <w:b/>
          <w:bCs/>
          <w:rtl/>
        </w:rPr>
        <w:t>החוק</w:t>
      </w:r>
      <w:r w:rsidRPr="00FD5DC8">
        <w:rPr>
          <w:rtl/>
        </w:rPr>
        <w:t>).</w:t>
      </w:r>
    </w:p>
    <w:p w14:paraId="5F94737A" w14:textId="77777777" w:rsidR="00A75CE1" w:rsidRPr="00FD5DC8" w:rsidRDefault="00A75CE1" w:rsidP="00A75CE1">
      <w:pPr>
        <w:spacing w:line="360" w:lineRule="auto"/>
        <w:jc w:val="both"/>
        <w:rPr>
          <w:rtl/>
        </w:rPr>
      </w:pPr>
    </w:p>
    <w:p w14:paraId="5D1EE915" w14:textId="77777777" w:rsidR="00A75CE1" w:rsidRPr="00FD5DC8" w:rsidRDefault="00A75CE1" w:rsidP="00A75CE1">
      <w:pPr>
        <w:spacing w:line="360" w:lineRule="auto"/>
        <w:jc w:val="both"/>
        <w:rPr>
          <w:rtl/>
        </w:rPr>
      </w:pPr>
      <w:r w:rsidRPr="00FD5DC8">
        <w:rPr>
          <w:rtl/>
        </w:rPr>
        <w:t>הטיעונים לעונש נשמעו בדיון מיום 30.4.2019.</w:t>
      </w:r>
    </w:p>
    <w:p w14:paraId="05E0BBB3" w14:textId="77777777" w:rsidR="00A75CE1" w:rsidRPr="00FD5DC8" w:rsidRDefault="00A75CE1" w:rsidP="00A75CE1">
      <w:pPr>
        <w:spacing w:line="360" w:lineRule="auto"/>
        <w:jc w:val="both"/>
        <w:rPr>
          <w:rtl/>
        </w:rPr>
      </w:pPr>
      <w:bookmarkStart w:id="7" w:name="ABSTRACT_END"/>
      <w:bookmarkEnd w:id="7"/>
    </w:p>
    <w:p w14:paraId="198D792D" w14:textId="77777777" w:rsidR="00A75CE1" w:rsidRPr="00FD5DC8" w:rsidRDefault="00A75CE1" w:rsidP="00A75CE1">
      <w:pPr>
        <w:spacing w:line="360" w:lineRule="auto"/>
        <w:jc w:val="both"/>
        <w:rPr>
          <w:b/>
          <w:bCs/>
          <w:u w:val="single"/>
          <w:rtl/>
        </w:rPr>
      </w:pPr>
      <w:r w:rsidRPr="00FD5DC8">
        <w:rPr>
          <w:b/>
          <w:bCs/>
          <w:u w:val="single"/>
          <w:rtl/>
        </w:rPr>
        <w:t>הכרעת הדין</w:t>
      </w:r>
    </w:p>
    <w:p w14:paraId="636E8132" w14:textId="77777777" w:rsidR="00A75CE1" w:rsidRPr="00FD5DC8" w:rsidRDefault="00A75CE1" w:rsidP="00A75CE1">
      <w:pPr>
        <w:spacing w:line="360" w:lineRule="auto"/>
        <w:jc w:val="both"/>
        <w:rPr>
          <w:rtl/>
        </w:rPr>
      </w:pPr>
    </w:p>
    <w:p w14:paraId="215F50CE" w14:textId="77777777" w:rsidR="00A75CE1" w:rsidRPr="00FD5DC8" w:rsidRDefault="00A75CE1" w:rsidP="00A75CE1">
      <w:pPr>
        <w:spacing w:line="360" w:lineRule="auto"/>
        <w:jc w:val="both"/>
        <w:rPr>
          <w:rtl/>
        </w:rPr>
      </w:pPr>
      <w:r w:rsidRPr="00FD5DC8">
        <w:rPr>
          <w:rtl/>
        </w:rPr>
        <w:t>2.</w:t>
      </w:r>
      <w:r w:rsidRPr="00FD5DC8">
        <w:rPr>
          <w:rtl/>
        </w:rPr>
        <w:tab/>
        <w:t>בדיון שהתקיים ביום 26.12.2018 הודה הנאשם בעובדות כתב האישום, אך טען כי אין להרשיעו לפיהן בעבירה של ניסיון לעסקה בנשק, שבה הואשם, אלא בעבירה של קשירת קשר לפשע (</w:t>
      </w:r>
      <w:hyperlink r:id="rId21" w:history="1">
        <w:r w:rsidR="00D6318A" w:rsidRPr="00D6318A">
          <w:rPr>
            <w:color w:val="0000FF"/>
            <w:u w:val="single"/>
            <w:rtl/>
          </w:rPr>
          <w:t>סעיף 499</w:t>
        </w:r>
      </w:hyperlink>
      <w:r w:rsidRPr="00FD5DC8">
        <w:rPr>
          <w:rtl/>
        </w:rPr>
        <w:t xml:space="preserve"> ב</w:t>
      </w:r>
      <w:hyperlink r:id="rId22" w:history="1">
        <w:r w:rsidR="001F21E7" w:rsidRPr="001F21E7">
          <w:rPr>
            <w:color w:val="0000FF"/>
            <w:u w:val="single"/>
            <w:rtl/>
          </w:rPr>
          <w:t>חוק העונשין</w:t>
        </w:r>
      </w:hyperlink>
      <w:r w:rsidRPr="00FD5DC8">
        <w:rPr>
          <w:rtl/>
        </w:rPr>
        <w:t xml:space="preserve">). לנוכח תשובת הנאשם לאישום, הסכימו הצדדים על כך שלא תשמענה עדויות, אך יוגשו מספר ראיות וכן הוסכם על סדר סיכומי טענות הצדדים ואופן הגשתם. </w:t>
      </w:r>
    </w:p>
    <w:p w14:paraId="60ABA90E" w14:textId="77777777" w:rsidR="00A75CE1" w:rsidRPr="00FD5DC8" w:rsidRDefault="00A75CE1" w:rsidP="00A75CE1">
      <w:pPr>
        <w:spacing w:line="360" w:lineRule="auto"/>
        <w:jc w:val="both"/>
        <w:rPr>
          <w:rtl/>
        </w:rPr>
      </w:pPr>
    </w:p>
    <w:p w14:paraId="34815D19" w14:textId="77777777" w:rsidR="00A75CE1" w:rsidRPr="00FD5DC8" w:rsidRDefault="00A75CE1" w:rsidP="00A75CE1">
      <w:pPr>
        <w:spacing w:line="360" w:lineRule="auto"/>
        <w:jc w:val="both"/>
        <w:rPr>
          <w:rtl/>
        </w:rPr>
      </w:pPr>
      <w:r w:rsidRPr="00FD5DC8">
        <w:rPr>
          <w:rtl/>
        </w:rPr>
        <w:t xml:space="preserve">בהתאם להסכמה זו הוגשו הראיות הבאות: הודעת הנאשם מיום 7.10.2018; הודעתו של אימן אבו מיאלה (להלן – </w:t>
      </w:r>
      <w:r w:rsidRPr="00FD5DC8">
        <w:rPr>
          <w:b/>
          <w:bCs/>
          <w:rtl/>
        </w:rPr>
        <w:t>אימן</w:t>
      </w:r>
      <w:r w:rsidRPr="00FD5DC8">
        <w:rPr>
          <w:rtl/>
        </w:rPr>
        <w:t xml:space="preserve">) מיום 27.9.2018; שתי תמונות של רובה מסוג </w:t>
      </w:r>
      <w:r w:rsidRPr="00FD5DC8">
        <w:t>M-16</w:t>
      </w:r>
      <w:r w:rsidRPr="00FD5DC8">
        <w:rPr>
          <w:rtl/>
        </w:rPr>
        <w:t xml:space="preserve"> שנמצאו במכשיר הטלפון של הנאשם ואשר נשלחו אליו מסאמי טאהה (להלן – </w:t>
      </w:r>
      <w:r w:rsidRPr="00FD5DC8">
        <w:rPr>
          <w:b/>
          <w:bCs/>
          <w:rtl/>
        </w:rPr>
        <w:t>סאמי</w:t>
      </w:r>
      <w:r w:rsidRPr="00FD5DC8">
        <w:rPr>
          <w:rtl/>
        </w:rPr>
        <w:t>).</w:t>
      </w:r>
    </w:p>
    <w:p w14:paraId="61DD47D8" w14:textId="77777777" w:rsidR="00A75CE1" w:rsidRPr="00FD5DC8" w:rsidRDefault="00A75CE1" w:rsidP="00A75CE1">
      <w:pPr>
        <w:spacing w:line="360" w:lineRule="auto"/>
        <w:jc w:val="both"/>
        <w:rPr>
          <w:rtl/>
        </w:rPr>
      </w:pPr>
    </w:p>
    <w:p w14:paraId="011A196A" w14:textId="77777777" w:rsidR="00A75CE1" w:rsidRPr="00FD5DC8" w:rsidRDefault="00A75CE1" w:rsidP="00A75CE1">
      <w:pPr>
        <w:spacing w:line="360" w:lineRule="auto"/>
        <w:jc w:val="both"/>
        <w:rPr>
          <w:rtl/>
        </w:rPr>
      </w:pPr>
      <w:r w:rsidRPr="00FD5DC8">
        <w:rPr>
          <w:rtl/>
        </w:rPr>
        <w:t xml:space="preserve">לאחר הגשת סיכומי הצדדים במתווה שעליו הוסכם, ניתנה ביום 14.3.2019 הכרעת הדין, שעל-פיה התקבלה טענת המאשימה ובהתאם לכך וכאמור, הנאשם הורשע בעבירה של ניסיון לעסקה בנשק. </w:t>
      </w:r>
    </w:p>
    <w:p w14:paraId="614DB938" w14:textId="77777777" w:rsidR="00A75CE1" w:rsidRPr="00FD5DC8" w:rsidRDefault="00A75CE1" w:rsidP="00A75CE1">
      <w:pPr>
        <w:spacing w:line="360" w:lineRule="auto"/>
        <w:jc w:val="both"/>
        <w:rPr>
          <w:rtl/>
        </w:rPr>
      </w:pPr>
    </w:p>
    <w:p w14:paraId="7DC77EA5" w14:textId="77777777" w:rsidR="00A75CE1" w:rsidRPr="00FD5DC8" w:rsidRDefault="00A75CE1" w:rsidP="00A75CE1">
      <w:pPr>
        <w:spacing w:line="360" w:lineRule="auto"/>
        <w:jc w:val="both"/>
        <w:rPr>
          <w:b/>
          <w:bCs/>
          <w:u w:val="single"/>
          <w:rtl/>
        </w:rPr>
      </w:pPr>
      <w:r w:rsidRPr="00FD5DC8">
        <w:rPr>
          <w:b/>
          <w:bCs/>
          <w:u w:val="single"/>
          <w:rtl/>
        </w:rPr>
        <w:t>עובדות כתב האישום שבהן הודה הנאשם</w:t>
      </w:r>
    </w:p>
    <w:p w14:paraId="69527B6C" w14:textId="77777777" w:rsidR="00A75CE1" w:rsidRPr="00FD5DC8" w:rsidRDefault="00A75CE1" w:rsidP="00A75CE1">
      <w:pPr>
        <w:spacing w:line="360" w:lineRule="auto"/>
        <w:jc w:val="both"/>
        <w:rPr>
          <w:rtl/>
        </w:rPr>
      </w:pPr>
    </w:p>
    <w:p w14:paraId="1C55C543" w14:textId="77777777" w:rsidR="00A75CE1" w:rsidRPr="00FD5DC8" w:rsidRDefault="00A75CE1" w:rsidP="00A75CE1">
      <w:pPr>
        <w:spacing w:line="360" w:lineRule="auto"/>
        <w:jc w:val="both"/>
        <w:rPr>
          <w:rtl/>
        </w:rPr>
      </w:pPr>
      <w:r w:rsidRPr="00FD5DC8">
        <w:rPr>
          <w:rtl/>
        </w:rPr>
        <w:t>3.</w:t>
      </w:r>
      <w:r w:rsidRPr="00FD5DC8">
        <w:rPr>
          <w:rtl/>
        </w:rPr>
        <w:tab/>
        <w:t xml:space="preserve">במועד כלשהו קודם ליום 8.9.2018, שוחח הנאשם עם סאמי, תושב השטחים, וזאת כדי לרכוש ממנו נשק. במהלך השיחה אמר סאמי לנאשם כי ברשותו רובה מסוג </w:t>
      </w:r>
      <w:r w:rsidRPr="00FD5DC8">
        <w:t>M-16</w:t>
      </w:r>
      <w:r w:rsidRPr="00FD5DC8">
        <w:rPr>
          <w:rtl/>
        </w:rPr>
        <w:t xml:space="preserve"> (להלן גם – </w:t>
      </w:r>
      <w:r w:rsidRPr="00FD5DC8">
        <w:rPr>
          <w:b/>
          <w:bCs/>
          <w:rtl/>
        </w:rPr>
        <w:t>הנשק</w:t>
      </w:r>
      <w:r w:rsidRPr="00FD5DC8">
        <w:rPr>
          <w:rtl/>
        </w:rPr>
        <w:t xml:space="preserve">). לשאלת הנאשם באשר למחירו, אמר סאמי שהמחיר הוא 8,000-7,000 ₪ (להלן – </w:t>
      </w:r>
      <w:r w:rsidRPr="00FD5DC8">
        <w:rPr>
          <w:b/>
          <w:bCs/>
          <w:rtl/>
        </w:rPr>
        <w:t>העסקה</w:t>
      </w:r>
      <w:r w:rsidRPr="00FD5DC8">
        <w:rPr>
          <w:rtl/>
        </w:rPr>
        <w:t>). הנאשם הסכים לרכוש את הנשק תמורת הסכום האמור והשניים שוחחו על פרטי העסקה והאופן שתיעשה.</w:t>
      </w:r>
    </w:p>
    <w:p w14:paraId="217D6BD1" w14:textId="77777777" w:rsidR="00A75CE1" w:rsidRPr="00FD5DC8" w:rsidRDefault="00A75CE1" w:rsidP="00A75CE1">
      <w:pPr>
        <w:spacing w:line="360" w:lineRule="auto"/>
        <w:jc w:val="both"/>
        <w:rPr>
          <w:rtl/>
        </w:rPr>
      </w:pPr>
    </w:p>
    <w:p w14:paraId="639DE78C" w14:textId="77777777" w:rsidR="00A75CE1" w:rsidRPr="00FD5DC8" w:rsidRDefault="00A75CE1" w:rsidP="00A75CE1">
      <w:pPr>
        <w:spacing w:line="360" w:lineRule="auto"/>
        <w:jc w:val="both"/>
        <w:rPr>
          <w:rtl/>
        </w:rPr>
      </w:pPr>
      <w:r w:rsidRPr="00FD5DC8">
        <w:rPr>
          <w:rtl/>
        </w:rPr>
        <w:t xml:space="preserve">בהמשך לכך וכדי להוציא לפועל את העסקה, ביקש סאמי שהנאשם יסיע אותו לשכם כדי להביא את הנשק. הנאשם אמר לסאמי שישלח אדם אחר כדי להסיעו לשם כך. הנאשם פנה אל אימן וביקש ממנו להסיע את סאמי לשכם כדי שישיג עבורו את הנשק. אימן הסכים לבקשת הנאשם ולכן הנאשם נתן לסאמי את מספר הטלפון של אימן כדי לתאם את הנסיעה. </w:t>
      </w:r>
    </w:p>
    <w:p w14:paraId="3BC8CFA9" w14:textId="77777777" w:rsidR="00A75CE1" w:rsidRPr="00FD5DC8" w:rsidRDefault="00A75CE1" w:rsidP="00A75CE1">
      <w:pPr>
        <w:spacing w:line="360" w:lineRule="auto"/>
        <w:jc w:val="both"/>
        <w:rPr>
          <w:rtl/>
        </w:rPr>
      </w:pPr>
    </w:p>
    <w:p w14:paraId="21D34C28" w14:textId="77777777" w:rsidR="00A75CE1" w:rsidRPr="00FD5DC8" w:rsidRDefault="00A75CE1" w:rsidP="00A75CE1">
      <w:pPr>
        <w:spacing w:line="360" w:lineRule="auto"/>
        <w:jc w:val="both"/>
        <w:rPr>
          <w:rtl/>
        </w:rPr>
      </w:pPr>
      <w:r w:rsidRPr="00FD5DC8">
        <w:rPr>
          <w:rtl/>
        </w:rPr>
        <w:t>ביום 8.9.2018 ובהתאם לסיכום המתואר בין הנאשם, אימן וסאמי, נסע אימן ברכב מירושלים לכיוון ג'בעה בדרך לשכם יחד עם אדם ששמו עמרו כשאן. סמוך לג'בעה אסף אימן את סאמי ואדם נוסף ששמו יוסף, כדי להסיעו לשכם. כל זאת כדי שסאמי ייקח את הנשק ויעבירו אל הנאשם תמורת הסכום שסוכם ביניהם, כמתואר לעיל. בדרכם לשכם, עצרו גורמי הרשות הפלסטינית את נוסעי הרכב ובהם אימן וסאמי.</w:t>
      </w:r>
    </w:p>
    <w:p w14:paraId="421D5221" w14:textId="77777777" w:rsidR="00A75CE1" w:rsidRPr="00FD5DC8" w:rsidRDefault="00A75CE1" w:rsidP="00A75CE1">
      <w:pPr>
        <w:spacing w:line="360" w:lineRule="auto"/>
        <w:jc w:val="both"/>
        <w:rPr>
          <w:rtl/>
        </w:rPr>
      </w:pPr>
    </w:p>
    <w:p w14:paraId="79E48D48" w14:textId="77777777" w:rsidR="00A75CE1" w:rsidRPr="00FD5DC8" w:rsidRDefault="00A75CE1" w:rsidP="00A75CE1">
      <w:pPr>
        <w:spacing w:line="360" w:lineRule="auto"/>
        <w:jc w:val="both"/>
        <w:rPr>
          <w:b/>
          <w:bCs/>
          <w:u w:val="single"/>
          <w:rtl/>
        </w:rPr>
      </w:pPr>
      <w:r w:rsidRPr="00FD5DC8">
        <w:rPr>
          <w:b/>
          <w:bCs/>
          <w:u w:val="single"/>
          <w:rtl/>
        </w:rPr>
        <w:t>הראיות לעונש – הרשעות קודמות</w:t>
      </w:r>
    </w:p>
    <w:p w14:paraId="500D066E" w14:textId="77777777" w:rsidR="00A75CE1" w:rsidRPr="00FD5DC8" w:rsidRDefault="00A75CE1" w:rsidP="00A75CE1">
      <w:pPr>
        <w:spacing w:line="360" w:lineRule="auto"/>
        <w:jc w:val="both"/>
        <w:rPr>
          <w:rtl/>
        </w:rPr>
      </w:pPr>
    </w:p>
    <w:p w14:paraId="1EBC8CCB" w14:textId="77777777" w:rsidR="00A75CE1" w:rsidRPr="00FD5DC8" w:rsidRDefault="00A75CE1" w:rsidP="00A75CE1">
      <w:pPr>
        <w:spacing w:line="360" w:lineRule="auto"/>
        <w:jc w:val="both"/>
        <w:rPr>
          <w:rtl/>
        </w:rPr>
      </w:pPr>
      <w:r w:rsidRPr="00FD5DC8">
        <w:rPr>
          <w:rtl/>
        </w:rPr>
        <w:t>4.</w:t>
      </w:r>
      <w:r w:rsidRPr="00FD5DC8">
        <w:rPr>
          <w:rtl/>
        </w:rPr>
        <w:tab/>
        <w:t xml:space="preserve">הנאשם יליד שנת 1985 ולחובתו שתי הרשעות קודמות: ההרשעה האחרונה משנת 2010, בעבירה של הפרעה לשוטר במילוי תפקידו. הוטל עונש מאסר בפועל למשך חודשיים, עונשי מאסר מותנה וצו מבחן למשך שנה; ההרשעה הראשונה משנת 2001 (עת היה כבן 16), בעבירה של הצתת מבנה. על הנאשם הוטל מאסר בפועל למשך 12 חודש ומאסר מותנה. </w:t>
      </w:r>
    </w:p>
    <w:p w14:paraId="427211A0" w14:textId="77777777" w:rsidR="00A75CE1" w:rsidRPr="00FD5DC8" w:rsidRDefault="00A75CE1" w:rsidP="00A75CE1">
      <w:pPr>
        <w:spacing w:line="360" w:lineRule="auto"/>
        <w:jc w:val="both"/>
        <w:rPr>
          <w:rtl/>
        </w:rPr>
      </w:pPr>
    </w:p>
    <w:p w14:paraId="2D1B04B6" w14:textId="77777777" w:rsidR="00A75CE1" w:rsidRPr="00FD5DC8" w:rsidRDefault="00A75CE1" w:rsidP="00A75CE1">
      <w:pPr>
        <w:spacing w:line="360" w:lineRule="auto"/>
        <w:jc w:val="both"/>
        <w:rPr>
          <w:rtl/>
        </w:rPr>
      </w:pPr>
      <w:r w:rsidRPr="00FD5DC8">
        <w:rPr>
          <w:b/>
          <w:bCs/>
          <w:u w:val="single"/>
          <w:rtl/>
        </w:rPr>
        <w:t>טענות הצדדים בעניין העונש</w:t>
      </w:r>
      <w:r>
        <w:rPr>
          <w:rFonts w:hint="cs"/>
          <w:b/>
          <w:bCs/>
          <w:u w:val="single"/>
          <w:rtl/>
        </w:rPr>
        <w:t xml:space="preserve"> ו</w:t>
      </w:r>
      <w:r w:rsidRPr="00FD5DC8">
        <w:rPr>
          <w:b/>
          <w:bCs/>
          <w:u w:val="single"/>
          <w:rtl/>
        </w:rPr>
        <w:t>דברי הנאשם</w:t>
      </w:r>
    </w:p>
    <w:p w14:paraId="00908EF1" w14:textId="77777777" w:rsidR="00A75CE1" w:rsidRPr="00FD5DC8" w:rsidRDefault="00A75CE1" w:rsidP="00A75CE1">
      <w:pPr>
        <w:spacing w:line="360" w:lineRule="auto"/>
        <w:jc w:val="both"/>
        <w:rPr>
          <w:rtl/>
        </w:rPr>
      </w:pPr>
    </w:p>
    <w:p w14:paraId="44C85857" w14:textId="77777777" w:rsidR="00A75CE1" w:rsidRPr="00FD5DC8" w:rsidRDefault="00A75CE1" w:rsidP="00A75CE1">
      <w:pPr>
        <w:spacing w:line="360" w:lineRule="auto"/>
        <w:ind w:firstLine="720"/>
        <w:jc w:val="both"/>
        <w:rPr>
          <w:rtl/>
        </w:rPr>
      </w:pPr>
      <w:r w:rsidRPr="00FD5DC8">
        <w:rPr>
          <w:b/>
          <w:bCs/>
          <w:u w:val="single"/>
          <w:rtl/>
        </w:rPr>
        <w:t>עיקרי טענות המאשימה</w:t>
      </w:r>
    </w:p>
    <w:p w14:paraId="54F1E290" w14:textId="77777777" w:rsidR="00A75CE1" w:rsidRPr="00FD5DC8" w:rsidRDefault="00A75CE1" w:rsidP="00A75CE1">
      <w:pPr>
        <w:spacing w:line="360" w:lineRule="auto"/>
        <w:jc w:val="both"/>
        <w:rPr>
          <w:rtl/>
        </w:rPr>
      </w:pPr>
    </w:p>
    <w:p w14:paraId="5E8D9543" w14:textId="77777777" w:rsidR="00A75CE1" w:rsidRPr="00FD5DC8" w:rsidRDefault="00A75CE1" w:rsidP="00A75CE1">
      <w:pPr>
        <w:spacing w:line="360" w:lineRule="auto"/>
        <w:jc w:val="both"/>
        <w:rPr>
          <w:rtl/>
        </w:rPr>
      </w:pPr>
      <w:r w:rsidRPr="00FD5DC8">
        <w:rPr>
          <w:rtl/>
        </w:rPr>
        <w:lastRenderedPageBreak/>
        <w:t>5.</w:t>
      </w:r>
      <w:r w:rsidRPr="00FD5DC8">
        <w:rPr>
          <w:rtl/>
        </w:rPr>
        <w:tab/>
        <w:t xml:space="preserve">באת-כוח המאשימה עמדה על כך שהערכים המוגנים שנפגעו מהעבירה של עסקה בנשק הם ביטחון הציבור, שלמות הגוף וההגנה על שלטון החוק. כן הוסיפה, שעבירות נשק חמורות ומטעם זה העונש הקבוע בצדן הוא שנות מאסר ממושכות. כן עמדה על הסיכונים הרבים הנשקפים לציבור מעבירות נשק ועל קביעת בית המשפט העליון בדבר הצורך להחמיר בענישתם של עוברי עבירות אלו, וזאת לנוכח זמינותו של נשק חם והעובדה שבכוחו להביא להסלמה באלימות עבריינית פלילית ואידיאולוגית. בעניין זה הפנתה אל פסקי הדין בעניין </w:t>
      </w:r>
      <w:hyperlink r:id="rId23" w:history="1">
        <w:r w:rsidR="001F21E7" w:rsidRPr="001F21E7">
          <w:rPr>
            <w:color w:val="0000FF"/>
            <w:u w:val="single"/>
            <w:rtl/>
          </w:rPr>
          <w:t>ע"פ 2251/11</w:t>
        </w:r>
      </w:hyperlink>
      <w:r w:rsidRPr="00FD5DC8">
        <w:rPr>
          <w:rtl/>
        </w:rPr>
        <w:t xml:space="preserve"> </w:t>
      </w:r>
      <w:r w:rsidRPr="00FD5DC8">
        <w:rPr>
          <w:u w:val="single"/>
          <w:rtl/>
        </w:rPr>
        <w:t>נפאע נ' מדינת ישראל</w:t>
      </w:r>
      <w:r w:rsidRPr="00FD5DC8">
        <w:rPr>
          <w:rtl/>
        </w:rPr>
        <w:t xml:space="preserve"> (4.12.2011) ובעניין ע"פ 13223/13 </w:t>
      </w:r>
      <w:r w:rsidRPr="00FD5DC8">
        <w:rPr>
          <w:u w:val="single"/>
          <w:rtl/>
        </w:rPr>
        <w:t>חסן נ' מדינת ישראל</w:t>
      </w:r>
      <w:r w:rsidRPr="00FD5DC8">
        <w:rPr>
          <w:rtl/>
        </w:rPr>
        <w:t xml:space="preserve"> (5.6.2013). לפיכך, בהתאם למדיניות הפסיקה ולהנחיית פרקליט המדינה (מאוגוסט 2016), ביקשה המדינה להוסיף ולהחמיר בענישה של עוברי עבירות בנשק.</w:t>
      </w:r>
    </w:p>
    <w:p w14:paraId="78A41B34" w14:textId="77777777" w:rsidR="00A75CE1" w:rsidRPr="00FD5DC8" w:rsidRDefault="00A75CE1" w:rsidP="00A75CE1">
      <w:pPr>
        <w:spacing w:line="360" w:lineRule="auto"/>
        <w:jc w:val="both"/>
        <w:rPr>
          <w:rtl/>
        </w:rPr>
      </w:pPr>
    </w:p>
    <w:p w14:paraId="4AB4A15C" w14:textId="77777777" w:rsidR="00A75CE1" w:rsidRPr="00FD5DC8" w:rsidRDefault="00A75CE1" w:rsidP="00A75CE1">
      <w:pPr>
        <w:spacing w:line="360" w:lineRule="auto"/>
        <w:jc w:val="both"/>
        <w:rPr>
          <w:rtl/>
        </w:rPr>
      </w:pPr>
      <w:r w:rsidRPr="00FD5DC8">
        <w:rPr>
          <w:rtl/>
        </w:rPr>
        <w:t xml:space="preserve">בעניין הנסיבות הקשורות בעבירה, טענה באת-כוח המאשימה, כי יש לשקול את השיקולים הבאים: התכנון שקדם לעבירה; פניית הנאשם אל גורם המוכר נשק; המשא ומתן שניהל עם המוכר בקשר לעסקה לרכישת רובה סער מסוג </w:t>
      </w:r>
      <w:r w:rsidRPr="00FD5DC8">
        <w:t>M-16</w:t>
      </w:r>
      <w:r w:rsidRPr="00FD5DC8">
        <w:rPr>
          <w:rtl/>
        </w:rPr>
        <w:t xml:space="preserve">, לרבות ההסכמה על המחיר; העובדה שהנאשם שלח אדם אחר כדי שיסיע את סאמי שיביא לו את הנשק. </w:t>
      </w:r>
    </w:p>
    <w:p w14:paraId="0E9F2FD9" w14:textId="77777777" w:rsidR="00A75CE1" w:rsidRPr="00FD5DC8" w:rsidRDefault="00A75CE1" w:rsidP="00A75CE1">
      <w:pPr>
        <w:spacing w:line="360" w:lineRule="auto"/>
        <w:jc w:val="both"/>
        <w:rPr>
          <w:rtl/>
        </w:rPr>
      </w:pPr>
    </w:p>
    <w:p w14:paraId="0BFB611E" w14:textId="77777777" w:rsidR="00A75CE1" w:rsidRPr="00FD5DC8" w:rsidRDefault="00A75CE1" w:rsidP="00A75CE1">
      <w:pPr>
        <w:spacing w:line="360" w:lineRule="auto"/>
        <w:jc w:val="both"/>
        <w:rPr>
          <w:rtl/>
        </w:rPr>
      </w:pPr>
      <w:r w:rsidRPr="00FD5DC8">
        <w:rPr>
          <w:rtl/>
        </w:rPr>
        <w:t xml:space="preserve">באשר לנזק הצפוי מהעבירה הוסיפה, כי כפי שנקבע פעמים רבות, לנשק יש פוטנציאל נזק רב, בעיקר בשל כך שלא ניתן לדעת לאן יתגלגל ומה ייעשה בו. לטענתה, הנאשם היה מודע למעשיו </w:t>
      </w:r>
      <w:r>
        <w:rPr>
          <w:rFonts w:hint="cs"/>
          <w:rtl/>
        </w:rPr>
        <w:t>ואף</w:t>
      </w:r>
      <w:r w:rsidRPr="00FD5DC8">
        <w:rPr>
          <w:rtl/>
        </w:rPr>
        <w:t xml:space="preserve"> יכול היה להימנע מהמעשה, אך הוא זה שיזם אותו. אך לצד זה, יש לשקול את העובדה שהעבירה לא הושלמה, כך שבפועל לא הועבר נשק, ולכן יש לקבוע שמידת הפגיעה בערכים המוגנים היא ברמה בינונית. עם זאת הוסיפה, כי אי השלמת העסקה לא נבעה מחרט</w:t>
      </w:r>
      <w:r>
        <w:rPr>
          <w:rFonts w:hint="cs"/>
          <w:rtl/>
        </w:rPr>
        <w:t>ת</w:t>
      </w:r>
      <w:r w:rsidRPr="00FD5DC8">
        <w:rPr>
          <w:rtl/>
        </w:rPr>
        <w:t xml:space="preserve"> הנאשם אלא מפעילות משטרתית.</w:t>
      </w:r>
    </w:p>
    <w:p w14:paraId="45C961BD" w14:textId="77777777" w:rsidR="00A75CE1" w:rsidRPr="00FD5DC8" w:rsidRDefault="00A75CE1" w:rsidP="00A75CE1">
      <w:pPr>
        <w:spacing w:line="360" w:lineRule="auto"/>
        <w:jc w:val="both"/>
        <w:rPr>
          <w:rtl/>
        </w:rPr>
      </w:pPr>
    </w:p>
    <w:p w14:paraId="59B75F15" w14:textId="77777777" w:rsidR="00A75CE1" w:rsidRPr="00FD5DC8" w:rsidRDefault="00A75CE1" w:rsidP="00A75CE1">
      <w:pPr>
        <w:spacing w:line="360" w:lineRule="auto"/>
        <w:jc w:val="both"/>
        <w:rPr>
          <w:rtl/>
        </w:rPr>
      </w:pPr>
      <w:r w:rsidRPr="00FD5DC8">
        <w:rPr>
          <w:rtl/>
        </w:rPr>
        <w:t>6.</w:t>
      </w:r>
      <w:r w:rsidRPr="00FD5DC8">
        <w:rPr>
          <w:rtl/>
        </w:rPr>
        <w:tab/>
        <w:t>בעניין מדיניות הענישה הנהוגה, הפנתה באת-כוח המאשימה אל פסקי הדין הבאים:</w:t>
      </w:r>
    </w:p>
    <w:p w14:paraId="6AC79725" w14:textId="77777777" w:rsidR="00A75CE1" w:rsidRPr="00FD5DC8" w:rsidRDefault="00A75CE1" w:rsidP="00A75CE1">
      <w:pPr>
        <w:spacing w:line="360" w:lineRule="auto"/>
        <w:jc w:val="both"/>
        <w:rPr>
          <w:rtl/>
        </w:rPr>
      </w:pPr>
    </w:p>
    <w:p w14:paraId="05FE6393" w14:textId="77777777" w:rsidR="00A75CE1" w:rsidRPr="00FD5DC8" w:rsidRDefault="00A75CE1" w:rsidP="00A75CE1">
      <w:pPr>
        <w:spacing w:line="360" w:lineRule="auto"/>
        <w:jc w:val="both"/>
        <w:rPr>
          <w:rtl/>
        </w:rPr>
      </w:pPr>
      <w:r w:rsidRPr="00FD5DC8">
        <w:rPr>
          <w:rtl/>
        </w:rPr>
        <w:t>(1)</w:t>
      </w:r>
      <w:r w:rsidRPr="00FD5DC8">
        <w:rPr>
          <w:rtl/>
        </w:rPr>
        <w:tab/>
      </w:r>
      <w:hyperlink r:id="rId24" w:history="1">
        <w:r w:rsidR="001F21E7" w:rsidRPr="001F21E7">
          <w:rPr>
            <w:color w:val="0000FF"/>
            <w:u w:val="single"/>
            <w:rtl/>
          </w:rPr>
          <w:t>ת"פ (מחוזי, מרכז) 39998-08-15</w:t>
        </w:r>
      </w:hyperlink>
      <w:r w:rsidRPr="00FD5DC8">
        <w:rPr>
          <w:rtl/>
        </w:rPr>
        <w:t xml:space="preserve"> </w:t>
      </w:r>
      <w:r w:rsidRPr="00FD5DC8">
        <w:rPr>
          <w:u w:val="single"/>
          <w:rtl/>
        </w:rPr>
        <w:t>מדינת ישראל נ' קישק</w:t>
      </w:r>
      <w:r w:rsidRPr="00FD5DC8">
        <w:rPr>
          <w:rtl/>
        </w:rPr>
        <w:t xml:space="preserve"> (27.10.2016) (כבוד השופטת דנה מרשק מרום) (להלן – </w:t>
      </w:r>
      <w:r w:rsidRPr="00FD5DC8">
        <w:rPr>
          <w:b/>
          <w:bCs/>
          <w:rtl/>
        </w:rPr>
        <w:t xml:space="preserve">עניין </w:t>
      </w:r>
      <w:r w:rsidRPr="00FD5DC8">
        <w:rPr>
          <w:b/>
          <w:bCs/>
          <w:u w:val="single"/>
          <w:rtl/>
        </w:rPr>
        <w:t>קישק</w:t>
      </w:r>
      <w:r w:rsidRPr="00FD5DC8">
        <w:rPr>
          <w:rtl/>
        </w:rPr>
        <w:t>), בעניין הנאשם 2 – שני הנאשמים הורשעו על-פי הודאותיהם. הנאשם 1 הורשע בעבירה של סחר בנשק, שכלל רכישת שני אקדחים חצי אוטומטיים מסוג גלוק ומחסניות. נקבע לגביו מתחם עונש בין 24 ל-48 חודשי מאסר. בהתחשב בהרשעותיו הקודמות, הוטל עליו עונש של 30 חודשי מאסר בפועל, מאסר מותנה וקנס; הנאשם 2 הורשע בעבירה של ניסיון רכישת נשק ונקבע לגביו מתחם עונש בין 10 ל-24 חודשי מאסר. לא היו לו הרשעות קודמות. הוטל עליו עונש של 10 חודשי מאסר ומאסר מותנה.</w:t>
      </w:r>
    </w:p>
    <w:p w14:paraId="0B3EBF12" w14:textId="77777777" w:rsidR="00A75CE1" w:rsidRPr="00FD5DC8" w:rsidRDefault="00A75CE1" w:rsidP="00A75CE1">
      <w:pPr>
        <w:spacing w:line="360" w:lineRule="auto"/>
        <w:jc w:val="both"/>
        <w:rPr>
          <w:rtl/>
        </w:rPr>
      </w:pPr>
    </w:p>
    <w:p w14:paraId="0134BFA7" w14:textId="77777777" w:rsidR="00A75CE1" w:rsidRPr="00FD5DC8" w:rsidRDefault="00A75CE1" w:rsidP="00A75CE1">
      <w:pPr>
        <w:spacing w:line="360" w:lineRule="auto"/>
        <w:jc w:val="both"/>
        <w:rPr>
          <w:rtl/>
        </w:rPr>
      </w:pPr>
      <w:r w:rsidRPr="00FD5DC8">
        <w:rPr>
          <w:rtl/>
        </w:rPr>
        <w:t>(2)</w:t>
      </w:r>
      <w:r w:rsidRPr="00FD5DC8">
        <w:rPr>
          <w:rtl/>
        </w:rPr>
        <w:tab/>
      </w:r>
      <w:hyperlink r:id="rId25" w:history="1">
        <w:r w:rsidR="001F21E7" w:rsidRPr="001F21E7">
          <w:rPr>
            <w:color w:val="0000FF"/>
            <w:u w:val="single"/>
            <w:rtl/>
          </w:rPr>
          <w:t>ת"פ (מחוזי, ירושלים) 20778-11-12</w:t>
        </w:r>
      </w:hyperlink>
      <w:r w:rsidRPr="00FD5DC8">
        <w:rPr>
          <w:rtl/>
        </w:rPr>
        <w:t xml:space="preserve"> </w:t>
      </w:r>
      <w:r w:rsidRPr="00FD5DC8">
        <w:rPr>
          <w:u w:val="single"/>
          <w:rtl/>
        </w:rPr>
        <w:t>מדינת ישראל נ' סלפיתי</w:t>
      </w:r>
      <w:r w:rsidRPr="00FD5DC8">
        <w:rPr>
          <w:rtl/>
        </w:rPr>
        <w:t xml:space="preserve"> (5.5.2013) (כבוד השופט י' נועם) (להלן – </w:t>
      </w:r>
      <w:r w:rsidRPr="00FD5DC8">
        <w:rPr>
          <w:b/>
          <w:bCs/>
          <w:rtl/>
        </w:rPr>
        <w:t xml:space="preserve">עניין </w:t>
      </w:r>
      <w:r w:rsidRPr="00FD5DC8">
        <w:rPr>
          <w:b/>
          <w:bCs/>
          <w:u w:val="single"/>
          <w:rtl/>
        </w:rPr>
        <w:t>סלפיתי</w:t>
      </w:r>
      <w:r w:rsidRPr="00FD5DC8">
        <w:rPr>
          <w:rtl/>
        </w:rPr>
        <w:t>), בעניין הנאשם 4 – הורשע על-פי הודאתו בעבירה של ניסיון לעסקה בנשק, שכלל פניה לנאשם 1 כדי שישיג לו נשק שסוגו לא ידוע. לחובת הנאשם הרשעות קודמות, בין השאר בעבירות רכוש ואלימות שבעטיין נשא בעונשי מאסר. נקבע מתחם עונש בין 6 ל-24 חודשי מאסר. הוטל עונש של 8 חודשי מאסר בפועל ומאסר מותנה.</w:t>
      </w:r>
    </w:p>
    <w:p w14:paraId="5FA9204A" w14:textId="77777777" w:rsidR="00A75CE1" w:rsidRPr="00FD5DC8" w:rsidRDefault="00A75CE1" w:rsidP="00A75CE1">
      <w:pPr>
        <w:spacing w:line="360" w:lineRule="auto"/>
        <w:jc w:val="both"/>
        <w:rPr>
          <w:rtl/>
        </w:rPr>
      </w:pPr>
      <w:r w:rsidRPr="00FD5DC8">
        <w:rPr>
          <w:rtl/>
        </w:rPr>
        <w:t xml:space="preserve"> </w:t>
      </w:r>
    </w:p>
    <w:p w14:paraId="7648A0AE" w14:textId="77777777" w:rsidR="00A75CE1" w:rsidRPr="00FD5DC8" w:rsidRDefault="00A75CE1" w:rsidP="00A75CE1">
      <w:pPr>
        <w:spacing w:line="360" w:lineRule="auto"/>
        <w:jc w:val="both"/>
        <w:rPr>
          <w:rtl/>
        </w:rPr>
      </w:pPr>
      <w:r w:rsidRPr="00FD5DC8">
        <w:rPr>
          <w:rtl/>
        </w:rPr>
        <w:t>(3)</w:t>
      </w:r>
      <w:r w:rsidRPr="00FD5DC8">
        <w:rPr>
          <w:rtl/>
        </w:rPr>
        <w:tab/>
      </w:r>
      <w:hyperlink r:id="rId26" w:history="1">
        <w:r w:rsidR="001F21E7" w:rsidRPr="001F21E7">
          <w:rPr>
            <w:color w:val="0000FF"/>
            <w:u w:val="single"/>
            <w:rtl/>
          </w:rPr>
          <w:t>ת"פ 24215-06-13</w:t>
        </w:r>
      </w:hyperlink>
      <w:r w:rsidRPr="00FD5DC8">
        <w:rPr>
          <w:rtl/>
        </w:rPr>
        <w:t xml:space="preserve"> (מחוזי, ירושלים) 24215-06-13 </w:t>
      </w:r>
      <w:r w:rsidRPr="00FD5DC8">
        <w:rPr>
          <w:u w:val="single"/>
          <w:rtl/>
        </w:rPr>
        <w:t>מדינת ישראל נ' דוידאר</w:t>
      </w:r>
      <w:r w:rsidRPr="00FD5DC8">
        <w:rPr>
          <w:rtl/>
        </w:rPr>
        <w:t xml:space="preserve"> (17.2.2014) (כבוד השופט י' נועם) (להלן – </w:t>
      </w:r>
      <w:r w:rsidRPr="00FD5DC8">
        <w:rPr>
          <w:b/>
          <w:bCs/>
          <w:rtl/>
        </w:rPr>
        <w:t xml:space="preserve">עניין </w:t>
      </w:r>
      <w:r w:rsidRPr="00FD5DC8">
        <w:rPr>
          <w:b/>
          <w:bCs/>
          <w:u w:val="single"/>
          <w:rtl/>
        </w:rPr>
        <w:t>דוידאר</w:t>
      </w:r>
      <w:r w:rsidRPr="00FD5DC8">
        <w:rPr>
          <w:rtl/>
        </w:rPr>
        <w:t>), בעניין הנאשם 1 – במסגרת הסדר טיעון הורשעו שני הנאשמים על-פי הודאתם בעבירה של סחר בנשק, שבמסגרתה מכר הנאשם 2 לסוכן משטרה רובה מסוג קארל גוסטב ומחסנית. מלוא התמורה שולמה לנאשם 2 ואילו לנאשם 1 שולם סך 500 ₪. בעניין הנאשם 1 הוסכם במסגרת הסדר הטיעון כי בשל קשיים ראייתיים, מתחם העונש הוא בין 15 ל-25 חודשי מאסר. לחובתו הרשעה קודמת בעבירה של נהיגה ללא רישיון. נקבע כי הגם שהיה פעיל בעסקה, חלקו היה של מתווך. כן נקבע כי מתחם העונש הוא כפי שהוסכם והוטל עליו עונש של 20 חודשי מאסר בפועל ומאסר מותנה. בעניין הנאשם 2 נקבע, כי לנוכח חלקו בעסקה, מתחם העונש לגביו הוא בין 24 ל-48 חודשי מאסר בפועל. העונש שהוטל עליו היה 36 חודשי מאסר בפועל ומאסר מותנה.</w:t>
      </w:r>
    </w:p>
    <w:p w14:paraId="5B492ACC" w14:textId="77777777" w:rsidR="00A75CE1" w:rsidRPr="00FD5DC8" w:rsidRDefault="00A75CE1" w:rsidP="00A75CE1">
      <w:pPr>
        <w:spacing w:line="360" w:lineRule="auto"/>
        <w:jc w:val="both"/>
        <w:rPr>
          <w:rtl/>
        </w:rPr>
      </w:pPr>
    </w:p>
    <w:p w14:paraId="20FBAA0E" w14:textId="77777777" w:rsidR="00A75CE1" w:rsidRPr="00FD5DC8" w:rsidRDefault="00A75CE1" w:rsidP="00A75CE1">
      <w:pPr>
        <w:spacing w:line="360" w:lineRule="auto"/>
        <w:jc w:val="both"/>
        <w:rPr>
          <w:rtl/>
        </w:rPr>
      </w:pPr>
      <w:r w:rsidRPr="00FD5DC8">
        <w:rPr>
          <w:rtl/>
        </w:rPr>
        <w:t>(4)</w:t>
      </w:r>
      <w:r w:rsidRPr="00FD5DC8">
        <w:rPr>
          <w:rtl/>
        </w:rPr>
        <w:tab/>
      </w:r>
      <w:hyperlink r:id="rId27" w:history="1">
        <w:r w:rsidR="001F21E7" w:rsidRPr="001F21E7">
          <w:rPr>
            <w:color w:val="0000FF"/>
            <w:u w:val="single"/>
            <w:rtl/>
          </w:rPr>
          <w:t>ע"פ 785/15</w:t>
        </w:r>
      </w:hyperlink>
      <w:r w:rsidRPr="00FD5DC8">
        <w:rPr>
          <w:rtl/>
        </w:rPr>
        <w:t xml:space="preserve"> </w:t>
      </w:r>
      <w:r w:rsidRPr="00FD5DC8">
        <w:rPr>
          <w:u w:val="single"/>
          <w:rtl/>
        </w:rPr>
        <w:t>פואקה נ' מדינת ישראל</w:t>
      </w:r>
      <w:r w:rsidRPr="00FD5DC8">
        <w:rPr>
          <w:rtl/>
        </w:rPr>
        <w:t xml:space="preserve"> (6.12.2015) (כבוד השופטים י' דנציגר, נ' סולברג, ע' ברון) (להלן – </w:t>
      </w:r>
      <w:r w:rsidRPr="00FD5DC8">
        <w:rPr>
          <w:b/>
          <w:bCs/>
          <w:rtl/>
        </w:rPr>
        <w:t>עניין פ</w:t>
      </w:r>
      <w:r w:rsidRPr="00FD5DC8">
        <w:rPr>
          <w:b/>
          <w:bCs/>
          <w:u w:val="single"/>
          <w:rtl/>
        </w:rPr>
        <w:t>ואקה</w:t>
      </w:r>
      <w:r w:rsidRPr="00FD5DC8">
        <w:rPr>
          <w:rtl/>
        </w:rPr>
        <w:t xml:space="preserve">) – המערער הורשע במסגרת ארבעה אישומים בעבירות של תיווך בעסקת סמים, שתי עבירות של עסקה בנשק ועבירה של ניסיון לעסקה בנשק. האישום הראשון עסק בעבירת הסמים, האישום השני בסחר בנשק, שכלל מכירת אקדח ומחסנית תואמת ובאישום השלישי נמכרו תת מקלע ומחסנית. העסקה נושא האישום הרביעי לא הושלמה בשל מעצר המערער. במסגרת עסקאות מכירת הנשק שולמה למערער עמלה בסך 500 ₪ עבור כל מכירה. לכל אחד מהאישומים נקבע מתחם ענישה נפרד. בעניין האישום השני נקבע מתחם עונש בין 18 ל-36 חודשי מאסר בפועל והעונש שהוטל היה מאסר למשך 24 חודש. בעניין האישום השלישי נקבע מתחם עונש בין 36 ל-60 חודשי מאסר בפועל והעונש שהוטל היה 42 חודש. בעניין האישום הרביעי נקבע מתחום עונש בין 12 עד 30 חודשי מאסר והעונש שהוטל היה 15 חודשי מאסר. כן הוטלו מאסרים על תנאי. הערעור התקבל בחלקו, כך שעונש המאסר בפועל הופחת ל-78 חודש (במקום 84). בנוסף לכך הושתו על המערער מאסר מותנה וקנס. </w:t>
      </w:r>
    </w:p>
    <w:p w14:paraId="71B79BAC" w14:textId="77777777" w:rsidR="00A75CE1" w:rsidRPr="00FD5DC8" w:rsidRDefault="00A75CE1" w:rsidP="00A75CE1">
      <w:pPr>
        <w:spacing w:line="360" w:lineRule="auto"/>
        <w:jc w:val="both"/>
        <w:rPr>
          <w:rtl/>
        </w:rPr>
      </w:pPr>
    </w:p>
    <w:p w14:paraId="2BDC055B" w14:textId="77777777" w:rsidR="00A75CE1" w:rsidRPr="00FD5DC8" w:rsidRDefault="00A75CE1" w:rsidP="00A75CE1">
      <w:pPr>
        <w:spacing w:line="360" w:lineRule="auto"/>
        <w:jc w:val="both"/>
        <w:rPr>
          <w:rtl/>
        </w:rPr>
      </w:pPr>
      <w:r w:rsidRPr="00FD5DC8">
        <w:rPr>
          <w:rtl/>
        </w:rPr>
        <w:t>7.</w:t>
      </w:r>
      <w:r w:rsidRPr="00FD5DC8">
        <w:rPr>
          <w:rtl/>
        </w:rPr>
        <w:tab/>
        <w:t xml:space="preserve">בעניין הפסיקה האמורה טענה באת-כוח המאשימה כלהלן: עניינו של הנאשם 2 בעניין </w:t>
      </w:r>
      <w:r w:rsidRPr="00FD5DC8">
        <w:rPr>
          <w:u w:val="single"/>
          <w:rtl/>
        </w:rPr>
        <w:t>קישק</w:t>
      </w:r>
      <w:r w:rsidRPr="00FD5DC8">
        <w:rPr>
          <w:rtl/>
        </w:rPr>
        <w:t xml:space="preserve">, קל משל הנאשם בענייננו, מאחר ששם דובר בניסיון רכישת נשק ואילו בענייננו מדובר בניסיון עסקה בנשק (נעיר שגם בענייננו מדובר בניסיון לרכוש נשק); לנאשם 4 בעניין </w:t>
      </w:r>
      <w:r w:rsidRPr="00FD5DC8">
        <w:rPr>
          <w:u w:val="single"/>
          <w:rtl/>
        </w:rPr>
        <w:t>סלפיתי</w:t>
      </w:r>
      <w:r w:rsidRPr="00FD5DC8">
        <w:rPr>
          <w:rtl/>
        </w:rPr>
        <w:t xml:space="preserve"> היו תשע הרשעות קודמות, אך נקבע שהיה רק מתווך, בעוד הנאשם הנדון יזם את העסקה והיה פעיל בה; הנאשם 1 בעניין </w:t>
      </w:r>
      <w:r w:rsidRPr="00FD5DC8">
        <w:rPr>
          <w:u w:val="single"/>
          <w:rtl/>
        </w:rPr>
        <w:t>דוידאר</w:t>
      </w:r>
      <w:r w:rsidRPr="00FD5DC8">
        <w:rPr>
          <w:rtl/>
        </w:rPr>
        <w:t xml:space="preserve"> היה מתווך ללא הרשעות קודמות; באישום הרביעי שנדון בעניין </w:t>
      </w:r>
      <w:r w:rsidRPr="00FD5DC8">
        <w:rPr>
          <w:u w:val="single"/>
          <w:rtl/>
        </w:rPr>
        <w:t>פואקה</w:t>
      </w:r>
      <w:r w:rsidRPr="00FD5DC8">
        <w:rPr>
          <w:rtl/>
        </w:rPr>
        <w:t xml:space="preserve">, </w:t>
      </w:r>
      <w:r>
        <w:rPr>
          <w:rFonts w:hint="cs"/>
          <w:rtl/>
        </w:rPr>
        <w:t>דובר</w:t>
      </w:r>
      <w:r w:rsidRPr="00FD5DC8">
        <w:rPr>
          <w:rtl/>
        </w:rPr>
        <w:t xml:space="preserve"> בנאשם צעיר ללא הרשעות קודמות.</w:t>
      </w:r>
    </w:p>
    <w:p w14:paraId="32C62EE1" w14:textId="77777777" w:rsidR="00A75CE1" w:rsidRPr="00FD5DC8" w:rsidRDefault="00A75CE1" w:rsidP="00A75CE1">
      <w:pPr>
        <w:spacing w:line="360" w:lineRule="auto"/>
        <w:jc w:val="both"/>
        <w:rPr>
          <w:rtl/>
        </w:rPr>
      </w:pPr>
    </w:p>
    <w:p w14:paraId="780137C4" w14:textId="77777777" w:rsidR="00A75CE1" w:rsidRPr="00FD5DC8" w:rsidRDefault="00A75CE1" w:rsidP="00A75CE1">
      <w:pPr>
        <w:spacing w:line="360" w:lineRule="auto"/>
        <w:jc w:val="both"/>
        <w:rPr>
          <w:rtl/>
        </w:rPr>
      </w:pPr>
      <w:r w:rsidRPr="00FD5DC8">
        <w:rPr>
          <w:rtl/>
        </w:rPr>
        <w:t>לנוכח עמדת הפסיקה כאמור, טענה באת-כוח המאשימה כי מאחר שיש להחמיר בענישה ובשל נסיבות המקרה הנדון, יש לקבוע מתחום עונש בין 24 ל-40 חודשי מאסר.</w:t>
      </w:r>
    </w:p>
    <w:p w14:paraId="61C545B9" w14:textId="77777777" w:rsidR="00A75CE1" w:rsidRPr="00FD5DC8" w:rsidRDefault="00A75CE1" w:rsidP="00A75CE1">
      <w:pPr>
        <w:spacing w:line="360" w:lineRule="auto"/>
        <w:jc w:val="both"/>
        <w:rPr>
          <w:rtl/>
        </w:rPr>
      </w:pPr>
    </w:p>
    <w:p w14:paraId="6810BD38" w14:textId="77777777" w:rsidR="00A75CE1" w:rsidRPr="00FD5DC8" w:rsidRDefault="00A75CE1" w:rsidP="00A75CE1">
      <w:pPr>
        <w:spacing w:line="360" w:lineRule="auto"/>
        <w:jc w:val="both"/>
        <w:rPr>
          <w:rtl/>
        </w:rPr>
      </w:pPr>
      <w:r w:rsidRPr="00FD5DC8">
        <w:rPr>
          <w:rtl/>
        </w:rPr>
        <w:t>באשר לנסיבותיו של הנאשם שאינן קשורות בעבירה טענה באת-כוח המאשימה, כי הנאשם עבר את העבירה בעודו כבן 33 ולחובתו שתי הרשעות קודמות. עם זאת, הוא הודה בעובדות כתב האישום וחסך זמן שיפוטי. בהיעדר תסקיר של שירות המבחן, שאף לא התבקש, אין מקום לשקילת אפיק שיקומי או טיפולי. כן יש לשקול שיקולי הרתעת הנאשם והרתעת הרבים. לנוכח כל השיקולים האמורים, טענה כי יש לקבוע את העונש בחלקו העליון של השליש התחתון של מתחם העונש, כך שיעמוד על כ-30 חודשי מאסר בפועל. כן יש להשית על הנאשם מאסר על תנאי וקנס כספי.</w:t>
      </w:r>
    </w:p>
    <w:p w14:paraId="65380693" w14:textId="77777777" w:rsidR="00A75CE1" w:rsidRPr="00FD5DC8" w:rsidRDefault="00A75CE1" w:rsidP="00A75CE1">
      <w:pPr>
        <w:spacing w:line="360" w:lineRule="auto"/>
        <w:jc w:val="both"/>
        <w:rPr>
          <w:rtl/>
        </w:rPr>
      </w:pPr>
    </w:p>
    <w:p w14:paraId="3161318F" w14:textId="77777777" w:rsidR="00A75CE1" w:rsidRPr="00FD5DC8" w:rsidRDefault="00A75CE1" w:rsidP="00A75CE1">
      <w:pPr>
        <w:spacing w:line="360" w:lineRule="auto"/>
        <w:jc w:val="both"/>
        <w:rPr>
          <w:rtl/>
        </w:rPr>
      </w:pPr>
      <w:r w:rsidRPr="00FD5DC8">
        <w:rPr>
          <w:rtl/>
        </w:rPr>
        <w:t>8.</w:t>
      </w:r>
      <w:r w:rsidRPr="00FD5DC8">
        <w:rPr>
          <w:rtl/>
        </w:rPr>
        <w:tab/>
        <w:t xml:space="preserve">בעקבות טענות המאשימה, הערתי שנראה כי מתחם העונש הנטען וכן העונש המבוקש, תואם יותר את רמת הענישה הנהוגה לגבי מי שהורשע בעבירה </w:t>
      </w:r>
      <w:r>
        <w:rPr>
          <w:rFonts w:hint="cs"/>
          <w:rtl/>
        </w:rPr>
        <w:t xml:space="preserve">מושלמת </w:t>
      </w:r>
      <w:r w:rsidRPr="00FD5DC8">
        <w:rPr>
          <w:rtl/>
        </w:rPr>
        <w:t>של סחר בנשק</w:t>
      </w:r>
      <w:r>
        <w:rPr>
          <w:rFonts w:hint="cs"/>
          <w:rtl/>
        </w:rPr>
        <w:t xml:space="preserve"> ולא בניסיון לעבור עבירה זו</w:t>
      </w:r>
      <w:r w:rsidRPr="00FD5DC8">
        <w:rPr>
          <w:rtl/>
        </w:rPr>
        <w:t xml:space="preserve">. זאת בין השאר, בשים לב לפסק הדין בעניין </w:t>
      </w:r>
      <w:hyperlink r:id="rId28" w:history="1">
        <w:r w:rsidR="001F21E7" w:rsidRPr="001F21E7">
          <w:rPr>
            <w:color w:val="0000FF"/>
            <w:u w:val="single"/>
            <w:rtl/>
          </w:rPr>
          <w:t>ע"פ 8045/17</w:t>
        </w:r>
      </w:hyperlink>
      <w:r w:rsidRPr="00FD5DC8">
        <w:rPr>
          <w:rtl/>
        </w:rPr>
        <w:t xml:space="preserve"> </w:t>
      </w:r>
      <w:r w:rsidRPr="00FD5DC8">
        <w:rPr>
          <w:u w:val="single"/>
          <w:rtl/>
        </w:rPr>
        <w:t>בראנסי נ' מדינת ישראל</w:t>
      </w:r>
      <w:r w:rsidRPr="00FD5DC8">
        <w:rPr>
          <w:rtl/>
        </w:rPr>
        <w:t xml:space="preserve"> (16.8.2018) (להלן – </w:t>
      </w:r>
      <w:r w:rsidRPr="00FD5DC8">
        <w:rPr>
          <w:b/>
          <w:bCs/>
          <w:rtl/>
        </w:rPr>
        <w:t xml:space="preserve">עניין </w:t>
      </w:r>
      <w:r w:rsidRPr="00FD5DC8">
        <w:rPr>
          <w:b/>
          <w:bCs/>
          <w:u w:val="single"/>
          <w:rtl/>
        </w:rPr>
        <w:t>בראנסי</w:t>
      </w:r>
      <w:r w:rsidRPr="00FD5DC8">
        <w:rPr>
          <w:rtl/>
        </w:rPr>
        <w:t>), שבמסגרתו נדונו מספר ערעורים בעניין עונשם של אחד-עשר נאשמים שהורשעו בעבירות סחר בנשק, לאחר שמכרו נשק לסוכן משטרה. כמחצית הערעורים היו של הנאשמים וכמחציתם של המדינה וכי כל הערעורים נדחו, למעט אחד שבו הוחמר מעט העונש, כך שנראה כי בית המשפט העליון אישר אמות מידה לעניין מתחמי ענישה בעבירות של סחר בנשק.</w:t>
      </w:r>
    </w:p>
    <w:p w14:paraId="78B713F6" w14:textId="77777777" w:rsidR="00A75CE1" w:rsidRPr="00FD5DC8" w:rsidRDefault="00A75CE1" w:rsidP="00A75CE1">
      <w:pPr>
        <w:spacing w:line="360" w:lineRule="auto"/>
        <w:jc w:val="both"/>
        <w:rPr>
          <w:rtl/>
        </w:rPr>
      </w:pPr>
    </w:p>
    <w:p w14:paraId="2285BC7B" w14:textId="77777777" w:rsidR="00A75CE1" w:rsidRPr="00FD5DC8" w:rsidRDefault="00A75CE1" w:rsidP="00A75CE1">
      <w:pPr>
        <w:spacing w:line="360" w:lineRule="auto"/>
        <w:jc w:val="both"/>
        <w:rPr>
          <w:rtl/>
        </w:rPr>
      </w:pPr>
      <w:r w:rsidRPr="00FD5DC8">
        <w:rPr>
          <w:rtl/>
        </w:rPr>
        <w:t xml:space="preserve">לנוכח טענה זו (ולאחר הפסקה), השלימה באת-כוח המאשימה את טענותיה והפנתה לפסיקה נוספת. אך דומה כי דווקא אותם פסקי-דין תומכים בכך שמתחם העונש שהתבקש, תואם יותר עסקת נשק ולא ניסיון לעסקה בנשק. זו אפוא, הפסיקה הנוספת שאליה הפנתה באת-כוח המאשימה: </w:t>
      </w:r>
    </w:p>
    <w:p w14:paraId="7F9C74C0" w14:textId="77777777" w:rsidR="00A75CE1" w:rsidRPr="00FD5DC8" w:rsidRDefault="00A75CE1" w:rsidP="00A75CE1">
      <w:pPr>
        <w:spacing w:line="360" w:lineRule="auto"/>
        <w:jc w:val="both"/>
        <w:rPr>
          <w:rtl/>
        </w:rPr>
      </w:pPr>
    </w:p>
    <w:p w14:paraId="3037E130" w14:textId="77777777" w:rsidR="00A75CE1" w:rsidRDefault="00A75CE1" w:rsidP="00A75CE1">
      <w:pPr>
        <w:spacing w:line="360" w:lineRule="auto"/>
        <w:jc w:val="both"/>
        <w:rPr>
          <w:u w:val="single"/>
          <w:rtl/>
        </w:rPr>
      </w:pPr>
      <w:r w:rsidRPr="00FD5DC8">
        <w:rPr>
          <w:rtl/>
        </w:rPr>
        <w:t>(5)</w:t>
      </w:r>
      <w:r w:rsidRPr="00FD5DC8">
        <w:rPr>
          <w:rtl/>
        </w:rPr>
        <w:tab/>
        <w:t xml:space="preserve">בעניין </w:t>
      </w:r>
      <w:r w:rsidRPr="00FD5DC8">
        <w:rPr>
          <w:u w:val="single"/>
          <w:rtl/>
        </w:rPr>
        <w:t>בראנסי</w:t>
      </w:r>
      <w:r w:rsidRPr="00FD5DC8">
        <w:rPr>
          <w:rtl/>
        </w:rPr>
        <w:t>, הפנתה באת-כוח המאשימה לענייניהם של נאשמים 3 ו-19. אך לא ברור כיצד יש בענייניהם כדי ללמד על מתחם העונש בענייננו. אלו הן נסיבותיהם של נאשמים אלו:</w:t>
      </w:r>
    </w:p>
    <w:p w14:paraId="6AC6B697" w14:textId="77777777" w:rsidR="00A75CE1" w:rsidRDefault="00A75CE1" w:rsidP="00A75CE1">
      <w:pPr>
        <w:spacing w:line="360" w:lineRule="auto"/>
        <w:jc w:val="both"/>
        <w:rPr>
          <w:u w:val="single"/>
          <w:rtl/>
        </w:rPr>
      </w:pPr>
    </w:p>
    <w:p w14:paraId="6457BBFC" w14:textId="77777777" w:rsidR="00A75CE1" w:rsidRDefault="00A75CE1" w:rsidP="00A75CE1">
      <w:pPr>
        <w:spacing w:line="360" w:lineRule="auto"/>
        <w:jc w:val="both"/>
        <w:rPr>
          <w:u w:val="single"/>
          <w:rtl/>
        </w:rPr>
      </w:pPr>
      <w:r w:rsidRPr="00FD5DC8">
        <w:rPr>
          <w:u w:val="single"/>
          <w:rtl/>
        </w:rPr>
        <w:t>נאשם 3</w:t>
      </w:r>
      <w:r w:rsidRPr="00FD5DC8">
        <w:rPr>
          <w:rtl/>
        </w:rPr>
        <w:t xml:space="preserve"> (פסקאות 36-30) – הורשע בעבירות של סחר בנשק, קשירת קשר לסחר בנשק ושתי עבירות של ירי באזור מגורים, בקשר לארבע עסקאות נשק. הנשק שנמכר כלל נשק דמוי </w:t>
      </w:r>
      <w:r w:rsidRPr="00FD5DC8">
        <w:t>M-16</w:t>
      </w:r>
      <w:r w:rsidRPr="00FD5DC8">
        <w:rPr>
          <w:rtl/>
        </w:rPr>
        <w:t>, קלשניקוב וקליעים תואמים, שני תתי-מקלע מסוג קרלו, מחסניות תואמות ו-50 קליעים. הנאשם צעיר כבן 22 ואין לו הרשעות קודמות. מתחם העונש לעסקה אחת הועמד על 5-2 שנות מאסר ולשלוש עסקאות הועמד על 8-4 שנות מאסר. ניתן עונש של 5.5 שנות מאסר, מאסר מותנה וקנס. ערעורו נדחה</w:t>
      </w:r>
      <w:r>
        <w:rPr>
          <w:rFonts w:hint="cs"/>
          <w:rtl/>
        </w:rPr>
        <w:t>.</w:t>
      </w:r>
    </w:p>
    <w:p w14:paraId="14D39994" w14:textId="77777777" w:rsidR="00A75CE1" w:rsidRDefault="00A75CE1" w:rsidP="00A75CE1">
      <w:pPr>
        <w:spacing w:line="360" w:lineRule="auto"/>
        <w:jc w:val="both"/>
        <w:rPr>
          <w:u w:val="single"/>
          <w:rtl/>
        </w:rPr>
      </w:pPr>
    </w:p>
    <w:p w14:paraId="14B76CE1" w14:textId="77777777" w:rsidR="00A75CE1" w:rsidRPr="00FD5DC8" w:rsidRDefault="00A75CE1" w:rsidP="00A75CE1">
      <w:pPr>
        <w:spacing w:line="360" w:lineRule="auto"/>
        <w:jc w:val="both"/>
        <w:rPr>
          <w:rtl/>
        </w:rPr>
      </w:pPr>
      <w:r w:rsidRPr="00FD5DC8">
        <w:rPr>
          <w:u w:val="single"/>
          <w:rtl/>
        </w:rPr>
        <w:t>נאשם 19</w:t>
      </w:r>
      <w:r w:rsidRPr="00FD5DC8">
        <w:rPr>
          <w:rtl/>
        </w:rPr>
        <w:t xml:space="preserve"> (שם, פסקאות 54-46) – הורשע בעבירה של סחר בנשק וקשירת קשר לסחר בנשק בקשר לעסקה אחת, שבמסגרתה נמכרו תת מקלע מסוג קרלו, מחסנית ותחמושת תואמת. הנאשם צירף תיקים נוספים שבמסגרתם הורשע בעבירות סמים ובהחזקת סכין. מאחר שעונש המאסר בפועל (6 שנים) הוטל בשל כל העבירות שבהן הורשע נאשם זה, נראה כי לא ניתן ללמוד מכך לענייננו. עם זאת נעיר, כי מתחם העונש לעסקת הנשק הועמד על 5-2 שנות מאסר. </w:t>
      </w:r>
    </w:p>
    <w:p w14:paraId="5BD8AA5C" w14:textId="77777777" w:rsidR="00A75CE1" w:rsidRPr="00FD5DC8" w:rsidRDefault="00A75CE1" w:rsidP="00A75CE1">
      <w:pPr>
        <w:spacing w:line="360" w:lineRule="auto"/>
        <w:jc w:val="both"/>
        <w:rPr>
          <w:rtl/>
        </w:rPr>
      </w:pPr>
    </w:p>
    <w:p w14:paraId="220C7539" w14:textId="77777777" w:rsidR="00A75CE1" w:rsidRPr="00FD5DC8" w:rsidRDefault="00A75CE1" w:rsidP="00A75CE1">
      <w:pPr>
        <w:spacing w:line="360" w:lineRule="auto"/>
        <w:jc w:val="both"/>
        <w:rPr>
          <w:rtl/>
        </w:rPr>
      </w:pPr>
      <w:r w:rsidRPr="00FD5DC8">
        <w:rPr>
          <w:rtl/>
        </w:rPr>
        <w:t>(6)</w:t>
      </w:r>
      <w:r w:rsidRPr="00FD5DC8">
        <w:rPr>
          <w:rtl/>
        </w:rPr>
        <w:tab/>
      </w:r>
      <w:hyperlink r:id="rId29" w:history="1">
        <w:r w:rsidR="001F21E7" w:rsidRPr="001F21E7">
          <w:rPr>
            <w:color w:val="0000FF"/>
            <w:u w:val="single"/>
            <w:rtl/>
          </w:rPr>
          <w:t>ע"פ 4154/16</w:t>
        </w:r>
      </w:hyperlink>
      <w:r w:rsidRPr="00FD5DC8">
        <w:rPr>
          <w:rtl/>
        </w:rPr>
        <w:t xml:space="preserve"> </w:t>
      </w:r>
      <w:r w:rsidRPr="00FD5DC8">
        <w:rPr>
          <w:u w:val="single"/>
          <w:rtl/>
        </w:rPr>
        <w:t>דהוד נ' מדינת ישראל</w:t>
      </w:r>
      <w:r w:rsidRPr="00FD5DC8">
        <w:rPr>
          <w:rtl/>
        </w:rPr>
        <w:t xml:space="preserve"> (19.1.2017) (כבוד השופט ח' מלצר) – המערער הורשע בשני אישומים בעבירות של סחר בנשק וכן בעבירות נוספות בנשק. באישום הראשון, שבמסגרתו מילא תפקיד של מתווך, נמכר אקדח ובאישום השני, שבמסגרתו מילא תפקיד מרכזי בסחר, נמכר רובה ציד מאולתר. מתחם העונש הועמד על 2 עד 5 שנות מאסר לכל אחד משני האישומים. על הנאשם הוטל עונש מאסר בפועל למשך 45 חודש, מאסר מותנה וקנס בסך 18,000 ₪. הערעור נדחה.</w:t>
      </w:r>
    </w:p>
    <w:p w14:paraId="52F9D177" w14:textId="77777777" w:rsidR="00A75CE1" w:rsidRPr="00FD5DC8" w:rsidRDefault="00A75CE1" w:rsidP="00A75CE1">
      <w:pPr>
        <w:spacing w:line="360" w:lineRule="auto"/>
        <w:jc w:val="both"/>
        <w:rPr>
          <w:rtl/>
        </w:rPr>
      </w:pPr>
    </w:p>
    <w:p w14:paraId="54E5A031" w14:textId="77777777" w:rsidR="00A75CE1" w:rsidRPr="00FD5DC8" w:rsidRDefault="00A75CE1" w:rsidP="00A75CE1">
      <w:pPr>
        <w:spacing w:line="360" w:lineRule="auto"/>
        <w:jc w:val="both"/>
        <w:rPr>
          <w:rtl/>
        </w:rPr>
      </w:pPr>
      <w:r w:rsidRPr="00FD5DC8">
        <w:rPr>
          <w:rtl/>
        </w:rPr>
        <w:t>(7)</w:t>
      </w:r>
      <w:r w:rsidRPr="00FD5DC8">
        <w:rPr>
          <w:rtl/>
        </w:rPr>
        <w:tab/>
      </w:r>
      <w:hyperlink r:id="rId30" w:history="1">
        <w:r w:rsidR="001F21E7" w:rsidRPr="001F21E7">
          <w:rPr>
            <w:color w:val="0000FF"/>
            <w:u w:val="single"/>
            <w:rtl/>
          </w:rPr>
          <w:t>ת"פ (מחוזי ירושלים) 34003-04-18</w:t>
        </w:r>
      </w:hyperlink>
      <w:r w:rsidRPr="00FD5DC8">
        <w:rPr>
          <w:rtl/>
        </w:rPr>
        <w:t xml:space="preserve"> </w:t>
      </w:r>
      <w:r w:rsidRPr="00FD5DC8">
        <w:rPr>
          <w:u w:val="single"/>
          <w:rtl/>
        </w:rPr>
        <w:t>מדינת ישראל נ' עג'אג'</w:t>
      </w:r>
      <w:r w:rsidRPr="00FD5DC8">
        <w:rPr>
          <w:rtl/>
        </w:rPr>
        <w:t xml:space="preserve"> (8.10.2018) (כבוד השופטת ד' כהן-לקח) (להלן – </w:t>
      </w:r>
      <w:r w:rsidRPr="00FD5DC8">
        <w:rPr>
          <w:b/>
          <w:bCs/>
          <w:rtl/>
        </w:rPr>
        <w:t xml:space="preserve">עניין </w:t>
      </w:r>
      <w:r w:rsidRPr="00FD5DC8">
        <w:rPr>
          <w:b/>
          <w:bCs/>
          <w:u w:val="single"/>
          <w:rtl/>
        </w:rPr>
        <w:t>עג'אג'</w:t>
      </w:r>
      <w:r w:rsidRPr="00FD5DC8">
        <w:rPr>
          <w:rtl/>
        </w:rPr>
        <w:t xml:space="preserve">) (בהמלצת בית המשפט ובהסכמת הנאשם, נדחה הערעור שהוגש לבית המשפט העליון </w:t>
      </w:r>
      <w:bookmarkStart w:id="8" w:name="casename_body"/>
      <w:r w:rsidRPr="00FD5DC8">
        <w:rPr>
          <w:rtl/>
        </w:rPr>
        <w:t>(</w:t>
      </w:r>
      <w:hyperlink r:id="rId31" w:history="1">
        <w:bookmarkEnd w:id="8"/>
        <w:r w:rsidR="001F21E7" w:rsidRPr="001F21E7">
          <w:rPr>
            <w:color w:val="0000FF"/>
            <w:u w:val="single"/>
            <w:rtl/>
          </w:rPr>
          <w:t>ע"פ 8284/18</w:t>
        </w:r>
      </w:hyperlink>
      <w:r w:rsidRPr="00FD5DC8">
        <w:rPr>
          <w:rtl/>
        </w:rPr>
        <w:t xml:space="preserve"> מיום 16.1.2019)) – הנאשם הורשע בעבירה של סחר בנשק מסוג אקדח. נקבע שמתחם העונש הוא בין 20 ל-40 חודשי מאסר. על הנאשם, צעיר כבן 25 שלחובתו הרשעה קודמת אחת, הושת עונש של 22 חודשי מאסר בפועל ומאסר מות</w:t>
      </w:r>
      <w:r>
        <w:rPr>
          <w:rFonts w:hint="cs"/>
          <w:rtl/>
        </w:rPr>
        <w:t>נ</w:t>
      </w:r>
      <w:r w:rsidRPr="00FD5DC8">
        <w:rPr>
          <w:rtl/>
        </w:rPr>
        <w:t>ה. הרכב ששימש לעבירה</w:t>
      </w:r>
      <w:r>
        <w:rPr>
          <w:rFonts w:hint="cs"/>
          <w:rtl/>
        </w:rPr>
        <w:t xml:space="preserve"> חולט</w:t>
      </w:r>
      <w:r w:rsidRPr="00FD5DC8">
        <w:rPr>
          <w:rtl/>
        </w:rPr>
        <w:t>.</w:t>
      </w:r>
    </w:p>
    <w:p w14:paraId="083F491A" w14:textId="77777777" w:rsidR="00A75CE1" w:rsidRPr="00FD5DC8" w:rsidRDefault="00A75CE1" w:rsidP="00A75CE1">
      <w:pPr>
        <w:spacing w:line="360" w:lineRule="auto"/>
        <w:jc w:val="both"/>
        <w:rPr>
          <w:rtl/>
        </w:rPr>
      </w:pPr>
    </w:p>
    <w:p w14:paraId="7EE420FD" w14:textId="77777777" w:rsidR="00A75CE1" w:rsidRPr="00FD5DC8" w:rsidRDefault="00A75CE1" w:rsidP="00A75CE1">
      <w:pPr>
        <w:spacing w:line="360" w:lineRule="auto"/>
        <w:jc w:val="both"/>
        <w:rPr>
          <w:rtl/>
        </w:rPr>
      </w:pPr>
      <w:r w:rsidRPr="00FD5DC8">
        <w:rPr>
          <w:rtl/>
        </w:rPr>
        <w:t>(8)</w:t>
      </w:r>
      <w:r w:rsidRPr="00FD5DC8">
        <w:rPr>
          <w:rtl/>
        </w:rPr>
        <w:tab/>
      </w:r>
      <w:hyperlink r:id="rId32" w:history="1">
        <w:r w:rsidR="001F21E7" w:rsidRPr="001F21E7">
          <w:rPr>
            <w:color w:val="0000FF"/>
            <w:u w:val="single"/>
            <w:rtl/>
          </w:rPr>
          <w:t>ת"פ (מחוזי ירושלים) 35186-03-18</w:t>
        </w:r>
      </w:hyperlink>
      <w:r w:rsidRPr="00FD5DC8">
        <w:rPr>
          <w:rtl/>
        </w:rPr>
        <w:t xml:space="preserve"> </w:t>
      </w:r>
      <w:r w:rsidRPr="00FD5DC8">
        <w:rPr>
          <w:u w:val="single"/>
          <w:rtl/>
        </w:rPr>
        <w:t>מדינת ישראל נ' קאסם</w:t>
      </w:r>
      <w:r w:rsidRPr="00FD5DC8">
        <w:rPr>
          <w:rtl/>
        </w:rPr>
        <w:t xml:space="preserve"> (24.1.2019) (כבוד השופטת ר' פרידמן-פלדמן) (להלן – </w:t>
      </w:r>
      <w:r w:rsidRPr="00FD5DC8">
        <w:rPr>
          <w:b/>
          <w:bCs/>
          <w:rtl/>
        </w:rPr>
        <w:t xml:space="preserve">עניין </w:t>
      </w:r>
      <w:r w:rsidRPr="00FD5DC8">
        <w:rPr>
          <w:b/>
          <w:bCs/>
          <w:u w:val="single"/>
          <w:rtl/>
        </w:rPr>
        <w:t>קאסם</w:t>
      </w:r>
      <w:r w:rsidRPr="00FD5DC8">
        <w:rPr>
          <w:rtl/>
        </w:rPr>
        <w:t>) – שני הנאשמים הורשעו בעבירה של עסקה בנשק שבמסגרתה נמכרו אקדח חצי אוטומטי ומחסנית. הסדר הטיעון כלל הסכמה שנאשם 1 היה מתווך. לנאשם 1 היו הרשעות קודמות בעבירות אלימות, רכוש וסמים. לנוכח מעורבותו הרבה יותר בעסקה ומנגד, ההסכמה ששימש מתווך בלבד, נקבע שמתחם העונש בעניינו הוא בין 22 ל-42 חודשי מאסר בפועל. בעניין הנאשם 2, שהיה המוכר שקיבל את מלוא התמורה, נקבע שמתחם העונש הוא בין 24 ל-48 חודשי מאסר. על כל אחד מהנאשמים הוטל עונש של 24 חודשי מאסר בפועל, מאסר מותנה וקנס. השוני בין הנאשמים היה בסכום הקנס.</w:t>
      </w:r>
    </w:p>
    <w:p w14:paraId="10D2931B" w14:textId="77777777" w:rsidR="00A75CE1" w:rsidRDefault="00A75CE1" w:rsidP="00A75CE1">
      <w:pPr>
        <w:spacing w:line="360" w:lineRule="auto"/>
        <w:jc w:val="both"/>
        <w:rPr>
          <w:rtl/>
        </w:rPr>
      </w:pPr>
    </w:p>
    <w:p w14:paraId="79623CC2" w14:textId="77777777" w:rsidR="00A75CE1" w:rsidRPr="00FD5DC8" w:rsidRDefault="00A75CE1" w:rsidP="00A75CE1">
      <w:pPr>
        <w:spacing w:line="360" w:lineRule="auto"/>
        <w:jc w:val="both"/>
        <w:rPr>
          <w:rtl/>
        </w:rPr>
      </w:pPr>
    </w:p>
    <w:p w14:paraId="48C1E965" w14:textId="77777777" w:rsidR="00A75CE1" w:rsidRPr="00FD5DC8" w:rsidRDefault="00A75CE1" w:rsidP="00A75CE1">
      <w:pPr>
        <w:spacing w:line="360" w:lineRule="auto"/>
        <w:ind w:firstLine="720"/>
        <w:jc w:val="both"/>
        <w:rPr>
          <w:rtl/>
        </w:rPr>
      </w:pPr>
      <w:r w:rsidRPr="00FD5DC8">
        <w:rPr>
          <w:b/>
          <w:bCs/>
          <w:u w:val="single"/>
          <w:rtl/>
        </w:rPr>
        <w:t>עיקרי טענות בא-כוח הנאשם</w:t>
      </w:r>
    </w:p>
    <w:p w14:paraId="5223988A" w14:textId="77777777" w:rsidR="00A75CE1" w:rsidRPr="00FD5DC8" w:rsidRDefault="00A75CE1" w:rsidP="00A75CE1">
      <w:pPr>
        <w:spacing w:line="360" w:lineRule="auto"/>
        <w:jc w:val="both"/>
        <w:rPr>
          <w:rtl/>
        </w:rPr>
      </w:pPr>
    </w:p>
    <w:p w14:paraId="3A9FBF99" w14:textId="77777777" w:rsidR="00A75CE1" w:rsidRPr="00FD5DC8" w:rsidRDefault="00A75CE1" w:rsidP="00A75CE1">
      <w:pPr>
        <w:spacing w:line="360" w:lineRule="auto"/>
        <w:jc w:val="both"/>
        <w:rPr>
          <w:rtl/>
        </w:rPr>
      </w:pPr>
      <w:r w:rsidRPr="00FD5DC8">
        <w:rPr>
          <w:rtl/>
        </w:rPr>
        <w:t>9.</w:t>
      </w:r>
      <w:r w:rsidRPr="00FD5DC8">
        <w:rPr>
          <w:rtl/>
        </w:rPr>
        <w:tab/>
        <w:t>בא-כוח הנאשם חזר על הטענות שהעלה קודם למתן הכרעת הדין, שלפיהן כתב האישום מבוסס רק על דברי הנאשם בהודעתו. כך שאלמלא מסר את פרטי האירוע, לא היה מוגש נגדו כתב אישום, כשם שלא הוגש כתב אישום נגד האחר שהיה מעורב. לטענתו, יש לתת משקל רב לעובדה שלא דובר במי שנתפס בעת שניסה למכור נשק לסוכן, או במי שהודה בעקבות פעולות חקירה, אלא במי שהודה וסיפר את האמת, בעוד שאלמלא עשה כן, כלל לא היה מואשם. כן חזר וטען, כי לשיטתו, העבירה שעבר הנאשם אינה ניסיון לסחר בנשק, אלא לכל היותר קשירת קשר לסחר בנשק. לעניין זה הוסיף והדגיש, כי מוכר הנשק כלל לא נחקר, כך שגרסתו אינה ידועה. מכל מקום</w:t>
      </w:r>
      <w:r>
        <w:rPr>
          <w:rFonts w:hint="cs"/>
          <w:rtl/>
        </w:rPr>
        <w:t xml:space="preserve"> לטענתו</w:t>
      </w:r>
      <w:r w:rsidRPr="00FD5DC8">
        <w:rPr>
          <w:rtl/>
        </w:rPr>
        <w:t>, בנסיבות האמורות, יש ל</w:t>
      </w:r>
      <w:r>
        <w:rPr>
          <w:rFonts w:hint="cs"/>
          <w:rtl/>
        </w:rPr>
        <w:t>תת</w:t>
      </w:r>
      <w:r w:rsidRPr="00FD5DC8">
        <w:rPr>
          <w:rtl/>
        </w:rPr>
        <w:t xml:space="preserve"> משקל רב להודאת הנאשם במשטרה ובב</w:t>
      </w:r>
      <w:r>
        <w:rPr>
          <w:rtl/>
        </w:rPr>
        <w:t>ית המשפט, באופן שחסך זמן שיפוטי</w:t>
      </w:r>
      <w:r w:rsidRPr="00FD5DC8">
        <w:rPr>
          <w:rtl/>
        </w:rPr>
        <w:t>.</w:t>
      </w:r>
    </w:p>
    <w:p w14:paraId="1D8625C7" w14:textId="77777777" w:rsidR="00A75CE1" w:rsidRPr="00FD5DC8" w:rsidRDefault="00A75CE1" w:rsidP="00A75CE1">
      <w:pPr>
        <w:spacing w:line="360" w:lineRule="auto"/>
        <w:jc w:val="both"/>
        <w:rPr>
          <w:rtl/>
        </w:rPr>
      </w:pPr>
    </w:p>
    <w:p w14:paraId="3E640AED" w14:textId="77777777" w:rsidR="00A75CE1" w:rsidRPr="00FD5DC8" w:rsidRDefault="00A75CE1" w:rsidP="00A75CE1">
      <w:pPr>
        <w:spacing w:line="360" w:lineRule="auto"/>
        <w:jc w:val="both"/>
        <w:rPr>
          <w:rtl/>
        </w:rPr>
      </w:pPr>
      <w:r w:rsidRPr="00FD5DC8">
        <w:rPr>
          <w:rtl/>
        </w:rPr>
        <w:t>10.</w:t>
      </w:r>
      <w:r w:rsidRPr="00FD5DC8">
        <w:rPr>
          <w:rtl/>
        </w:rPr>
        <w:tab/>
        <w:t>בעניין הרשעותיו הקודמות של הנאשם טען, כי אין לזקוף אותן לחובתו. שכן, העבירה האחרונה, שעניינה הפרעה לשוטר במילוי תפקידו, נעברה לפני למעלה מאחת-עשרה שנה. כן טען, כי מאחר שהנאשם תושב מחנה הפליטים שועפאט, הנתקל תכופות בשוטרים ב</w:t>
      </w:r>
      <w:r>
        <w:rPr>
          <w:rFonts w:hint="cs"/>
          <w:rtl/>
        </w:rPr>
        <w:t xml:space="preserve">עת </w:t>
      </w:r>
      <w:r w:rsidRPr="00FD5DC8">
        <w:rPr>
          <w:rtl/>
        </w:rPr>
        <w:t>מעבר במחסום, מדובר בהרשעה זניחה. בעניין ההרשעה הראשונה טען, שזו הרשעה מלפני תשע-עשרה שנה, בעת שהנאשם היה קטין ולפיכך גם להרשעה זו יש לייחס משקל זניח.</w:t>
      </w:r>
    </w:p>
    <w:p w14:paraId="1F03F274" w14:textId="77777777" w:rsidR="00A75CE1" w:rsidRPr="00FD5DC8" w:rsidRDefault="00A75CE1" w:rsidP="00A75CE1">
      <w:pPr>
        <w:spacing w:line="360" w:lineRule="auto"/>
        <w:jc w:val="both"/>
        <w:rPr>
          <w:rtl/>
        </w:rPr>
      </w:pPr>
    </w:p>
    <w:p w14:paraId="75790323" w14:textId="77777777" w:rsidR="00A75CE1" w:rsidRPr="00FD5DC8" w:rsidRDefault="00A75CE1" w:rsidP="00A75CE1">
      <w:pPr>
        <w:spacing w:line="360" w:lineRule="auto"/>
        <w:jc w:val="both"/>
        <w:rPr>
          <w:rtl/>
        </w:rPr>
      </w:pPr>
      <w:r w:rsidRPr="00FD5DC8">
        <w:rPr>
          <w:rtl/>
        </w:rPr>
        <w:t>11.</w:t>
      </w:r>
      <w:r w:rsidRPr="00FD5DC8">
        <w:rPr>
          <w:rtl/>
        </w:rPr>
        <w:tab/>
        <w:t>בעניין נסיבותיו של הנאשם טען בא-כוחו, כי הנאש</w:t>
      </w:r>
      <w:r>
        <w:rPr>
          <w:rFonts w:hint="cs"/>
          <w:rtl/>
        </w:rPr>
        <w:t>ם</w:t>
      </w:r>
      <w:r w:rsidRPr="00FD5DC8">
        <w:rPr>
          <w:rtl/>
        </w:rPr>
        <w:t xml:space="preserve"> נשוי ואב לשלושה ילדים, בני 9, 7 ו-3. מאחר שהוא עצור בכלא רימון בדרום, בני משפחתו מתקשים לבקר אותו. קודם למעצרו, עבד במשך כחמש-עשרה שנה בעסק שלו להפעלת אירועים, הכולל התקנת במות וציוד נלווה, אך מאז מעצרו ובשל היותו נתון במעצר כבר כ</w:t>
      </w:r>
      <w:r>
        <w:rPr>
          <w:rFonts w:hint="cs"/>
          <w:rtl/>
        </w:rPr>
        <w:t>שמונה</w:t>
      </w:r>
      <w:r w:rsidRPr="00FD5DC8">
        <w:rPr>
          <w:rtl/>
        </w:rPr>
        <w:t xml:space="preserve"> חודשים, העסק קרס. כיום הנאשם נתון בחובות כספיים, כך שבפועל, כבר נענש בכך שהעסק שבו השקיע שנים רבות, ירד לטמיון. </w:t>
      </w:r>
    </w:p>
    <w:p w14:paraId="3E7A3BFE" w14:textId="77777777" w:rsidR="00A75CE1" w:rsidRPr="00FD5DC8" w:rsidRDefault="00A75CE1" w:rsidP="00A75CE1">
      <w:pPr>
        <w:spacing w:line="360" w:lineRule="auto"/>
        <w:jc w:val="both"/>
        <w:rPr>
          <w:rtl/>
        </w:rPr>
      </w:pPr>
    </w:p>
    <w:p w14:paraId="725C56DD" w14:textId="77777777" w:rsidR="00A75CE1" w:rsidRPr="00FD5DC8" w:rsidRDefault="00A75CE1" w:rsidP="00A75CE1">
      <w:pPr>
        <w:spacing w:line="360" w:lineRule="auto"/>
        <w:jc w:val="both"/>
        <w:rPr>
          <w:rtl/>
        </w:rPr>
      </w:pPr>
      <w:r w:rsidRPr="00FD5DC8">
        <w:rPr>
          <w:rtl/>
        </w:rPr>
        <w:t>12.</w:t>
      </w:r>
      <w:r w:rsidRPr="00FD5DC8">
        <w:rPr>
          <w:rtl/>
        </w:rPr>
        <w:tab/>
        <w:t>בעניין רמת הענישה הנוהגת, טען בא-כוח הנאשם, כי דווקא הפסיקה שהגישה המאשימה תומכת בטענתו, שלפיה על העונש להיות לתקופה שאינה עולה על תקופת מעצרו של הנאשם. לטענתו, חרף הפסיקה שהגישה באת-כוח המאשימה, המצביעה על רמת ענישה נמוכה, טענותיה עמדו בניגוד לפסיקה שעליה ביקשה להסתמך. שכן, חרף הענישה המקלה שנקבעה באותה פסיקה העוסקת בנסיבות דומות לאלו הנדונות, באת-כוח המאשימה טענה כי יש להשית על הנאשם עונש התואם עבירה של סחר בנשק ולא עבירה של ניסיון לסחר בנשק.</w:t>
      </w:r>
    </w:p>
    <w:p w14:paraId="5B7D4316" w14:textId="77777777" w:rsidR="00A75CE1" w:rsidRPr="00FD5DC8" w:rsidRDefault="00A75CE1" w:rsidP="00A75CE1">
      <w:pPr>
        <w:spacing w:line="360" w:lineRule="auto"/>
        <w:jc w:val="both"/>
        <w:rPr>
          <w:rtl/>
        </w:rPr>
      </w:pPr>
    </w:p>
    <w:p w14:paraId="6F8384EC" w14:textId="77777777" w:rsidR="00A75CE1" w:rsidRPr="00FD5DC8" w:rsidRDefault="00A75CE1" w:rsidP="00A75CE1">
      <w:pPr>
        <w:spacing w:line="360" w:lineRule="auto"/>
        <w:jc w:val="both"/>
        <w:rPr>
          <w:rtl/>
        </w:rPr>
      </w:pPr>
      <w:r w:rsidRPr="00FD5DC8">
        <w:rPr>
          <w:rtl/>
        </w:rPr>
        <w:t xml:space="preserve">בעניין </w:t>
      </w:r>
      <w:r w:rsidRPr="00FD5DC8">
        <w:rPr>
          <w:u w:val="single"/>
          <w:rtl/>
        </w:rPr>
        <w:t>קישק</w:t>
      </w:r>
      <w:r w:rsidRPr="00FD5DC8">
        <w:rPr>
          <w:rtl/>
        </w:rPr>
        <w:t xml:space="preserve">, טען, כי דובר בנסיבות חמורות יותר, גם אם שם דובר בניסיון לרכישת נשק. שכן, באותו עניין כבר שולמה התמורה עבור הנשק, אך הנאשם נתפס לפני שהספיקו להעביר אליו את הנשק. זאת בשונה מהנסיבות בעניין הנאשם הנדון, שלפיהן כלל לא שולם דבר ואף לא הספיקו לנסוע להביא את הנשק. בעניין </w:t>
      </w:r>
      <w:r w:rsidRPr="00FD5DC8">
        <w:rPr>
          <w:u w:val="single"/>
          <w:rtl/>
        </w:rPr>
        <w:t>סלפיתי</w:t>
      </w:r>
      <w:r w:rsidRPr="00FD5DC8">
        <w:rPr>
          <w:rtl/>
        </w:rPr>
        <w:t xml:space="preserve"> טען, כי הנסיבות דומות לעניין </w:t>
      </w:r>
      <w:r w:rsidRPr="00FD5DC8">
        <w:rPr>
          <w:u w:val="single"/>
          <w:rtl/>
        </w:rPr>
        <w:t>קישק</w:t>
      </w:r>
      <w:r w:rsidRPr="00FD5DC8">
        <w:rPr>
          <w:rtl/>
        </w:rPr>
        <w:t>, מאחר שגם שם כבר שולמה התמורה.</w:t>
      </w:r>
    </w:p>
    <w:p w14:paraId="238F3B16" w14:textId="77777777" w:rsidR="00A75CE1" w:rsidRPr="00FD5DC8" w:rsidRDefault="00A75CE1" w:rsidP="00A75CE1">
      <w:pPr>
        <w:spacing w:line="360" w:lineRule="auto"/>
        <w:jc w:val="both"/>
        <w:rPr>
          <w:rtl/>
        </w:rPr>
      </w:pPr>
    </w:p>
    <w:p w14:paraId="48DA7D74" w14:textId="77777777" w:rsidR="00A75CE1" w:rsidRPr="00FD5DC8" w:rsidRDefault="00A75CE1" w:rsidP="00A75CE1">
      <w:pPr>
        <w:spacing w:line="360" w:lineRule="auto"/>
        <w:jc w:val="both"/>
        <w:rPr>
          <w:rtl/>
        </w:rPr>
      </w:pPr>
      <w:r w:rsidRPr="00FD5DC8">
        <w:rPr>
          <w:rtl/>
        </w:rPr>
        <w:t>בנוסף לטענותיו של בא-כוח הנאשם בהסתמך על הפסיקה שהגישה המאשימה, הוסיף והפנה לפסקי דין נוספים, שאף אם חלקם עוסקים בעבירה של קשירת קשר לסחר בנשק, לטענתו, הנסיבות שנדונו באותם פסקי דין דומות יותר לעניינו של הנאשם הנדון. אלו הם פסקי הדין שאליהם הפנה:</w:t>
      </w:r>
    </w:p>
    <w:p w14:paraId="010BA968" w14:textId="77777777" w:rsidR="00A75CE1" w:rsidRPr="00FD5DC8" w:rsidRDefault="00A75CE1" w:rsidP="00A75CE1">
      <w:pPr>
        <w:spacing w:line="360" w:lineRule="auto"/>
        <w:jc w:val="both"/>
        <w:rPr>
          <w:rtl/>
        </w:rPr>
      </w:pPr>
    </w:p>
    <w:p w14:paraId="376E9B3A" w14:textId="77777777" w:rsidR="00A75CE1" w:rsidRPr="00FD5DC8" w:rsidRDefault="00A75CE1" w:rsidP="00A75CE1">
      <w:pPr>
        <w:spacing w:line="360" w:lineRule="auto"/>
        <w:jc w:val="both"/>
        <w:rPr>
          <w:rtl/>
        </w:rPr>
      </w:pPr>
      <w:r w:rsidRPr="00FD5DC8">
        <w:rPr>
          <w:rtl/>
        </w:rPr>
        <w:t>(1)</w:t>
      </w:r>
      <w:r w:rsidRPr="00FD5DC8">
        <w:rPr>
          <w:rtl/>
        </w:rPr>
        <w:tab/>
      </w:r>
      <w:hyperlink r:id="rId33" w:history="1">
        <w:r w:rsidR="001F21E7" w:rsidRPr="001F21E7">
          <w:rPr>
            <w:color w:val="0000FF"/>
            <w:u w:val="single"/>
            <w:rtl/>
          </w:rPr>
          <w:t>ע"פ 4945/13</w:t>
        </w:r>
      </w:hyperlink>
      <w:r w:rsidRPr="00FD5DC8">
        <w:rPr>
          <w:rtl/>
        </w:rPr>
        <w:t xml:space="preserve"> </w:t>
      </w:r>
      <w:r w:rsidRPr="00FD5DC8">
        <w:rPr>
          <w:u w:val="single"/>
          <w:rtl/>
        </w:rPr>
        <w:t>מדינת ישראל נ' סלימאן</w:t>
      </w:r>
      <w:r w:rsidRPr="00FD5DC8">
        <w:rPr>
          <w:rtl/>
        </w:rPr>
        <w:t xml:space="preserve"> (19.1.2014) (כבוד השופטת ע' ארבל) – הנאשם הורשע לאחר שמיעת ראיות בעבירות של רכישה והחזקת נשק, רכישה והחזקת תחמושת, נשיאת נשק והובלתו, נשיאת תחמושת והובלתה, הפרעה לשוטר במילוי תפקידו, מעשה פזיזות ורשלנות והסתייעות ברכב לביצוע פשע. עסקת הנשק כללה רכישת רובה מסוג קארל גוסטב, מחסניות וכדורים. בבית המשפט המחוזי נקבע כי מתחם העונש ההולם הוא בין עבודות שירות ל-20 חודשי מאסר ועל הנאשם הושתו שישה חודשי מאסר בעובדות שירות. בפסק הדין שניתן בערעור שהגישה המדינה, נקבע שמתחם העונש ההולם הוא בין 12 ל-36 חודשי מאסר וכי העונש שהושת על הנאשם מקל באופן חריג. עם זאת, לנוכח נסיבותיו המיוחדות של הנאשם ופוטנציאל השיקום שלו, ראה בית המשפט העליון לנכון להותיר את העונש על כנו.</w:t>
      </w:r>
    </w:p>
    <w:p w14:paraId="2945CC80" w14:textId="77777777" w:rsidR="00A75CE1" w:rsidRPr="00FD5DC8" w:rsidRDefault="00A75CE1" w:rsidP="00A75CE1">
      <w:pPr>
        <w:spacing w:line="360" w:lineRule="auto"/>
        <w:jc w:val="both"/>
        <w:rPr>
          <w:rtl/>
        </w:rPr>
      </w:pPr>
    </w:p>
    <w:p w14:paraId="75C313ED" w14:textId="77777777" w:rsidR="00A75CE1" w:rsidRPr="00FD5DC8" w:rsidRDefault="00A75CE1" w:rsidP="00A75CE1">
      <w:pPr>
        <w:spacing w:line="360" w:lineRule="auto"/>
        <w:jc w:val="both"/>
        <w:rPr>
          <w:rtl/>
        </w:rPr>
      </w:pPr>
      <w:r w:rsidRPr="00FD5DC8">
        <w:rPr>
          <w:rtl/>
        </w:rPr>
        <w:t>נקדים ונעיר, כי ספק אם ניתן להסתמך על פסק-דין זה, לנוכח היותו חריג מאד. ראו לעניין זה את הערות בית המשפט בעניין רמת הענישה הראויה (פסק-דינה של כבוד השופטת ע' ארבל, בעיקר בפסקה 14 והערותיהם לעניין זה של כבוד השופטת ד' ברק-ארז וכבוד השופט א' רובינשטיין).</w:t>
      </w:r>
    </w:p>
    <w:p w14:paraId="57E06B99" w14:textId="77777777" w:rsidR="00A75CE1" w:rsidRPr="00FD5DC8" w:rsidRDefault="00A75CE1" w:rsidP="00A75CE1">
      <w:pPr>
        <w:spacing w:line="360" w:lineRule="auto"/>
        <w:jc w:val="both"/>
        <w:rPr>
          <w:rtl/>
        </w:rPr>
      </w:pPr>
    </w:p>
    <w:p w14:paraId="578CBA33" w14:textId="77777777" w:rsidR="00A75CE1" w:rsidRPr="00FD5DC8" w:rsidRDefault="00A75CE1" w:rsidP="00A75CE1">
      <w:pPr>
        <w:spacing w:line="360" w:lineRule="auto"/>
        <w:jc w:val="both"/>
        <w:rPr>
          <w:rtl/>
        </w:rPr>
      </w:pPr>
      <w:r w:rsidRPr="00FD5DC8">
        <w:rPr>
          <w:rtl/>
        </w:rPr>
        <w:t>(2)</w:t>
      </w:r>
      <w:r w:rsidRPr="00FD5DC8">
        <w:rPr>
          <w:rtl/>
        </w:rPr>
        <w:tab/>
      </w:r>
      <w:hyperlink r:id="rId34" w:history="1">
        <w:r w:rsidR="001F21E7" w:rsidRPr="001F21E7">
          <w:rPr>
            <w:color w:val="0000FF"/>
            <w:u w:val="single"/>
            <w:rtl/>
          </w:rPr>
          <w:t>ע"פ 6985/12</w:t>
        </w:r>
      </w:hyperlink>
      <w:r w:rsidRPr="00FD5DC8">
        <w:rPr>
          <w:rtl/>
        </w:rPr>
        <w:t xml:space="preserve"> </w:t>
      </w:r>
      <w:r w:rsidRPr="00FD5DC8">
        <w:rPr>
          <w:u w:val="single"/>
          <w:rtl/>
        </w:rPr>
        <w:t>אחמד נ' מדינת ישראל</w:t>
      </w:r>
      <w:r w:rsidRPr="00FD5DC8">
        <w:rPr>
          <w:rtl/>
        </w:rPr>
        <w:t xml:space="preserve"> (17.3.2013) (כבוד השופט א' רובינשטיין) – הנאשם הורשע במסגרת הסדר טיעון בעבירה של קשירת קשר לפשע, שעניינו סחר בנשק, שנעברה בכך שסיכם עם אחר למכור לו אקדח וכן שיבוא אליו לשם רכישת הנשק. לנוכח גילו הצעיר ועברו הנקי, הושת עליו עונש של 8 חודשי מאסר בפועל, מאסר מותנה וקנס. הערעור נדחה.</w:t>
      </w:r>
    </w:p>
    <w:p w14:paraId="4CD02CC4" w14:textId="77777777" w:rsidR="00A75CE1" w:rsidRPr="00FD5DC8" w:rsidRDefault="00A75CE1" w:rsidP="00A75CE1">
      <w:pPr>
        <w:spacing w:line="360" w:lineRule="auto"/>
        <w:jc w:val="both"/>
        <w:rPr>
          <w:rtl/>
        </w:rPr>
      </w:pPr>
    </w:p>
    <w:p w14:paraId="695226CE" w14:textId="77777777" w:rsidR="00A75CE1" w:rsidRPr="00FD5DC8" w:rsidRDefault="00A75CE1" w:rsidP="00A75CE1">
      <w:pPr>
        <w:spacing w:line="360" w:lineRule="auto"/>
        <w:jc w:val="both"/>
        <w:rPr>
          <w:rtl/>
        </w:rPr>
      </w:pPr>
      <w:r w:rsidRPr="00FD5DC8">
        <w:rPr>
          <w:rtl/>
        </w:rPr>
        <w:t>(3)</w:t>
      </w:r>
      <w:r w:rsidRPr="00FD5DC8">
        <w:rPr>
          <w:rtl/>
        </w:rPr>
        <w:tab/>
      </w:r>
      <w:hyperlink r:id="rId35" w:history="1">
        <w:r w:rsidR="001F21E7" w:rsidRPr="001F21E7">
          <w:rPr>
            <w:color w:val="0000FF"/>
            <w:u w:val="single"/>
            <w:rtl/>
          </w:rPr>
          <w:t>ע"פ 8866/11</w:t>
        </w:r>
      </w:hyperlink>
      <w:r w:rsidRPr="00FD5DC8">
        <w:rPr>
          <w:rtl/>
        </w:rPr>
        <w:t xml:space="preserve">, </w:t>
      </w:r>
      <w:r w:rsidRPr="00FD5DC8">
        <w:rPr>
          <w:u w:val="single"/>
          <w:rtl/>
        </w:rPr>
        <w:t>חאג' נ' מדינת ישראל</w:t>
      </w:r>
      <w:r w:rsidRPr="00FD5DC8">
        <w:rPr>
          <w:rtl/>
        </w:rPr>
        <w:t xml:space="preserve"> (22.3.2012) (כבוד השופט נ' סולברג) – הנאשם הורשע על-פי הודאתו בעבירה של קשירת קשר לפשע, שעניינו סחר בנשק. הנאשם נפגש עם סוכן משטרה, סיכם עמו למכור לו רובה מסוג </w:t>
      </w:r>
      <w:r w:rsidRPr="00FD5DC8">
        <w:t>M-16</w:t>
      </w:r>
      <w:r w:rsidRPr="00FD5DC8">
        <w:rPr>
          <w:rtl/>
        </w:rPr>
        <w:t xml:space="preserve"> וכן שוחח עמו על האפשרות שימכור לו כלי נשק נוספים. בהתחשב בכך שהרשעותיו הקודמות של הנאשם לא כללו עבירות נשק ולנוכח מעצר הבית הממושך שבו שהה, הושת עליו עונש של 9 חודשי מאסר בפועל, מאסר מותנה וקנס.</w:t>
      </w:r>
    </w:p>
    <w:p w14:paraId="0FA7913E" w14:textId="77777777" w:rsidR="00A75CE1" w:rsidRPr="00FD5DC8" w:rsidRDefault="00A75CE1" w:rsidP="00A75CE1">
      <w:pPr>
        <w:spacing w:line="360" w:lineRule="auto"/>
        <w:jc w:val="both"/>
        <w:rPr>
          <w:rtl/>
        </w:rPr>
      </w:pPr>
    </w:p>
    <w:p w14:paraId="2A7BBA49" w14:textId="77777777" w:rsidR="00A75CE1" w:rsidRPr="00FD5DC8" w:rsidRDefault="00A75CE1" w:rsidP="00A75CE1">
      <w:pPr>
        <w:spacing w:line="360" w:lineRule="auto"/>
        <w:jc w:val="both"/>
        <w:rPr>
          <w:rtl/>
        </w:rPr>
      </w:pPr>
      <w:r w:rsidRPr="00FD5DC8">
        <w:rPr>
          <w:rtl/>
        </w:rPr>
        <w:t>(4)</w:t>
      </w:r>
      <w:r w:rsidRPr="00FD5DC8">
        <w:rPr>
          <w:rtl/>
        </w:rPr>
        <w:tab/>
      </w:r>
      <w:hyperlink r:id="rId36" w:history="1">
        <w:r w:rsidR="001F21E7" w:rsidRPr="001F21E7">
          <w:rPr>
            <w:color w:val="0000FF"/>
            <w:u w:val="single"/>
            <w:rtl/>
          </w:rPr>
          <w:t>ע"פ 3317/09</w:t>
        </w:r>
      </w:hyperlink>
      <w:r w:rsidRPr="00FD5DC8">
        <w:rPr>
          <w:rtl/>
        </w:rPr>
        <w:t xml:space="preserve"> </w:t>
      </w:r>
      <w:r w:rsidRPr="00FD5DC8">
        <w:rPr>
          <w:u w:val="single"/>
          <w:rtl/>
        </w:rPr>
        <w:t>פלוני נ' מדינת ישראל</w:t>
      </w:r>
      <w:r w:rsidRPr="00FD5DC8">
        <w:rPr>
          <w:rtl/>
        </w:rPr>
        <w:t xml:space="preserve"> (24.11.2009) (כבוד השופט א' א' לוי) (להלן – </w:t>
      </w:r>
      <w:r w:rsidRPr="00FD5DC8">
        <w:rPr>
          <w:b/>
          <w:bCs/>
          <w:rtl/>
        </w:rPr>
        <w:t xml:space="preserve">עניין </w:t>
      </w:r>
      <w:r w:rsidRPr="00FD5DC8">
        <w:rPr>
          <w:b/>
          <w:bCs/>
          <w:u w:val="single"/>
          <w:rtl/>
        </w:rPr>
        <w:t>פלוני</w:t>
      </w:r>
      <w:r w:rsidRPr="00FD5DC8">
        <w:rPr>
          <w:rtl/>
        </w:rPr>
        <w:t>) – הנאשם הורשע על-פי הודאתו בעבירות של ניסיון לסחר בנשק, שכלל ניסיון למ</w:t>
      </w:r>
      <w:r>
        <w:rPr>
          <w:rFonts w:hint="cs"/>
          <w:rtl/>
        </w:rPr>
        <w:t>כירת</w:t>
      </w:r>
      <w:r w:rsidRPr="00FD5DC8">
        <w:rPr>
          <w:rtl/>
        </w:rPr>
        <w:t xml:space="preserve"> רובה </w:t>
      </w:r>
      <w:r>
        <w:rPr>
          <w:rFonts w:hint="cs"/>
          <w:rtl/>
        </w:rPr>
        <w:t xml:space="preserve">סער </w:t>
      </w:r>
      <w:r w:rsidRPr="00FD5DC8">
        <w:rPr>
          <w:rtl/>
        </w:rPr>
        <w:t xml:space="preserve">מסוג </w:t>
      </w:r>
      <w:r w:rsidRPr="00FD5DC8">
        <w:t>M-16</w:t>
      </w:r>
      <w:r w:rsidRPr="00FD5DC8">
        <w:rPr>
          <w:rtl/>
        </w:rPr>
        <w:t>, הובלת נשק ושידול להתפרצות לבניין. הנאשם, צעיר ללא הרשעות קודמות. הושת עליו עונש של מאסר מותנה למשך 10 חודשים</w:t>
      </w:r>
      <w:r>
        <w:rPr>
          <w:rFonts w:hint="cs"/>
          <w:rtl/>
        </w:rPr>
        <w:t>,</w:t>
      </w:r>
      <w:r w:rsidRPr="00FD5DC8">
        <w:rPr>
          <w:rtl/>
        </w:rPr>
        <w:t xml:space="preserve"> קנס</w:t>
      </w:r>
      <w:r>
        <w:rPr>
          <w:rFonts w:hint="cs"/>
          <w:rtl/>
        </w:rPr>
        <w:t>, חתימה</w:t>
      </w:r>
      <w:r w:rsidRPr="00FD5DC8">
        <w:rPr>
          <w:rtl/>
        </w:rPr>
        <w:t xml:space="preserve"> על התחייבות להימנע מעבירה</w:t>
      </w:r>
      <w:r>
        <w:rPr>
          <w:rFonts w:hint="cs"/>
          <w:rtl/>
        </w:rPr>
        <w:t xml:space="preserve">, </w:t>
      </w:r>
      <w:r w:rsidRPr="00FD5DC8">
        <w:rPr>
          <w:rtl/>
        </w:rPr>
        <w:t xml:space="preserve">300 שעות שירות לתועלת הציבור, </w:t>
      </w:r>
      <w:r>
        <w:rPr>
          <w:rFonts w:hint="cs"/>
          <w:rtl/>
        </w:rPr>
        <w:t>ו</w:t>
      </w:r>
      <w:r w:rsidRPr="00FD5DC8">
        <w:rPr>
          <w:rtl/>
        </w:rPr>
        <w:t>צו פיקוח קצין מבחן. הערעור שהיה רק בעניין ההרשעה, נדחה.</w:t>
      </w:r>
    </w:p>
    <w:p w14:paraId="67A6564A" w14:textId="77777777" w:rsidR="00A75CE1" w:rsidRPr="00FD5DC8" w:rsidRDefault="00A75CE1" w:rsidP="00A75CE1">
      <w:pPr>
        <w:spacing w:line="360" w:lineRule="auto"/>
        <w:jc w:val="both"/>
        <w:rPr>
          <w:rtl/>
        </w:rPr>
      </w:pPr>
    </w:p>
    <w:p w14:paraId="73493191" w14:textId="77777777" w:rsidR="00A75CE1" w:rsidRPr="00FD5DC8" w:rsidRDefault="00A75CE1" w:rsidP="00A75CE1">
      <w:pPr>
        <w:spacing w:line="360" w:lineRule="auto"/>
        <w:jc w:val="both"/>
        <w:rPr>
          <w:rtl/>
        </w:rPr>
      </w:pPr>
      <w:r w:rsidRPr="00FD5DC8">
        <w:rPr>
          <w:rtl/>
        </w:rPr>
        <w:t>(5)</w:t>
      </w:r>
      <w:r w:rsidRPr="00FD5DC8">
        <w:rPr>
          <w:rtl/>
        </w:rPr>
        <w:tab/>
      </w:r>
      <w:hyperlink r:id="rId37" w:history="1">
        <w:r w:rsidR="001F21E7" w:rsidRPr="001F21E7">
          <w:rPr>
            <w:color w:val="0000FF"/>
            <w:u w:val="single"/>
            <w:rtl/>
          </w:rPr>
          <w:t>ת"פ (מחוזי באר-שבע) 7498-11-14</w:t>
        </w:r>
      </w:hyperlink>
      <w:r w:rsidRPr="00FD5DC8">
        <w:rPr>
          <w:rtl/>
        </w:rPr>
        <w:t xml:space="preserve"> </w:t>
      </w:r>
      <w:r w:rsidRPr="00FD5DC8">
        <w:rPr>
          <w:u w:val="single"/>
          <w:rtl/>
        </w:rPr>
        <w:t>מדינת ישראל נ' אלצראיעה</w:t>
      </w:r>
      <w:r w:rsidRPr="00FD5DC8">
        <w:rPr>
          <w:rtl/>
        </w:rPr>
        <w:t xml:space="preserve"> (30.3.2017) (כבוד השופט אליהו ביתן) –  הנאשם הורשע על-פי הודאתו בעבירות הבאות: קשירת קשר לפשע, שתי עבירות של נשיאת נשק והובלתו, שתי עבירות של החזקת נשק, גניבה וניסיון לסחר בנשק. הנאשם צעיר כבן 21, ללא הרשעות קודמות. נקבע </w:t>
      </w:r>
      <w:r>
        <w:rPr>
          <w:rFonts w:hint="cs"/>
          <w:rtl/>
        </w:rPr>
        <w:t>ש</w:t>
      </w:r>
      <w:r w:rsidRPr="00FD5DC8">
        <w:rPr>
          <w:rtl/>
        </w:rPr>
        <w:t>מתחם העונש הוא בין 3 ל-6 שנות מאסר. לנוכח נסיבותיו החריגות של הנאשם הושת עליו עונש של 6 חודשי מאסר בעבודות שירות, מאסר מותנה וקנס.</w:t>
      </w:r>
    </w:p>
    <w:p w14:paraId="59FF7BF7" w14:textId="77777777" w:rsidR="00A75CE1" w:rsidRPr="00FD5DC8" w:rsidRDefault="00A75CE1" w:rsidP="00A75CE1">
      <w:pPr>
        <w:spacing w:line="360" w:lineRule="auto"/>
        <w:jc w:val="both"/>
        <w:rPr>
          <w:rtl/>
        </w:rPr>
      </w:pPr>
    </w:p>
    <w:p w14:paraId="394388F9" w14:textId="77777777" w:rsidR="00A75CE1" w:rsidRPr="00FD5DC8" w:rsidRDefault="00A75CE1" w:rsidP="00A75CE1">
      <w:pPr>
        <w:spacing w:line="360" w:lineRule="auto"/>
        <w:jc w:val="both"/>
        <w:rPr>
          <w:rtl/>
        </w:rPr>
      </w:pPr>
      <w:r w:rsidRPr="00FD5DC8">
        <w:rPr>
          <w:rtl/>
        </w:rPr>
        <w:t>13.</w:t>
      </w:r>
      <w:r w:rsidRPr="00FD5DC8">
        <w:rPr>
          <w:rtl/>
        </w:rPr>
        <w:tab/>
        <w:t>על יסוד הפסיקה שאליה</w:t>
      </w:r>
      <w:r>
        <w:rPr>
          <w:rFonts w:hint="cs"/>
          <w:rtl/>
        </w:rPr>
        <w:t xml:space="preserve"> הפנה</w:t>
      </w:r>
      <w:r w:rsidRPr="00FD5DC8">
        <w:rPr>
          <w:rtl/>
        </w:rPr>
        <w:t>, טען בא-כוח הנאשם כי מתחם העונש ההולם בעניינ</w:t>
      </w:r>
      <w:r>
        <w:rPr>
          <w:rFonts w:hint="cs"/>
          <w:rtl/>
        </w:rPr>
        <w:t>ו של הנאשם</w:t>
      </w:r>
      <w:r w:rsidRPr="00FD5DC8">
        <w:rPr>
          <w:rtl/>
        </w:rPr>
        <w:t xml:space="preserve"> הוא בין 6 ל-24 חודשי מאסר בפועל. עוד טען, כי מאחר שכאמור, לטענתו אין לזקוף לחובת הנאשם את הרשעותיו הקודמות, וכן לנוכח שאר נסיבותיו שעליהן עמד, על עונשו להיות ברף התחתון של מתחם העונש. לפיכך טען, כי יש להסתפק במאסר למשך כ-8 חודשים שיחפוף את תקופת מעצרו של הנאשם, מאסר מותנה, שיהיה כדי להתריע אותו מפני חזרה על העבירה וכן קנס.</w:t>
      </w:r>
    </w:p>
    <w:p w14:paraId="6EEA94EA" w14:textId="77777777" w:rsidR="00A75CE1" w:rsidRPr="00FD5DC8" w:rsidRDefault="00A75CE1" w:rsidP="00A75CE1">
      <w:pPr>
        <w:spacing w:line="360" w:lineRule="auto"/>
        <w:jc w:val="both"/>
        <w:rPr>
          <w:rtl/>
        </w:rPr>
      </w:pPr>
    </w:p>
    <w:p w14:paraId="385FDAC1" w14:textId="77777777" w:rsidR="00A75CE1" w:rsidRPr="00FD5DC8" w:rsidRDefault="00A75CE1" w:rsidP="00A75CE1">
      <w:pPr>
        <w:spacing w:line="360" w:lineRule="auto"/>
        <w:jc w:val="both"/>
        <w:rPr>
          <w:rtl/>
        </w:rPr>
      </w:pPr>
      <w:r w:rsidRPr="00FD5DC8">
        <w:rPr>
          <w:rtl/>
        </w:rPr>
        <w:tab/>
      </w:r>
      <w:r w:rsidRPr="00FD5DC8">
        <w:rPr>
          <w:b/>
          <w:bCs/>
          <w:u w:val="single"/>
          <w:rtl/>
        </w:rPr>
        <w:t>דברי הנאשם</w:t>
      </w:r>
    </w:p>
    <w:p w14:paraId="505800CB" w14:textId="77777777" w:rsidR="00A75CE1" w:rsidRPr="00FD5DC8" w:rsidRDefault="00A75CE1" w:rsidP="00A75CE1">
      <w:pPr>
        <w:spacing w:line="360" w:lineRule="auto"/>
        <w:jc w:val="both"/>
        <w:rPr>
          <w:rtl/>
        </w:rPr>
      </w:pPr>
    </w:p>
    <w:p w14:paraId="5B234E0D" w14:textId="77777777" w:rsidR="00A75CE1" w:rsidRPr="00FD5DC8" w:rsidRDefault="00A75CE1" w:rsidP="00A75CE1">
      <w:pPr>
        <w:spacing w:line="360" w:lineRule="auto"/>
        <w:jc w:val="both"/>
      </w:pPr>
      <w:r w:rsidRPr="00FD5DC8">
        <w:rPr>
          <w:rtl/>
        </w:rPr>
        <w:t>14.</w:t>
      </w:r>
      <w:r w:rsidRPr="00FD5DC8">
        <w:rPr>
          <w:rtl/>
        </w:rPr>
        <w:tab/>
        <w:t>הנאשם ביקש להביע את אמונו בבית המשפט, הוסיף שאין אדם שאינו טועה, אך העיקר הוא הלימוד מטעויות העבר לגבי העתיד. הנאשם ביקש להוסיף שמעולם לא גרם לאיש נזק, מעולם לא פעל נגד אדם אחר וכי הוא אדם שמעדיף את דרך השלום. הנאשם אף הביע צער כן על מעשיו וביקש לשוב אל חיק משפחתו ואל בניו וכן ביקש שתינתן לו הזדמנות להתחיל מחדש את חייו.</w:t>
      </w:r>
    </w:p>
    <w:p w14:paraId="74762E8C" w14:textId="77777777" w:rsidR="00A75CE1" w:rsidRPr="00FD5DC8" w:rsidRDefault="00A75CE1" w:rsidP="00A75CE1">
      <w:pPr>
        <w:spacing w:line="360" w:lineRule="auto"/>
        <w:jc w:val="both"/>
        <w:rPr>
          <w:rtl/>
        </w:rPr>
      </w:pPr>
      <w:r w:rsidRPr="00FD5DC8">
        <w:rPr>
          <w:rtl/>
        </w:rPr>
        <w:tab/>
      </w:r>
    </w:p>
    <w:p w14:paraId="74E4AB4A" w14:textId="77777777" w:rsidR="00A75CE1" w:rsidRPr="00FD5DC8" w:rsidRDefault="00A75CE1" w:rsidP="00A75CE1">
      <w:pPr>
        <w:spacing w:line="360" w:lineRule="auto"/>
        <w:jc w:val="both"/>
        <w:rPr>
          <w:b/>
          <w:bCs/>
          <w:u w:val="single"/>
          <w:rtl/>
        </w:rPr>
      </w:pPr>
      <w:r w:rsidRPr="00FD5DC8">
        <w:rPr>
          <w:b/>
          <w:bCs/>
          <w:u w:val="single"/>
          <w:rtl/>
        </w:rPr>
        <w:t>דיון</w:t>
      </w:r>
    </w:p>
    <w:p w14:paraId="038C2E99" w14:textId="77777777" w:rsidR="00A75CE1" w:rsidRPr="00FD5DC8" w:rsidRDefault="00A75CE1" w:rsidP="00A75CE1">
      <w:pPr>
        <w:spacing w:line="360" w:lineRule="auto"/>
        <w:jc w:val="both"/>
        <w:rPr>
          <w:rtl/>
        </w:rPr>
      </w:pPr>
    </w:p>
    <w:p w14:paraId="33E448AC" w14:textId="77777777" w:rsidR="00A75CE1" w:rsidRPr="00FD5DC8" w:rsidRDefault="00A75CE1" w:rsidP="00A75CE1">
      <w:pPr>
        <w:spacing w:line="360" w:lineRule="auto"/>
        <w:jc w:val="both"/>
        <w:rPr>
          <w:b/>
          <w:bCs/>
          <w:u w:val="single"/>
          <w:rtl/>
        </w:rPr>
      </w:pPr>
      <w:r w:rsidRPr="00FD5DC8">
        <w:rPr>
          <w:b/>
          <w:bCs/>
          <w:u w:val="single"/>
          <w:rtl/>
        </w:rPr>
        <w:t>קביעת מתחם העונש ההולם</w:t>
      </w:r>
    </w:p>
    <w:p w14:paraId="57C4C4F3" w14:textId="77777777" w:rsidR="00A75CE1" w:rsidRPr="00FD5DC8" w:rsidRDefault="00A75CE1" w:rsidP="00A75CE1">
      <w:pPr>
        <w:spacing w:line="360" w:lineRule="auto"/>
        <w:jc w:val="both"/>
        <w:rPr>
          <w:rtl/>
        </w:rPr>
      </w:pPr>
    </w:p>
    <w:p w14:paraId="32C48FA5" w14:textId="77777777" w:rsidR="00A75CE1" w:rsidRPr="00FD5DC8" w:rsidRDefault="00A75CE1" w:rsidP="00A75CE1">
      <w:pPr>
        <w:spacing w:line="360" w:lineRule="auto"/>
        <w:ind w:firstLine="720"/>
        <w:jc w:val="both"/>
        <w:rPr>
          <w:rtl/>
        </w:rPr>
      </w:pPr>
      <w:r w:rsidRPr="00FD5DC8">
        <w:rPr>
          <w:b/>
          <w:bCs/>
        </w:rPr>
        <w:sym w:font="Wingdings" w:char="F077"/>
      </w:r>
      <w:r w:rsidRPr="00FD5DC8">
        <w:rPr>
          <w:b/>
          <w:bCs/>
          <w:rtl/>
        </w:rPr>
        <w:t xml:space="preserve">   </w:t>
      </w:r>
      <w:r w:rsidRPr="00FD5DC8">
        <w:rPr>
          <w:b/>
          <w:bCs/>
          <w:u w:val="single"/>
          <w:rtl/>
        </w:rPr>
        <w:t>הערכים החברתיים שנפגעו מהעבירות</w:t>
      </w:r>
      <w:r w:rsidRPr="00FD5DC8">
        <w:rPr>
          <w:u w:val="single"/>
          <w:rtl/>
        </w:rPr>
        <w:t xml:space="preserve"> </w:t>
      </w:r>
      <w:r w:rsidRPr="00FD5DC8">
        <w:rPr>
          <w:b/>
          <w:bCs/>
          <w:u w:val="single"/>
          <w:rtl/>
        </w:rPr>
        <w:t>ומידת הפגיעה בערכים מוגנים אלו</w:t>
      </w:r>
      <w:r w:rsidRPr="00FD5DC8">
        <w:rPr>
          <w:b/>
          <w:bCs/>
          <w:rtl/>
        </w:rPr>
        <w:t xml:space="preserve"> </w:t>
      </w:r>
    </w:p>
    <w:p w14:paraId="39C77FF6" w14:textId="77777777" w:rsidR="00A75CE1" w:rsidRPr="00FD5DC8" w:rsidRDefault="00A75CE1" w:rsidP="00A75CE1">
      <w:pPr>
        <w:spacing w:line="360" w:lineRule="auto"/>
        <w:jc w:val="both"/>
        <w:rPr>
          <w:rtl/>
        </w:rPr>
      </w:pPr>
    </w:p>
    <w:p w14:paraId="3584E419" w14:textId="77777777" w:rsidR="00A75CE1" w:rsidRPr="00FD5DC8" w:rsidRDefault="00A75CE1" w:rsidP="00A75CE1">
      <w:pPr>
        <w:spacing w:line="360" w:lineRule="auto"/>
        <w:jc w:val="both"/>
        <w:rPr>
          <w:rtl/>
        </w:rPr>
      </w:pPr>
      <w:r w:rsidRPr="00FD5DC8">
        <w:rPr>
          <w:rtl/>
        </w:rPr>
        <w:t>15.</w:t>
      </w:r>
      <w:r w:rsidRPr="00FD5DC8">
        <w:rPr>
          <w:rtl/>
        </w:rPr>
        <w:tab/>
        <w:t xml:space="preserve">הנאשם הורשע בכך שעבר עבירה של ניסיון לעסקה בנשק בלא רשות על-פי דין לעשייתה, לפי </w:t>
      </w:r>
      <w:hyperlink r:id="rId38" w:history="1">
        <w:r w:rsidR="00D6318A" w:rsidRPr="00D6318A">
          <w:rPr>
            <w:color w:val="0000FF"/>
            <w:u w:val="single"/>
            <w:rtl/>
          </w:rPr>
          <w:t>סעיף 144(ב2)</w:t>
        </w:r>
      </w:hyperlink>
      <w:r w:rsidRPr="00FD5DC8">
        <w:rPr>
          <w:rtl/>
        </w:rPr>
        <w:t xml:space="preserve"> ב</w:t>
      </w:r>
      <w:hyperlink r:id="rId39" w:history="1">
        <w:r w:rsidR="001F21E7" w:rsidRPr="001F21E7">
          <w:rPr>
            <w:color w:val="0000FF"/>
            <w:u w:val="single"/>
            <w:rtl/>
          </w:rPr>
          <w:t>חוק העונשין</w:t>
        </w:r>
      </w:hyperlink>
      <w:r w:rsidRPr="00FD5DC8">
        <w:rPr>
          <w:rtl/>
        </w:rPr>
        <w:t>, שהעונש הקבוע לגביה הוא חמש-עשרה שנות מאסר, בדומה לעונשו של מי שעבר את העבירה המושלמת (</w:t>
      </w:r>
      <w:hyperlink r:id="rId40" w:history="1">
        <w:r w:rsidR="00D6318A" w:rsidRPr="00D6318A">
          <w:rPr>
            <w:color w:val="0000FF"/>
            <w:u w:val="single"/>
            <w:rtl/>
          </w:rPr>
          <w:t>סעיף 34ד</w:t>
        </w:r>
      </w:hyperlink>
      <w:r w:rsidRPr="00FD5DC8">
        <w:rPr>
          <w:rtl/>
        </w:rPr>
        <w:t xml:space="preserve"> בחוק העונשין). על-פי עובדות כתב האישום שבהן הודה הנאשם, אי השלמת העבירה לא נבע מחרטה של הנאשם (שאז, על-פי </w:t>
      </w:r>
      <w:hyperlink r:id="rId41" w:history="1">
        <w:r w:rsidR="00D6318A" w:rsidRPr="00D6318A">
          <w:rPr>
            <w:color w:val="0000FF"/>
            <w:u w:val="single"/>
            <w:rtl/>
          </w:rPr>
          <w:t>סעיף 28</w:t>
        </w:r>
      </w:hyperlink>
      <w:r w:rsidRPr="00FD5DC8">
        <w:rPr>
          <w:rtl/>
        </w:rPr>
        <w:t xml:space="preserve"> ב</w:t>
      </w:r>
      <w:hyperlink r:id="rId42" w:history="1">
        <w:r w:rsidR="001F21E7" w:rsidRPr="001F21E7">
          <w:rPr>
            <w:color w:val="0000FF"/>
            <w:u w:val="single"/>
            <w:rtl/>
          </w:rPr>
          <w:t>חוק העונשין</w:t>
        </w:r>
      </w:hyperlink>
      <w:r w:rsidRPr="00FD5DC8">
        <w:rPr>
          <w:rtl/>
        </w:rPr>
        <w:t>, לא היה נושא באחריות פלילית וממילא היה מופטר מענישה), אלא בשל תפיסתו בידי המשטרה.</w:t>
      </w:r>
    </w:p>
    <w:p w14:paraId="462F63DB" w14:textId="77777777" w:rsidR="00A75CE1" w:rsidRPr="00FD5DC8" w:rsidRDefault="00A75CE1" w:rsidP="00A75CE1">
      <w:pPr>
        <w:spacing w:line="360" w:lineRule="auto"/>
        <w:jc w:val="both"/>
        <w:rPr>
          <w:rtl/>
        </w:rPr>
      </w:pPr>
    </w:p>
    <w:p w14:paraId="23169B0F" w14:textId="77777777" w:rsidR="00A75CE1" w:rsidRPr="00FD5DC8" w:rsidRDefault="00A75CE1" w:rsidP="00A75CE1">
      <w:pPr>
        <w:spacing w:line="360" w:lineRule="auto"/>
        <w:jc w:val="both"/>
        <w:rPr>
          <w:rtl/>
        </w:rPr>
      </w:pPr>
      <w:r w:rsidRPr="00FD5DC8">
        <w:rPr>
          <w:rtl/>
        </w:rPr>
        <w:t>16.</w:t>
      </w:r>
      <w:r w:rsidRPr="00FD5DC8">
        <w:rPr>
          <w:rtl/>
        </w:rPr>
        <w:tab/>
        <w:t>בפסיקה רבה שנדרשה לעבירה זו עמדו בתי המשפט על כך שהערכים החברתיים הנפגעים מעסקה בנשק בלא רשות על-פי דין לעשייתה, הם שלום הציבור וביטחונו, שמירה על שלמות גופו של אדם ורכושו וכן הצורך להגן מפני פגיעה משמעותית באדם ובציבור בשל שימוש בנשק חם בידי מי שאינו מורשה לכך. בית המשפט העליון חזר פעמים רבות על החומרה הרבה הגלומה בעבירות נשק בכלל ובמיוחד עבירות של סחר בנשק ללא היתר על-פי דין וכן על כך שבעטיין של עבירות אלו ע</w:t>
      </w:r>
      <w:r>
        <w:rPr>
          <w:rFonts w:hint="cs"/>
          <w:rtl/>
        </w:rPr>
        <w:t xml:space="preserve">לולות </w:t>
      </w:r>
      <w:r w:rsidRPr="00FD5DC8">
        <w:rPr>
          <w:rtl/>
        </w:rPr>
        <w:t>להיגרם פגיעות בנפש וברכוש.</w:t>
      </w:r>
    </w:p>
    <w:p w14:paraId="35474167" w14:textId="77777777" w:rsidR="00A75CE1" w:rsidRPr="00FD5DC8" w:rsidRDefault="00A75CE1" w:rsidP="00A75CE1">
      <w:pPr>
        <w:spacing w:line="360" w:lineRule="auto"/>
        <w:jc w:val="both"/>
        <w:rPr>
          <w:rtl/>
        </w:rPr>
      </w:pPr>
    </w:p>
    <w:p w14:paraId="09A4D3AE" w14:textId="77777777" w:rsidR="00A75CE1" w:rsidRDefault="00A75CE1" w:rsidP="00A75CE1">
      <w:pPr>
        <w:spacing w:line="360" w:lineRule="auto"/>
        <w:jc w:val="both"/>
        <w:rPr>
          <w:rtl/>
        </w:rPr>
      </w:pPr>
      <w:r w:rsidRPr="00FD5DC8">
        <w:rPr>
          <w:rtl/>
        </w:rPr>
        <w:t xml:space="preserve">לאחרונה, במסגרת פסק הדין בעניין </w:t>
      </w:r>
      <w:r w:rsidRPr="00FD5DC8">
        <w:rPr>
          <w:u w:val="single"/>
          <w:rtl/>
        </w:rPr>
        <w:t>בראנסי</w:t>
      </w:r>
      <w:r w:rsidRPr="00FD5DC8">
        <w:rPr>
          <w:rtl/>
        </w:rPr>
        <w:t xml:space="preserve"> (פסקאות 11-9), חזר בית המשפט העליון על הדברים בהסתמך גם על הפסיקה הרבה הקודמת שנדרשה לחומרה הרבה הנודעת לעבירות הנשק ובעניין הצורך להחמיר בעונשם של עוברי עבירה זו. </w:t>
      </w:r>
    </w:p>
    <w:p w14:paraId="135963B9" w14:textId="77777777" w:rsidR="00A75CE1" w:rsidRDefault="00A75CE1" w:rsidP="00A75CE1">
      <w:pPr>
        <w:spacing w:line="360" w:lineRule="auto"/>
        <w:jc w:val="both"/>
        <w:rPr>
          <w:rtl/>
        </w:rPr>
      </w:pPr>
    </w:p>
    <w:p w14:paraId="67537BCF" w14:textId="77777777" w:rsidR="00A75CE1" w:rsidRPr="00FD5DC8" w:rsidRDefault="00A75CE1" w:rsidP="00A75CE1">
      <w:pPr>
        <w:spacing w:line="360" w:lineRule="auto"/>
        <w:jc w:val="both"/>
        <w:rPr>
          <w:rtl/>
        </w:rPr>
      </w:pPr>
      <w:r w:rsidRPr="00FD5DC8">
        <w:rPr>
          <w:rtl/>
        </w:rPr>
        <w:t>כך בין השאר, נאמר שם (פסקאות 11-10 וראו גם את הפסיקה הנזכרת שם):</w:t>
      </w:r>
    </w:p>
    <w:p w14:paraId="08C1989B" w14:textId="77777777" w:rsidR="00A75CE1" w:rsidRPr="00FD5DC8" w:rsidRDefault="00A75CE1" w:rsidP="00A75CE1">
      <w:pPr>
        <w:spacing w:line="360" w:lineRule="auto"/>
        <w:jc w:val="both"/>
        <w:rPr>
          <w:rtl/>
        </w:rPr>
      </w:pPr>
    </w:p>
    <w:p w14:paraId="06083513" w14:textId="77777777" w:rsidR="00A75CE1" w:rsidRPr="00FD5DC8" w:rsidRDefault="00A75CE1" w:rsidP="00A75CE1">
      <w:pPr>
        <w:spacing w:line="360" w:lineRule="auto"/>
        <w:ind w:left="1440"/>
        <w:jc w:val="both"/>
        <w:rPr>
          <w:rFonts w:ascii="Arimo" w:hAnsi="Arimo"/>
          <w:rtl/>
        </w:rPr>
      </w:pPr>
      <w:r w:rsidRPr="00FD5DC8">
        <w:rPr>
          <w:rFonts w:ascii="Arimo" w:hAnsi="Arimo"/>
          <w:rtl/>
        </w:rPr>
        <w:t>"</w:t>
      </w:r>
      <w:r w:rsidRPr="00FD5DC8">
        <w:rPr>
          <w:rFonts w:ascii="Arimo" w:hAnsi="Arimo" w:hint="eastAsia"/>
          <w:rtl/>
        </w:rPr>
        <w:t>פעילות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אוצרת</w:t>
      </w:r>
      <w:r w:rsidRPr="00FD5DC8">
        <w:rPr>
          <w:rFonts w:ascii="Arimo" w:hAnsi="Arimo"/>
          <w:rtl/>
        </w:rPr>
        <w:t xml:space="preserve"> </w:t>
      </w:r>
      <w:r w:rsidRPr="00FD5DC8">
        <w:rPr>
          <w:rFonts w:ascii="Arimo" w:hAnsi="Arimo" w:hint="eastAsia"/>
          <w:rtl/>
        </w:rPr>
        <w:t>בחובה</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חברתיים</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רבה</w:t>
      </w:r>
      <w:r w:rsidRPr="00FD5DC8">
        <w:rPr>
          <w:rFonts w:ascii="Arimo" w:hAnsi="Arimo"/>
          <w:rtl/>
        </w:rPr>
        <w:t xml:space="preserve">, </w:t>
      </w:r>
      <w:r w:rsidRPr="00FD5DC8">
        <w:rPr>
          <w:rFonts w:ascii="Arimo" w:hAnsi="Arimo" w:hint="eastAsia"/>
          <w:rtl/>
        </w:rPr>
        <w:t>בהם</w:t>
      </w:r>
      <w:r w:rsidRPr="00FD5DC8">
        <w:rPr>
          <w:rFonts w:ascii="Arimo" w:hAnsi="Arimo"/>
          <w:rtl/>
        </w:rPr>
        <w:t xml:space="preserve"> </w:t>
      </w:r>
      <w:r w:rsidRPr="00FD5DC8">
        <w:rPr>
          <w:rFonts w:ascii="Arimo" w:hAnsi="Arimo" w:hint="eastAsia"/>
          <w:rtl/>
        </w:rPr>
        <w:t>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ושלום</w:t>
      </w:r>
      <w:r w:rsidRPr="00FD5DC8">
        <w:rPr>
          <w:rFonts w:ascii="Arimo" w:hAnsi="Arimo"/>
          <w:rtl/>
        </w:rPr>
        <w:t xml:space="preserve"> </w:t>
      </w:r>
      <w:r w:rsidRPr="00FD5DC8">
        <w:rPr>
          <w:rFonts w:ascii="Arimo" w:hAnsi="Arimo" w:hint="eastAsia"/>
          <w:rtl/>
        </w:rPr>
        <w:t>הציבור</w:t>
      </w:r>
      <w:r w:rsidRPr="00FD5DC8">
        <w:rPr>
          <w:rFonts w:ascii="Arimo" w:hAnsi="Arimo"/>
          <w:rtl/>
        </w:rPr>
        <w:t xml:space="preserve"> </w:t>
      </w:r>
      <w:r w:rsidRPr="00FD5DC8">
        <w:rPr>
          <w:rFonts w:ascii="Arimo" w:hAnsi="Arimo" w:hint="eastAsia"/>
          <w:rtl/>
        </w:rPr>
        <w:t>וביטחונו</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הנשק</w:t>
      </w:r>
      <w:r w:rsidRPr="00FD5DC8">
        <w:rPr>
          <w:rFonts w:ascii="Arimo" w:hAnsi="Arimo"/>
          <w:rtl/>
        </w:rPr>
        <w:t xml:space="preserve"> </w:t>
      </w:r>
      <w:r w:rsidRPr="00FD5DC8">
        <w:rPr>
          <w:rFonts w:ascii="Arimo" w:hAnsi="Arimo" w:hint="eastAsia"/>
          <w:rtl/>
        </w:rPr>
        <w:t>שנמכרו</w:t>
      </w:r>
      <w:r w:rsidRPr="00FD5DC8">
        <w:rPr>
          <w:rFonts w:ascii="Arimo" w:hAnsi="Arimo"/>
          <w:rtl/>
        </w:rPr>
        <w:t xml:space="preserve"> </w:t>
      </w:r>
      <w:r w:rsidRPr="00FD5DC8">
        <w:rPr>
          <w:rFonts w:ascii="Arimo" w:hAnsi="Arimo" w:hint="eastAsia"/>
          <w:rtl/>
        </w:rPr>
        <w:t>במסגרת</w:t>
      </w:r>
      <w:r w:rsidRPr="00FD5DC8">
        <w:rPr>
          <w:rFonts w:ascii="Arimo" w:hAnsi="Arimo"/>
          <w:rtl/>
        </w:rPr>
        <w:t xml:space="preserve"> </w:t>
      </w:r>
      <w:r w:rsidRPr="00FD5DC8">
        <w:rPr>
          <w:rFonts w:ascii="Arimo" w:hAnsi="Arimo" w:hint="eastAsia"/>
          <w:rtl/>
        </w:rPr>
        <w:t>האישומים</w:t>
      </w:r>
      <w:r w:rsidRPr="00FD5DC8">
        <w:rPr>
          <w:rFonts w:ascii="Arimo" w:hAnsi="Arimo"/>
          <w:rtl/>
        </w:rPr>
        <w:t xml:space="preserve"> </w:t>
      </w:r>
      <w:r w:rsidRPr="00FD5DC8">
        <w:rPr>
          <w:rFonts w:ascii="Arimo" w:hAnsi="Arimo" w:hint="eastAsia"/>
          <w:rtl/>
        </w:rPr>
        <w:t>הם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פי</w:t>
      </w:r>
      <w:r w:rsidRPr="00FD5DC8">
        <w:rPr>
          <w:rFonts w:ascii="Arimo" w:hAnsi="Arimo"/>
          <w:rtl/>
        </w:rPr>
        <w:t xml:space="preserve"> </w:t>
      </w:r>
      <w:r w:rsidRPr="00FD5DC8">
        <w:rPr>
          <w:rFonts w:ascii="Arimo" w:hAnsi="Arimo" w:hint="eastAsia"/>
          <w:rtl/>
        </w:rPr>
        <w:t>טיבם</w:t>
      </w:r>
      <w:r w:rsidRPr="00FD5DC8">
        <w:rPr>
          <w:rFonts w:ascii="Arimo" w:hAnsi="Arimo"/>
          <w:rtl/>
        </w:rPr>
        <w:t xml:space="preserve"> </w:t>
      </w:r>
      <w:r w:rsidRPr="00FD5DC8">
        <w:rPr>
          <w:rFonts w:ascii="Arimo" w:hAnsi="Arimo" w:hint="eastAsia"/>
          <w:rtl/>
        </w:rPr>
        <w:t>כאלה</w:t>
      </w:r>
      <w:r w:rsidRPr="00FD5DC8">
        <w:rPr>
          <w:rFonts w:ascii="Arimo" w:hAnsi="Arimo"/>
          <w:rtl/>
        </w:rPr>
        <w:t xml:space="preserve"> </w:t>
      </w:r>
      <w:r w:rsidRPr="00FD5DC8">
        <w:rPr>
          <w:rFonts w:ascii="Arimo" w:hAnsi="Arimo" w:hint="eastAsia"/>
          <w:rtl/>
        </w:rPr>
        <w:t>שבאמצעותם</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בנקל</w:t>
      </w:r>
      <w:r w:rsidRPr="00FD5DC8">
        <w:rPr>
          <w:rFonts w:ascii="Arimo" w:hAnsi="Arimo"/>
          <w:rtl/>
        </w:rPr>
        <w:t xml:space="preserve"> </w:t>
      </w:r>
      <w:r w:rsidRPr="00FD5DC8">
        <w:rPr>
          <w:rFonts w:ascii="Arimo" w:hAnsi="Arimo" w:hint="eastAsia"/>
          <w:rtl/>
        </w:rPr>
        <w:t>לפגוע</w:t>
      </w:r>
      <w:r w:rsidRPr="00FD5DC8">
        <w:rPr>
          <w:rFonts w:ascii="Arimo" w:hAnsi="Arimo"/>
          <w:rtl/>
        </w:rPr>
        <w:t xml:space="preserve"> </w:t>
      </w:r>
      <w:r w:rsidRPr="00FD5DC8">
        <w:rPr>
          <w:rFonts w:ascii="Arimo" w:hAnsi="Arimo" w:hint="eastAsia"/>
          <w:rtl/>
        </w:rPr>
        <w:t>בשלמות</w:t>
      </w:r>
      <w:r w:rsidRPr="00FD5DC8">
        <w:rPr>
          <w:rFonts w:ascii="Arimo" w:hAnsi="Arimo"/>
          <w:rtl/>
        </w:rPr>
        <w:t xml:space="preserve"> </w:t>
      </w:r>
      <w:r w:rsidRPr="00FD5DC8">
        <w:rPr>
          <w:rFonts w:ascii="Arimo" w:hAnsi="Arimo" w:hint="eastAsia"/>
          <w:rtl/>
        </w:rPr>
        <w:t>הגוף</w:t>
      </w:r>
      <w:r w:rsidRPr="00FD5DC8">
        <w:rPr>
          <w:rFonts w:ascii="Arimo" w:hAnsi="Arimo"/>
          <w:rtl/>
        </w:rPr>
        <w:t xml:space="preserve"> </w:t>
      </w:r>
      <w:r w:rsidRPr="00FD5DC8">
        <w:rPr>
          <w:rFonts w:ascii="Arimo" w:hAnsi="Arimo" w:hint="eastAsia"/>
          <w:rtl/>
        </w:rPr>
        <w:t>ולגדוע</w:t>
      </w:r>
      <w:r w:rsidRPr="00FD5DC8">
        <w:rPr>
          <w:rFonts w:ascii="Arimo" w:hAnsi="Arimo"/>
          <w:rtl/>
        </w:rPr>
        <w:t xml:space="preserve"> </w:t>
      </w:r>
      <w:r w:rsidRPr="00FD5DC8">
        <w:rPr>
          <w:rFonts w:ascii="Arimo" w:hAnsi="Arimo" w:hint="eastAsia"/>
          <w:rtl/>
        </w:rPr>
        <w:t>חיי</w:t>
      </w:r>
      <w:r w:rsidRPr="00FD5DC8">
        <w:rPr>
          <w:rFonts w:ascii="Arimo" w:hAnsi="Arimo"/>
          <w:rtl/>
        </w:rPr>
        <w:t xml:space="preserve"> </w:t>
      </w:r>
      <w:r w:rsidRPr="00FD5DC8">
        <w:rPr>
          <w:rFonts w:ascii="Arimo" w:hAnsi="Arimo" w:hint="eastAsia"/>
          <w:rtl/>
        </w:rPr>
        <w:t>אדם</w:t>
      </w:r>
      <w:r w:rsidRPr="00FD5DC8">
        <w:rPr>
          <w:rFonts w:ascii="Arimo" w:hAnsi="Arimo"/>
          <w:rtl/>
        </w:rPr>
        <w:t xml:space="preserve">. </w:t>
      </w:r>
      <w:r w:rsidRPr="00FD5DC8">
        <w:rPr>
          <w:rFonts w:ascii="Arimo" w:hAnsi="Arimo" w:hint="eastAsia"/>
          <w:rtl/>
        </w:rPr>
        <w:t>חומרת</w:t>
      </w:r>
      <w:r w:rsidRPr="00FD5DC8">
        <w:rPr>
          <w:rFonts w:ascii="Arimo" w:hAnsi="Arimo"/>
          <w:rtl/>
        </w:rPr>
        <w:t xml:space="preserve"> </w:t>
      </w:r>
      <w:r w:rsidRPr="00FD5DC8">
        <w:rPr>
          <w:rFonts w:ascii="Arimo" w:hAnsi="Arimo" w:hint="eastAsia"/>
          <w:rtl/>
        </w:rPr>
        <w:t>הנזק</w:t>
      </w:r>
      <w:r w:rsidRPr="00FD5DC8">
        <w:rPr>
          <w:rFonts w:ascii="Arimo" w:hAnsi="Arimo"/>
          <w:rtl/>
        </w:rPr>
        <w:t xml:space="preserve"> </w:t>
      </w:r>
      <w:r w:rsidRPr="00FD5DC8">
        <w:rPr>
          <w:rFonts w:ascii="Arimo" w:hAnsi="Arimo" w:hint="eastAsia"/>
          <w:rtl/>
        </w:rPr>
        <w:t>הנגרם</w:t>
      </w:r>
      <w:r w:rsidRPr="00FD5DC8">
        <w:rPr>
          <w:rFonts w:ascii="Arimo" w:hAnsi="Arimo"/>
          <w:rtl/>
        </w:rPr>
        <w:t xml:space="preserve"> </w:t>
      </w:r>
      <w:r w:rsidRPr="00FD5DC8">
        <w:rPr>
          <w:rFonts w:ascii="Arimo" w:hAnsi="Arimo" w:hint="eastAsia"/>
          <w:rtl/>
        </w:rPr>
        <w:t>בעקבות</w:t>
      </w:r>
      <w:r w:rsidRPr="00FD5DC8">
        <w:rPr>
          <w:rFonts w:ascii="Arimo" w:hAnsi="Arimo"/>
          <w:rtl/>
        </w:rPr>
        <w:t xml:space="preserve"> </w:t>
      </w:r>
      <w:r w:rsidRPr="00FD5DC8">
        <w:rPr>
          <w:rFonts w:ascii="Arimo" w:hAnsi="Arimo" w:hint="eastAsia"/>
          <w:rtl/>
        </w:rPr>
        <w:t>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כגון</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מתעצמת</w:t>
      </w:r>
      <w:r w:rsidRPr="00FD5DC8">
        <w:rPr>
          <w:rFonts w:ascii="Arimo" w:hAnsi="Arimo"/>
          <w:rtl/>
        </w:rPr>
        <w:t xml:space="preserve"> </w:t>
      </w:r>
      <w:r w:rsidRPr="00FD5DC8">
        <w:rPr>
          <w:rFonts w:ascii="Arimo" w:hAnsi="Arimo" w:hint="eastAsia"/>
          <w:rtl/>
        </w:rPr>
        <w:t>במקרים</w:t>
      </w:r>
      <w:r w:rsidRPr="00FD5DC8">
        <w:rPr>
          <w:rFonts w:ascii="Arimo" w:hAnsi="Arimo"/>
          <w:rtl/>
        </w:rPr>
        <w:t xml:space="preserve"> </w:t>
      </w:r>
      <w:r w:rsidRPr="00FD5DC8">
        <w:rPr>
          <w:rFonts w:ascii="Arimo" w:hAnsi="Arimo" w:hint="eastAsia"/>
          <w:rtl/>
        </w:rPr>
        <w:t>כבענייננו</w:t>
      </w:r>
      <w:r w:rsidRPr="00FD5DC8">
        <w:rPr>
          <w:rFonts w:ascii="Arimo" w:hAnsi="Arimo"/>
          <w:rtl/>
        </w:rPr>
        <w:t xml:space="preserve">, </w:t>
      </w:r>
      <w:r w:rsidRPr="00FD5DC8">
        <w:rPr>
          <w:rFonts w:ascii="Arimo" w:hAnsi="Arimo" w:hint="eastAsia"/>
          <w:rtl/>
        </w:rPr>
        <w:t>שבהם</w:t>
      </w:r>
      <w:r w:rsidRPr="00FD5DC8">
        <w:rPr>
          <w:rFonts w:ascii="Arimo" w:hAnsi="Arimo"/>
          <w:rtl/>
        </w:rPr>
        <w:t xml:space="preserve"> </w:t>
      </w:r>
      <w:r w:rsidRPr="00FD5DC8">
        <w:rPr>
          <w:rFonts w:ascii="Arimo" w:hAnsi="Arimo" w:hint="eastAsia"/>
          <w:rtl/>
        </w:rPr>
        <w:t>נמכרים</w:t>
      </w:r>
      <w:r w:rsidRPr="00FD5DC8">
        <w:rPr>
          <w:rFonts w:ascii="Arimo" w:hAnsi="Arimo"/>
          <w:rtl/>
        </w:rPr>
        <w:t xml:space="preserve"> </w:t>
      </w:r>
      <w:r w:rsidRPr="00FD5DC8">
        <w:rPr>
          <w:rFonts w:ascii="Arimo" w:hAnsi="Arimo" w:hint="eastAsia"/>
          <w:rtl/>
        </w:rPr>
        <w:t>כלי</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בעלי</w:t>
      </w:r>
      <w:r w:rsidRPr="00FD5DC8">
        <w:rPr>
          <w:rFonts w:ascii="Arimo" w:hAnsi="Arimo"/>
          <w:rtl/>
        </w:rPr>
        <w:t xml:space="preserve"> </w:t>
      </w:r>
      <w:r w:rsidRPr="00FD5DC8">
        <w:rPr>
          <w:rFonts w:ascii="Arimo" w:hAnsi="Arimo" w:hint="eastAsia"/>
          <w:rtl/>
        </w:rPr>
        <w:t>פוטנציאל</w:t>
      </w:r>
      <w:r w:rsidRPr="00FD5DC8">
        <w:rPr>
          <w:rFonts w:ascii="Arimo" w:hAnsi="Arimo"/>
          <w:rtl/>
        </w:rPr>
        <w:t xml:space="preserve"> </w:t>
      </w:r>
      <w:r w:rsidRPr="00FD5DC8">
        <w:rPr>
          <w:rFonts w:ascii="Arimo" w:hAnsi="Arimo" w:hint="eastAsia"/>
          <w:rtl/>
        </w:rPr>
        <w:t>פגיעה</w:t>
      </w:r>
      <w:r w:rsidRPr="00FD5DC8">
        <w:rPr>
          <w:rFonts w:ascii="Arimo" w:hAnsi="Arimo"/>
          <w:rtl/>
        </w:rPr>
        <w:t xml:space="preserve"> </w:t>
      </w:r>
      <w:r w:rsidRPr="00FD5DC8">
        <w:rPr>
          <w:rFonts w:ascii="Arimo" w:hAnsi="Arimo" w:hint="eastAsia"/>
          <w:rtl/>
        </w:rPr>
        <w:t>ממשי</w:t>
      </w:r>
      <w:r w:rsidRPr="00FD5DC8">
        <w:rPr>
          <w:rFonts w:ascii="Arimo" w:hAnsi="Arimo"/>
          <w:rtl/>
        </w:rPr>
        <w:t xml:space="preserve">, </w:t>
      </w:r>
      <w:r w:rsidRPr="00FD5DC8">
        <w:rPr>
          <w:rFonts w:ascii="Arimo" w:hAnsi="Arimo" w:hint="eastAsia"/>
          <w:rtl/>
        </w:rPr>
        <w:t>שהרי</w:t>
      </w:r>
      <w:r w:rsidRPr="00FD5DC8">
        <w:rPr>
          <w:rFonts w:ascii="Arimo" w:hAnsi="Arimo"/>
          <w:rtl/>
        </w:rPr>
        <w:t xml:space="preserve"> </w:t>
      </w:r>
      <w:r w:rsidRPr="00FD5DC8">
        <w:rPr>
          <w:rFonts w:ascii="Arimo" w:hAnsi="Arimo" w:hint="eastAsia"/>
          <w:rtl/>
        </w:rPr>
        <w:t>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ברובה</w:t>
      </w:r>
      <w:r w:rsidRPr="00FD5DC8">
        <w:rPr>
          <w:rFonts w:ascii="Arimo" w:hAnsi="Arimo"/>
          <w:rtl/>
        </w:rPr>
        <w:t xml:space="preserve"> </w:t>
      </w:r>
      <w:r w:rsidRPr="00FD5DC8">
        <w:rPr>
          <w:rFonts w:ascii="Arimo" w:hAnsi="Arimo" w:hint="eastAsia"/>
          <w:rtl/>
        </w:rPr>
        <w:t>סער</w:t>
      </w:r>
      <w:r w:rsidRPr="00FD5DC8">
        <w:rPr>
          <w:rFonts w:ascii="Arimo" w:hAnsi="Arimo"/>
          <w:rtl/>
        </w:rPr>
        <w:t xml:space="preserve">, </w:t>
      </w:r>
      <w:r w:rsidRPr="00FD5DC8">
        <w:rPr>
          <w:rFonts w:ascii="Arimo" w:hAnsi="Arimo" w:hint="eastAsia"/>
          <w:rtl/>
        </w:rPr>
        <w:t>בתת</w:t>
      </w:r>
      <w:r w:rsidRPr="00FD5DC8">
        <w:rPr>
          <w:rFonts w:ascii="Arimo" w:hAnsi="Arimo"/>
          <w:rtl/>
        </w:rPr>
        <w:t>-</w:t>
      </w:r>
      <w:r w:rsidRPr="00FD5DC8">
        <w:rPr>
          <w:rFonts w:ascii="Arimo" w:hAnsi="Arimo" w:hint="eastAsia"/>
          <w:rtl/>
        </w:rPr>
        <w:t>מקלע</w:t>
      </w:r>
      <w:r w:rsidRPr="00FD5DC8">
        <w:rPr>
          <w:rFonts w:ascii="Arimo" w:hAnsi="Arimo"/>
          <w:rtl/>
        </w:rPr>
        <w:t xml:space="preserve"> </w:t>
      </w:r>
      <w:r w:rsidRPr="00FD5DC8">
        <w:rPr>
          <w:rFonts w:ascii="Arimo" w:hAnsi="Arimo" w:hint="eastAsia"/>
          <w:rtl/>
        </w:rPr>
        <w:t>או</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אמין</w:t>
      </w:r>
      <w:r w:rsidRPr="00FD5DC8">
        <w:rPr>
          <w:rFonts w:ascii="Arimo" w:hAnsi="Arimo"/>
          <w:rtl/>
        </w:rPr>
        <w:t xml:space="preserve"> </w:t>
      </w:r>
      <w:r w:rsidRPr="00FD5DC8">
        <w:rPr>
          <w:rFonts w:ascii="Arimo" w:hAnsi="Arimo" w:hint="eastAsia"/>
          <w:rtl/>
        </w:rPr>
        <w:t>ואיכותי</w:t>
      </w:r>
      <w:r w:rsidRPr="00FD5DC8">
        <w:rPr>
          <w:rFonts w:ascii="Arimo" w:hAnsi="Arimo"/>
          <w:rtl/>
        </w:rPr>
        <w:t xml:space="preserve">, </w:t>
      </w:r>
      <w:r w:rsidRPr="00FD5DC8">
        <w:rPr>
          <w:rFonts w:ascii="Arimo" w:hAnsi="Arimo" w:hint="eastAsia"/>
          <w:rtl/>
        </w:rPr>
        <w:t>אינו</w:t>
      </w:r>
      <w:r w:rsidRPr="00FD5DC8">
        <w:rPr>
          <w:rFonts w:ascii="Arimo" w:hAnsi="Arimo"/>
          <w:rtl/>
        </w:rPr>
        <w:t xml:space="preserve"> </w:t>
      </w:r>
      <w:r w:rsidRPr="00FD5DC8">
        <w:rPr>
          <w:rFonts w:ascii="Arimo" w:hAnsi="Arimo" w:hint="eastAsia"/>
          <w:rtl/>
        </w:rPr>
        <w:t>כדין</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באקדח</w:t>
      </w:r>
      <w:r w:rsidRPr="00FD5DC8">
        <w:rPr>
          <w:rFonts w:ascii="Arimo" w:hAnsi="Arimo"/>
          <w:rtl/>
        </w:rPr>
        <w:t xml:space="preserve"> </w:t>
      </w:r>
      <w:r w:rsidRPr="00FD5DC8">
        <w:rPr>
          <w:rFonts w:ascii="Arimo" w:hAnsi="Arimo" w:hint="eastAsia"/>
          <w:rtl/>
        </w:rPr>
        <w:t>מאולתר</w:t>
      </w:r>
      <w:r w:rsidRPr="00FD5DC8">
        <w:rPr>
          <w:rFonts w:ascii="Arimo" w:hAnsi="Arimo"/>
          <w:rtl/>
        </w:rPr>
        <w:t xml:space="preserve"> ... </w:t>
      </w:r>
    </w:p>
    <w:p w14:paraId="03E8C750" w14:textId="77777777" w:rsidR="00A75CE1" w:rsidRPr="00FD5DC8" w:rsidRDefault="00A75CE1" w:rsidP="00A75CE1">
      <w:pPr>
        <w:spacing w:line="360" w:lineRule="auto"/>
        <w:ind w:left="1440"/>
        <w:jc w:val="both"/>
        <w:rPr>
          <w:rFonts w:ascii="Arimo" w:hAnsi="Arimo"/>
          <w:sz w:val="20"/>
          <w:szCs w:val="20"/>
          <w:rtl/>
        </w:rPr>
      </w:pPr>
    </w:p>
    <w:p w14:paraId="1432FE63" w14:textId="77777777" w:rsidR="00A75CE1" w:rsidRPr="00FD5DC8" w:rsidRDefault="00A75CE1" w:rsidP="00A75CE1">
      <w:pPr>
        <w:spacing w:line="360" w:lineRule="auto"/>
        <w:ind w:left="1440"/>
        <w:jc w:val="both"/>
        <w:rPr>
          <w:rFonts w:ascii="Arimo" w:hAnsi="Arimo"/>
          <w:rtl/>
        </w:rPr>
      </w:pPr>
      <w:r w:rsidRPr="00FD5DC8">
        <w:rPr>
          <w:rFonts w:ascii="Arimo" w:hAnsi="Arimo" w:hint="eastAsia"/>
          <w:rtl/>
        </w:rPr>
        <w:t>החומרה</w:t>
      </w:r>
      <w:r w:rsidRPr="00FD5DC8">
        <w:rPr>
          <w:rFonts w:ascii="Arimo" w:hAnsi="Arimo"/>
          <w:rtl/>
        </w:rPr>
        <w:t xml:space="preserve"> </w:t>
      </w:r>
      <w:r w:rsidRPr="00FD5DC8">
        <w:rPr>
          <w:rFonts w:ascii="Arimo" w:hAnsi="Arimo" w:hint="eastAsia"/>
          <w:rtl/>
        </w:rPr>
        <w:t>היתרה</w:t>
      </w:r>
      <w:r w:rsidRPr="00FD5DC8">
        <w:rPr>
          <w:rFonts w:ascii="Arimo" w:hAnsi="Arimo"/>
          <w:rtl/>
        </w:rPr>
        <w:t xml:space="preserve"> </w:t>
      </w:r>
      <w:r w:rsidRPr="00FD5DC8">
        <w:rPr>
          <w:rFonts w:ascii="Arimo" w:hAnsi="Arimo" w:hint="eastAsia"/>
          <w:rtl/>
        </w:rPr>
        <w:t>הכרוכה</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נשק</w:t>
      </w:r>
      <w:r w:rsidRPr="00FD5DC8">
        <w:rPr>
          <w:rFonts w:ascii="Arimo" w:hAnsi="Arimo"/>
          <w:rtl/>
        </w:rPr>
        <w:t xml:space="preserve"> </w:t>
      </w:r>
      <w:r w:rsidRPr="00FD5DC8">
        <w:rPr>
          <w:rFonts w:ascii="Arimo" w:hAnsi="Arimo" w:hint="eastAsia"/>
          <w:rtl/>
        </w:rPr>
        <w:t>והסיכון</w:t>
      </w:r>
      <w:r w:rsidRPr="00FD5DC8">
        <w:rPr>
          <w:rFonts w:ascii="Arimo" w:hAnsi="Arimo"/>
          <w:rtl/>
        </w:rPr>
        <w:t xml:space="preserve"> </w:t>
      </w:r>
      <w:r w:rsidRPr="00FD5DC8">
        <w:rPr>
          <w:rFonts w:ascii="Arimo" w:hAnsi="Arimo" w:hint="eastAsia"/>
          <w:rtl/>
        </w:rPr>
        <w:t>הנשקף</w:t>
      </w:r>
      <w:r w:rsidRPr="00FD5DC8">
        <w:rPr>
          <w:rFonts w:ascii="Arimo" w:hAnsi="Arimo"/>
          <w:rtl/>
        </w:rPr>
        <w:t xml:space="preserve"> </w:t>
      </w:r>
      <w:r w:rsidRPr="00FD5DC8">
        <w:rPr>
          <w:rFonts w:ascii="Arimo" w:hAnsi="Arimo" w:hint="eastAsia"/>
          <w:rtl/>
        </w:rPr>
        <w:t>מביצוען</w:t>
      </w:r>
      <w:r w:rsidRPr="00FD5DC8">
        <w:rPr>
          <w:rFonts w:ascii="Arimo" w:hAnsi="Arimo"/>
          <w:rtl/>
        </w:rPr>
        <w:t xml:space="preserve"> </w:t>
      </w:r>
      <w:r w:rsidRPr="00FD5DC8">
        <w:rPr>
          <w:rFonts w:ascii="Arimo" w:hAnsi="Arimo" w:hint="eastAsia"/>
          <w:rtl/>
        </w:rPr>
        <w:t>לציבור</w:t>
      </w:r>
      <w:r w:rsidRPr="00FD5DC8">
        <w:rPr>
          <w:rFonts w:ascii="Arimo" w:hAnsi="Arimo"/>
          <w:rtl/>
        </w:rPr>
        <w:t xml:space="preserve">, </w:t>
      </w:r>
      <w:r w:rsidRPr="00FD5DC8">
        <w:rPr>
          <w:rFonts w:ascii="Arimo" w:hAnsi="Arimo" w:hint="eastAsia"/>
          <w:rtl/>
        </w:rPr>
        <w:t>מקבלים</w:t>
      </w:r>
      <w:r w:rsidRPr="00FD5DC8">
        <w:rPr>
          <w:rFonts w:ascii="Arimo" w:hAnsi="Arimo"/>
          <w:rtl/>
        </w:rPr>
        <w:t xml:space="preserve"> </w:t>
      </w:r>
      <w:r w:rsidRPr="00FD5DC8">
        <w:rPr>
          <w:rFonts w:ascii="Arimo" w:hAnsi="Arimo" w:hint="eastAsia"/>
          <w:rtl/>
        </w:rPr>
        <w:t>משנה</w:t>
      </w:r>
      <w:r w:rsidRPr="00FD5DC8">
        <w:rPr>
          <w:rFonts w:ascii="Arimo" w:hAnsi="Arimo"/>
          <w:rtl/>
        </w:rPr>
        <w:t xml:space="preserve"> </w:t>
      </w:r>
      <w:r w:rsidRPr="00FD5DC8">
        <w:rPr>
          <w:rFonts w:ascii="Arimo" w:hAnsi="Arimo" w:hint="eastAsia"/>
          <w:rtl/>
        </w:rPr>
        <w:t>תוקף</w:t>
      </w:r>
      <w:r w:rsidRPr="00FD5DC8">
        <w:rPr>
          <w:rFonts w:ascii="Arimo" w:hAnsi="Arimo"/>
          <w:rtl/>
        </w:rPr>
        <w:t xml:space="preserve"> </w:t>
      </w:r>
      <w:r w:rsidRPr="00FD5DC8">
        <w:rPr>
          <w:rFonts w:ascii="Arimo" w:hAnsi="Arimo" w:hint="eastAsia"/>
          <w:rtl/>
        </w:rPr>
        <w:t>בשים</w:t>
      </w:r>
      <w:r w:rsidRPr="00FD5DC8">
        <w:rPr>
          <w:rFonts w:ascii="Arimo" w:hAnsi="Arimo"/>
          <w:rtl/>
        </w:rPr>
        <w:t xml:space="preserve"> </w:t>
      </w:r>
      <w:r w:rsidRPr="00FD5DC8">
        <w:rPr>
          <w:rFonts w:ascii="Arimo" w:hAnsi="Arimo" w:hint="eastAsia"/>
          <w:rtl/>
        </w:rPr>
        <w:t>לב</w:t>
      </w:r>
      <w:r w:rsidRPr="00FD5DC8">
        <w:rPr>
          <w:rFonts w:ascii="Arimo" w:hAnsi="Arimo"/>
          <w:rtl/>
        </w:rPr>
        <w:t xml:space="preserve"> </w:t>
      </w:r>
      <w:r w:rsidRPr="00FD5DC8">
        <w:rPr>
          <w:rFonts w:ascii="Arimo" w:hAnsi="Arimo" w:hint="eastAsia"/>
          <w:rtl/>
        </w:rPr>
        <w:t>להיקפיה</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w:t>
      </w:r>
      <w:r w:rsidRPr="00FD5DC8">
        <w:rPr>
          <w:rFonts w:ascii="Arimo" w:hAnsi="Arimo" w:hint="eastAsia"/>
          <w:rtl/>
        </w:rPr>
        <w:t>ואופן</w:t>
      </w:r>
      <w:r w:rsidRPr="00FD5DC8">
        <w:rPr>
          <w:rFonts w:ascii="Arimo" w:hAnsi="Arimo"/>
          <w:rtl/>
        </w:rPr>
        <w:t xml:space="preserve"> </w:t>
      </w:r>
      <w:r w:rsidRPr="00FD5DC8">
        <w:rPr>
          <w:rFonts w:ascii="Arimo" w:hAnsi="Arimo" w:hint="eastAsia"/>
          <w:rtl/>
        </w:rPr>
        <w:t>התפשטותה</w:t>
      </w:r>
      <w:r w:rsidRPr="00FD5DC8">
        <w:rPr>
          <w:rFonts w:ascii="Arimo" w:hAnsi="Arimo"/>
          <w:rtl/>
        </w:rPr>
        <w:t xml:space="preserve">. </w:t>
      </w:r>
      <w:r w:rsidRPr="00FD5DC8">
        <w:rPr>
          <w:rFonts w:ascii="Arimo" w:hAnsi="Arimo" w:hint="eastAsia"/>
          <w:rtl/>
        </w:rPr>
        <w:t>כמענה</w:t>
      </w:r>
      <w:r w:rsidRPr="00FD5DC8">
        <w:rPr>
          <w:rFonts w:ascii="Arimo" w:hAnsi="Arimo"/>
          <w:rtl/>
        </w:rPr>
        <w:t xml:space="preserve"> </w:t>
      </w:r>
      <w:r w:rsidRPr="00FD5DC8">
        <w:rPr>
          <w:rFonts w:ascii="Arimo" w:hAnsi="Arimo" w:hint="eastAsia"/>
          <w:rtl/>
        </w:rPr>
        <w:t>לכך</w:t>
      </w:r>
      <w:r w:rsidRPr="00FD5DC8">
        <w:rPr>
          <w:rFonts w:ascii="Arimo" w:hAnsi="Arimo"/>
          <w:rtl/>
        </w:rPr>
        <w:t xml:space="preserve">, </w:t>
      </w:r>
      <w:r w:rsidRPr="00FD5DC8">
        <w:rPr>
          <w:rFonts w:ascii="Arimo" w:hAnsi="Arimo" w:hint="eastAsia"/>
          <w:rtl/>
        </w:rPr>
        <w:t>מסתמנת</w:t>
      </w:r>
      <w:r w:rsidRPr="00FD5DC8">
        <w:rPr>
          <w:rFonts w:ascii="Arimo" w:hAnsi="Arimo"/>
          <w:rtl/>
        </w:rPr>
        <w:t xml:space="preserve"> </w:t>
      </w:r>
      <w:r w:rsidRPr="00FD5DC8">
        <w:rPr>
          <w:rFonts w:ascii="Arimo" w:hAnsi="Arimo" w:hint="eastAsia"/>
          <w:rtl/>
        </w:rPr>
        <w:t>בפסיקה</w:t>
      </w:r>
      <w:r w:rsidRPr="00FD5DC8">
        <w:rPr>
          <w:rFonts w:ascii="Arimo" w:hAnsi="Arimo"/>
          <w:rtl/>
        </w:rPr>
        <w:t xml:space="preserve"> </w:t>
      </w:r>
      <w:r w:rsidRPr="00FD5DC8">
        <w:rPr>
          <w:rFonts w:ascii="Arimo" w:hAnsi="Arimo" w:hint="eastAsia"/>
          <w:rtl/>
        </w:rPr>
        <w:t>מגמה</w:t>
      </w:r>
      <w:r w:rsidRPr="00FD5DC8">
        <w:rPr>
          <w:rFonts w:ascii="Arimo" w:hAnsi="Arimo"/>
          <w:rtl/>
        </w:rPr>
        <w:t xml:space="preserve"> </w:t>
      </w:r>
      <w:r w:rsidRPr="00FD5DC8">
        <w:rPr>
          <w:rFonts w:ascii="Arimo" w:hAnsi="Arimo" w:hint="eastAsia"/>
          <w:rtl/>
        </w:rPr>
        <w:t>עקבית</w:t>
      </w:r>
      <w:r w:rsidRPr="00FD5DC8">
        <w:rPr>
          <w:rFonts w:ascii="Arimo" w:hAnsi="Arimo"/>
          <w:rtl/>
        </w:rPr>
        <w:t xml:space="preserve">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בגין</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באופן</w:t>
      </w:r>
      <w:r w:rsidRPr="00FD5DC8">
        <w:rPr>
          <w:rFonts w:ascii="Arimo" w:hAnsi="Arimo"/>
          <w:rtl/>
        </w:rPr>
        <w:t xml:space="preserve"> </w:t>
      </w:r>
      <w:r w:rsidRPr="00FD5DC8">
        <w:rPr>
          <w:rFonts w:ascii="Arimo" w:hAnsi="Arimo" w:hint="eastAsia"/>
          <w:rtl/>
        </w:rPr>
        <w:t>שיהלום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מידת</w:t>
      </w:r>
      <w:r w:rsidRPr="00FD5DC8">
        <w:rPr>
          <w:rFonts w:ascii="Arimo" w:hAnsi="Arimo"/>
          <w:rtl/>
        </w:rPr>
        <w:t xml:space="preserve"> </w:t>
      </w:r>
      <w:r w:rsidRPr="00FD5DC8">
        <w:rPr>
          <w:rFonts w:ascii="Arimo" w:hAnsi="Arimo" w:hint="eastAsia"/>
          <w:rtl/>
        </w:rPr>
        <w:t>פגיעתן</w:t>
      </w:r>
      <w:r w:rsidRPr="00FD5DC8">
        <w:rPr>
          <w:rFonts w:ascii="Arimo" w:hAnsi="Arimo"/>
          <w:rtl/>
        </w:rPr>
        <w:t xml:space="preserve"> </w:t>
      </w:r>
      <w:r w:rsidRPr="00FD5DC8">
        <w:rPr>
          <w:rFonts w:ascii="Arimo" w:hAnsi="Arimo" w:hint="eastAsia"/>
          <w:rtl/>
        </w:rPr>
        <w:t>בערכים</w:t>
      </w:r>
      <w:r w:rsidRPr="00FD5DC8">
        <w:rPr>
          <w:rFonts w:ascii="Arimo" w:hAnsi="Arimo"/>
          <w:rtl/>
        </w:rPr>
        <w:t xml:space="preserve"> </w:t>
      </w:r>
      <w:r w:rsidRPr="00FD5DC8">
        <w:rPr>
          <w:rFonts w:ascii="Arimo" w:hAnsi="Arimo" w:hint="eastAsia"/>
          <w:rtl/>
        </w:rPr>
        <w:t>המוגנים</w:t>
      </w:r>
      <w:r w:rsidRPr="00FD5DC8">
        <w:rPr>
          <w:rFonts w:ascii="Arimo" w:hAnsi="Arimo"/>
          <w:rtl/>
        </w:rPr>
        <w:t xml:space="preserve"> </w:t>
      </w:r>
      <w:r w:rsidRPr="00FD5DC8">
        <w:rPr>
          <w:rFonts w:ascii="Arimo" w:hAnsi="Arimo" w:hint="eastAsia"/>
          <w:rtl/>
        </w:rPr>
        <w:t>ויקדם</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מיגור</w:t>
      </w:r>
      <w:r w:rsidRPr="00FD5DC8">
        <w:rPr>
          <w:rFonts w:ascii="Arimo" w:hAnsi="Arimo"/>
          <w:rtl/>
        </w:rPr>
        <w:t xml:space="preserve"> </w:t>
      </w:r>
      <w:r w:rsidRPr="00FD5DC8">
        <w:rPr>
          <w:rFonts w:ascii="Arimo" w:hAnsi="Arimo" w:hint="eastAsia"/>
          <w:rtl/>
        </w:rPr>
        <w:t>התופעה</w:t>
      </w:r>
      <w:r w:rsidRPr="00FD5DC8">
        <w:rPr>
          <w:rFonts w:ascii="Arimo" w:hAnsi="Arimo"/>
          <w:rtl/>
        </w:rPr>
        <w:t xml:space="preserve"> (...). </w:t>
      </w:r>
      <w:r w:rsidRPr="00FD5DC8">
        <w:rPr>
          <w:rFonts w:ascii="Arimo" w:hAnsi="Arimo" w:hint="eastAsia"/>
          <w:rtl/>
        </w:rPr>
        <w:t>משכך</w:t>
      </w:r>
      <w:r w:rsidRPr="00FD5DC8">
        <w:rPr>
          <w:rFonts w:ascii="Arimo" w:hAnsi="Arimo"/>
          <w:rtl/>
        </w:rPr>
        <w:t xml:space="preserve">, </w:t>
      </w:r>
      <w:r w:rsidRPr="00FD5DC8">
        <w:rPr>
          <w:rFonts w:ascii="Arimo" w:hAnsi="Arimo" w:hint="eastAsia"/>
          <w:rtl/>
        </w:rPr>
        <w:t>חרף</w:t>
      </w:r>
      <w:r w:rsidRPr="00FD5DC8">
        <w:rPr>
          <w:rFonts w:ascii="Arimo" w:hAnsi="Arimo"/>
          <w:rtl/>
        </w:rPr>
        <w:t xml:space="preserve"> </w:t>
      </w:r>
      <w:r w:rsidRPr="00FD5DC8">
        <w:rPr>
          <w:rFonts w:ascii="Arimo" w:hAnsi="Arimo" w:hint="eastAsia"/>
          <w:rtl/>
        </w:rPr>
        <w:t>עיקרון</w:t>
      </w:r>
      <w:r w:rsidRPr="00FD5DC8">
        <w:rPr>
          <w:rFonts w:ascii="Arimo" w:hAnsi="Arimo"/>
          <w:rtl/>
        </w:rPr>
        <w:t xml:space="preserve"> </w:t>
      </w:r>
      <w:r w:rsidRPr="00FD5DC8">
        <w:rPr>
          <w:rFonts w:ascii="Arimo" w:hAnsi="Arimo" w:hint="eastAsia"/>
          <w:rtl/>
        </w:rPr>
        <w:t>הענישה</w:t>
      </w:r>
      <w:r w:rsidRPr="00FD5DC8">
        <w:rPr>
          <w:rFonts w:ascii="Arimo" w:hAnsi="Arimo"/>
          <w:rtl/>
        </w:rPr>
        <w:t xml:space="preserve"> </w:t>
      </w:r>
      <w:r w:rsidRPr="00FD5DC8">
        <w:rPr>
          <w:rFonts w:ascii="Arimo" w:hAnsi="Arimo" w:hint="eastAsia"/>
          <w:rtl/>
        </w:rPr>
        <w:t>האינדיבידואלית</w:t>
      </w:r>
      <w:r w:rsidRPr="00FD5DC8">
        <w:rPr>
          <w:rFonts w:ascii="Arimo" w:hAnsi="Arimo"/>
          <w:rtl/>
        </w:rPr>
        <w:t xml:space="preserve"> </w:t>
      </w:r>
      <w:r w:rsidRPr="00FD5DC8">
        <w:rPr>
          <w:rFonts w:ascii="Arimo" w:hAnsi="Arimo" w:hint="eastAsia"/>
          <w:rtl/>
        </w:rPr>
        <w:t>והמשקל</w:t>
      </w:r>
      <w:r w:rsidRPr="00FD5DC8">
        <w:rPr>
          <w:rFonts w:ascii="Arimo" w:hAnsi="Arimo"/>
          <w:rtl/>
        </w:rPr>
        <w:t xml:space="preserve"> </w:t>
      </w:r>
      <w:r w:rsidRPr="00FD5DC8">
        <w:rPr>
          <w:rFonts w:ascii="Arimo" w:hAnsi="Arimo" w:hint="eastAsia"/>
          <w:rtl/>
        </w:rPr>
        <w:t>שיש</w:t>
      </w:r>
      <w:r w:rsidRPr="00FD5DC8">
        <w:rPr>
          <w:rFonts w:ascii="Arimo" w:hAnsi="Arimo"/>
          <w:rtl/>
        </w:rPr>
        <w:t xml:space="preserve"> </w:t>
      </w:r>
      <w:r w:rsidRPr="00FD5DC8">
        <w:rPr>
          <w:rFonts w:ascii="Arimo" w:hAnsi="Arimo" w:hint="eastAsia"/>
          <w:rtl/>
        </w:rPr>
        <w:t>ליתן</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האישיות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נאשם</w:t>
      </w:r>
      <w:r w:rsidRPr="00FD5DC8">
        <w:rPr>
          <w:rFonts w:ascii="Arimo" w:hAnsi="Arimo"/>
          <w:rtl/>
        </w:rPr>
        <w:t xml:space="preserve"> </w:t>
      </w:r>
      <w:r w:rsidRPr="00FD5DC8">
        <w:rPr>
          <w:rFonts w:ascii="Arimo" w:hAnsi="Arimo" w:hint="eastAsia"/>
          <w:rtl/>
        </w:rPr>
        <w:t>לגופו</w:t>
      </w:r>
      <w:r w:rsidRPr="00FD5DC8">
        <w:rPr>
          <w:rFonts w:ascii="Arimo" w:hAnsi="Arimo"/>
          <w:rtl/>
        </w:rPr>
        <w:t xml:space="preserve">, </w:t>
      </w:r>
      <w:r w:rsidRPr="00FD5DC8">
        <w:rPr>
          <w:rFonts w:ascii="Arimo" w:hAnsi="Arimo" w:hint="eastAsia"/>
          <w:rtl/>
        </w:rPr>
        <w:t>בבואו</w:t>
      </w:r>
      <w:r w:rsidRPr="00FD5DC8">
        <w:rPr>
          <w:rFonts w:ascii="Arimo" w:hAnsi="Arimo"/>
          <w:rtl/>
        </w:rPr>
        <w:t xml:space="preserve"> </w:t>
      </w:r>
      <w:r w:rsidRPr="00FD5DC8">
        <w:rPr>
          <w:rFonts w:ascii="Arimo" w:hAnsi="Arimo" w:hint="eastAsia"/>
          <w:rtl/>
        </w:rPr>
        <w:t>לגזור</w:t>
      </w:r>
      <w:r w:rsidRPr="00FD5DC8">
        <w:rPr>
          <w:rFonts w:ascii="Arimo" w:hAnsi="Arimo"/>
          <w:rtl/>
        </w:rPr>
        <w:t xml:space="preserve"> </w:t>
      </w:r>
      <w:r w:rsidRPr="00FD5DC8">
        <w:rPr>
          <w:rFonts w:ascii="Arimo" w:hAnsi="Arimo" w:hint="eastAsia"/>
          <w:rtl/>
        </w:rPr>
        <w:t>את</w:t>
      </w:r>
      <w:r w:rsidRPr="00FD5DC8">
        <w:rPr>
          <w:rFonts w:ascii="Arimo" w:hAnsi="Arimo"/>
          <w:rtl/>
        </w:rPr>
        <w:t xml:space="preserve"> </w:t>
      </w:r>
      <w:r w:rsidRPr="00FD5DC8">
        <w:rPr>
          <w:rFonts w:ascii="Arimo" w:hAnsi="Arimo" w:hint="eastAsia"/>
          <w:rtl/>
        </w:rPr>
        <w:t>דינו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מי</w:t>
      </w:r>
      <w:r w:rsidRPr="00FD5DC8">
        <w:rPr>
          <w:rFonts w:ascii="Arimo" w:hAnsi="Arimo"/>
          <w:rtl/>
        </w:rPr>
        <w:t xml:space="preserve"> </w:t>
      </w:r>
      <w:r w:rsidRPr="00FD5DC8">
        <w:rPr>
          <w:rFonts w:ascii="Arimo" w:hAnsi="Arimo" w:hint="eastAsia"/>
          <w:rtl/>
        </w:rPr>
        <w:t>שהורשע</w:t>
      </w:r>
      <w:r w:rsidRPr="00FD5DC8">
        <w:rPr>
          <w:rFonts w:ascii="Arimo" w:hAnsi="Arimo"/>
          <w:rtl/>
        </w:rPr>
        <w:t xml:space="preserve"> </w:t>
      </w:r>
      <w:r w:rsidRPr="00FD5DC8">
        <w:rPr>
          <w:rFonts w:ascii="Arimo" w:hAnsi="Arimo" w:hint="eastAsia"/>
          <w:rtl/>
        </w:rPr>
        <w:t>בביצוע</w:t>
      </w:r>
      <w:r w:rsidRPr="00FD5DC8">
        <w:rPr>
          <w:rFonts w:ascii="Arimo" w:hAnsi="Arimo"/>
          <w:rtl/>
        </w:rPr>
        <w:t xml:space="preserve"> </w:t>
      </w:r>
      <w:r w:rsidRPr="00FD5DC8">
        <w:rPr>
          <w:rFonts w:ascii="Arimo" w:hAnsi="Arimo" w:hint="eastAsia"/>
          <w:rtl/>
        </w:rPr>
        <w:t>עבירות</w:t>
      </w:r>
      <w:r w:rsidRPr="00FD5DC8">
        <w:rPr>
          <w:rFonts w:ascii="Arimo" w:hAnsi="Arimo"/>
          <w:rtl/>
        </w:rPr>
        <w:t xml:space="preserve"> </w:t>
      </w:r>
      <w:r w:rsidRPr="00FD5DC8">
        <w:rPr>
          <w:rFonts w:ascii="Arimo" w:hAnsi="Arimo" w:hint="eastAsia"/>
          <w:rtl/>
        </w:rPr>
        <w:t>חמורות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בית</w:t>
      </w:r>
      <w:r w:rsidRPr="00FD5DC8">
        <w:rPr>
          <w:rFonts w:ascii="Arimo" w:hAnsi="Arimo"/>
          <w:rtl/>
        </w:rPr>
        <w:t xml:space="preserve"> </w:t>
      </w:r>
      <w:r w:rsidRPr="00FD5DC8">
        <w:rPr>
          <w:rFonts w:ascii="Arimo" w:hAnsi="Arimo" w:hint="eastAsia"/>
          <w:rtl/>
        </w:rPr>
        <w:t>המשפט</w:t>
      </w:r>
      <w:r w:rsidRPr="00FD5DC8">
        <w:rPr>
          <w:rFonts w:ascii="Arimo" w:hAnsi="Arimo"/>
          <w:rtl/>
        </w:rPr>
        <w:t xml:space="preserve"> </w:t>
      </w:r>
      <w:r w:rsidRPr="00FD5DC8">
        <w:rPr>
          <w:rFonts w:ascii="Arimo" w:hAnsi="Arimo" w:hint="eastAsia"/>
          <w:rtl/>
        </w:rPr>
        <w:t>לתת</w:t>
      </w:r>
      <w:r w:rsidRPr="00FD5DC8">
        <w:rPr>
          <w:rFonts w:ascii="Arimo" w:hAnsi="Arimo"/>
          <w:rtl/>
        </w:rPr>
        <w:t xml:space="preserve"> </w:t>
      </w:r>
      <w:r w:rsidRPr="00FD5DC8">
        <w:rPr>
          <w:rFonts w:ascii="Arimo" w:hAnsi="Arimo" w:hint="eastAsia"/>
          <w:rtl/>
        </w:rPr>
        <w:t>בכורה</w:t>
      </w:r>
      <w:r w:rsidRPr="00FD5DC8">
        <w:rPr>
          <w:rFonts w:ascii="Arimo" w:hAnsi="Arimo"/>
          <w:rtl/>
        </w:rPr>
        <w:t xml:space="preserve"> </w:t>
      </w:r>
      <w:r w:rsidRPr="00FD5DC8">
        <w:rPr>
          <w:rFonts w:ascii="Arimo" w:hAnsi="Arimo" w:hint="eastAsia"/>
          <w:rtl/>
        </w:rPr>
        <w:t>לשיקולי</w:t>
      </w:r>
      <w:r w:rsidRPr="00FD5DC8">
        <w:rPr>
          <w:rFonts w:ascii="Arimo" w:hAnsi="Arimo"/>
          <w:rtl/>
        </w:rPr>
        <w:t xml:space="preserve"> </w:t>
      </w:r>
      <w:r w:rsidRPr="00FD5DC8">
        <w:rPr>
          <w:rFonts w:ascii="Arimo" w:hAnsi="Arimo" w:hint="eastAsia"/>
          <w:rtl/>
        </w:rPr>
        <w:t>ההרתעה</w:t>
      </w:r>
      <w:r w:rsidRPr="00FD5DC8">
        <w:rPr>
          <w:rFonts w:ascii="Arimo" w:hAnsi="Arimo"/>
          <w:rtl/>
        </w:rPr>
        <w:t xml:space="preserve"> </w:t>
      </w:r>
      <w:r w:rsidRPr="00FD5DC8">
        <w:rPr>
          <w:rFonts w:ascii="Arimo" w:hAnsi="Arimo" w:hint="eastAsia"/>
          <w:rtl/>
        </w:rPr>
        <w:t>והאינטרס</w:t>
      </w:r>
      <w:r w:rsidRPr="00FD5DC8">
        <w:rPr>
          <w:rFonts w:ascii="Arimo" w:hAnsi="Arimo"/>
          <w:rtl/>
        </w:rPr>
        <w:t xml:space="preserve"> </w:t>
      </w:r>
      <w:r w:rsidRPr="00FD5DC8">
        <w:rPr>
          <w:rFonts w:ascii="Arimo" w:hAnsi="Arimo" w:hint="eastAsia"/>
          <w:rtl/>
        </w:rPr>
        <w:t>הציבורי</w:t>
      </w:r>
      <w:r w:rsidRPr="00FD5DC8">
        <w:rPr>
          <w:rFonts w:ascii="Arimo" w:hAnsi="Arimo"/>
          <w:rtl/>
        </w:rPr>
        <w:t xml:space="preserve"> (...). </w:t>
      </w:r>
      <w:r w:rsidRPr="00FD5DC8">
        <w:rPr>
          <w:rFonts w:ascii="Arimo" w:hAnsi="Arimo" w:hint="eastAsia"/>
          <w:rtl/>
        </w:rPr>
        <w:t>כן</w:t>
      </w:r>
      <w:r w:rsidRPr="00FD5DC8">
        <w:rPr>
          <w:rFonts w:ascii="Arimo" w:hAnsi="Arimo"/>
          <w:rtl/>
        </w:rPr>
        <w:t xml:space="preserve"> </w:t>
      </w:r>
      <w:r w:rsidRPr="00FD5DC8">
        <w:rPr>
          <w:rFonts w:ascii="Arimo" w:hAnsi="Arimo" w:hint="eastAsia"/>
          <w:rtl/>
        </w:rPr>
        <w:t>יודגש</w:t>
      </w:r>
      <w:r w:rsidRPr="00FD5DC8">
        <w:rPr>
          <w:rFonts w:ascii="Arimo" w:hAnsi="Arimo"/>
          <w:rtl/>
        </w:rPr>
        <w:t xml:space="preserve">, </w:t>
      </w:r>
      <w:r w:rsidRPr="00FD5DC8">
        <w:rPr>
          <w:rFonts w:ascii="Arimo" w:hAnsi="Arimo" w:hint="eastAsia"/>
          <w:rtl/>
        </w:rPr>
        <w:t>הגם</w:t>
      </w:r>
      <w:r w:rsidRPr="00FD5DC8">
        <w:rPr>
          <w:rFonts w:ascii="Arimo" w:hAnsi="Arimo"/>
          <w:rtl/>
        </w:rPr>
        <w:t xml:space="preserve"> </w:t>
      </w:r>
      <w:r w:rsidRPr="00FD5DC8">
        <w:rPr>
          <w:rFonts w:ascii="Arimo" w:hAnsi="Arimo" w:hint="eastAsia"/>
          <w:rtl/>
        </w:rPr>
        <w:t>שעסקאות</w:t>
      </w:r>
      <w:r w:rsidRPr="00FD5DC8">
        <w:rPr>
          <w:rFonts w:ascii="Arimo" w:hAnsi="Arimo"/>
          <w:rtl/>
        </w:rPr>
        <w:t xml:space="preserve"> </w:t>
      </w:r>
      <w:r w:rsidRPr="00FD5DC8">
        <w:rPr>
          <w:rFonts w:ascii="Arimo" w:hAnsi="Arimo" w:hint="eastAsia"/>
          <w:rtl/>
        </w:rPr>
        <w:t>סחר</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מערבות</w:t>
      </w:r>
      <w:r w:rsidRPr="00FD5DC8">
        <w:rPr>
          <w:rFonts w:ascii="Arimo" w:hAnsi="Arimo"/>
          <w:rtl/>
        </w:rPr>
        <w:t xml:space="preserve"> </w:t>
      </w:r>
      <w:r w:rsidRPr="00FD5DC8">
        <w:rPr>
          <w:rFonts w:ascii="Arimo" w:hAnsi="Arimo" w:hint="eastAsia"/>
          <w:rtl/>
        </w:rPr>
        <w:t>מטבע</w:t>
      </w:r>
      <w:r w:rsidRPr="00FD5DC8">
        <w:rPr>
          <w:rFonts w:ascii="Arimo" w:hAnsi="Arimo"/>
          <w:rtl/>
        </w:rPr>
        <w:t xml:space="preserve"> </w:t>
      </w:r>
      <w:r w:rsidRPr="00FD5DC8">
        <w:rPr>
          <w:rFonts w:ascii="Arimo" w:hAnsi="Arimo" w:hint="eastAsia"/>
          <w:rtl/>
        </w:rPr>
        <w:t>הדברים</w:t>
      </w:r>
      <w:r w:rsidRPr="00FD5DC8">
        <w:rPr>
          <w:rFonts w:ascii="Arimo" w:hAnsi="Arimo"/>
          <w:rtl/>
        </w:rPr>
        <w:t xml:space="preserve"> </w:t>
      </w:r>
      <w:r w:rsidRPr="00FD5DC8">
        <w:rPr>
          <w:rFonts w:ascii="Arimo" w:hAnsi="Arimo" w:hint="eastAsia"/>
          <w:rtl/>
        </w:rPr>
        <w:t>גורמים</w:t>
      </w:r>
      <w:r w:rsidRPr="00FD5DC8">
        <w:rPr>
          <w:rFonts w:ascii="Arimo" w:hAnsi="Arimo"/>
          <w:rtl/>
        </w:rPr>
        <w:t xml:space="preserve"> </w:t>
      </w:r>
      <w:r w:rsidRPr="00FD5DC8">
        <w:rPr>
          <w:rFonts w:ascii="Arimo" w:hAnsi="Arimo" w:hint="eastAsia"/>
          <w:rtl/>
        </w:rPr>
        <w:t>שונים</w:t>
      </w:r>
      <w:r w:rsidRPr="00FD5DC8">
        <w:rPr>
          <w:rFonts w:ascii="Arimo" w:hAnsi="Arimo"/>
          <w:rtl/>
        </w:rPr>
        <w:t xml:space="preserve"> </w:t>
      </w:r>
      <w:r w:rsidRPr="00FD5DC8">
        <w:rPr>
          <w:rFonts w:ascii="Arimo" w:hAnsi="Arimo" w:hint="eastAsia"/>
          <w:rtl/>
        </w:rPr>
        <w:t>שחלקו</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אחד</w:t>
      </w:r>
      <w:r w:rsidRPr="00FD5DC8">
        <w:rPr>
          <w:rFonts w:ascii="Arimo" w:hAnsi="Arimo"/>
          <w:rtl/>
        </w:rPr>
        <w:t xml:space="preserve"> </w:t>
      </w:r>
      <w:r w:rsidRPr="00FD5DC8">
        <w:rPr>
          <w:rFonts w:ascii="Arimo" w:hAnsi="Arimo" w:hint="eastAsia"/>
          <w:rtl/>
        </w:rPr>
        <w:t>מהם</w:t>
      </w:r>
      <w:r w:rsidRPr="00FD5DC8">
        <w:rPr>
          <w:rFonts w:ascii="Arimo" w:hAnsi="Arimo"/>
          <w:rtl/>
        </w:rPr>
        <w:t xml:space="preserve"> </w:t>
      </w:r>
      <w:r w:rsidRPr="00FD5DC8">
        <w:rPr>
          <w:rFonts w:ascii="Arimo" w:hAnsi="Arimo" w:hint="eastAsia"/>
          <w:rtl/>
        </w:rPr>
        <w:t>בעסקה</w:t>
      </w:r>
      <w:r w:rsidRPr="00FD5DC8">
        <w:rPr>
          <w:rFonts w:ascii="Arimo" w:hAnsi="Arimo"/>
          <w:rtl/>
        </w:rPr>
        <w:t xml:space="preserve"> </w:t>
      </w:r>
      <w:r w:rsidRPr="00FD5DC8">
        <w:rPr>
          <w:rFonts w:ascii="Arimo" w:hAnsi="Arimo" w:hint="eastAsia"/>
          <w:rtl/>
        </w:rPr>
        <w:t>הוא</w:t>
      </w:r>
      <w:r w:rsidRPr="00FD5DC8">
        <w:rPr>
          <w:rFonts w:ascii="Arimo" w:hAnsi="Arimo"/>
          <w:rtl/>
        </w:rPr>
        <w:t xml:space="preserve"> </w:t>
      </w:r>
      <w:r w:rsidRPr="00FD5DC8">
        <w:rPr>
          <w:rFonts w:ascii="Arimo" w:hAnsi="Arimo" w:hint="eastAsia"/>
          <w:rtl/>
        </w:rPr>
        <w:t>משתנה</w:t>
      </w:r>
      <w:r w:rsidRPr="00FD5DC8">
        <w:rPr>
          <w:rFonts w:ascii="Arimo" w:hAnsi="Arimo"/>
          <w:rtl/>
        </w:rPr>
        <w:t xml:space="preserve">, </w:t>
      </w:r>
      <w:r w:rsidRPr="00FD5DC8">
        <w:rPr>
          <w:rFonts w:ascii="Arimo" w:hAnsi="Arimo" w:hint="eastAsia"/>
          <w:rtl/>
        </w:rPr>
        <w:t>יש</w:t>
      </w:r>
      <w:r w:rsidRPr="00FD5DC8">
        <w:rPr>
          <w:rFonts w:ascii="Arimo" w:hAnsi="Arimo"/>
          <w:rtl/>
        </w:rPr>
        <w:t xml:space="preserve"> </w:t>
      </w:r>
      <w:r w:rsidRPr="00FD5DC8">
        <w:rPr>
          <w:rFonts w:ascii="Arimo" w:hAnsi="Arimo" w:hint="eastAsia"/>
          <w:rtl/>
        </w:rPr>
        <w:t>חשיבות</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מוחשית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ואחת</w:t>
      </w:r>
      <w:r w:rsidRPr="00FD5DC8">
        <w:rPr>
          <w:rFonts w:ascii="Arimo" w:hAnsi="Arimo"/>
          <w:rtl/>
        </w:rPr>
        <w:t xml:space="preserve"> </w:t>
      </w:r>
      <w:r w:rsidRPr="00FD5DC8">
        <w:rPr>
          <w:rFonts w:ascii="Arimo" w:hAnsi="Arimo" w:hint="eastAsia"/>
          <w:rtl/>
        </w:rPr>
        <w:t>מהחוליות</w:t>
      </w:r>
      <w:r w:rsidRPr="00FD5DC8">
        <w:rPr>
          <w:rFonts w:ascii="Arimo" w:hAnsi="Arimo"/>
          <w:rtl/>
        </w:rPr>
        <w:t xml:space="preserve"> </w:t>
      </w:r>
      <w:r w:rsidRPr="00FD5DC8">
        <w:rPr>
          <w:rFonts w:ascii="Arimo" w:hAnsi="Arimo" w:hint="eastAsia"/>
          <w:rtl/>
        </w:rPr>
        <w:t>בשרשרת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אחת</w:t>
      </w:r>
      <w:r w:rsidRPr="00FD5DC8">
        <w:rPr>
          <w:rFonts w:ascii="Arimo" w:hAnsi="Arimo"/>
          <w:rtl/>
        </w:rPr>
        <w:t xml:space="preserve"> </w:t>
      </w:r>
      <w:r w:rsidRPr="00FD5DC8">
        <w:rPr>
          <w:rFonts w:ascii="Arimo" w:hAnsi="Arimo" w:hint="eastAsia"/>
          <w:rtl/>
        </w:rPr>
        <w:t>מאותן</w:t>
      </w:r>
      <w:r w:rsidRPr="00FD5DC8">
        <w:rPr>
          <w:rFonts w:ascii="Arimo" w:hAnsi="Arimo"/>
          <w:rtl/>
        </w:rPr>
        <w:t xml:space="preserve"> </w:t>
      </w:r>
      <w:r w:rsidRPr="00FD5DC8">
        <w:rPr>
          <w:rFonts w:ascii="Arimo" w:hAnsi="Arimo" w:hint="eastAsia"/>
          <w:rtl/>
        </w:rPr>
        <w:t>חוליות</w:t>
      </w:r>
      <w:r w:rsidRPr="00FD5DC8">
        <w:rPr>
          <w:rFonts w:ascii="Arimo" w:hAnsi="Arimo"/>
          <w:rtl/>
        </w:rPr>
        <w:t xml:space="preserve"> '</w:t>
      </w:r>
      <w:r w:rsidRPr="00FD5DC8">
        <w:rPr>
          <w:rFonts w:ascii="Arimo" w:hAnsi="Arimo" w:hint="eastAsia"/>
          <w:rtl/>
        </w:rPr>
        <w:t>מוחזקת</w:t>
      </w:r>
      <w:r w:rsidRPr="00FD5DC8">
        <w:rPr>
          <w:rFonts w:ascii="Arimo" w:hAnsi="Arimo"/>
          <w:rtl/>
        </w:rPr>
        <w:t xml:space="preserve"> </w:t>
      </w:r>
      <w:r w:rsidRPr="00FD5DC8">
        <w:rPr>
          <w:rFonts w:ascii="Arimo" w:hAnsi="Arimo" w:hint="eastAsia"/>
          <w:rtl/>
        </w:rPr>
        <w:t>כמי</w:t>
      </w:r>
      <w:r w:rsidRPr="00FD5DC8">
        <w:rPr>
          <w:rFonts w:ascii="Arimo" w:hAnsi="Arimo"/>
          <w:rtl/>
        </w:rPr>
        <w:t xml:space="preserve"> </w:t>
      </w:r>
      <w:r w:rsidRPr="00FD5DC8">
        <w:rPr>
          <w:rFonts w:ascii="Arimo" w:hAnsi="Arimo" w:hint="eastAsia"/>
          <w:rtl/>
        </w:rPr>
        <w:t>שמודעת</w:t>
      </w:r>
      <w:r w:rsidRPr="00FD5DC8">
        <w:rPr>
          <w:rFonts w:ascii="Arimo" w:hAnsi="Arimo"/>
          <w:rtl/>
        </w:rPr>
        <w:t xml:space="preserve"> </w:t>
      </w:r>
      <w:r w:rsidRPr="00FD5DC8">
        <w:rPr>
          <w:rFonts w:ascii="Arimo" w:hAnsi="Arimo" w:hint="eastAsia"/>
          <w:rtl/>
        </w:rPr>
        <w:t>לתוצאות</w:t>
      </w:r>
      <w:r w:rsidRPr="00FD5DC8">
        <w:rPr>
          <w:rFonts w:ascii="Arimo" w:hAnsi="Arimo"/>
          <w:rtl/>
        </w:rPr>
        <w:t xml:space="preserve"> </w:t>
      </w:r>
      <w:r w:rsidRPr="00FD5DC8">
        <w:rPr>
          <w:rFonts w:ascii="Arimo" w:hAnsi="Arimo" w:hint="eastAsia"/>
          <w:rtl/>
        </w:rPr>
        <w:t>האפשריות</w:t>
      </w:r>
      <w:r w:rsidRPr="00FD5DC8">
        <w:rPr>
          <w:rFonts w:ascii="Arimo" w:hAnsi="Arimo"/>
          <w:rtl/>
        </w:rPr>
        <w:t xml:space="preserve"> </w:t>
      </w:r>
      <w:r w:rsidRPr="00FD5DC8">
        <w:rPr>
          <w:rFonts w:ascii="Arimo" w:hAnsi="Arimo" w:hint="eastAsia"/>
          <w:rtl/>
        </w:rPr>
        <w:t>הקשות</w:t>
      </w:r>
      <w:r w:rsidRPr="00FD5DC8">
        <w:rPr>
          <w:rFonts w:ascii="Arimo" w:hAnsi="Arimo"/>
          <w:rtl/>
        </w:rPr>
        <w:t xml:space="preserve"> </w:t>
      </w:r>
      <w:r w:rsidRPr="00FD5DC8">
        <w:rPr>
          <w:rFonts w:ascii="Arimo" w:hAnsi="Arimo" w:hint="eastAsia"/>
          <w:rtl/>
        </w:rPr>
        <w:t>העלולות</w:t>
      </w:r>
      <w:r w:rsidRPr="00FD5DC8">
        <w:rPr>
          <w:rFonts w:ascii="Arimo" w:hAnsi="Arimo"/>
          <w:rtl/>
        </w:rPr>
        <w:t xml:space="preserve"> </w:t>
      </w:r>
      <w:r w:rsidRPr="00FD5DC8">
        <w:rPr>
          <w:rFonts w:ascii="Arimo" w:hAnsi="Arimo" w:hint="eastAsia"/>
          <w:rtl/>
        </w:rPr>
        <w:t>לנבוע</w:t>
      </w:r>
      <w:r w:rsidRPr="00FD5DC8">
        <w:rPr>
          <w:rFonts w:ascii="Arimo" w:hAnsi="Arimo"/>
          <w:rtl/>
        </w:rPr>
        <w:t xml:space="preserve"> </w:t>
      </w:r>
      <w:r w:rsidRPr="00FD5DC8">
        <w:rPr>
          <w:rFonts w:ascii="Arimo" w:hAnsi="Arimo" w:hint="eastAsia"/>
          <w:rtl/>
        </w:rPr>
        <w:t>מהשימוש</w:t>
      </w:r>
      <w:r w:rsidRPr="00FD5DC8">
        <w:rPr>
          <w:rFonts w:ascii="Arimo" w:hAnsi="Arimo"/>
          <w:rtl/>
        </w:rPr>
        <w:t xml:space="preserve"> </w:t>
      </w:r>
      <w:r w:rsidRPr="00FD5DC8">
        <w:rPr>
          <w:rFonts w:ascii="Arimo" w:hAnsi="Arimo" w:hint="eastAsia"/>
          <w:rtl/>
        </w:rPr>
        <w:t>שייעשה</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לאחר</w:t>
      </w:r>
      <w:r w:rsidRPr="00FD5DC8">
        <w:rPr>
          <w:rFonts w:ascii="Arimo" w:hAnsi="Arimo"/>
          <w:rtl/>
        </w:rPr>
        <w:t xml:space="preserve"> </w:t>
      </w:r>
      <w:r w:rsidRPr="00FD5DC8">
        <w:rPr>
          <w:rFonts w:ascii="Arimo" w:hAnsi="Arimo" w:hint="eastAsia"/>
          <w:rtl/>
        </w:rPr>
        <w:t>שיגיע</w:t>
      </w:r>
      <w:r w:rsidRPr="00FD5DC8">
        <w:rPr>
          <w:rFonts w:ascii="Arimo" w:hAnsi="Arimo"/>
          <w:rtl/>
        </w:rPr>
        <w:t xml:space="preserve"> </w:t>
      </w:r>
      <w:r w:rsidRPr="00FD5DC8">
        <w:rPr>
          <w:rFonts w:ascii="Arimo" w:hAnsi="Arimo" w:hint="eastAsia"/>
          <w:rtl/>
        </w:rPr>
        <w:t>אל</w:t>
      </w:r>
      <w:r w:rsidRPr="00FD5DC8">
        <w:rPr>
          <w:rFonts w:ascii="Arimo" w:hAnsi="Arimo"/>
          <w:rtl/>
        </w:rPr>
        <w:t xml:space="preserve"> '</w:t>
      </w:r>
      <w:r w:rsidRPr="00FD5DC8">
        <w:rPr>
          <w:rFonts w:ascii="Arimo" w:hAnsi="Arimo" w:hint="eastAsia"/>
          <w:rtl/>
        </w:rPr>
        <w:t>הצרכן</w:t>
      </w:r>
      <w:r w:rsidRPr="00FD5DC8">
        <w:rPr>
          <w:rFonts w:ascii="Arimo" w:hAnsi="Arimo"/>
          <w:rtl/>
        </w:rPr>
        <w:t xml:space="preserve"> </w:t>
      </w:r>
      <w:r w:rsidRPr="00FD5DC8">
        <w:rPr>
          <w:rFonts w:ascii="Arimo" w:hAnsi="Arimo" w:hint="eastAsia"/>
          <w:rtl/>
        </w:rPr>
        <w:t>הסופי</w:t>
      </w:r>
      <w:r w:rsidRPr="00FD5DC8">
        <w:rPr>
          <w:rFonts w:ascii="Arimo" w:hAnsi="Arimo"/>
          <w:rtl/>
        </w:rPr>
        <w:t xml:space="preserve">' </w:t>
      </w:r>
      <w:r w:rsidRPr="00FD5DC8">
        <w:rPr>
          <w:rFonts w:ascii="Arimo" w:hAnsi="Arimo" w:hint="eastAsia"/>
          <w:rtl/>
        </w:rPr>
        <w:t>בקצה</w:t>
      </w:r>
      <w:r w:rsidRPr="00FD5DC8">
        <w:rPr>
          <w:rFonts w:ascii="Arimo" w:hAnsi="Arimo"/>
          <w:rtl/>
        </w:rPr>
        <w:t xml:space="preserve"> </w:t>
      </w:r>
      <w:r w:rsidRPr="00FD5DC8">
        <w:rPr>
          <w:rFonts w:ascii="Arimo" w:hAnsi="Arimo" w:hint="eastAsia"/>
          <w:rtl/>
        </w:rPr>
        <w:t>השרשרת</w:t>
      </w:r>
      <w:r w:rsidRPr="00FD5DC8">
        <w:rPr>
          <w:rFonts w:ascii="Arimo" w:hAnsi="Arimo"/>
          <w:rtl/>
        </w:rPr>
        <w:t>' (</w:t>
      </w:r>
      <w:hyperlink r:id="rId43" w:history="1">
        <w:r w:rsidR="001F21E7" w:rsidRPr="001F21E7">
          <w:rPr>
            <w:rFonts w:ascii="Arimo" w:hAnsi="Arimo" w:hint="eastAsia"/>
            <w:color w:val="0000FF"/>
            <w:u w:val="single"/>
            <w:rtl/>
          </w:rPr>
          <w:t>ע</w:t>
        </w:r>
        <w:r w:rsidR="001F21E7" w:rsidRPr="001F21E7">
          <w:rPr>
            <w:rFonts w:ascii="Arimo" w:hAnsi="Arimo"/>
            <w:color w:val="0000FF"/>
            <w:u w:val="single"/>
            <w:rtl/>
          </w:rPr>
          <w:t>"</w:t>
        </w:r>
        <w:r w:rsidR="001F21E7" w:rsidRPr="001F21E7">
          <w:rPr>
            <w:rFonts w:ascii="Arimo" w:hAnsi="Arimo" w:hint="eastAsia"/>
            <w:color w:val="0000FF"/>
            <w:u w:val="single"/>
            <w:rtl/>
          </w:rPr>
          <w:t>פ</w:t>
        </w:r>
        <w:r w:rsidR="001F21E7" w:rsidRPr="001F21E7">
          <w:rPr>
            <w:rFonts w:ascii="Arimo" w:hAnsi="Arimo"/>
            <w:color w:val="0000FF"/>
            <w:u w:val="single"/>
            <w:rtl/>
          </w:rPr>
          <w:t xml:space="preserve"> 7268/11</w:t>
        </w:r>
      </w:hyperlink>
      <w:r w:rsidRPr="00FD5DC8">
        <w:rPr>
          <w:rFonts w:ascii="Arimo" w:hAnsi="Arimo"/>
          <w:rtl/>
        </w:rPr>
        <w:t xml:space="preserve"> </w:t>
      </w:r>
      <w:r w:rsidRPr="00FD5DC8">
        <w:rPr>
          <w:rFonts w:ascii="Arimo" w:hAnsi="Arimo" w:hint="eastAsia"/>
          <w:u w:val="single"/>
          <w:rtl/>
        </w:rPr>
        <w:t>גרבאן</w:t>
      </w:r>
      <w:r w:rsidRPr="00FD5DC8">
        <w:rPr>
          <w:rFonts w:ascii="Arimo" w:hAnsi="Arimo"/>
          <w:u w:val="single"/>
          <w:rtl/>
        </w:rPr>
        <w:t xml:space="preserve"> </w:t>
      </w:r>
      <w:r w:rsidRPr="00FD5DC8">
        <w:rPr>
          <w:rFonts w:ascii="Arimo" w:hAnsi="Arimo" w:hint="eastAsia"/>
          <w:u w:val="single"/>
          <w:rtl/>
        </w:rPr>
        <w:t>נ</w:t>
      </w:r>
      <w:r w:rsidRPr="00FD5DC8">
        <w:rPr>
          <w:rFonts w:ascii="Arimo" w:hAnsi="Arimo"/>
          <w:u w:val="single"/>
          <w:rtl/>
        </w:rPr>
        <w:t xml:space="preserve">' </w:t>
      </w:r>
      <w:r w:rsidRPr="00FD5DC8">
        <w:rPr>
          <w:rFonts w:ascii="Arimo" w:hAnsi="Arimo" w:hint="eastAsia"/>
          <w:u w:val="single"/>
          <w:rtl/>
        </w:rPr>
        <w:t>מדינת</w:t>
      </w:r>
      <w:r w:rsidRPr="00FD5DC8">
        <w:rPr>
          <w:rFonts w:ascii="Arimo" w:hAnsi="Arimo"/>
          <w:u w:val="single"/>
          <w:rtl/>
        </w:rPr>
        <w:t xml:space="preserve"> </w:t>
      </w:r>
      <w:r w:rsidRPr="00FD5DC8">
        <w:rPr>
          <w:rFonts w:ascii="Arimo" w:hAnsi="Arimo" w:hint="eastAsia"/>
          <w:u w:val="single"/>
          <w:rtl/>
        </w:rPr>
        <w:t>ישראל</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 (8.8.2012)). </w:t>
      </w:r>
      <w:r w:rsidRPr="00FD5DC8">
        <w:rPr>
          <w:rFonts w:ascii="Arimo" w:hAnsi="Arimo" w:hint="eastAsia"/>
          <w:rtl/>
        </w:rPr>
        <w:t>לעניין</w:t>
      </w:r>
      <w:r w:rsidRPr="00FD5DC8">
        <w:rPr>
          <w:rFonts w:ascii="Arimo" w:hAnsi="Arimo"/>
          <w:rtl/>
        </w:rPr>
        <w:t xml:space="preserve"> </w:t>
      </w:r>
      <w:r w:rsidRPr="00FD5DC8">
        <w:rPr>
          <w:rFonts w:ascii="Arimo" w:hAnsi="Arimo" w:hint="eastAsia"/>
          <w:rtl/>
        </w:rPr>
        <w:t>הצורך</w:t>
      </w:r>
      <w:r w:rsidRPr="00FD5DC8">
        <w:rPr>
          <w:rFonts w:ascii="Arimo" w:hAnsi="Arimo"/>
          <w:rtl/>
        </w:rPr>
        <w:t xml:space="preserve"> </w:t>
      </w:r>
      <w:r w:rsidRPr="00FD5DC8">
        <w:rPr>
          <w:rFonts w:ascii="Arimo" w:hAnsi="Arimo" w:hint="eastAsia"/>
          <w:rtl/>
        </w:rPr>
        <w:t>בהחמרה</w:t>
      </w:r>
      <w:r w:rsidRPr="00FD5DC8">
        <w:rPr>
          <w:rFonts w:ascii="Arimo" w:hAnsi="Arimo"/>
          <w:rtl/>
        </w:rPr>
        <w:t xml:space="preserve"> </w:t>
      </w:r>
      <w:r w:rsidRPr="00FD5DC8">
        <w:rPr>
          <w:rFonts w:ascii="Arimo" w:hAnsi="Arimo" w:hint="eastAsia"/>
          <w:rtl/>
        </w:rPr>
        <w:t>בענישה</w:t>
      </w:r>
      <w:r w:rsidRPr="00FD5DC8">
        <w:rPr>
          <w:rFonts w:ascii="Arimo" w:hAnsi="Arimo"/>
          <w:rtl/>
        </w:rPr>
        <w:t xml:space="preserve"> </w:t>
      </w:r>
      <w:r w:rsidRPr="00FD5DC8">
        <w:rPr>
          <w:rFonts w:ascii="Arimo" w:hAnsi="Arimo" w:hint="eastAsia"/>
          <w:rtl/>
        </w:rPr>
        <w:t>ציינה</w:t>
      </w:r>
      <w:r w:rsidRPr="00FD5DC8">
        <w:rPr>
          <w:rFonts w:ascii="Arimo" w:hAnsi="Arimo"/>
          <w:rtl/>
        </w:rPr>
        <w:t xml:space="preserve"> </w:t>
      </w:r>
      <w:r w:rsidRPr="00FD5DC8">
        <w:rPr>
          <w:rFonts w:ascii="Arimo" w:hAnsi="Arimo" w:hint="eastAsia"/>
          <w:rtl/>
        </w:rPr>
        <w:t>השופטת</w:t>
      </w:r>
      <w:r w:rsidRPr="00FD5DC8">
        <w:rPr>
          <w:rFonts w:ascii="Arimo" w:hAnsi="Arimo"/>
          <w:rtl/>
        </w:rPr>
        <w:t xml:space="preserve"> (</w:t>
      </w:r>
      <w:r w:rsidRPr="00FD5DC8">
        <w:rPr>
          <w:rFonts w:ascii="Arimo" w:hAnsi="Arimo" w:hint="eastAsia"/>
          <w:rtl/>
        </w:rPr>
        <w:t>כתוארה</w:t>
      </w:r>
      <w:r w:rsidRPr="00FD5DC8">
        <w:rPr>
          <w:rFonts w:ascii="Arimo" w:hAnsi="Arimo"/>
          <w:rtl/>
        </w:rPr>
        <w:t xml:space="preserve"> </w:t>
      </w:r>
      <w:r w:rsidRPr="00FD5DC8">
        <w:rPr>
          <w:rFonts w:ascii="Arimo" w:hAnsi="Arimo" w:hint="eastAsia"/>
          <w:rtl/>
        </w:rPr>
        <w:t>אז</w:t>
      </w:r>
      <w:r w:rsidRPr="00FD5DC8">
        <w:rPr>
          <w:rFonts w:ascii="Arimo" w:hAnsi="Arimo"/>
          <w:rtl/>
        </w:rPr>
        <w:t xml:space="preserve">) </w:t>
      </w:r>
      <w:r w:rsidRPr="00FD5DC8">
        <w:rPr>
          <w:rFonts w:ascii="Arimo" w:hAnsi="Arimo" w:hint="eastAsia"/>
          <w:rtl/>
        </w:rPr>
        <w:t>א</w:t>
      </w:r>
      <w:r w:rsidRPr="00FD5DC8">
        <w:rPr>
          <w:rFonts w:ascii="Arimo" w:hAnsi="Arimo"/>
          <w:rtl/>
        </w:rPr>
        <w:t xml:space="preserve">' </w:t>
      </w:r>
      <w:r w:rsidRPr="00FD5DC8">
        <w:rPr>
          <w:rFonts w:ascii="Arimo" w:hAnsi="Arimo" w:hint="eastAsia"/>
          <w:rtl/>
        </w:rPr>
        <w:t>חיות</w:t>
      </w:r>
      <w:r w:rsidRPr="00FD5DC8">
        <w:rPr>
          <w:rFonts w:ascii="Arimo" w:hAnsi="Arimo"/>
          <w:rtl/>
        </w:rPr>
        <w:t xml:space="preserve"> </w:t>
      </w:r>
      <w:r w:rsidRPr="00FD5DC8">
        <w:rPr>
          <w:rFonts w:ascii="Arimo" w:hAnsi="Arimo" w:hint="eastAsia"/>
          <w:rtl/>
        </w:rPr>
        <w:t>בפסק</w:t>
      </w:r>
      <w:r w:rsidRPr="00FD5DC8">
        <w:rPr>
          <w:rFonts w:ascii="Arimo" w:hAnsi="Arimo"/>
          <w:rtl/>
        </w:rPr>
        <w:t xml:space="preserve"> </w:t>
      </w:r>
      <w:r w:rsidRPr="00FD5DC8">
        <w:rPr>
          <w:rFonts w:ascii="Arimo" w:hAnsi="Arimo" w:hint="eastAsia"/>
          <w:rtl/>
        </w:rPr>
        <w:t>הדין</w:t>
      </w:r>
      <w:r w:rsidRPr="00FD5DC8">
        <w:rPr>
          <w:rFonts w:ascii="Arimo" w:hAnsi="Arimo"/>
          <w:rtl/>
        </w:rPr>
        <w:t xml:space="preserve"> </w:t>
      </w:r>
      <w:r w:rsidRPr="00FD5DC8">
        <w:rPr>
          <w:rFonts w:ascii="Arimo" w:hAnsi="Arimo" w:hint="eastAsia"/>
          <w:rtl/>
        </w:rPr>
        <w:t>בעניין</w:t>
      </w:r>
      <w:r w:rsidRPr="00FD5DC8">
        <w:rPr>
          <w:rFonts w:ascii="Arimo" w:hAnsi="Arimo"/>
          <w:rtl/>
        </w:rPr>
        <w:t xml:space="preserve"> </w:t>
      </w:r>
      <w:r w:rsidRPr="00FD5DC8">
        <w:rPr>
          <w:rFonts w:ascii="Arimo" w:hAnsi="Arimo" w:hint="eastAsia"/>
          <w:u w:val="single"/>
          <w:rtl/>
        </w:rPr>
        <w:t>נפאע</w:t>
      </w:r>
      <w:r w:rsidRPr="00FD5DC8">
        <w:rPr>
          <w:rFonts w:ascii="Arimo" w:hAnsi="Arimo"/>
          <w:rtl/>
        </w:rPr>
        <w:t xml:space="preserve">: </w:t>
      </w:r>
    </w:p>
    <w:p w14:paraId="0355E9E5" w14:textId="77777777" w:rsidR="00A75CE1" w:rsidRPr="00FD5DC8" w:rsidRDefault="00A75CE1" w:rsidP="00A75CE1">
      <w:pPr>
        <w:spacing w:line="360" w:lineRule="auto"/>
        <w:ind w:left="2160"/>
        <w:jc w:val="both"/>
        <w:rPr>
          <w:rFonts w:ascii="Arimo" w:hAnsi="Arimo"/>
        </w:rPr>
      </w:pPr>
      <w:r w:rsidRPr="00FD5DC8">
        <w:rPr>
          <w:rFonts w:ascii="Arimo" w:hAnsi="Arimo"/>
          <w:rtl/>
        </w:rPr>
        <w:t>'</w:t>
      </w:r>
      <w:r w:rsidRPr="00FD5DC8">
        <w:rPr>
          <w:rFonts w:ascii="Arimo" w:hAnsi="Arimo" w:hint="eastAsia"/>
          <w:rtl/>
        </w:rPr>
        <w:t>נוכח</w:t>
      </w:r>
      <w:r w:rsidRPr="00FD5DC8">
        <w:rPr>
          <w:rFonts w:ascii="Arimo" w:hAnsi="Arimo"/>
          <w:rtl/>
        </w:rPr>
        <w:t xml:space="preserve"> </w:t>
      </w:r>
      <w:r w:rsidRPr="00FD5DC8">
        <w:rPr>
          <w:rFonts w:ascii="Arimo" w:hAnsi="Arimo" w:hint="eastAsia"/>
          <w:rtl/>
        </w:rPr>
        <w:t>מימדיה</w:t>
      </w:r>
      <w:r w:rsidRPr="00FD5DC8">
        <w:rPr>
          <w:rFonts w:ascii="Arimo" w:hAnsi="Arimo"/>
          <w:rtl/>
        </w:rPr>
        <w:t xml:space="preserve"> </w:t>
      </w:r>
      <w:r w:rsidRPr="00FD5DC8">
        <w:rPr>
          <w:rFonts w:ascii="Arimo" w:hAnsi="Arimo" w:hint="eastAsia"/>
          <w:rtl/>
        </w:rPr>
        <w:t>המדאיגים</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תופעת</w:t>
      </w:r>
      <w:r w:rsidRPr="00FD5DC8">
        <w:rPr>
          <w:rFonts w:ascii="Arimo" w:hAnsi="Arimo"/>
          <w:rtl/>
        </w:rPr>
        <w:t xml:space="preserve"> </w:t>
      </w:r>
      <w:r w:rsidRPr="00FD5DC8">
        <w:rPr>
          <w:rFonts w:ascii="Arimo" w:hAnsi="Arimo" w:hint="eastAsia"/>
          <w:rtl/>
        </w:rPr>
        <w:t>הסחר</w:t>
      </w:r>
      <w:r w:rsidRPr="00FD5DC8">
        <w:rPr>
          <w:rFonts w:ascii="Arimo" w:hAnsi="Arimo"/>
          <w:rtl/>
        </w:rPr>
        <w:t xml:space="preserve"> </w:t>
      </w:r>
      <w:r w:rsidRPr="00FD5DC8">
        <w:rPr>
          <w:rFonts w:ascii="Arimo" w:hAnsi="Arimo" w:hint="eastAsia"/>
          <w:rtl/>
        </w:rPr>
        <w:t>הבלתי</w:t>
      </w:r>
      <w:r w:rsidRPr="00FD5DC8">
        <w:rPr>
          <w:rFonts w:ascii="Arimo" w:hAnsi="Arimo"/>
          <w:rtl/>
        </w:rPr>
        <w:t xml:space="preserve"> </w:t>
      </w:r>
      <w:r w:rsidRPr="00FD5DC8">
        <w:rPr>
          <w:rFonts w:ascii="Arimo" w:hAnsi="Arimo" w:hint="eastAsia"/>
          <w:rtl/>
        </w:rPr>
        <w:t>חוקי</w:t>
      </w:r>
      <w:r w:rsidRPr="00FD5DC8">
        <w:rPr>
          <w:rFonts w:ascii="Arimo" w:hAnsi="Arimo"/>
          <w:rtl/>
        </w:rPr>
        <w:t xml:space="preserve"> </w:t>
      </w:r>
      <w:r w:rsidRPr="00FD5DC8">
        <w:rPr>
          <w:rFonts w:ascii="Arimo" w:hAnsi="Arimo" w:hint="eastAsia"/>
          <w:rtl/>
        </w:rPr>
        <w:t>בנשק</w:t>
      </w:r>
      <w:r w:rsidRPr="00FD5DC8">
        <w:rPr>
          <w:rFonts w:ascii="Arimo" w:hAnsi="Arimo"/>
          <w:rtl/>
        </w:rPr>
        <w:t xml:space="preserve">, </w:t>
      </w:r>
      <w:r w:rsidRPr="00FD5DC8">
        <w:rPr>
          <w:rFonts w:ascii="Arimo" w:hAnsi="Arimo" w:hint="eastAsia"/>
          <w:rtl/>
        </w:rPr>
        <w:t>הסכנות</w:t>
      </w:r>
      <w:r w:rsidRPr="00FD5DC8">
        <w:rPr>
          <w:rFonts w:ascii="Arimo" w:hAnsi="Arimo"/>
          <w:rtl/>
        </w:rPr>
        <w:t xml:space="preserve"> </w:t>
      </w:r>
      <w:r w:rsidRPr="00FD5DC8">
        <w:rPr>
          <w:rFonts w:ascii="Arimo" w:hAnsi="Arimo" w:hint="eastAsia"/>
          <w:rtl/>
        </w:rPr>
        <w:t>הנשקפות</w:t>
      </w:r>
      <w:r w:rsidRPr="00FD5DC8">
        <w:rPr>
          <w:rFonts w:ascii="Arimo" w:hAnsi="Arimo"/>
          <w:rtl/>
        </w:rPr>
        <w:t xml:space="preserve"> </w:t>
      </w:r>
      <w:r w:rsidRPr="00FD5DC8">
        <w:rPr>
          <w:rFonts w:ascii="Arimo" w:hAnsi="Arimo" w:hint="eastAsia"/>
          <w:rtl/>
        </w:rPr>
        <w:t>ממנה</w:t>
      </w:r>
      <w:r w:rsidRPr="00FD5DC8">
        <w:rPr>
          <w:rFonts w:ascii="Arimo" w:hAnsi="Arimo"/>
          <w:rtl/>
        </w:rPr>
        <w:t xml:space="preserve"> </w:t>
      </w:r>
      <w:r w:rsidRPr="00FD5DC8">
        <w:rPr>
          <w:rFonts w:ascii="Arimo" w:hAnsi="Arimo" w:hint="eastAsia"/>
          <w:rtl/>
        </w:rPr>
        <w:t>והקלות</w:t>
      </w:r>
      <w:r w:rsidRPr="00FD5DC8">
        <w:rPr>
          <w:rFonts w:ascii="Arimo" w:hAnsi="Arimo"/>
          <w:rtl/>
        </w:rPr>
        <w:t xml:space="preserve"> </w:t>
      </w:r>
      <w:r w:rsidRPr="00FD5DC8">
        <w:rPr>
          <w:rFonts w:ascii="Arimo" w:hAnsi="Arimo" w:hint="eastAsia"/>
          <w:rtl/>
        </w:rPr>
        <w:t>היחסית</w:t>
      </w:r>
      <w:r w:rsidRPr="00FD5DC8">
        <w:rPr>
          <w:rFonts w:ascii="Arimo" w:hAnsi="Arimo"/>
          <w:rtl/>
        </w:rPr>
        <w:t xml:space="preserve"> </w:t>
      </w:r>
      <w:r w:rsidRPr="00FD5DC8">
        <w:rPr>
          <w:rFonts w:ascii="Arimo" w:hAnsi="Arimo" w:hint="eastAsia"/>
          <w:rtl/>
        </w:rPr>
        <w:t>שבה</w:t>
      </w:r>
      <w:r w:rsidRPr="00FD5DC8">
        <w:rPr>
          <w:rFonts w:ascii="Arimo" w:hAnsi="Arimo"/>
          <w:rtl/>
        </w:rPr>
        <w:t xml:space="preserve"> </w:t>
      </w:r>
      <w:r w:rsidRPr="00FD5DC8">
        <w:rPr>
          <w:rFonts w:ascii="Arimo" w:hAnsi="Arimo" w:hint="eastAsia"/>
          <w:rtl/>
        </w:rPr>
        <w:t>ניתן</w:t>
      </w:r>
      <w:r w:rsidRPr="00FD5DC8">
        <w:rPr>
          <w:rFonts w:ascii="Arimo" w:hAnsi="Arimo"/>
          <w:rtl/>
        </w:rPr>
        <w:t xml:space="preserve"> </w:t>
      </w:r>
      <w:r w:rsidRPr="00FD5DC8">
        <w:rPr>
          <w:rFonts w:ascii="Arimo" w:hAnsi="Arimo" w:hint="eastAsia"/>
          <w:rtl/>
        </w:rPr>
        <w:t>לבצען</w:t>
      </w:r>
      <w:r w:rsidRPr="00FD5DC8">
        <w:rPr>
          <w:rFonts w:ascii="Arimo" w:hAnsi="Arimo"/>
          <w:rtl/>
        </w:rPr>
        <w:t xml:space="preserve">, </w:t>
      </w:r>
      <w:r w:rsidRPr="00FD5DC8">
        <w:rPr>
          <w:rFonts w:ascii="Arimo" w:hAnsi="Arimo" w:hint="eastAsia"/>
          <w:rtl/>
        </w:rPr>
        <w:t>אכן</w:t>
      </w:r>
      <w:r w:rsidRPr="00FD5DC8">
        <w:rPr>
          <w:rFonts w:ascii="Arimo" w:hAnsi="Arimo"/>
          <w:rtl/>
        </w:rPr>
        <w:t xml:space="preserve"> </w:t>
      </w:r>
      <w:r w:rsidRPr="00FD5DC8">
        <w:rPr>
          <w:rFonts w:ascii="Arimo" w:hAnsi="Arimo" w:hint="eastAsia"/>
          <w:rtl/>
        </w:rPr>
        <w:t>הגיעה</w:t>
      </w:r>
      <w:r w:rsidRPr="00FD5DC8">
        <w:rPr>
          <w:rFonts w:ascii="Arimo" w:hAnsi="Arimo"/>
          <w:rtl/>
        </w:rPr>
        <w:t xml:space="preserve"> </w:t>
      </w:r>
      <w:r w:rsidRPr="00FD5DC8">
        <w:rPr>
          <w:rFonts w:ascii="Arimo" w:hAnsi="Arimo" w:hint="eastAsia"/>
          <w:rtl/>
        </w:rPr>
        <w:t>השעה</w:t>
      </w:r>
      <w:r w:rsidRPr="00FD5DC8">
        <w:rPr>
          <w:rFonts w:ascii="Arimo" w:hAnsi="Arimo"/>
          <w:rtl/>
        </w:rPr>
        <w:t xml:space="preserve"> – </w:t>
      </w:r>
      <w:r w:rsidRPr="00FD5DC8">
        <w:rPr>
          <w:rFonts w:ascii="Arimo" w:hAnsi="Arimo" w:hint="eastAsia"/>
          <w:rtl/>
        </w:rPr>
        <w:t>בכפוף</w:t>
      </w:r>
      <w:r w:rsidRPr="00FD5DC8">
        <w:rPr>
          <w:rFonts w:ascii="Arimo" w:hAnsi="Arimo"/>
          <w:rtl/>
        </w:rPr>
        <w:t xml:space="preserve"> </w:t>
      </w:r>
      <w:r w:rsidRPr="00FD5DC8">
        <w:rPr>
          <w:rFonts w:ascii="Arimo" w:hAnsi="Arimo" w:hint="eastAsia"/>
          <w:rtl/>
        </w:rPr>
        <w:t>לנסיבותיו</w:t>
      </w:r>
      <w:r w:rsidRPr="00FD5DC8">
        <w:rPr>
          <w:rFonts w:ascii="Arimo" w:hAnsi="Arimo"/>
          <w:rtl/>
        </w:rPr>
        <w:t xml:space="preserve"> </w:t>
      </w:r>
      <w:r w:rsidRPr="00FD5DC8">
        <w:rPr>
          <w:rFonts w:ascii="Arimo" w:hAnsi="Arimo" w:hint="eastAsia"/>
          <w:rtl/>
        </w:rPr>
        <w:t>הקונקרטיות</w:t>
      </w:r>
      <w:r w:rsidRPr="00FD5DC8">
        <w:rPr>
          <w:rFonts w:ascii="Arimo" w:hAnsi="Arimo"/>
          <w:rtl/>
        </w:rPr>
        <w:t xml:space="preserve"> </w:t>
      </w:r>
      <w:r w:rsidRPr="00FD5DC8">
        <w:rPr>
          <w:rFonts w:ascii="Arimo" w:hAnsi="Arimo" w:hint="eastAsia"/>
          <w:rtl/>
        </w:rPr>
        <w:t>של</w:t>
      </w:r>
      <w:r w:rsidRPr="00FD5DC8">
        <w:rPr>
          <w:rFonts w:ascii="Arimo" w:hAnsi="Arimo"/>
          <w:rtl/>
        </w:rPr>
        <w:t xml:space="preserve"> </w:t>
      </w:r>
      <w:r w:rsidRPr="00FD5DC8">
        <w:rPr>
          <w:rFonts w:ascii="Arimo" w:hAnsi="Arimo" w:hint="eastAsia"/>
          <w:rtl/>
        </w:rPr>
        <w:t>כל</w:t>
      </w:r>
      <w:r w:rsidRPr="00FD5DC8">
        <w:rPr>
          <w:rFonts w:ascii="Arimo" w:hAnsi="Arimo"/>
          <w:rtl/>
        </w:rPr>
        <w:t xml:space="preserve"> </w:t>
      </w:r>
      <w:r w:rsidRPr="00FD5DC8">
        <w:rPr>
          <w:rFonts w:ascii="Arimo" w:hAnsi="Arimo" w:hint="eastAsia"/>
          <w:rtl/>
        </w:rPr>
        <w:t>מקרה</w:t>
      </w:r>
      <w:r w:rsidRPr="00FD5DC8">
        <w:rPr>
          <w:rFonts w:ascii="Arimo" w:hAnsi="Arimo"/>
          <w:rtl/>
        </w:rPr>
        <w:t xml:space="preserve"> </w:t>
      </w:r>
      <w:r w:rsidRPr="00FD5DC8">
        <w:rPr>
          <w:rFonts w:ascii="Arimo" w:hAnsi="Arimo" w:hint="eastAsia"/>
          <w:rtl/>
        </w:rPr>
        <w:t>ומקרה</w:t>
      </w:r>
      <w:r w:rsidRPr="00FD5DC8">
        <w:rPr>
          <w:rFonts w:ascii="Arimo" w:hAnsi="Arimo"/>
          <w:rtl/>
        </w:rPr>
        <w:t xml:space="preserve"> – </w:t>
      </w:r>
      <w:r w:rsidRPr="00FD5DC8">
        <w:rPr>
          <w:rFonts w:ascii="Arimo" w:hAnsi="Arimo" w:hint="eastAsia"/>
          <w:rtl/>
        </w:rPr>
        <w:t>להחמיר</w:t>
      </w:r>
      <w:r w:rsidRPr="00FD5DC8">
        <w:rPr>
          <w:rFonts w:ascii="Arimo" w:hAnsi="Arimo"/>
          <w:rtl/>
        </w:rPr>
        <w:t xml:space="preserve"> </w:t>
      </w:r>
      <w:r w:rsidRPr="00FD5DC8">
        <w:rPr>
          <w:rFonts w:ascii="Arimo" w:hAnsi="Arimo" w:hint="eastAsia"/>
          <w:rtl/>
        </w:rPr>
        <w:t>בעונשי</w:t>
      </w:r>
      <w:r w:rsidRPr="00FD5DC8">
        <w:rPr>
          <w:rFonts w:ascii="Arimo" w:hAnsi="Arimo"/>
          <w:rtl/>
        </w:rPr>
        <w:t xml:space="preserve"> </w:t>
      </w:r>
      <w:r w:rsidRPr="00FD5DC8">
        <w:rPr>
          <w:rFonts w:ascii="Arimo" w:hAnsi="Arimo" w:hint="eastAsia"/>
          <w:rtl/>
        </w:rPr>
        <w:t>המאסר</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על</w:t>
      </w:r>
      <w:r w:rsidRPr="00FD5DC8">
        <w:rPr>
          <w:rFonts w:ascii="Arimo" w:hAnsi="Arimo"/>
          <w:rtl/>
        </w:rPr>
        <w:t xml:space="preserve"> </w:t>
      </w:r>
      <w:r w:rsidRPr="00FD5DC8">
        <w:rPr>
          <w:rFonts w:ascii="Arimo" w:hAnsi="Arimo" w:hint="eastAsia"/>
          <w:rtl/>
        </w:rPr>
        <w:t>נאשמים</w:t>
      </w:r>
      <w:r w:rsidRPr="00FD5DC8">
        <w:rPr>
          <w:rFonts w:ascii="Arimo" w:hAnsi="Arimo"/>
          <w:rtl/>
        </w:rPr>
        <w:t xml:space="preserve"> </w:t>
      </w:r>
      <w:r w:rsidRPr="00FD5DC8">
        <w:rPr>
          <w:rFonts w:ascii="Arimo" w:hAnsi="Arimo" w:hint="eastAsia"/>
          <w:rtl/>
        </w:rPr>
        <w:t>בעבירות</w:t>
      </w:r>
      <w:r w:rsidRPr="00FD5DC8">
        <w:rPr>
          <w:rFonts w:ascii="Arimo" w:hAnsi="Arimo"/>
          <w:rtl/>
        </w:rPr>
        <w:t xml:space="preserve"> </w:t>
      </w:r>
      <w:r w:rsidRPr="00FD5DC8">
        <w:rPr>
          <w:rFonts w:ascii="Arimo" w:hAnsi="Arimo" w:hint="eastAsia"/>
          <w:rtl/>
        </w:rPr>
        <w:t>אלו</w:t>
      </w:r>
      <w:r w:rsidRPr="00FD5DC8">
        <w:rPr>
          <w:rFonts w:ascii="Arimo" w:hAnsi="Arimo"/>
          <w:rtl/>
        </w:rPr>
        <w:t xml:space="preserve"> </w:t>
      </w:r>
      <w:r w:rsidRPr="00FD5DC8">
        <w:rPr>
          <w:rFonts w:ascii="Arimo" w:hAnsi="Arimo" w:hint="eastAsia"/>
          <w:rtl/>
        </w:rPr>
        <w:t>לעומת</w:t>
      </w:r>
      <w:r w:rsidRPr="00FD5DC8">
        <w:rPr>
          <w:rFonts w:ascii="Arimo" w:hAnsi="Arimo"/>
          <w:rtl/>
        </w:rPr>
        <w:t xml:space="preserve"> </w:t>
      </w:r>
      <w:r w:rsidRPr="00FD5DC8">
        <w:rPr>
          <w:rFonts w:ascii="Arimo" w:hAnsi="Arimo" w:hint="eastAsia"/>
          <w:rtl/>
        </w:rPr>
        <w:t>העונשים</w:t>
      </w:r>
      <w:r w:rsidRPr="00FD5DC8">
        <w:rPr>
          <w:rFonts w:ascii="Arimo" w:hAnsi="Arimo"/>
          <w:rtl/>
        </w:rPr>
        <w:t xml:space="preserve"> </w:t>
      </w:r>
      <w:r w:rsidRPr="00FD5DC8">
        <w:rPr>
          <w:rFonts w:ascii="Arimo" w:hAnsi="Arimo" w:hint="eastAsia"/>
          <w:rtl/>
        </w:rPr>
        <w:t>הנגזרים</w:t>
      </w:r>
      <w:r w:rsidRPr="00FD5DC8">
        <w:rPr>
          <w:rFonts w:ascii="Arimo" w:hAnsi="Arimo"/>
          <w:rtl/>
        </w:rPr>
        <w:t xml:space="preserve"> </w:t>
      </w:r>
      <w:r w:rsidRPr="00FD5DC8">
        <w:rPr>
          <w:rFonts w:ascii="Arimo" w:hAnsi="Arimo" w:hint="eastAsia"/>
          <w:rtl/>
        </w:rPr>
        <w:t>כיום</w:t>
      </w:r>
      <w:r w:rsidRPr="00FD5DC8">
        <w:rPr>
          <w:rFonts w:ascii="Arimo" w:hAnsi="Arimo"/>
          <w:rtl/>
        </w:rPr>
        <w:t>" (</w:t>
      </w:r>
      <w:r w:rsidRPr="00FD5DC8">
        <w:rPr>
          <w:rFonts w:ascii="Arimo" w:hAnsi="Arimo" w:hint="eastAsia"/>
          <w:rtl/>
        </w:rPr>
        <w:t>שם</w:t>
      </w:r>
      <w:r w:rsidRPr="00FD5DC8">
        <w:rPr>
          <w:rFonts w:ascii="Arimo" w:hAnsi="Arimo"/>
          <w:rtl/>
        </w:rPr>
        <w:t xml:space="preserve">, </w:t>
      </w:r>
      <w:r w:rsidRPr="00FD5DC8">
        <w:rPr>
          <w:rFonts w:ascii="Arimo" w:hAnsi="Arimo" w:hint="eastAsia"/>
          <w:rtl/>
        </w:rPr>
        <w:t>פסקה</w:t>
      </w:r>
      <w:r w:rsidRPr="00FD5DC8">
        <w:rPr>
          <w:rFonts w:ascii="Arimo" w:hAnsi="Arimo"/>
          <w:rtl/>
        </w:rPr>
        <w:t xml:space="preserve"> 7)'."</w:t>
      </w:r>
    </w:p>
    <w:p w14:paraId="11FAA613" w14:textId="77777777" w:rsidR="00A75CE1" w:rsidRPr="00FD5DC8" w:rsidRDefault="00A75CE1" w:rsidP="00A75CE1">
      <w:pPr>
        <w:spacing w:line="360" w:lineRule="auto"/>
        <w:jc w:val="both"/>
        <w:rPr>
          <w:rtl/>
        </w:rPr>
      </w:pPr>
    </w:p>
    <w:p w14:paraId="57C1DD00"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בחינת מדיניות הענישה הנהוגה</w:t>
      </w:r>
    </w:p>
    <w:p w14:paraId="43482862" w14:textId="77777777" w:rsidR="00A75CE1" w:rsidRPr="00FD5DC8" w:rsidRDefault="00A75CE1" w:rsidP="00A75CE1">
      <w:pPr>
        <w:spacing w:line="360" w:lineRule="auto"/>
        <w:jc w:val="both"/>
        <w:rPr>
          <w:rtl/>
        </w:rPr>
      </w:pPr>
    </w:p>
    <w:p w14:paraId="42421A35" w14:textId="77777777" w:rsidR="00A75CE1" w:rsidRPr="00FD5DC8" w:rsidRDefault="00A75CE1" w:rsidP="00A75CE1">
      <w:pPr>
        <w:spacing w:line="360" w:lineRule="auto"/>
        <w:jc w:val="both"/>
        <w:rPr>
          <w:rtl/>
        </w:rPr>
      </w:pPr>
      <w:r w:rsidRPr="00FD5DC8">
        <w:rPr>
          <w:rtl/>
        </w:rPr>
        <w:t>17.</w:t>
      </w:r>
      <w:r w:rsidRPr="00FD5DC8">
        <w:rPr>
          <w:rtl/>
        </w:rPr>
        <w:tab/>
        <w:t>בחינת מדיניות הענישה הנהוגה הנלמדת מפסקי הדין, לרבות אלו שאליהם הפנו הצדדים (כמפורט לעיל), מעלה כי בעבירות של סחר בנשק (</w:t>
      </w:r>
      <w:hyperlink r:id="rId44" w:history="1">
        <w:r w:rsidR="00D6318A" w:rsidRPr="00D6318A">
          <w:rPr>
            <w:color w:val="0000FF"/>
            <w:u w:val="single"/>
            <w:rtl/>
          </w:rPr>
          <w:t>סעיף 144(ב2)</w:t>
        </w:r>
      </w:hyperlink>
      <w:r w:rsidRPr="00FD5DC8">
        <w:rPr>
          <w:rtl/>
        </w:rPr>
        <w:t xml:space="preserve"> ב</w:t>
      </w:r>
      <w:hyperlink r:id="rId45" w:history="1">
        <w:r w:rsidR="001F21E7" w:rsidRPr="001F21E7">
          <w:rPr>
            <w:color w:val="0000FF"/>
            <w:u w:val="single"/>
            <w:rtl/>
          </w:rPr>
          <w:t>חוק העונשין</w:t>
        </w:r>
      </w:hyperlink>
      <w:r w:rsidRPr="00FD5DC8">
        <w:rPr>
          <w:rtl/>
        </w:rPr>
        <w:t xml:space="preserve">), טווח הענישה רחב ומשתנה בין השאר, בהתאם לסוג הנשק שנסחר, לחלקו של הנאשם בעסקת הנשק ולשאלה אם העסקה הושלמה. </w:t>
      </w:r>
    </w:p>
    <w:p w14:paraId="7CF43E97" w14:textId="77777777" w:rsidR="00A75CE1" w:rsidRPr="00FD5DC8" w:rsidRDefault="00A75CE1" w:rsidP="00A75CE1">
      <w:pPr>
        <w:spacing w:line="360" w:lineRule="auto"/>
        <w:jc w:val="both"/>
        <w:rPr>
          <w:rtl/>
        </w:rPr>
      </w:pPr>
    </w:p>
    <w:p w14:paraId="411210CE" w14:textId="77777777" w:rsidR="00A75CE1" w:rsidRPr="00FD5DC8" w:rsidRDefault="00A75CE1" w:rsidP="00A75CE1">
      <w:pPr>
        <w:spacing w:line="360" w:lineRule="auto"/>
        <w:jc w:val="both"/>
        <w:rPr>
          <w:rtl/>
        </w:rPr>
      </w:pPr>
      <w:r w:rsidRPr="00FD5DC8">
        <w:rPr>
          <w:rtl/>
        </w:rPr>
        <w:t>18.</w:t>
      </w:r>
      <w:r w:rsidRPr="00FD5DC8">
        <w:rPr>
          <w:rtl/>
        </w:rPr>
        <w:tab/>
        <w:t xml:space="preserve">בעניין סוג הנשק ניתן לראות שאם מדובר בעסקה לרכישת אקדח או נשק מאולתר, מתחם העונש נמוך יותר. כך למשל, בעניין </w:t>
      </w:r>
      <w:r w:rsidRPr="00FD5DC8">
        <w:rPr>
          <w:u w:val="single"/>
          <w:rtl/>
        </w:rPr>
        <w:t>בראנסי</w:t>
      </w:r>
      <w:r w:rsidRPr="00FD5DC8">
        <w:rPr>
          <w:rtl/>
        </w:rPr>
        <w:t xml:space="preserve">, מתחם העונש לגבי עסקה אחת של מכירת אקדח הועמד על טווח שבין 24 ל-48 חודשי מאסר (עניין </w:t>
      </w:r>
      <w:r w:rsidRPr="00FD5DC8">
        <w:rPr>
          <w:u w:val="single"/>
          <w:rtl/>
        </w:rPr>
        <w:t>בראנסי</w:t>
      </w:r>
      <w:r w:rsidRPr="00FD5DC8">
        <w:rPr>
          <w:rtl/>
        </w:rPr>
        <w:t xml:space="preserve">, הדיון בעניין נאשם 6, בפסקאות 62-55 וכן ראו הדיון בעניין נאשם 9, פסקאות 45-37). מתחמי ענישה דומים נקבעו לאחרונה במספר מקרים שנדונו בבית משפט זה, שבהם הורשע נאשם בעבירה של סחר באקדח או בנשק מאולתר: עניין </w:t>
      </w:r>
      <w:r w:rsidRPr="00FD5DC8">
        <w:rPr>
          <w:u w:val="single"/>
          <w:rtl/>
        </w:rPr>
        <w:t>קאסם</w:t>
      </w:r>
      <w:r w:rsidRPr="00FD5DC8">
        <w:rPr>
          <w:rtl/>
        </w:rPr>
        <w:t xml:space="preserve">, בעניין הנאשם 2; עניין </w:t>
      </w:r>
      <w:r w:rsidRPr="00FD5DC8">
        <w:rPr>
          <w:u w:val="single"/>
          <w:rtl/>
        </w:rPr>
        <w:t>עג'אג'</w:t>
      </w:r>
      <w:r w:rsidRPr="00FD5DC8">
        <w:rPr>
          <w:rtl/>
        </w:rPr>
        <w:t xml:space="preserve">; </w:t>
      </w:r>
      <w:hyperlink r:id="rId46" w:history="1">
        <w:r w:rsidR="001F21E7" w:rsidRPr="001F21E7">
          <w:rPr>
            <w:color w:val="0000FF"/>
            <w:u w:val="single"/>
            <w:rtl/>
          </w:rPr>
          <w:t>ת"פ 50551-03-18</w:t>
        </w:r>
      </w:hyperlink>
      <w:r w:rsidRPr="00FD5DC8">
        <w:rPr>
          <w:rtl/>
        </w:rPr>
        <w:t xml:space="preserve"> </w:t>
      </w:r>
      <w:r w:rsidRPr="00FD5DC8">
        <w:rPr>
          <w:u w:val="single"/>
          <w:rtl/>
        </w:rPr>
        <w:t>מדינת ישראל נ' עטיה</w:t>
      </w:r>
      <w:r w:rsidRPr="00FD5DC8">
        <w:rPr>
          <w:rtl/>
        </w:rPr>
        <w:t xml:space="preserve"> (13.12.2018) (כבוד השופט ר' כרמל), שבו דובר בנאשם שהורשע בעבירה של סחר בנשק מסוג אקדח. נקבע שמתחם העונש הוא בין 15 ל-40 חודשי מאסר. על הנאשם, צעיר כבן 21 ללא הרשעות קודמות, הוטלו 18 חודשי מאסר בפועל ומאסר מותנה.</w:t>
      </w:r>
    </w:p>
    <w:p w14:paraId="6D1B82AE" w14:textId="77777777" w:rsidR="00A75CE1" w:rsidRPr="00FD5DC8" w:rsidRDefault="00A75CE1" w:rsidP="00A75CE1">
      <w:pPr>
        <w:spacing w:line="360" w:lineRule="auto"/>
        <w:jc w:val="both"/>
        <w:rPr>
          <w:rtl/>
        </w:rPr>
      </w:pPr>
    </w:p>
    <w:p w14:paraId="537130DD" w14:textId="77777777" w:rsidR="00A75CE1" w:rsidRPr="00FD5DC8" w:rsidRDefault="00A75CE1" w:rsidP="00A75CE1">
      <w:pPr>
        <w:spacing w:line="360" w:lineRule="auto"/>
        <w:jc w:val="both"/>
        <w:rPr>
          <w:rtl/>
        </w:rPr>
      </w:pPr>
      <w:r w:rsidRPr="00FD5DC8">
        <w:rPr>
          <w:rtl/>
        </w:rPr>
        <w:t xml:space="preserve">לעומת זאת, לגבי סחר בנשק מסוג תת-מקלע או רובה סער, נקבעו מתחמי ענישה גבוהים יותר. ראו בין השאר, בעניין </w:t>
      </w:r>
      <w:r w:rsidRPr="00C26D81">
        <w:rPr>
          <w:u w:val="single"/>
          <w:rtl/>
        </w:rPr>
        <w:t>בראנסי</w:t>
      </w:r>
      <w:r w:rsidRPr="00FD5DC8">
        <w:rPr>
          <w:rtl/>
        </w:rPr>
        <w:t xml:space="preserve">, ששם נקבע כי מתחם העונש לגבי נשק מסוג זה, הוא בין 24 ל-60 חודשי מאסר (הדיון בעניין נאשם 3, פסקאות 36-30; הדיון בעניין נאשם 19, פסקאות 54-46; הדיון בעניין נאשם 8, פסקאות 69-63). מתחם עונש דומה נקבע לאחרונה בבית משפט זה בעניין </w:t>
      </w:r>
      <w:hyperlink r:id="rId47" w:history="1">
        <w:r w:rsidR="001F21E7" w:rsidRPr="001F21E7">
          <w:rPr>
            <w:color w:val="0000FF"/>
            <w:u w:val="single"/>
            <w:rtl/>
          </w:rPr>
          <w:t>ת"פ (מחוזי ירושלים) 35608-04-18</w:t>
        </w:r>
      </w:hyperlink>
      <w:r w:rsidRPr="00FD5DC8">
        <w:rPr>
          <w:rtl/>
        </w:rPr>
        <w:t xml:space="preserve"> </w:t>
      </w:r>
      <w:r w:rsidRPr="00FD5DC8">
        <w:rPr>
          <w:u w:val="single"/>
          <w:rtl/>
        </w:rPr>
        <w:t>מדינת ישראל נ' קורד</w:t>
      </w:r>
      <w:r w:rsidRPr="00FD5DC8">
        <w:rPr>
          <w:rtl/>
        </w:rPr>
        <w:t xml:space="preserve"> (28.2.2019) (כבוד השופט ר' כרמל). שם דובר בנאשם שהורשע בשתי עבריות של סחר בנשק, בקשר לשתי עסקאות. באחת נמכר אקדח מסוג סטאר 9 עם מחסנית וכדורים ובשנייה נמכר רובה סער מסוג </w:t>
      </w:r>
      <w:r w:rsidRPr="00FD5DC8">
        <w:t>M-16</w:t>
      </w:r>
      <w:r w:rsidRPr="00FD5DC8">
        <w:rPr>
          <w:rtl/>
        </w:rPr>
        <w:t xml:space="preserve"> עם מחסנית וכדורים. לנאשם אין הרשעות קודמות. נקבע שמתחם העונש הוא בין שנתיים לשש שנות מאסר. העונש שהוטל היה 34 חודשי מאסר בפועל, מאסר מותנה וקנס.</w:t>
      </w:r>
    </w:p>
    <w:p w14:paraId="386C7E9A" w14:textId="77777777" w:rsidR="00A75CE1" w:rsidRPr="00FD5DC8" w:rsidRDefault="00A75CE1" w:rsidP="00A75CE1">
      <w:pPr>
        <w:spacing w:line="360" w:lineRule="auto"/>
        <w:jc w:val="both"/>
        <w:rPr>
          <w:rtl/>
        </w:rPr>
      </w:pPr>
    </w:p>
    <w:p w14:paraId="3541BE80" w14:textId="77777777" w:rsidR="00A75CE1" w:rsidRPr="00FD5DC8" w:rsidRDefault="00A75CE1" w:rsidP="00A75CE1">
      <w:pPr>
        <w:spacing w:line="360" w:lineRule="auto"/>
        <w:jc w:val="both"/>
        <w:rPr>
          <w:rtl/>
        </w:rPr>
      </w:pPr>
      <w:r w:rsidRPr="00FD5DC8">
        <w:rPr>
          <w:rtl/>
        </w:rPr>
        <w:t>19.</w:t>
      </w:r>
      <w:r w:rsidRPr="00FD5DC8">
        <w:rPr>
          <w:rtl/>
        </w:rPr>
        <w:tab/>
        <w:t xml:space="preserve">אבחנה נוספת במתחם הענישה נובעת מחלקו של הנאשם בעסקה. כך למשל, במספר מקרים נקבע שמתחם העונש של מי שתיווך בעסקת נשק, נמוך מזה של המוכר (ראו לעניין זה, בין השאר: עניין </w:t>
      </w:r>
      <w:r w:rsidRPr="00FD5DC8">
        <w:rPr>
          <w:u w:val="single"/>
          <w:rtl/>
        </w:rPr>
        <w:t>דוידאר</w:t>
      </w:r>
      <w:r w:rsidRPr="00A75CE1">
        <w:rPr>
          <w:rFonts w:ascii="Calibri" w:hAnsi="Calibri"/>
          <w:rtl/>
        </w:rPr>
        <w:t xml:space="preserve">; </w:t>
      </w:r>
      <w:hyperlink r:id="rId48" w:history="1">
        <w:r w:rsidR="001F21E7" w:rsidRPr="001F21E7">
          <w:rPr>
            <w:color w:val="0000FF"/>
            <w:u w:val="single"/>
            <w:rtl/>
          </w:rPr>
          <w:t>ע"פ 2422/14</w:t>
        </w:r>
      </w:hyperlink>
      <w:r w:rsidRPr="00FD5DC8">
        <w:rPr>
          <w:rtl/>
        </w:rPr>
        <w:t xml:space="preserve"> </w:t>
      </w:r>
      <w:r w:rsidRPr="00FD5DC8">
        <w:rPr>
          <w:u w:val="single"/>
          <w:rtl/>
        </w:rPr>
        <w:t>עלי ח'דר נ' מדינת ישראל</w:t>
      </w:r>
      <w:r w:rsidRPr="00FD5DC8">
        <w:rPr>
          <w:rtl/>
        </w:rPr>
        <w:t xml:space="preserve"> (21.12.2014) (כבוד השופט ס' ג'ובראן); </w:t>
      </w:r>
      <w:hyperlink r:id="rId49" w:history="1">
        <w:r w:rsidR="001F21E7" w:rsidRPr="001F21E7">
          <w:rPr>
            <w:rFonts w:ascii="Calibri" w:hAnsi="Calibri" w:hint="eastAsia"/>
            <w:color w:val="0000FF"/>
            <w:u w:val="single"/>
            <w:rtl/>
          </w:rPr>
          <w:t>ת</w:t>
        </w:r>
        <w:r w:rsidR="001F21E7" w:rsidRPr="001F21E7">
          <w:rPr>
            <w:rFonts w:ascii="Calibri" w:hAnsi="Calibri"/>
            <w:color w:val="0000FF"/>
            <w:u w:val="single"/>
            <w:rtl/>
          </w:rPr>
          <w:t>"</w:t>
        </w:r>
        <w:r w:rsidR="001F21E7" w:rsidRPr="001F21E7">
          <w:rPr>
            <w:rFonts w:ascii="Calibri" w:hAnsi="Calibri" w:hint="eastAsia"/>
            <w:color w:val="0000FF"/>
            <w:u w:val="single"/>
            <w:rtl/>
          </w:rPr>
          <w:t>פ</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מחוזי</w:t>
        </w:r>
        <w:r w:rsidR="001F21E7" w:rsidRPr="001F21E7">
          <w:rPr>
            <w:rFonts w:ascii="Calibri" w:hAnsi="Calibri"/>
            <w:color w:val="0000FF"/>
            <w:u w:val="single"/>
            <w:rtl/>
          </w:rPr>
          <w:t xml:space="preserve"> </w:t>
        </w:r>
        <w:r w:rsidR="001F21E7" w:rsidRPr="001F21E7">
          <w:rPr>
            <w:rFonts w:ascii="Calibri" w:hAnsi="Calibri" w:hint="eastAsia"/>
            <w:color w:val="0000FF"/>
            <w:u w:val="single"/>
            <w:rtl/>
          </w:rPr>
          <w:t>ירושלים</w:t>
        </w:r>
        <w:r w:rsidR="001F21E7" w:rsidRPr="001F21E7">
          <w:rPr>
            <w:rFonts w:ascii="Calibri" w:hAnsi="Calibri"/>
            <w:color w:val="0000FF"/>
            <w:u w:val="single"/>
            <w:rtl/>
          </w:rPr>
          <w:t>) 11789-12-16</w:t>
        </w:r>
      </w:hyperlink>
      <w:r w:rsidRPr="00A75CE1">
        <w:rPr>
          <w:rFonts w:ascii="Calibri" w:hAnsi="Calibri"/>
          <w:rtl/>
        </w:rPr>
        <w:t xml:space="preserve"> </w:t>
      </w:r>
      <w:r w:rsidRPr="00A75CE1">
        <w:rPr>
          <w:rFonts w:ascii="Calibri" w:hAnsi="Calibri" w:hint="eastAsia"/>
          <w:u w:val="single"/>
          <w:rtl/>
        </w:rPr>
        <w:t>מדינת</w:t>
      </w:r>
      <w:r w:rsidRPr="00A75CE1">
        <w:rPr>
          <w:rFonts w:ascii="Calibri" w:hAnsi="Calibri"/>
          <w:u w:val="single"/>
          <w:rtl/>
        </w:rPr>
        <w:t xml:space="preserve"> </w:t>
      </w:r>
      <w:r w:rsidRPr="00A75CE1">
        <w:rPr>
          <w:rFonts w:ascii="Calibri" w:hAnsi="Calibri" w:hint="eastAsia"/>
          <w:u w:val="single"/>
          <w:rtl/>
        </w:rPr>
        <w:t>ישראל</w:t>
      </w:r>
      <w:r w:rsidRPr="00A75CE1">
        <w:rPr>
          <w:rFonts w:ascii="Calibri" w:hAnsi="Calibri"/>
          <w:u w:val="single"/>
          <w:rtl/>
        </w:rPr>
        <w:t xml:space="preserve"> </w:t>
      </w:r>
      <w:r w:rsidRPr="00A75CE1">
        <w:rPr>
          <w:rFonts w:ascii="Calibri" w:hAnsi="Calibri" w:hint="eastAsia"/>
          <w:u w:val="single"/>
          <w:rtl/>
        </w:rPr>
        <w:t>נ</w:t>
      </w:r>
      <w:r w:rsidRPr="00A75CE1">
        <w:rPr>
          <w:rFonts w:ascii="Calibri" w:hAnsi="Calibri"/>
          <w:u w:val="single"/>
          <w:rtl/>
        </w:rPr>
        <w:t xml:space="preserve">' </w:t>
      </w:r>
      <w:r w:rsidRPr="00A75CE1">
        <w:rPr>
          <w:rFonts w:ascii="Calibri" w:hAnsi="Calibri" w:hint="eastAsia"/>
          <w:u w:val="single"/>
          <w:rtl/>
        </w:rPr>
        <w:t>מאזן</w:t>
      </w:r>
      <w:r w:rsidRPr="00A75CE1">
        <w:rPr>
          <w:rFonts w:ascii="Calibri" w:hAnsi="Calibri"/>
          <w:u w:val="single"/>
          <w:rtl/>
        </w:rPr>
        <w:t xml:space="preserve"> </w:t>
      </w:r>
      <w:r w:rsidRPr="00A75CE1">
        <w:rPr>
          <w:rFonts w:ascii="Calibri" w:hAnsi="Calibri" w:hint="eastAsia"/>
          <w:u w:val="single"/>
          <w:rtl/>
        </w:rPr>
        <w:t>ג</w:t>
      </w:r>
      <w:r w:rsidRPr="00A75CE1">
        <w:rPr>
          <w:rFonts w:ascii="Calibri" w:hAnsi="Calibri"/>
          <w:u w:val="single"/>
          <w:rtl/>
        </w:rPr>
        <w:t>'</w:t>
      </w:r>
      <w:r w:rsidRPr="00A75CE1">
        <w:rPr>
          <w:rFonts w:ascii="Calibri" w:hAnsi="Calibri" w:hint="eastAsia"/>
          <w:u w:val="single"/>
          <w:rtl/>
        </w:rPr>
        <w:t>אבר</w:t>
      </w:r>
      <w:r w:rsidRPr="00A75CE1">
        <w:rPr>
          <w:rFonts w:ascii="Calibri" w:hAnsi="Calibri"/>
          <w:rtl/>
        </w:rPr>
        <w:t xml:space="preserve"> (31.12.2017) (</w:t>
      </w:r>
      <w:r w:rsidRPr="00A75CE1">
        <w:rPr>
          <w:rFonts w:ascii="Calibri" w:hAnsi="Calibri" w:hint="eastAsia"/>
          <w:rtl/>
        </w:rPr>
        <w:t>כבוד</w:t>
      </w:r>
      <w:r w:rsidRPr="00A75CE1">
        <w:rPr>
          <w:rFonts w:ascii="Calibri" w:hAnsi="Calibri"/>
          <w:rtl/>
        </w:rPr>
        <w:t xml:space="preserve"> </w:t>
      </w:r>
      <w:r w:rsidRPr="00A75CE1">
        <w:rPr>
          <w:rFonts w:ascii="Calibri" w:hAnsi="Calibri" w:hint="eastAsia"/>
          <w:rtl/>
        </w:rPr>
        <w:t>השופטת</w:t>
      </w:r>
      <w:r w:rsidRPr="00A75CE1">
        <w:rPr>
          <w:rFonts w:ascii="Calibri" w:hAnsi="Calibri"/>
          <w:rtl/>
        </w:rPr>
        <w:t xml:space="preserve"> </w:t>
      </w:r>
      <w:r w:rsidRPr="00A75CE1">
        <w:rPr>
          <w:rFonts w:ascii="Calibri" w:hAnsi="Calibri" w:hint="eastAsia"/>
          <w:rtl/>
        </w:rPr>
        <w:t>ח</w:t>
      </w:r>
      <w:r w:rsidRPr="00A75CE1">
        <w:rPr>
          <w:rFonts w:ascii="Calibri" w:hAnsi="Calibri"/>
          <w:rtl/>
        </w:rPr>
        <w:t xml:space="preserve">' </w:t>
      </w:r>
      <w:r w:rsidRPr="00A75CE1">
        <w:rPr>
          <w:rFonts w:ascii="Calibri" w:hAnsi="Calibri" w:hint="eastAsia"/>
          <w:rtl/>
        </w:rPr>
        <w:t>מאק</w:t>
      </w:r>
      <w:r w:rsidRPr="00A75CE1">
        <w:rPr>
          <w:rFonts w:ascii="Calibri" w:hAnsi="Calibri"/>
          <w:rtl/>
        </w:rPr>
        <w:t>-</w:t>
      </w:r>
      <w:r w:rsidRPr="00A75CE1">
        <w:rPr>
          <w:rFonts w:ascii="Calibri" w:hAnsi="Calibri" w:hint="eastAsia"/>
          <w:rtl/>
        </w:rPr>
        <w:t>קלמנוביץ</w:t>
      </w:r>
      <w:r w:rsidRPr="00A75CE1">
        <w:rPr>
          <w:rFonts w:ascii="Calibri" w:hAnsi="Calibri"/>
          <w:rtl/>
        </w:rPr>
        <w:t xml:space="preserve">). </w:t>
      </w:r>
    </w:p>
    <w:p w14:paraId="36360533" w14:textId="77777777" w:rsidR="00A75CE1" w:rsidRPr="00FD5DC8" w:rsidRDefault="00A75CE1" w:rsidP="00A75CE1">
      <w:pPr>
        <w:spacing w:line="360" w:lineRule="auto"/>
        <w:jc w:val="both"/>
        <w:rPr>
          <w:rtl/>
        </w:rPr>
      </w:pPr>
    </w:p>
    <w:p w14:paraId="5172410E" w14:textId="77777777" w:rsidR="00A75CE1" w:rsidRPr="00FD5DC8" w:rsidRDefault="00A75CE1" w:rsidP="00A75CE1">
      <w:pPr>
        <w:spacing w:line="360" w:lineRule="auto"/>
        <w:jc w:val="both"/>
        <w:rPr>
          <w:rtl/>
        </w:rPr>
      </w:pPr>
      <w:r w:rsidRPr="00FD5DC8">
        <w:rPr>
          <w:rtl/>
        </w:rPr>
        <w:t>20.</w:t>
      </w:r>
      <w:r w:rsidRPr="00FD5DC8">
        <w:rPr>
          <w:rtl/>
        </w:rPr>
        <w:tab/>
        <w:t xml:space="preserve">בדומה, כפי שאף הראו זאת הן באת-כוח המאשימה הן בא-כוח הנאשם, אם עסקת הנשק לא הושלמה ובעטיה הורשע הנאשם בניסיון לעסקה בנשק או בקשירת קשר לעשיית עסקה בנשק, מתחם העונש עומד על כמחצית ממתחם העונש שבדרך כלל נקבע לגבי עסקה בנשק. כך בין השאר, עולה מהמקרים הבאים הנזכרים לעיל, שבהם נדון עניינו של נאשם שהורשע בעבירת ניסיון לעסקה בנשק: עניין </w:t>
      </w:r>
      <w:r w:rsidRPr="00FD5DC8">
        <w:rPr>
          <w:u w:val="single"/>
          <w:rtl/>
        </w:rPr>
        <w:t>קישק</w:t>
      </w:r>
      <w:r w:rsidRPr="00FD5DC8">
        <w:rPr>
          <w:rtl/>
        </w:rPr>
        <w:t xml:space="preserve">; עניין </w:t>
      </w:r>
      <w:r w:rsidRPr="00FD5DC8">
        <w:rPr>
          <w:u w:val="single"/>
          <w:rtl/>
        </w:rPr>
        <w:t>סלפית</w:t>
      </w:r>
      <w:r w:rsidRPr="00FD5DC8">
        <w:rPr>
          <w:rtl/>
        </w:rPr>
        <w:t xml:space="preserve">י; עניין </w:t>
      </w:r>
      <w:r w:rsidRPr="00FD5DC8">
        <w:rPr>
          <w:u w:val="single"/>
          <w:rtl/>
        </w:rPr>
        <w:t>פלוני</w:t>
      </w:r>
      <w:r w:rsidRPr="00FD5DC8">
        <w:rPr>
          <w:rtl/>
        </w:rPr>
        <w:t xml:space="preserve">. כן ראו בעניין </w:t>
      </w:r>
      <w:hyperlink r:id="rId50" w:history="1">
        <w:r w:rsidR="001F21E7" w:rsidRPr="001F21E7">
          <w:rPr>
            <w:color w:val="0000FF"/>
            <w:u w:val="single"/>
            <w:rtl/>
          </w:rPr>
          <w:t>ת"פ (מחוזי ירושלים) 67703-11-16</w:t>
        </w:r>
      </w:hyperlink>
      <w:r w:rsidRPr="00FD5DC8">
        <w:rPr>
          <w:rtl/>
        </w:rPr>
        <w:t xml:space="preserve"> </w:t>
      </w:r>
      <w:r w:rsidRPr="00FD5DC8">
        <w:rPr>
          <w:u w:val="single"/>
          <w:rtl/>
        </w:rPr>
        <w:t>מדינת ישראל נ' מוגרבי</w:t>
      </w:r>
      <w:r w:rsidRPr="00FD5DC8">
        <w:rPr>
          <w:rtl/>
        </w:rPr>
        <w:t xml:space="preserve"> (22.11.2017) (כבוד השופטת ח' מאק-קלמנוביץ) – נאשם 2 הורשע בשתי עבירות של סחר בנשק, שבמסגרתן נמכר תת מקלע מאולתר. נאשם 3 הורשע בסיוע לעבירה של סחר בנשק וכן בעבירת תעבורה. בעניין העבירה של סחר בנשק נקבע מתחם עונש בין 20 ל-40 חודשי מאסר לכל אחת מהעבירות. לעבירת הסיוע בסחר בנשק נקבע שמתחם העונש יהיה מחצית המתחם האמור. בהתאם לכך, עונשו של הנאשם 2 העומד על 28 חודשי מאסר בפועל על כל עבירה, תוך חפיפה חלקית, כך שסך הכול הושתו 46 חודשי מאסר בפועל ומאסר מותנה. על נאשם 3 הוטל עונש מאסר למשך 14 חודש בשל עבירת הנשק ומאסר מותנה.</w:t>
      </w:r>
    </w:p>
    <w:p w14:paraId="27369386" w14:textId="77777777" w:rsidR="00A75CE1" w:rsidRPr="00FD5DC8" w:rsidRDefault="00A75CE1" w:rsidP="00A75CE1">
      <w:pPr>
        <w:spacing w:line="360" w:lineRule="auto"/>
        <w:jc w:val="both"/>
        <w:rPr>
          <w:rtl/>
        </w:rPr>
      </w:pPr>
    </w:p>
    <w:p w14:paraId="73C6428F" w14:textId="77777777" w:rsidR="00A75CE1" w:rsidRPr="00FD5DC8" w:rsidRDefault="00A75CE1" w:rsidP="00A75CE1">
      <w:pPr>
        <w:spacing w:line="360" w:lineRule="auto"/>
        <w:jc w:val="both"/>
        <w:rPr>
          <w:b/>
          <w:bCs/>
          <w:u w:val="single"/>
          <w:rtl/>
        </w:rPr>
      </w:pPr>
      <w:r w:rsidRPr="00FD5DC8">
        <w:rPr>
          <w:rtl/>
        </w:rPr>
        <w:tab/>
      </w:r>
      <w:r w:rsidRPr="00FD5DC8">
        <w:rPr>
          <w:b/>
          <w:bCs/>
        </w:rPr>
        <w:sym w:font="Wingdings" w:char="F077"/>
      </w:r>
      <w:r w:rsidRPr="00FD5DC8">
        <w:rPr>
          <w:b/>
          <w:bCs/>
          <w:rtl/>
        </w:rPr>
        <w:t xml:space="preserve">   </w:t>
      </w:r>
      <w:r w:rsidRPr="00FD5DC8">
        <w:rPr>
          <w:b/>
          <w:bCs/>
          <w:u w:val="single"/>
          <w:rtl/>
        </w:rPr>
        <w:t>שקילת הנסיבות הקשורות בעבירה</w:t>
      </w:r>
    </w:p>
    <w:p w14:paraId="17F461B6" w14:textId="77777777" w:rsidR="00A75CE1" w:rsidRPr="00FD5DC8" w:rsidRDefault="00A75CE1" w:rsidP="00A75CE1">
      <w:pPr>
        <w:spacing w:line="360" w:lineRule="auto"/>
        <w:jc w:val="both"/>
        <w:rPr>
          <w:rtl/>
        </w:rPr>
      </w:pPr>
    </w:p>
    <w:p w14:paraId="15553D0A" w14:textId="77777777" w:rsidR="00A75CE1" w:rsidRPr="00FD5DC8" w:rsidRDefault="00A75CE1" w:rsidP="00A75CE1">
      <w:pPr>
        <w:spacing w:line="360" w:lineRule="auto"/>
        <w:jc w:val="both"/>
        <w:rPr>
          <w:rtl/>
        </w:rPr>
      </w:pPr>
      <w:r w:rsidRPr="00FD5DC8">
        <w:rPr>
          <w:rtl/>
        </w:rPr>
        <w:t>21.</w:t>
      </w:r>
      <w:r w:rsidRPr="00FD5DC8">
        <w:rPr>
          <w:rtl/>
        </w:rPr>
        <w:tab/>
        <w:t xml:space="preserve">במסגרת שקילת הנסיבות הקשורות במעשה העבירה נשקלו עובדות כתב האישום שבהן הודה הנאשם, שלפיהן הוא היה מי שיזם רכישת רובה סער מסוג </w:t>
      </w:r>
      <w:r w:rsidRPr="00FD5DC8">
        <w:t>M-16</w:t>
      </w:r>
      <w:r w:rsidRPr="00FD5DC8">
        <w:rPr>
          <w:rtl/>
        </w:rPr>
        <w:t xml:space="preserve"> ואף פעל וארגן את הנסיעה אל מקום העסקה לשם השלמתה. מדובר אפוא, בעבירה שהנזק הנשקף מהשלמתה לחיי אדם ולביטחון המדינה, אילו הושלמה, עשוי היה להיות רב. עוד עולה, כי לכאורה, אלמלא נתפסו בדרכם, לא הייתה מניעה שהעבירה תושלם. עם זאת, נשקלה העובדה שבפועל לא ידוע דבר בעניין הנשק שתכנן הנאשם לרכוש, בכלל זה, לא ברור אם דובר בנשק תקין ואם בפועל היה בידיו לשלם את התמורה. </w:t>
      </w:r>
    </w:p>
    <w:p w14:paraId="02136BC6" w14:textId="77777777" w:rsidR="00A75CE1" w:rsidRPr="00FD5DC8" w:rsidRDefault="00A75CE1" w:rsidP="00A75CE1">
      <w:pPr>
        <w:spacing w:line="360" w:lineRule="auto"/>
        <w:jc w:val="both"/>
        <w:rPr>
          <w:rtl/>
        </w:rPr>
      </w:pPr>
    </w:p>
    <w:p w14:paraId="3E1A34D1" w14:textId="77777777" w:rsidR="00A75CE1" w:rsidRPr="00FD5DC8" w:rsidRDefault="00A75CE1" w:rsidP="00A75CE1">
      <w:pPr>
        <w:spacing w:line="360" w:lineRule="auto"/>
        <w:jc w:val="both"/>
        <w:rPr>
          <w:rtl/>
        </w:rPr>
      </w:pPr>
      <w:r w:rsidRPr="00FD5DC8">
        <w:rPr>
          <w:rtl/>
        </w:rPr>
        <w:tab/>
      </w:r>
      <w:r w:rsidRPr="00FD5DC8">
        <w:rPr>
          <w:b/>
          <w:bCs/>
        </w:rPr>
        <w:sym w:font="Wingdings" w:char="F077"/>
      </w:r>
      <w:r w:rsidRPr="00FD5DC8">
        <w:rPr>
          <w:b/>
          <w:bCs/>
          <w:rtl/>
        </w:rPr>
        <w:t xml:space="preserve">   </w:t>
      </w:r>
      <w:r w:rsidRPr="00FD5DC8">
        <w:rPr>
          <w:b/>
          <w:bCs/>
          <w:u w:val="single"/>
          <w:rtl/>
        </w:rPr>
        <w:t>קביעת מתחם העונש ההולם - סיכום</w:t>
      </w:r>
    </w:p>
    <w:p w14:paraId="0E68FE03" w14:textId="77777777" w:rsidR="00A75CE1" w:rsidRPr="00FD5DC8" w:rsidRDefault="00A75CE1" w:rsidP="00A75CE1">
      <w:pPr>
        <w:spacing w:line="360" w:lineRule="auto"/>
        <w:jc w:val="both"/>
        <w:rPr>
          <w:rtl/>
        </w:rPr>
      </w:pPr>
    </w:p>
    <w:p w14:paraId="6CE57987" w14:textId="77777777" w:rsidR="00A75CE1" w:rsidRPr="00FD5DC8" w:rsidRDefault="00A75CE1" w:rsidP="00A75CE1">
      <w:pPr>
        <w:spacing w:line="360" w:lineRule="auto"/>
        <w:jc w:val="both"/>
        <w:rPr>
          <w:rtl/>
        </w:rPr>
      </w:pPr>
      <w:r w:rsidRPr="00FD5DC8">
        <w:rPr>
          <w:rtl/>
        </w:rPr>
        <w:t>22.</w:t>
      </w:r>
      <w:r w:rsidRPr="00FD5DC8">
        <w:rPr>
          <w:rtl/>
        </w:rPr>
        <w:tab/>
        <w:t>בהתחשב בערך החברתי שנפגע ממעשה העבירה ובמידת הפגיעה בו, כפי שעמדנו עליהם לעיל, וכן תוך התחשבות במדיניות הענישה הנהוגה ובנסיבות שבהן נעברה העבירה, שאף עליהן עמדנו, מתחם העונש ההולם הוא בין 8 ל-30 חודשי מאסר בפועל.</w:t>
      </w:r>
    </w:p>
    <w:p w14:paraId="3A7411FA" w14:textId="77777777" w:rsidR="00A75CE1" w:rsidRPr="00FD5DC8" w:rsidRDefault="00A75CE1" w:rsidP="00A75CE1">
      <w:pPr>
        <w:spacing w:line="360" w:lineRule="auto"/>
        <w:jc w:val="both"/>
        <w:rPr>
          <w:rtl/>
        </w:rPr>
      </w:pPr>
    </w:p>
    <w:p w14:paraId="11E266E2" w14:textId="77777777" w:rsidR="00A75CE1" w:rsidRPr="00FD5DC8" w:rsidRDefault="00A75CE1" w:rsidP="00A75CE1">
      <w:pPr>
        <w:spacing w:line="360" w:lineRule="auto"/>
        <w:jc w:val="both"/>
        <w:rPr>
          <w:b/>
          <w:bCs/>
          <w:u w:val="single"/>
          <w:rtl/>
        </w:rPr>
      </w:pPr>
      <w:r w:rsidRPr="00FD5DC8">
        <w:rPr>
          <w:b/>
          <w:bCs/>
          <w:u w:val="single"/>
          <w:rtl/>
        </w:rPr>
        <w:t>גזירת העונש המתאים לנאשם ושקילת נסיבות שאינן קשורות במעשה העבירה</w:t>
      </w:r>
    </w:p>
    <w:p w14:paraId="3591B562" w14:textId="77777777" w:rsidR="00A75CE1" w:rsidRPr="00FD5DC8" w:rsidRDefault="00A75CE1" w:rsidP="00A75CE1">
      <w:pPr>
        <w:spacing w:line="360" w:lineRule="auto"/>
        <w:jc w:val="both"/>
        <w:rPr>
          <w:rtl/>
        </w:rPr>
      </w:pPr>
    </w:p>
    <w:p w14:paraId="31E83CCE" w14:textId="77777777" w:rsidR="00A75CE1" w:rsidRPr="00FD5DC8" w:rsidRDefault="00A75CE1" w:rsidP="00A75CE1">
      <w:pPr>
        <w:spacing w:line="360" w:lineRule="auto"/>
        <w:jc w:val="both"/>
        <w:rPr>
          <w:rtl/>
        </w:rPr>
      </w:pPr>
      <w:r w:rsidRPr="00FD5DC8">
        <w:rPr>
          <w:rtl/>
        </w:rPr>
        <w:t>23.</w:t>
      </w:r>
      <w:r w:rsidRPr="00FD5DC8">
        <w:rPr>
          <w:rtl/>
        </w:rPr>
        <w:tab/>
        <w:t xml:space="preserve">בשלב גזירת העונש המתאים לנאשם, בגדרי מתחם העונש ההולם, יש להתחשב בנסיבות שאינן קשורות בביצוע העבירה. בעניינו של הנאשם הנדון יש אפוא, לשקול את השיקולים הבאים: </w:t>
      </w:r>
      <w:r w:rsidRPr="00FD5DC8">
        <w:rPr>
          <w:u w:val="single"/>
          <w:rtl/>
        </w:rPr>
        <w:t>ראשית</w:t>
      </w:r>
      <w:r w:rsidRPr="00FD5DC8">
        <w:rPr>
          <w:rtl/>
        </w:rPr>
        <w:t>, אמנם לחובת הנאשם שתי הרשעות קודמות, אך כפי שטען בא-כוחו בצדק, ההרשעה האחרונה בעבירה של הפרעה לשוטר במילוי תפקידו היא משנת 2010 (לפני כתשע שנים) בעניין עבירה שנעברה בשנת 2008 (לפני כאחת-עשרה שנים) ואילו ההרשעה שקדמה לה, בעבירת הצתה, היא משנת 2001, לפני כשמונה עשרה שנה, עת היה הנאשם קטין. מאז כך נראה, מנהל הנאשם אורח חיים תקין ולכן נראה, כי עונש מאסר ממושך עשוי להשליך לרעה על עתידו ועל סיכוייו לשוב אל משפחתו ואל אורח חייו התקין, כאב למשפחה שהפעיל עסק לפרנסת</w:t>
      </w:r>
      <w:r>
        <w:rPr>
          <w:rFonts w:hint="cs"/>
          <w:rtl/>
        </w:rPr>
        <w:t>ה</w:t>
      </w:r>
      <w:r w:rsidRPr="00FD5DC8">
        <w:rPr>
          <w:rtl/>
        </w:rPr>
        <w:t xml:space="preserve">. </w:t>
      </w:r>
      <w:r w:rsidRPr="00FD5DC8">
        <w:rPr>
          <w:u w:val="single"/>
          <w:rtl/>
        </w:rPr>
        <w:t>שנית</w:t>
      </w:r>
      <w:r w:rsidRPr="00FD5DC8">
        <w:rPr>
          <w:rtl/>
        </w:rPr>
        <w:t xml:space="preserve">, נשקל המשבר הכלכלי שנגרם למשפחת הנאשם בשל כך שבעקבות מעצרו, העסק שהפעיל קרס והוא נקלע לחובות כספיים; </w:t>
      </w:r>
      <w:r w:rsidRPr="00FD5DC8">
        <w:rPr>
          <w:u w:val="single"/>
          <w:rtl/>
        </w:rPr>
        <w:t>שלישית</w:t>
      </w:r>
      <w:r w:rsidRPr="00FD5DC8">
        <w:rPr>
          <w:rtl/>
        </w:rPr>
        <w:t xml:space="preserve">, לזכות הנאשם יש לזקוף את העובדה שהכיר באחריותו והודה ובכך חסך זמן שיפוטי ניכר. הודאת הנאשם, כפי שטען בא-כוחו, הייתה כבר בשלב חקירתו במשטרה ואף לא מן הנמנע שכטענת בא-כוחו, אלמלא הודה, לא היו בידי המאשימה ראיות מספיקות להגשת כתב האישום; </w:t>
      </w:r>
      <w:r>
        <w:rPr>
          <w:rFonts w:hint="cs"/>
          <w:u w:val="single"/>
          <w:rtl/>
        </w:rPr>
        <w:t>רביעי</w:t>
      </w:r>
      <w:r w:rsidRPr="00FD5DC8">
        <w:rPr>
          <w:u w:val="single"/>
          <w:rtl/>
        </w:rPr>
        <w:t>ת</w:t>
      </w:r>
      <w:r w:rsidRPr="00FD5DC8">
        <w:rPr>
          <w:rtl/>
        </w:rPr>
        <w:t>, הנאשם הביע צער כן על כך שעבר את העבירה שבה הורשע, הכיר בטעותו וביקש שיתאפשר לו לשוב אל חיק משפחתו ולשוב ולנהל אורח חיים תקין, כפי שעשה קודם לכן.</w:t>
      </w:r>
    </w:p>
    <w:p w14:paraId="35717A43" w14:textId="77777777" w:rsidR="00A75CE1" w:rsidRPr="00FD5DC8" w:rsidRDefault="00A75CE1" w:rsidP="00A75CE1">
      <w:pPr>
        <w:spacing w:line="360" w:lineRule="auto"/>
        <w:jc w:val="both"/>
        <w:rPr>
          <w:rtl/>
        </w:rPr>
      </w:pPr>
    </w:p>
    <w:p w14:paraId="5D6C247F" w14:textId="77777777" w:rsidR="00A75CE1" w:rsidRPr="00FD5DC8" w:rsidRDefault="00A75CE1" w:rsidP="00A75CE1">
      <w:pPr>
        <w:spacing w:line="360" w:lineRule="auto"/>
        <w:jc w:val="both"/>
        <w:rPr>
          <w:rtl/>
        </w:rPr>
      </w:pPr>
      <w:r w:rsidRPr="00FD5DC8">
        <w:rPr>
          <w:rtl/>
        </w:rPr>
        <w:t>24.</w:t>
      </w:r>
      <w:r w:rsidRPr="00FD5DC8">
        <w:rPr>
          <w:rtl/>
        </w:rPr>
        <w:tab/>
        <w:t>איזון כל השיקולים האמורים, לרבות עמדת המאשימה וטענותיו של בא-כוח הנאשם וכן הצורך להרתיע את הנאשם ואת כלל הציבור מפני עבירות נשק, ומנגד השיקול המצדיק לאפשר לנאשם לשוב למשפחתו ולהשתקם, מוביל לכך שיש להעמיד את עונש המאסר שיושת הנאשם ברף הנמוך של מתחם העונש ההולם. זאת לצד מאסר מותנה שישמש גורם מרתיע לנאשם מפני חזרה על עבירת נשק. מאחר שבפועל לא היה היבט כלכלי לעבירה, נראה כי אין מקום להשתת קנס כספי.</w:t>
      </w:r>
    </w:p>
    <w:p w14:paraId="18C0F2E8" w14:textId="77777777" w:rsidR="00A75CE1" w:rsidRPr="00FD5DC8" w:rsidRDefault="00A75CE1" w:rsidP="00A75CE1">
      <w:pPr>
        <w:spacing w:line="360" w:lineRule="auto"/>
        <w:jc w:val="both"/>
        <w:rPr>
          <w:rtl/>
        </w:rPr>
      </w:pPr>
    </w:p>
    <w:p w14:paraId="3D336ECC" w14:textId="77777777" w:rsidR="00A75CE1" w:rsidRPr="00FD5DC8" w:rsidRDefault="00A75CE1" w:rsidP="00A75CE1">
      <w:pPr>
        <w:spacing w:line="360" w:lineRule="auto"/>
        <w:jc w:val="both"/>
        <w:rPr>
          <w:rtl/>
        </w:rPr>
      </w:pPr>
      <w:r w:rsidRPr="00FD5DC8">
        <w:rPr>
          <w:b/>
          <w:bCs/>
          <w:u w:val="single"/>
          <w:rtl/>
        </w:rPr>
        <w:t>גזר הדין – סיכום</w:t>
      </w:r>
    </w:p>
    <w:p w14:paraId="792E4AA4" w14:textId="77777777" w:rsidR="00A75CE1" w:rsidRPr="00FD5DC8" w:rsidRDefault="00A75CE1" w:rsidP="00A75CE1">
      <w:pPr>
        <w:spacing w:line="360" w:lineRule="auto"/>
        <w:jc w:val="both"/>
        <w:rPr>
          <w:rtl/>
        </w:rPr>
      </w:pPr>
    </w:p>
    <w:p w14:paraId="7FF2812A" w14:textId="77777777" w:rsidR="00A75CE1" w:rsidRPr="00FD5DC8" w:rsidRDefault="00A75CE1" w:rsidP="00A75CE1">
      <w:pPr>
        <w:spacing w:line="360" w:lineRule="auto"/>
        <w:jc w:val="both"/>
        <w:rPr>
          <w:rtl/>
        </w:rPr>
      </w:pPr>
      <w:r w:rsidRPr="00FD5DC8">
        <w:rPr>
          <w:rtl/>
        </w:rPr>
        <w:t>25.</w:t>
      </w:r>
      <w:r w:rsidRPr="00FD5DC8">
        <w:rPr>
          <w:rtl/>
        </w:rPr>
        <w:tab/>
        <w:t>לנוכח כל השיקולים שהובאו לעיל, על הנאשם נגזרים העונשים הבאים:</w:t>
      </w:r>
    </w:p>
    <w:p w14:paraId="155237C0" w14:textId="77777777" w:rsidR="00A75CE1" w:rsidRPr="00FD5DC8" w:rsidRDefault="00A75CE1" w:rsidP="00A75CE1">
      <w:pPr>
        <w:spacing w:line="360" w:lineRule="auto"/>
        <w:jc w:val="both"/>
        <w:rPr>
          <w:rtl/>
        </w:rPr>
      </w:pPr>
    </w:p>
    <w:p w14:paraId="0E316E3C" w14:textId="77777777" w:rsidR="00A75CE1" w:rsidRPr="00FD5DC8" w:rsidRDefault="00A75CE1" w:rsidP="00A75CE1">
      <w:pPr>
        <w:spacing w:line="360" w:lineRule="auto"/>
        <w:ind w:left="1440" w:hanging="720"/>
        <w:jc w:val="both"/>
        <w:rPr>
          <w:rtl/>
        </w:rPr>
      </w:pPr>
      <w:r w:rsidRPr="00FD5DC8">
        <w:rPr>
          <w:rtl/>
        </w:rPr>
        <w:t>א.</w:t>
      </w:r>
      <w:r w:rsidRPr="00FD5DC8">
        <w:rPr>
          <w:rtl/>
        </w:rPr>
        <w:tab/>
        <w:t>מאסר בפועל למשך תקופת מעצרו של הנאשם, מיום 14.9.2018 ועד היום. בסך הכול, שמונה חודשי מאסר בפועל.</w:t>
      </w:r>
    </w:p>
    <w:p w14:paraId="195EB117" w14:textId="77777777" w:rsidR="00A75CE1" w:rsidRPr="00FD5DC8" w:rsidRDefault="00A75CE1" w:rsidP="00A75CE1">
      <w:pPr>
        <w:spacing w:line="360" w:lineRule="auto"/>
        <w:ind w:left="1440" w:hanging="720"/>
        <w:jc w:val="both"/>
        <w:rPr>
          <w:rtl/>
        </w:rPr>
      </w:pPr>
      <w:r w:rsidRPr="00FD5DC8">
        <w:rPr>
          <w:rtl/>
        </w:rPr>
        <w:t>ב.</w:t>
      </w:r>
      <w:r w:rsidRPr="00FD5DC8">
        <w:rPr>
          <w:rtl/>
        </w:rPr>
        <w:tab/>
        <w:t>מאסר מותנה למשך ארבעה חודשים. הנאשם לא יישא עונש מאסר זה, אלא אם יעבור תוך שלוש שנים מיום שחרורו מן המאסר עבירת נשק שהיא פשע.</w:t>
      </w:r>
    </w:p>
    <w:p w14:paraId="60BC8928" w14:textId="77777777" w:rsidR="00A75CE1" w:rsidRPr="00FD5DC8" w:rsidRDefault="00A75CE1" w:rsidP="00A75CE1">
      <w:pPr>
        <w:spacing w:line="360" w:lineRule="auto"/>
        <w:ind w:left="1440" w:hanging="720"/>
        <w:jc w:val="both"/>
        <w:rPr>
          <w:rtl/>
        </w:rPr>
      </w:pPr>
      <w:r w:rsidRPr="00FD5DC8">
        <w:rPr>
          <w:rtl/>
        </w:rPr>
        <w:t>ג.</w:t>
      </w:r>
      <w:r w:rsidRPr="00FD5DC8">
        <w:rPr>
          <w:rtl/>
        </w:rPr>
        <w:tab/>
        <w:t>מאסר מותנה למשך חודשיים. הנאשם לא יישא עונש מאסר זה, אלא אם יעבור תוך שלוש שנים מיום שחרורו מן המאסר עבירת נשק שהיא עוון.</w:t>
      </w:r>
    </w:p>
    <w:p w14:paraId="3BE6C083" w14:textId="77777777" w:rsidR="00A75CE1" w:rsidRDefault="00A75CE1" w:rsidP="00A75CE1">
      <w:pPr>
        <w:spacing w:line="360" w:lineRule="auto"/>
        <w:jc w:val="both"/>
        <w:rPr>
          <w:rtl/>
        </w:rPr>
      </w:pPr>
    </w:p>
    <w:p w14:paraId="1E743A88" w14:textId="77777777" w:rsidR="00A75CE1" w:rsidRDefault="00A75CE1" w:rsidP="00A75CE1">
      <w:pPr>
        <w:spacing w:line="360" w:lineRule="auto"/>
        <w:jc w:val="both"/>
        <w:rPr>
          <w:rtl/>
        </w:rPr>
      </w:pPr>
    </w:p>
    <w:p w14:paraId="6BF63E2F" w14:textId="77777777" w:rsidR="00A75CE1" w:rsidRPr="00FD5DC8" w:rsidRDefault="00A75CE1" w:rsidP="00A75CE1">
      <w:pPr>
        <w:spacing w:line="360" w:lineRule="auto"/>
        <w:jc w:val="both"/>
        <w:rPr>
          <w:b/>
          <w:bCs/>
          <w:rtl/>
        </w:rPr>
      </w:pPr>
      <w:r w:rsidRPr="00FD5DC8">
        <w:rPr>
          <w:b/>
          <w:bCs/>
          <w:rtl/>
        </w:rPr>
        <w:t>זכות ערעור לבית המשפט העליון תוך ארבעים וחמישה יום.</w:t>
      </w:r>
    </w:p>
    <w:p w14:paraId="60BC758D" w14:textId="77777777" w:rsidR="00A75CE1" w:rsidRPr="00B05847" w:rsidRDefault="00A75CE1" w:rsidP="00A75CE1">
      <w:pPr>
        <w:rPr>
          <w:rFonts w:ascii="Arial" w:hAnsi="Arial"/>
          <w:rtl/>
        </w:rPr>
      </w:pPr>
    </w:p>
    <w:p w14:paraId="38F69264" w14:textId="77777777" w:rsidR="00A75CE1" w:rsidRPr="00B05847" w:rsidRDefault="00A75CE1" w:rsidP="00A75CE1">
      <w:pPr>
        <w:rPr>
          <w:rFonts w:ascii="Arial" w:hAnsi="Arial"/>
          <w:rtl/>
        </w:rPr>
      </w:pPr>
    </w:p>
    <w:p w14:paraId="665ADCF1" w14:textId="77777777" w:rsidR="00A75CE1" w:rsidRPr="00B05847" w:rsidRDefault="00A75CE1" w:rsidP="00A75CE1">
      <w:pPr>
        <w:rPr>
          <w:rtl/>
        </w:rPr>
      </w:pPr>
    </w:p>
    <w:p w14:paraId="46DB08DB" w14:textId="77777777" w:rsidR="00A75CE1" w:rsidRPr="00B05847" w:rsidRDefault="00A75CE1" w:rsidP="00A75CE1">
      <w:pPr>
        <w:rPr>
          <w:rtl/>
        </w:rPr>
      </w:pPr>
    </w:p>
    <w:p w14:paraId="5BEF8456" w14:textId="77777777" w:rsidR="00A75CE1" w:rsidRPr="001F21E7" w:rsidRDefault="001F21E7" w:rsidP="00A75CE1">
      <w:pPr>
        <w:rPr>
          <w:color w:val="FFFFFF"/>
          <w:sz w:val="2"/>
          <w:szCs w:val="2"/>
          <w:rtl/>
        </w:rPr>
      </w:pPr>
      <w:r w:rsidRPr="001F21E7">
        <w:rPr>
          <w:color w:val="FFFFFF"/>
          <w:sz w:val="2"/>
          <w:szCs w:val="2"/>
          <w:rtl/>
        </w:rPr>
        <w:t>5129371</w:t>
      </w:r>
    </w:p>
    <w:p w14:paraId="0EB4BBB9" w14:textId="77777777" w:rsidR="00A75CE1" w:rsidRDefault="001F21E7" w:rsidP="00A75CE1">
      <w:pPr>
        <w:rPr>
          <w:rFonts w:cs="FrankRuehl"/>
          <w:sz w:val="28"/>
          <w:szCs w:val="28"/>
          <w:rtl/>
        </w:rPr>
      </w:pPr>
      <w:r w:rsidRPr="001F21E7">
        <w:rPr>
          <w:rFonts w:ascii="Arial" w:hAnsi="Arial"/>
          <w:color w:val="FFFFFF"/>
          <w:sz w:val="2"/>
          <w:szCs w:val="2"/>
          <w:rtl/>
        </w:rPr>
        <w:t>54678313</w:t>
      </w:r>
      <w:r>
        <w:rPr>
          <w:rFonts w:ascii="Arial" w:hAnsi="Arial"/>
          <w:rtl/>
        </w:rPr>
        <w:t xml:space="preserve">ניתן היום,  ח' באייר התשע"ט, 13 במאי 2019, במעמד הנאשם, בא-כוחו ובא-כוח המאשימה כאמור בפרוטוקול מהיום. </w:t>
      </w:r>
    </w:p>
    <w:p w14:paraId="469271F0" w14:textId="77777777" w:rsidR="00A75CE1" w:rsidRDefault="00A75CE1" w:rsidP="00A75CE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B29D3D5" w14:textId="77777777" w:rsidR="00A75CE1" w:rsidRDefault="00A75CE1" w:rsidP="00A75CE1">
      <w:pPr>
        <w:jc w:val="center"/>
        <w:rPr>
          <w:rFonts w:ascii="Arial" w:hAnsi="Arial" w:cs="FrankRuehl"/>
          <w:sz w:val="28"/>
          <w:szCs w:val="28"/>
          <w:rtl/>
        </w:rPr>
      </w:pPr>
    </w:p>
    <w:p w14:paraId="0EB095CE" w14:textId="77777777" w:rsidR="00A75CE1" w:rsidRDefault="00A75CE1" w:rsidP="00A75CE1">
      <w:pPr>
        <w:rPr>
          <w:rFonts w:cs="FrankRuehl"/>
          <w:sz w:val="28"/>
          <w:szCs w:val="28"/>
          <w:rtl/>
        </w:rPr>
      </w:pPr>
    </w:p>
    <w:p w14:paraId="276FCA64" w14:textId="77777777" w:rsidR="00A75CE1" w:rsidRPr="00D6318A" w:rsidRDefault="00D6318A" w:rsidP="00A75CE1">
      <w:pPr>
        <w:pStyle w:val="a3"/>
        <w:jc w:val="center"/>
        <w:rPr>
          <w:color w:val="FFFFFF"/>
          <w:sz w:val="2"/>
          <w:szCs w:val="2"/>
          <w:rtl/>
        </w:rPr>
      </w:pPr>
      <w:r w:rsidRPr="00D6318A">
        <w:rPr>
          <w:color w:val="FFFFFF"/>
          <w:sz w:val="2"/>
          <w:szCs w:val="2"/>
          <w:rtl/>
        </w:rPr>
        <w:t>5129371</w:t>
      </w:r>
    </w:p>
    <w:p w14:paraId="06B42DE8" w14:textId="77777777" w:rsidR="008C4D36" w:rsidRPr="00D6318A" w:rsidRDefault="00D6318A" w:rsidP="001F21E7">
      <w:pPr>
        <w:keepNext/>
        <w:rPr>
          <w:rFonts w:ascii="David" w:hAnsi="David"/>
          <w:color w:val="FFFFFF"/>
          <w:sz w:val="2"/>
          <w:szCs w:val="2"/>
          <w:rtl/>
        </w:rPr>
      </w:pPr>
      <w:r w:rsidRPr="00D6318A">
        <w:rPr>
          <w:rFonts w:ascii="David" w:hAnsi="David"/>
          <w:color w:val="FFFFFF"/>
          <w:sz w:val="2"/>
          <w:szCs w:val="2"/>
          <w:rtl/>
        </w:rPr>
        <w:t>54678313</w:t>
      </w:r>
    </w:p>
    <w:p w14:paraId="4951CD03" w14:textId="77777777" w:rsidR="001F21E7" w:rsidRPr="001F21E7" w:rsidRDefault="001F21E7" w:rsidP="001F21E7">
      <w:pPr>
        <w:keepNext/>
        <w:rPr>
          <w:rFonts w:ascii="David" w:hAnsi="David"/>
          <w:color w:val="000000"/>
          <w:sz w:val="22"/>
          <w:szCs w:val="22"/>
          <w:rtl/>
        </w:rPr>
      </w:pPr>
      <w:r w:rsidRPr="001F21E7">
        <w:rPr>
          <w:rFonts w:ascii="David" w:hAnsi="David"/>
          <w:color w:val="000000"/>
          <w:sz w:val="22"/>
          <w:szCs w:val="22"/>
          <w:rtl/>
        </w:rPr>
        <w:t>תמר בר אשר 54678313</w:t>
      </w:r>
    </w:p>
    <w:p w14:paraId="6232BA9D" w14:textId="77777777" w:rsidR="001F21E7" w:rsidRDefault="001F21E7" w:rsidP="001F21E7">
      <w:r w:rsidRPr="001F21E7">
        <w:rPr>
          <w:color w:val="000000"/>
          <w:rtl/>
        </w:rPr>
        <w:t>נוסח מסמך זה כפוף לשינויי ניסוח ועריכה</w:t>
      </w:r>
    </w:p>
    <w:p w14:paraId="4F2E00A9" w14:textId="77777777" w:rsidR="001F21E7" w:rsidRDefault="001F21E7" w:rsidP="001F21E7">
      <w:pPr>
        <w:rPr>
          <w:rtl/>
        </w:rPr>
      </w:pPr>
    </w:p>
    <w:p w14:paraId="32DC3541" w14:textId="77777777" w:rsidR="001F21E7" w:rsidRDefault="001F21E7" w:rsidP="001F21E7">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44F3BAA2" w14:textId="77777777" w:rsidR="001F21E7" w:rsidRPr="001F21E7" w:rsidRDefault="001F21E7" w:rsidP="00D6318A">
      <w:pPr>
        <w:rPr>
          <w:color w:val="0000FF"/>
          <w:u w:val="single"/>
        </w:rPr>
      </w:pPr>
    </w:p>
    <w:sectPr w:rsidR="001F21E7" w:rsidRPr="001F21E7" w:rsidSect="00D6318A">
      <w:headerReference w:type="even" r:id="rId52"/>
      <w:headerReference w:type="default" r:id="rId53"/>
      <w:footerReference w:type="even" r:id="rId54"/>
      <w:footerReference w:type="default" r:id="rId55"/>
      <w:pgSz w:w="11907" w:h="16840" w:code="9"/>
      <w:pgMar w:top="1701" w:right="1701" w:bottom="1135"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AE1A" w14:textId="77777777" w:rsidR="0022222F" w:rsidRDefault="0022222F" w:rsidP="00BD19D5">
      <w:r>
        <w:separator/>
      </w:r>
    </w:p>
  </w:endnote>
  <w:endnote w:type="continuationSeparator" w:id="0">
    <w:p w14:paraId="75EE81D7" w14:textId="77777777" w:rsidR="0022222F" w:rsidRDefault="0022222F" w:rsidP="00BD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mo">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3BC9E"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C77E13F"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FCA65" w14:textId="77777777" w:rsidR="00D6318A" w:rsidRDefault="00D6318A" w:rsidP="00D6318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2B71">
      <w:rPr>
        <w:rFonts w:ascii="FrankRuehl" w:hAnsi="FrankRuehl" w:cs="FrankRuehl"/>
        <w:noProof/>
        <w:rtl/>
      </w:rPr>
      <w:t>1</w:t>
    </w:r>
    <w:r>
      <w:rPr>
        <w:rFonts w:ascii="FrankRuehl" w:hAnsi="FrankRuehl" w:cs="FrankRuehl"/>
        <w:rtl/>
      </w:rPr>
      <w:fldChar w:fldCharType="end"/>
    </w:r>
  </w:p>
  <w:p w14:paraId="41947994" w14:textId="77777777" w:rsidR="00E93BD9" w:rsidRPr="00D6318A" w:rsidRDefault="00D6318A" w:rsidP="00D6318A">
    <w:pPr>
      <w:pStyle w:val="a5"/>
      <w:pBdr>
        <w:top w:val="single" w:sz="4" w:space="1" w:color="auto"/>
        <w:between w:val="single" w:sz="4" w:space="0" w:color="auto"/>
      </w:pBdr>
      <w:spacing w:after="60"/>
      <w:jc w:val="center"/>
      <w:rPr>
        <w:rFonts w:ascii="FrankRuehl" w:hAnsi="FrankRuehl" w:cs="FrankRuehl"/>
        <w:color w:val="000000"/>
      </w:rPr>
    </w:pPr>
    <w:r w:rsidRPr="00D6318A">
      <w:rPr>
        <w:rFonts w:ascii="FrankRuehl" w:hAnsi="FrankRuehl" w:cs="FrankRuehl"/>
        <w:color w:val="000000"/>
      </w:rPr>
      <w:pict w14:anchorId="78A26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8378" w14:textId="77777777" w:rsidR="0022222F" w:rsidRDefault="0022222F" w:rsidP="00BD19D5">
      <w:r>
        <w:separator/>
      </w:r>
    </w:p>
  </w:footnote>
  <w:footnote w:type="continuationSeparator" w:id="0">
    <w:p w14:paraId="61EFDC8A" w14:textId="77777777" w:rsidR="0022222F" w:rsidRDefault="0022222F" w:rsidP="00BD1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CDF9"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B4C4" w14:textId="77777777" w:rsidR="001F21E7" w:rsidRPr="00D6318A" w:rsidRDefault="00D6318A" w:rsidP="00D6318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30972-10-18</w:t>
    </w:r>
    <w:r>
      <w:rPr>
        <w:rFonts w:ascii="David" w:hAnsi="David"/>
        <w:color w:val="000000"/>
        <w:sz w:val="22"/>
        <w:szCs w:val="22"/>
        <w:rtl/>
      </w:rPr>
      <w:tab/>
      <w:t xml:space="preserve"> מדינת ישראל נ' אדהם הינדי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5CE1"/>
    <w:rsid w:val="000514DF"/>
    <w:rsid w:val="00172B71"/>
    <w:rsid w:val="001B2B89"/>
    <w:rsid w:val="001F21E7"/>
    <w:rsid w:val="0022222F"/>
    <w:rsid w:val="00381020"/>
    <w:rsid w:val="00393CBF"/>
    <w:rsid w:val="008C4D36"/>
    <w:rsid w:val="0091544A"/>
    <w:rsid w:val="00A75CE1"/>
    <w:rsid w:val="00BD19D5"/>
    <w:rsid w:val="00D334C9"/>
    <w:rsid w:val="00D6318A"/>
    <w:rsid w:val="00E93B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6548611"/>
  <w15:chartTrackingRefBased/>
  <w15:docId w15:val="{A584348F-A1FA-491D-8064-67FA2C54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5CE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5CE1"/>
    <w:pPr>
      <w:tabs>
        <w:tab w:val="center" w:pos="4153"/>
        <w:tab w:val="right" w:pos="8306"/>
      </w:tabs>
    </w:pPr>
  </w:style>
  <w:style w:type="character" w:customStyle="1" w:styleId="a4">
    <w:name w:val="כותרת עליונה תו"/>
    <w:link w:val="a3"/>
    <w:rsid w:val="00A75CE1"/>
    <w:rPr>
      <w:rFonts w:ascii="Times New Roman" w:eastAsia="Times New Roman" w:hAnsi="Times New Roman" w:cs="David"/>
      <w:sz w:val="24"/>
      <w:szCs w:val="24"/>
    </w:rPr>
  </w:style>
  <w:style w:type="paragraph" w:styleId="a5">
    <w:name w:val="footer"/>
    <w:basedOn w:val="a"/>
    <w:link w:val="a6"/>
    <w:rsid w:val="00A75CE1"/>
    <w:pPr>
      <w:tabs>
        <w:tab w:val="center" w:pos="4153"/>
        <w:tab w:val="right" w:pos="8306"/>
      </w:tabs>
    </w:pPr>
  </w:style>
  <w:style w:type="character" w:customStyle="1" w:styleId="a6">
    <w:name w:val="כותרת תחתונה תו"/>
    <w:link w:val="a5"/>
    <w:rsid w:val="00A75CE1"/>
    <w:rPr>
      <w:rFonts w:ascii="Times New Roman" w:eastAsia="Times New Roman" w:hAnsi="Times New Roman" w:cs="David"/>
      <w:sz w:val="24"/>
      <w:szCs w:val="24"/>
    </w:rPr>
  </w:style>
  <w:style w:type="table" w:styleId="a7">
    <w:name w:val="Table Grid"/>
    <w:basedOn w:val="a1"/>
    <w:rsid w:val="00A75CE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5CE1"/>
  </w:style>
  <w:style w:type="paragraph" w:customStyle="1" w:styleId="12">
    <w:name w:val="רגיל + ‏12 נק'"/>
    <w:aliases w:val="מיושר לשני הצדדים,מרווח בין שורות:  שורה וחצי"/>
    <w:basedOn w:val="a"/>
    <w:rsid w:val="00A75CE1"/>
    <w:rPr>
      <w:b/>
      <w:bCs/>
      <w:u w:val="single"/>
    </w:rPr>
  </w:style>
  <w:style w:type="character" w:styleId="Hyperlink">
    <w:name w:val="Hyperlink"/>
    <w:rsid w:val="001F21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5" TargetMode="External"/><Relationship Id="rId18" Type="http://schemas.openxmlformats.org/officeDocument/2006/relationships/hyperlink" Target="http://www.nevo.co.il/law/70301/144.b2" TargetMode="External"/><Relationship Id="rId26" Type="http://schemas.openxmlformats.org/officeDocument/2006/relationships/hyperlink" Target="http://www.nevo.co.il/case/782725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99" TargetMode="External"/><Relationship Id="rId34" Type="http://schemas.openxmlformats.org/officeDocument/2006/relationships/hyperlink" Target="http://www.nevo.co.il/case/5598555"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23877165" TargetMode="External"/><Relationship Id="rId50" Type="http://schemas.openxmlformats.org/officeDocument/2006/relationships/hyperlink" Target="http://www.nevo.co.il/case/21688764" TargetMode="External"/><Relationship Id="rId55" Type="http://schemas.openxmlformats.org/officeDocument/2006/relationships/footer" Target="footer2.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144.b2" TargetMode="External"/><Relationship Id="rId29" Type="http://schemas.openxmlformats.org/officeDocument/2006/relationships/hyperlink" Target="http://www.nevo.co.il/case/21474520" TargetMode="External"/><Relationship Id="rId11" Type="http://schemas.openxmlformats.org/officeDocument/2006/relationships/hyperlink" Target="http://www.nevo.co.il/law/70301/499" TargetMode="External"/><Relationship Id="rId24" Type="http://schemas.openxmlformats.org/officeDocument/2006/relationships/hyperlink" Target="http://www.nevo.co.il/case/20523508" TargetMode="External"/><Relationship Id="rId32" Type="http://schemas.openxmlformats.org/officeDocument/2006/relationships/hyperlink" Target="http://www.nevo.co.il/case/23794887" TargetMode="External"/><Relationship Id="rId37" Type="http://schemas.openxmlformats.org/officeDocument/2006/relationships/hyperlink" Target="http://www.nevo.co.il/case/18128667" TargetMode="External"/><Relationship Id="rId40" Type="http://schemas.openxmlformats.org/officeDocument/2006/relationships/hyperlink" Target="http://www.nevo.co.il/law/70301/34d" TargetMode="External"/><Relationship Id="rId45" Type="http://schemas.openxmlformats.org/officeDocument/2006/relationships/hyperlink" Target="http://www.nevo.co.il/law/70301"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70301/25" TargetMode="External"/><Relationship Id="rId4" Type="http://schemas.openxmlformats.org/officeDocument/2006/relationships/footnotes" Target="footnotes.xml"/><Relationship Id="rId9" Type="http://schemas.openxmlformats.org/officeDocument/2006/relationships/hyperlink" Target="http://www.nevo.co.il/law/70301/34d" TargetMode="External"/><Relationship Id="rId14" Type="http://schemas.openxmlformats.org/officeDocument/2006/relationships/hyperlink" Target="http://www.nevo.co.il/law/70301/28"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0007334" TargetMode="External"/><Relationship Id="rId30" Type="http://schemas.openxmlformats.org/officeDocument/2006/relationships/hyperlink" Target="http://www.nevo.co.il/case/23875433" TargetMode="External"/><Relationship Id="rId35" Type="http://schemas.openxmlformats.org/officeDocument/2006/relationships/hyperlink" Target="http://www.nevo.co.il/case/5610199" TargetMode="External"/><Relationship Id="rId43" Type="http://schemas.openxmlformats.org/officeDocument/2006/relationships/hyperlink" Target="http://www.nevo.co.il/case/5598421" TargetMode="External"/><Relationship Id="rId48" Type="http://schemas.openxmlformats.org/officeDocument/2006/relationships/hyperlink" Target="http://www.nevo.co.il/case/13090914" TargetMode="External"/><Relationship Id="rId56" Type="http://schemas.openxmlformats.org/officeDocument/2006/relationships/fontTable" Target="fontTable.xml"/><Relationship Id="rId8" Type="http://schemas.openxmlformats.org/officeDocument/2006/relationships/hyperlink" Target="http://www.nevo.co.il/law/70301/28" TargetMode="External"/><Relationship Id="rId51"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70301/499" TargetMode="External"/><Relationship Id="rId25" Type="http://schemas.openxmlformats.org/officeDocument/2006/relationships/hyperlink" Target="http://www.nevo.co.il/case/4036214" TargetMode="External"/><Relationship Id="rId33" Type="http://schemas.openxmlformats.org/officeDocument/2006/relationships/hyperlink" Target="http://www.nevo.co.il/case/7791493" TargetMode="External"/><Relationship Id="rId38" Type="http://schemas.openxmlformats.org/officeDocument/2006/relationships/hyperlink" Target="http://www.nevo.co.il/law/70301/144.b2" TargetMode="External"/><Relationship Id="rId46" Type="http://schemas.openxmlformats.org/officeDocument/2006/relationships/hyperlink" Target="http://www.nevo.co.il/case/23811621"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0301/28"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4d" TargetMode="External"/><Relationship Id="rId23" Type="http://schemas.openxmlformats.org/officeDocument/2006/relationships/hyperlink" Target="http://www.nevo.co.il/case/5821327" TargetMode="External"/><Relationship Id="rId28" Type="http://schemas.openxmlformats.org/officeDocument/2006/relationships/hyperlink" Target="http://www.nevo.co.il/case/23750625" TargetMode="External"/><Relationship Id="rId36" Type="http://schemas.openxmlformats.org/officeDocument/2006/relationships/hyperlink" Target="http://www.nevo.co.il/case/6244854" TargetMode="External"/><Relationship Id="rId49" Type="http://schemas.openxmlformats.org/officeDocument/2006/relationships/hyperlink" Target="http://www.nevo.co.il/case/21725190" TargetMode="External"/><Relationship Id="rId57" Type="http://schemas.openxmlformats.org/officeDocument/2006/relationships/theme" Target="theme/theme1.xml"/><Relationship Id="rId10" Type="http://schemas.openxmlformats.org/officeDocument/2006/relationships/hyperlink" Target="http://www.nevo.co.il/law/70301/144.b2" TargetMode="External"/><Relationship Id="rId31" Type="http://schemas.openxmlformats.org/officeDocument/2006/relationships/hyperlink" Target="http://www.nevo.co.il/case/25167034" TargetMode="External"/><Relationship Id="rId44" Type="http://schemas.openxmlformats.org/officeDocument/2006/relationships/hyperlink" Target="http://www.nevo.co.il/law/70301/144.b2"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4736</Words>
  <Characters>23685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28365</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3801210</vt:i4>
      </vt:variant>
      <vt:variant>
        <vt:i4>132</vt:i4>
      </vt:variant>
      <vt:variant>
        <vt:i4>0</vt:i4>
      </vt:variant>
      <vt:variant>
        <vt:i4>5</vt:i4>
      </vt:variant>
      <vt:variant>
        <vt:lpwstr>http://www.nevo.co.il/case/21688764</vt:lpwstr>
      </vt:variant>
      <vt:variant>
        <vt:lpwstr/>
      </vt:variant>
      <vt:variant>
        <vt:i4>3735670</vt:i4>
      </vt:variant>
      <vt:variant>
        <vt:i4>129</vt:i4>
      </vt:variant>
      <vt:variant>
        <vt:i4>0</vt:i4>
      </vt:variant>
      <vt:variant>
        <vt:i4>5</vt:i4>
      </vt:variant>
      <vt:variant>
        <vt:lpwstr>http://www.nevo.co.il/case/21725190</vt:lpwstr>
      </vt:variant>
      <vt:variant>
        <vt:lpwstr/>
      </vt:variant>
      <vt:variant>
        <vt:i4>3145847</vt:i4>
      </vt:variant>
      <vt:variant>
        <vt:i4>126</vt:i4>
      </vt:variant>
      <vt:variant>
        <vt:i4>0</vt:i4>
      </vt:variant>
      <vt:variant>
        <vt:i4>5</vt:i4>
      </vt:variant>
      <vt:variant>
        <vt:lpwstr>http://www.nevo.co.il/case/13090914</vt:lpwstr>
      </vt:variant>
      <vt:variant>
        <vt:lpwstr/>
      </vt:variant>
      <vt:variant>
        <vt:i4>3866737</vt:i4>
      </vt:variant>
      <vt:variant>
        <vt:i4>123</vt:i4>
      </vt:variant>
      <vt:variant>
        <vt:i4>0</vt:i4>
      </vt:variant>
      <vt:variant>
        <vt:i4>5</vt:i4>
      </vt:variant>
      <vt:variant>
        <vt:lpwstr>http://www.nevo.co.il/case/23877165</vt:lpwstr>
      </vt:variant>
      <vt:variant>
        <vt:lpwstr/>
      </vt:variant>
      <vt:variant>
        <vt:i4>3735664</vt:i4>
      </vt:variant>
      <vt:variant>
        <vt:i4>120</vt:i4>
      </vt:variant>
      <vt:variant>
        <vt:i4>0</vt:i4>
      </vt:variant>
      <vt:variant>
        <vt:i4>5</vt:i4>
      </vt:variant>
      <vt:variant>
        <vt:lpwstr>http://www.nevo.co.il/case/23811621</vt:lpwstr>
      </vt:variant>
      <vt:variant>
        <vt:lpwstr/>
      </vt:variant>
      <vt:variant>
        <vt:i4>7995492</vt:i4>
      </vt:variant>
      <vt:variant>
        <vt:i4>117</vt:i4>
      </vt:variant>
      <vt:variant>
        <vt:i4>0</vt:i4>
      </vt:variant>
      <vt:variant>
        <vt:i4>5</vt:i4>
      </vt:variant>
      <vt:variant>
        <vt:lpwstr>http://www.nevo.co.il/law/70301</vt:lpwstr>
      </vt:variant>
      <vt:variant>
        <vt:lpwstr/>
      </vt:variant>
      <vt:variant>
        <vt:i4>8192050</vt:i4>
      </vt:variant>
      <vt:variant>
        <vt:i4>114</vt:i4>
      </vt:variant>
      <vt:variant>
        <vt:i4>0</vt:i4>
      </vt:variant>
      <vt:variant>
        <vt:i4>5</vt:i4>
      </vt:variant>
      <vt:variant>
        <vt:lpwstr>http://www.nevo.co.il/law/70301/144.b2</vt:lpwstr>
      </vt:variant>
      <vt:variant>
        <vt:lpwstr/>
      </vt:variant>
      <vt:variant>
        <vt:i4>3735675</vt:i4>
      </vt:variant>
      <vt:variant>
        <vt:i4>111</vt:i4>
      </vt:variant>
      <vt:variant>
        <vt:i4>0</vt:i4>
      </vt:variant>
      <vt:variant>
        <vt:i4>5</vt:i4>
      </vt:variant>
      <vt:variant>
        <vt:lpwstr>http://www.nevo.co.il/case/5598421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7143527</vt:i4>
      </vt:variant>
      <vt:variant>
        <vt:i4>105</vt:i4>
      </vt:variant>
      <vt:variant>
        <vt:i4>0</vt:i4>
      </vt:variant>
      <vt:variant>
        <vt:i4>5</vt:i4>
      </vt:variant>
      <vt:variant>
        <vt:lpwstr>http://www.nevo.co.il/law/70301/28</vt:lpwstr>
      </vt:variant>
      <vt:variant>
        <vt:lpwstr/>
      </vt:variant>
      <vt:variant>
        <vt:i4>6357094</vt:i4>
      </vt:variant>
      <vt:variant>
        <vt:i4>102</vt:i4>
      </vt:variant>
      <vt:variant>
        <vt:i4>0</vt:i4>
      </vt:variant>
      <vt:variant>
        <vt:i4>5</vt:i4>
      </vt:variant>
      <vt:variant>
        <vt:lpwstr>http://www.nevo.co.il/law/70301/34d</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4063352</vt:i4>
      </vt:variant>
      <vt:variant>
        <vt:i4>93</vt:i4>
      </vt:variant>
      <vt:variant>
        <vt:i4>0</vt:i4>
      </vt:variant>
      <vt:variant>
        <vt:i4>5</vt:i4>
      </vt:variant>
      <vt:variant>
        <vt:lpwstr>http://www.nevo.co.il/case/18128667</vt:lpwstr>
      </vt:variant>
      <vt:variant>
        <vt:lpwstr/>
      </vt:variant>
      <vt:variant>
        <vt:i4>4063351</vt:i4>
      </vt:variant>
      <vt:variant>
        <vt:i4>90</vt:i4>
      </vt:variant>
      <vt:variant>
        <vt:i4>0</vt:i4>
      </vt:variant>
      <vt:variant>
        <vt:i4>5</vt:i4>
      </vt:variant>
      <vt:variant>
        <vt:lpwstr>http://www.nevo.co.il/case/6244854</vt:lpwstr>
      </vt:variant>
      <vt:variant>
        <vt:lpwstr/>
      </vt:variant>
      <vt:variant>
        <vt:i4>3932283</vt:i4>
      </vt:variant>
      <vt:variant>
        <vt:i4>87</vt:i4>
      </vt:variant>
      <vt:variant>
        <vt:i4>0</vt:i4>
      </vt:variant>
      <vt:variant>
        <vt:i4>5</vt:i4>
      </vt:variant>
      <vt:variant>
        <vt:lpwstr>http://www.nevo.co.il/case/5610199</vt:lpwstr>
      </vt:variant>
      <vt:variant>
        <vt:lpwstr/>
      </vt:variant>
      <vt:variant>
        <vt:i4>3932284</vt:i4>
      </vt:variant>
      <vt:variant>
        <vt:i4>84</vt:i4>
      </vt:variant>
      <vt:variant>
        <vt:i4>0</vt:i4>
      </vt:variant>
      <vt:variant>
        <vt:i4>5</vt:i4>
      </vt:variant>
      <vt:variant>
        <vt:lpwstr>http://www.nevo.co.il/case/5598555</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3735670</vt:i4>
      </vt:variant>
      <vt:variant>
        <vt:i4>78</vt:i4>
      </vt:variant>
      <vt:variant>
        <vt:i4>0</vt:i4>
      </vt:variant>
      <vt:variant>
        <vt:i4>5</vt:i4>
      </vt:variant>
      <vt:variant>
        <vt:lpwstr>http://www.nevo.co.il/case/23794887</vt:lpwstr>
      </vt:variant>
      <vt:variant>
        <vt:lpwstr/>
      </vt:variant>
      <vt:variant>
        <vt:i4>3604599</vt:i4>
      </vt:variant>
      <vt:variant>
        <vt:i4>75</vt:i4>
      </vt:variant>
      <vt:variant>
        <vt:i4>0</vt:i4>
      </vt:variant>
      <vt:variant>
        <vt:i4>5</vt:i4>
      </vt:variant>
      <vt:variant>
        <vt:lpwstr>http://www.nevo.co.il/case/25167034</vt:lpwstr>
      </vt:variant>
      <vt:variant>
        <vt:lpwstr/>
      </vt:variant>
      <vt:variant>
        <vt:i4>3932276</vt:i4>
      </vt:variant>
      <vt:variant>
        <vt:i4>72</vt:i4>
      </vt:variant>
      <vt:variant>
        <vt:i4>0</vt:i4>
      </vt:variant>
      <vt:variant>
        <vt:i4>5</vt:i4>
      </vt:variant>
      <vt:variant>
        <vt:lpwstr>http://www.nevo.co.il/case/23875433</vt:lpwstr>
      </vt:variant>
      <vt:variant>
        <vt:lpwstr/>
      </vt:variant>
      <vt:variant>
        <vt:i4>3145847</vt:i4>
      </vt:variant>
      <vt:variant>
        <vt:i4>69</vt:i4>
      </vt:variant>
      <vt:variant>
        <vt:i4>0</vt:i4>
      </vt:variant>
      <vt:variant>
        <vt:i4>5</vt:i4>
      </vt:variant>
      <vt:variant>
        <vt:lpwstr>http://www.nevo.co.il/case/21474520</vt:lpwstr>
      </vt:variant>
      <vt:variant>
        <vt:lpwstr/>
      </vt:variant>
      <vt:variant>
        <vt:i4>3604596</vt:i4>
      </vt:variant>
      <vt:variant>
        <vt:i4>66</vt:i4>
      </vt:variant>
      <vt:variant>
        <vt:i4>0</vt:i4>
      </vt:variant>
      <vt:variant>
        <vt:i4>5</vt:i4>
      </vt:variant>
      <vt:variant>
        <vt:lpwstr>http://www.nevo.co.il/case/23750625</vt:lpwstr>
      </vt:variant>
      <vt:variant>
        <vt:lpwstr/>
      </vt:variant>
      <vt:variant>
        <vt:i4>3539063</vt:i4>
      </vt:variant>
      <vt:variant>
        <vt:i4>63</vt:i4>
      </vt:variant>
      <vt:variant>
        <vt:i4>0</vt:i4>
      </vt:variant>
      <vt:variant>
        <vt:i4>5</vt:i4>
      </vt:variant>
      <vt:variant>
        <vt:lpwstr>http://www.nevo.co.il/case/20007334</vt:lpwstr>
      </vt:variant>
      <vt:variant>
        <vt:lpwstr/>
      </vt:variant>
      <vt:variant>
        <vt:i4>4063358</vt:i4>
      </vt:variant>
      <vt:variant>
        <vt:i4>60</vt:i4>
      </vt:variant>
      <vt:variant>
        <vt:i4>0</vt:i4>
      </vt:variant>
      <vt:variant>
        <vt:i4>5</vt:i4>
      </vt:variant>
      <vt:variant>
        <vt:lpwstr>http://www.nevo.co.il/case/7827259</vt:lpwstr>
      </vt:variant>
      <vt:variant>
        <vt:lpwstr/>
      </vt:variant>
      <vt:variant>
        <vt:i4>3211379</vt:i4>
      </vt:variant>
      <vt:variant>
        <vt:i4>57</vt:i4>
      </vt:variant>
      <vt:variant>
        <vt:i4>0</vt:i4>
      </vt:variant>
      <vt:variant>
        <vt:i4>5</vt:i4>
      </vt:variant>
      <vt:variant>
        <vt:lpwstr>http://www.nevo.co.il/case/4036214</vt:lpwstr>
      </vt:variant>
      <vt:variant>
        <vt:lpwstr/>
      </vt:variant>
      <vt:variant>
        <vt:i4>3407987</vt:i4>
      </vt:variant>
      <vt:variant>
        <vt:i4>54</vt:i4>
      </vt:variant>
      <vt:variant>
        <vt:i4>0</vt:i4>
      </vt:variant>
      <vt:variant>
        <vt:i4>5</vt:i4>
      </vt:variant>
      <vt:variant>
        <vt:lpwstr>http://www.nevo.co.il/case/20523508</vt:lpwstr>
      </vt:variant>
      <vt:variant>
        <vt:lpwstr/>
      </vt:variant>
      <vt:variant>
        <vt:i4>3342463</vt:i4>
      </vt:variant>
      <vt:variant>
        <vt:i4>51</vt:i4>
      </vt:variant>
      <vt:variant>
        <vt:i4>0</vt:i4>
      </vt:variant>
      <vt:variant>
        <vt:i4>5</vt:i4>
      </vt:variant>
      <vt:variant>
        <vt:lpwstr>http://www.nevo.co.il/case/5821327</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7077985</vt:i4>
      </vt:variant>
      <vt:variant>
        <vt:i4>45</vt:i4>
      </vt:variant>
      <vt:variant>
        <vt:i4>0</vt:i4>
      </vt:variant>
      <vt:variant>
        <vt:i4>5</vt:i4>
      </vt:variant>
      <vt:variant>
        <vt:lpwstr>http://www.nevo.co.il/law/70301/499</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8192050</vt:i4>
      </vt:variant>
      <vt:variant>
        <vt:i4>36</vt:i4>
      </vt:variant>
      <vt:variant>
        <vt:i4>0</vt:i4>
      </vt:variant>
      <vt:variant>
        <vt:i4>5</vt:i4>
      </vt:variant>
      <vt:variant>
        <vt:lpwstr>http://www.nevo.co.il/law/70301/144.b2</vt:lpwstr>
      </vt:variant>
      <vt:variant>
        <vt:lpwstr/>
      </vt:variant>
      <vt:variant>
        <vt:i4>7077985</vt:i4>
      </vt:variant>
      <vt:variant>
        <vt:i4>33</vt:i4>
      </vt:variant>
      <vt:variant>
        <vt:i4>0</vt:i4>
      </vt:variant>
      <vt:variant>
        <vt:i4>5</vt:i4>
      </vt:variant>
      <vt:variant>
        <vt:lpwstr>http://www.nevo.co.il/law/70301/499</vt:lpwstr>
      </vt:variant>
      <vt:variant>
        <vt:lpwstr/>
      </vt:variant>
      <vt:variant>
        <vt:i4>8192050</vt:i4>
      </vt:variant>
      <vt:variant>
        <vt:i4>30</vt:i4>
      </vt:variant>
      <vt:variant>
        <vt:i4>0</vt:i4>
      </vt:variant>
      <vt:variant>
        <vt:i4>5</vt:i4>
      </vt:variant>
      <vt:variant>
        <vt:lpwstr>http://www.nevo.co.il/law/70301/144.b2</vt:lpwstr>
      </vt:variant>
      <vt:variant>
        <vt:lpwstr/>
      </vt:variant>
      <vt:variant>
        <vt:i4>6357094</vt:i4>
      </vt:variant>
      <vt:variant>
        <vt:i4>27</vt:i4>
      </vt:variant>
      <vt:variant>
        <vt:i4>0</vt:i4>
      </vt:variant>
      <vt:variant>
        <vt:i4>5</vt:i4>
      </vt:variant>
      <vt:variant>
        <vt:lpwstr>http://www.nevo.co.il/law/70301/34d</vt:lpwstr>
      </vt:variant>
      <vt:variant>
        <vt:lpwstr/>
      </vt:variant>
      <vt:variant>
        <vt:i4>7143527</vt:i4>
      </vt:variant>
      <vt:variant>
        <vt:i4>24</vt:i4>
      </vt:variant>
      <vt:variant>
        <vt:i4>0</vt:i4>
      </vt:variant>
      <vt:variant>
        <vt:i4>5</vt:i4>
      </vt:variant>
      <vt:variant>
        <vt:lpwstr>http://www.nevo.co.il/law/70301/28</vt:lpwstr>
      </vt:variant>
      <vt:variant>
        <vt:lpwstr/>
      </vt:variant>
      <vt:variant>
        <vt:i4>6291559</vt:i4>
      </vt:variant>
      <vt:variant>
        <vt:i4>21</vt:i4>
      </vt:variant>
      <vt:variant>
        <vt:i4>0</vt:i4>
      </vt:variant>
      <vt:variant>
        <vt:i4>5</vt:i4>
      </vt:variant>
      <vt:variant>
        <vt:lpwstr>http://www.nevo.co.il/law/70301/25</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7077985</vt:i4>
      </vt:variant>
      <vt:variant>
        <vt:i4>15</vt:i4>
      </vt:variant>
      <vt:variant>
        <vt:i4>0</vt:i4>
      </vt:variant>
      <vt:variant>
        <vt:i4>5</vt:i4>
      </vt:variant>
      <vt:variant>
        <vt:lpwstr>http://www.nevo.co.il/law/70301/499</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7143527</vt:i4>
      </vt:variant>
      <vt:variant>
        <vt:i4>6</vt:i4>
      </vt:variant>
      <vt:variant>
        <vt:i4>0</vt:i4>
      </vt:variant>
      <vt:variant>
        <vt:i4>5</vt:i4>
      </vt:variant>
      <vt:variant>
        <vt:lpwstr>http://www.nevo.co.il/law/70301/28</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2024-01-07T12:19:00Z</dcterms:created>
  <dcterms:modified xsi:type="dcterms:W3CDTF">2024-01-07T12:19:00Z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30972</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אדהם הינדי</vt:lpwstr>
  </property>
  <property fmtid="{D5CDD505-2E9C-101B-9397-08002B2CF9AE}" pid="10" name="LAWYER">
    <vt:lpwstr>הדס עמיר;רמי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DATE">
    <vt:lpwstr>20190513</vt:lpwstr>
  </property>
  <property fmtid="{D5CDD505-2E9C-101B-9397-08002B2CF9AE}" pid="14" name="TYPE_N_DATE">
    <vt:lpwstr>39020190513</vt:lpwstr>
  </property>
  <property fmtid="{D5CDD505-2E9C-101B-9397-08002B2CF9AE}" pid="15" name="WORDNUMPAGES">
    <vt:lpwstr>12</vt:lpwstr>
  </property>
  <property fmtid="{D5CDD505-2E9C-101B-9397-08002B2CF9AE}" pid="16" name="TYPE_ABS_DATE">
    <vt:lpwstr>390020190513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5821327;20523508;4036214;7827259;20007334;23750625;21474520;23875433;25167034;23794887;7791493;5598555;5610199;6244854;18128667;5598421;23811621;23877165;13090914;21725190;21688764</vt:lpwstr>
  </property>
  <property fmtid="{D5CDD505-2E9C-101B-9397-08002B2CF9AE}" pid="36" name="LAWLISTTMP1">
    <vt:lpwstr>70301/025;028;034d;144.b2:3;499</vt:lpwstr>
  </property>
</Properties>
</file>