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0"/>
        <w:gridCol w:w="3671"/>
      </w:tblGrid>
      <w:tr w:rsidR="008942F9" w:rsidRPr="007D3F58" w:rsidTr="00CD43D8">
        <w:trPr>
          <w:trHeight w:hRule="exact" w:val="418"/>
          <w:jc w:val="center"/>
        </w:trPr>
        <w:tc>
          <w:tcPr>
            <w:tcW w:w="8721" w:type="dxa"/>
            <w:gridSpan w:val="2"/>
          </w:tcPr>
          <w:p w:rsidR="008942F9" w:rsidRPr="007D3F58" w:rsidRDefault="008942F9" w:rsidP="00C472AC">
            <w:pPr>
              <w:pStyle w:val="a3"/>
              <w:jc w:val="center"/>
              <w:rPr>
                <w:rFonts w:ascii="Tahoma" w:hAnsi="Tahoma"/>
                <w:color w:val="000080"/>
                <w:sz w:val="28"/>
                <w:szCs w:val="28"/>
                <w:rtl/>
              </w:rPr>
            </w:pPr>
            <w:bookmarkStart w:id="0" w:name="LastJudge"/>
            <w:r w:rsidRPr="007D3F58">
              <w:rPr>
                <w:rFonts w:ascii="Tahoma" w:hAnsi="Tahoma" w:hint="cs"/>
                <w:b/>
                <w:bCs/>
                <w:color w:val="000080"/>
                <w:sz w:val="28"/>
                <w:szCs w:val="28"/>
                <w:rtl/>
              </w:rPr>
              <w:t>בתי משפט</w:t>
            </w:r>
          </w:p>
        </w:tc>
      </w:tr>
      <w:tr w:rsidR="008942F9" w:rsidRPr="007D3F58" w:rsidTr="00CD43D8">
        <w:trPr>
          <w:trHeight w:val="337"/>
          <w:jc w:val="center"/>
        </w:trPr>
        <w:tc>
          <w:tcPr>
            <w:tcW w:w="5050" w:type="dxa"/>
          </w:tcPr>
          <w:p w:rsidR="008942F9" w:rsidRPr="007D3F58" w:rsidRDefault="008942F9" w:rsidP="00C472AC">
            <w:pPr>
              <w:pStyle w:val="a3"/>
              <w:rPr>
                <w:b/>
                <w:bCs/>
                <w:rtl/>
              </w:rPr>
            </w:pPr>
            <w:r w:rsidRPr="007D3F58">
              <w:rPr>
                <w:rFonts w:hint="cs"/>
                <w:b/>
                <w:bCs/>
                <w:rtl/>
              </w:rPr>
              <w:t>בית המשפט המחוזי ירושלים</w:t>
            </w:r>
          </w:p>
          <w:p w:rsidR="008942F9" w:rsidRPr="007D3F58" w:rsidRDefault="008942F9" w:rsidP="00C472AC">
            <w:pPr>
              <w:pStyle w:val="a3"/>
              <w:rPr>
                <w:rFonts w:cs="FrankRuehl"/>
                <w:sz w:val="28"/>
                <w:szCs w:val="28"/>
                <w:rtl/>
              </w:rPr>
            </w:pPr>
          </w:p>
        </w:tc>
        <w:tc>
          <w:tcPr>
            <w:tcW w:w="3671" w:type="dxa"/>
          </w:tcPr>
          <w:p w:rsidR="008942F9" w:rsidRPr="007D3F58" w:rsidRDefault="008942F9" w:rsidP="00C472AC">
            <w:pPr>
              <w:pStyle w:val="a3"/>
              <w:jc w:val="right"/>
              <w:rPr>
                <w:rtl/>
              </w:rPr>
            </w:pPr>
            <w:r w:rsidRPr="007D3F58">
              <w:rPr>
                <w:b/>
                <w:bCs/>
                <w:rtl/>
              </w:rPr>
              <w:t>ת"פ</w:t>
            </w:r>
            <w:r w:rsidRPr="007D3F58">
              <w:rPr>
                <w:rFonts w:hint="cs"/>
                <w:b/>
                <w:bCs/>
                <w:rtl/>
              </w:rPr>
              <w:t xml:space="preserve"> </w:t>
            </w:r>
            <w:r w:rsidRPr="007D3F58">
              <w:rPr>
                <w:b/>
                <w:bCs/>
                <w:rtl/>
              </w:rPr>
              <w:t>1316-04-19</w:t>
            </w:r>
            <w:r w:rsidRPr="007D3F58">
              <w:rPr>
                <w:rFonts w:hint="cs"/>
                <w:b/>
                <w:bCs/>
                <w:rtl/>
              </w:rPr>
              <w:t xml:space="preserve"> </w:t>
            </w:r>
          </w:p>
          <w:p w:rsidR="008942F9" w:rsidRPr="007D3F58" w:rsidRDefault="008942F9" w:rsidP="00C472AC">
            <w:pPr>
              <w:pStyle w:val="a3"/>
              <w:jc w:val="right"/>
              <w:rPr>
                <w:b/>
                <w:bCs/>
                <w:rtl/>
              </w:rPr>
            </w:pPr>
          </w:p>
        </w:tc>
      </w:tr>
      <w:tr w:rsidR="008942F9" w:rsidRPr="007D3F58" w:rsidTr="00CD43D8">
        <w:trPr>
          <w:trHeight w:val="337"/>
          <w:jc w:val="center"/>
        </w:trPr>
        <w:tc>
          <w:tcPr>
            <w:tcW w:w="5050" w:type="dxa"/>
          </w:tcPr>
          <w:p w:rsidR="008942F9" w:rsidRPr="007D3F58" w:rsidRDefault="008942F9" w:rsidP="00C472AC">
            <w:pPr>
              <w:pStyle w:val="a3"/>
              <w:rPr>
                <w:b/>
                <w:bCs/>
                <w:rtl/>
              </w:rPr>
            </w:pPr>
            <w:r w:rsidRPr="007D3F58">
              <w:rPr>
                <w:rFonts w:hint="cs"/>
                <w:b/>
                <w:bCs/>
                <w:rtl/>
              </w:rPr>
              <w:t>לפני כב' השופטת רבקה פרידמן-פלדמן</w:t>
            </w:r>
          </w:p>
        </w:tc>
        <w:tc>
          <w:tcPr>
            <w:tcW w:w="3671" w:type="dxa"/>
          </w:tcPr>
          <w:p w:rsidR="008942F9" w:rsidRPr="007D3F58" w:rsidRDefault="008942F9" w:rsidP="00C472AC">
            <w:pPr>
              <w:pStyle w:val="a3"/>
              <w:jc w:val="right"/>
              <w:rPr>
                <w:b/>
                <w:bCs/>
                <w:rtl/>
              </w:rPr>
            </w:pPr>
            <w:r w:rsidRPr="007D3F58">
              <w:rPr>
                <w:b/>
                <w:bCs/>
                <w:rtl/>
              </w:rPr>
              <w:t>03 מרץ 2020</w:t>
            </w:r>
          </w:p>
        </w:tc>
      </w:tr>
    </w:tbl>
    <w:p w:rsidR="008942F9" w:rsidRPr="007D3F58" w:rsidRDefault="008942F9" w:rsidP="008942F9">
      <w:pPr>
        <w:pStyle w:val="a3"/>
        <w:rPr>
          <w:rtl/>
        </w:rPr>
      </w:pPr>
      <w:r w:rsidRPr="007D3F58">
        <w:rPr>
          <w:rFonts w:hint="cs"/>
          <w:rtl/>
        </w:rPr>
        <w:t xml:space="preserve"> </w:t>
      </w:r>
    </w:p>
    <w:p w:rsidR="008942F9" w:rsidRPr="007D3F58" w:rsidRDefault="008942F9" w:rsidP="008942F9">
      <w:pPr>
        <w:pStyle w:val="a3"/>
      </w:pPr>
      <w:r w:rsidRPr="007D3F58">
        <w:rPr>
          <w:rFonts w:cs="Times New Roman" w:hint="cs"/>
          <w:b/>
          <w:bCs/>
          <w:sz w:val="26"/>
          <w:szCs w:val="28"/>
          <w:rtl/>
        </w:rPr>
        <w:t xml:space="preserve"> </w:t>
      </w:r>
    </w:p>
    <w:p w:rsidR="008942F9" w:rsidRPr="007D3F58" w:rsidRDefault="008942F9" w:rsidP="008942F9">
      <w:pPr>
        <w:rPr>
          <w:rtl/>
        </w:rPr>
      </w:pPr>
    </w:p>
    <w:p w:rsidR="008942F9" w:rsidRPr="007D3F58" w:rsidRDefault="008942F9" w:rsidP="008942F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220"/>
        <w:gridCol w:w="2677"/>
      </w:tblGrid>
      <w:tr w:rsidR="008942F9" w:rsidRPr="007D3F58" w:rsidTr="008942F9">
        <w:trPr>
          <w:trHeight w:val="355"/>
          <w:jc w:val="center"/>
        </w:trPr>
        <w:tc>
          <w:tcPr>
            <w:tcW w:w="923" w:type="dxa"/>
            <w:tcBorders>
              <w:top w:val="nil"/>
              <w:left w:val="nil"/>
              <w:bottom w:val="nil"/>
              <w:right w:val="nil"/>
            </w:tcBorders>
            <w:shd w:val="clear" w:color="auto" w:fill="auto"/>
          </w:tcPr>
          <w:p w:rsidR="008942F9" w:rsidRPr="007D3F58" w:rsidRDefault="008942F9" w:rsidP="008942F9">
            <w:pPr>
              <w:jc w:val="both"/>
              <w:rPr>
                <w:rFonts w:ascii="Arial" w:hAnsi="Arial"/>
                <w:b/>
                <w:bCs/>
              </w:rPr>
            </w:pPr>
            <w:bookmarkStart w:id="1" w:name="FirstAppellant"/>
            <w:r w:rsidRPr="007D3F58">
              <w:rPr>
                <w:rFonts w:ascii="Arial" w:hAnsi="Arial" w:hint="cs"/>
                <w:b/>
                <w:bCs/>
                <w:rtl/>
              </w:rPr>
              <w:t>בעניין:</w:t>
            </w:r>
          </w:p>
        </w:tc>
        <w:tc>
          <w:tcPr>
            <w:tcW w:w="5220" w:type="dxa"/>
            <w:tcBorders>
              <w:top w:val="nil"/>
              <w:left w:val="nil"/>
              <w:bottom w:val="nil"/>
              <w:right w:val="nil"/>
            </w:tcBorders>
            <w:shd w:val="clear" w:color="auto" w:fill="auto"/>
          </w:tcPr>
          <w:p w:rsidR="008942F9" w:rsidRPr="007D3F58" w:rsidRDefault="008942F9" w:rsidP="00C472AC">
            <w:pPr>
              <w:rPr>
                <w:b/>
                <w:bCs/>
              </w:rPr>
            </w:pPr>
            <w:r w:rsidRPr="007D3F58">
              <w:rPr>
                <w:rFonts w:ascii="Arial" w:hAnsi="Arial"/>
                <w:b/>
                <w:bCs/>
                <w:rtl/>
              </w:rPr>
              <w:t>מדינת ישראל</w:t>
            </w:r>
          </w:p>
        </w:tc>
        <w:tc>
          <w:tcPr>
            <w:tcW w:w="2677" w:type="dxa"/>
            <w:tcBorders>
              <w:top w:val="nil"/>
              <w:left w:val="nil"/>
              <w:bottom w:val="nil"/>
              <w:right w:val="nil"/>
            </w:tcBorders>
            <w:shd w:val="clear" w:color="auto" w:fill="auto"/>
          </w:tcPr>
          <w:p w:rsidR="008942F9" w:rsidRPr="007D3F58" w:rsidRDefault="008942F9" w:rsidP="008942F9">
            <w:pPr>
              <w:jc w:val="both"/>
              <w:rPr>
                <w:rFonts w:ascii="Arial" w:hAnsi="Arial"/>
                <w:b/>
                <w:bCs/>
              </w:rPr>
            </w:pPr>
          </w:p>
        </w:tc>
      </w:tr>
      <w:bookmarkEnd w:id="1"/>
      <w:tr w:rsidR="008942F9" w:rsidRPr="007D3F58" w:rsidTr="008942F9">
        <w:trPr>
          <w:trHeight w:val="355"/>
          <w:jc w:val="center"/>
        </w:trPr>
        <w:tc>
          <w:tcPr>
            <w:tcW w:w="923" w:type="dxa"/>
            <w:tcBorders>
              <w:top w:val="nil"/>
              <w:left w:val="nil"/>
              <w:bottom w:val="nil"/>
              <w:right w:val="nil"/>
            </w:tcBorders>
            <w:shd w:val="clear" w:color="auto" w:fill="auto"/>
          </w:tcPr>
          <w:p w:rsidR="008942F9" w:rsidRPr="007D3F58" w:rsidRDefault="008942F9" w:rsidP="008942F9">
            <w:pPr>
              <w:jc w:val="both"/>
              <w:rPr>
                <w:rFonts w:ascii="Arial" w:hAnsi="Arial"/>
                <w:b/>
                <w:bCs/>
                <w:rtl/>
              </w:rPr>
            </w:pPr>
          </w:p>
        </w:tc>
        <w:tc>
          <w:tcPr>
            <w:tcW w:w="5220" w:type="dxa"/>
            <w:tcBorders>
              <w:top w:val="nil"/>
              <w:left w:val="nil"/>
              <w:bottom w:val="nil"/>
              <w:right w:val="nil"/>
            </w:tcBorders>
            <w:shd w:val="clear" w:color="auto" w:fill="auto"/>
          </w:tcPr>
          <w:p w:rsidR="008942F9" w:rsidRPr="007D3F58" w:rsidRDefault="008942F9" w:rsidP="008942F9">
            <w:pPr>
              <w:jc w:val="both"/>
              <w:rPr>
                <w:b/>
                <w:bCs/>
                <w:rtl/>
              </w:rPr>
            </w:pPr>
          </w:p>
        </w:tc>
        <w:tc>
          <w:tcPr>
            <w:tcW w:w="2677" w:type="dxa"/>
            <w:tcBorders>
              <w:top w:val="nil"/>
              <w:left w:val="nil"/>
              <w:bottom w:val="nil"/>
              <w:right w:val="nil"/>
            </w:tcBorders>
            <w:shd w:val="clear" w:color="auto" w:fill="auto"/>
          </w:tcPr>
          <w:p w:rsidR="008942F9" w:rsidRPr="007D3F58" w:rsidRDefault="008942F9" w:rsidP="00C472AC">
            <w:pPr>
              <w:rPr>
                <w:rFonts w:ascii="Arial" w:hAnsi="Arial"/>
                <w:b/>
                <w:bCs/>
                <w:rtl/>
              </w:rPr>
            </w:pPr>
            <w:r w:rsidRPr="007D3F58">
              <w:rPr>
                <w:rFonts w:ascii="Arial" w:hAnsi="Arial" w:hint="cs"/>
                <w:b/>
                <w:bCs/>
                <w:rtl/>
              </w:rPr>
              <w:t>ה</w:t>
            </w:r>
            <w:r w:rsidRPr="007D3F58">
              <w:rPr>
                <w:rFonts w:ascii="Arial" w:hAnsi="Arial"/>
                <w:b/>
                <w:bCs/>
                <w:rtl/>
              </w:rPr>
              <w:t>מאשימה</w:t>
            </w:r>
          </w:p>
        </w:tc>
      </w:tr>
      <w:tr w:rsidR="008942F9" w:rsidRPr="007D3F58" w:rsidTr="008942F9">
        <w:trPr>
          <w:trHeight w:val="355"/>
          <w:jc w:val="center"/>
        </w:trPr>
        <w:tc>
          <w:tcPr>
            <w:tcW w:w="923" w:type="dxa"/>
            <w:tcBorders>
              <w:top w:val="nil"/>
              <w:left w:val="nil"/>
              <w:bottom w:val="nil"/>
              <w:right w:val="nil"/>
            </w:tcBorders>
            <w:shd w:val="clear" w:color="auto" w:fill="auto"/>
          </w:tcPr>
          <w:p w:rsidR="008942F9" w:rsidRPr="007D3F58" w:rsidRDefault="008942F9" w:rsidP="008942F9">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vAlign w:val="center"/>
          </w:tcPr>
          <w:p w:rsidR="008942F9" w:rsidRPr="007D3F58" w:rsidRDefault="008942F9" w:rsidP="008942F9">
            <w:pPr>
              <w:jc w:val="center"/>
              <w:rPr>
                <w:rFonts w:ascii="Arial" w:hAnsi="Arial"/>
                <w:b/>
                <w:bCs/>
              </w:rPr>
            </w:pPr>
            <w:r w:rsidRPr="007D3F58">
              <w:rPr>
                <w:rFonts w:ascii="Arial" w:hAnsi="Arial"/>
                <w:b/>
                <w:bCs/>
                <w:rtl/>
              </w:rPr>
              <w:t>נ</w:t>
            </w:r>
            <w:r w:rsidRPr="007D3F58">
              <w:rPr>
                <w:rFonts w:ascii="Arial" w:hAnsi="Arial" w:hint="cs"/>
                <w:b/>
                <w:bCs/>
                <w:rtl/>
              </w:rPr>
              <w:t xml:space="preserve"> </w:t>
            </w:r>
            <w:r w:rsidRPr="007D3F58">
              <w:rPr>
                <w:rFonts w:ascii="Arial" w:hAnsi="Arial"/>
                <w:b/>
                <w:bCs/>
                <w:rtl/>
              </w:rPr>
              <w:t>ג</w:t>
            </w:r>
            <w:r w:rsidRPr="007D3F58">
              <w:rPr>
                <w:rFonts w:ascii="Arial" w:hAnsi="Arial" w:hint="cs"/>
                <w:b/>
                <w:bCs/>
                <w:rtl/>
              </w:rPr>
              <w:t xml:space="preserve"> </w:t>
            </w:r>
            <w:r w:rsidRPr="007D3F58">
              <w:rPr>
                <w:rFonts w:ascii="Arial" w:hAnsi="Arial"/>
                <w:b/>
                <w:bCs/>
                <w:rtl/>
              </w:rPr>
              <w:t>ד</w:t>
            </w:r>
          </w:p>
        </w:tc>
      </w:tr>
      <w:tr w:rsidR="008942F9" w:rsidRPr="007D3F58" w:rsidTr="008942F9">
        <w:trPr>
          <w:trHeight w:val="355"/>
          <w:jc w:val="center"/>
        </w:trPr>
        <w:tc>
          <w:tcPr>
            <w:tcW w:w="923" w:type="dxa"/>
            <w:tcBorders>
              <w:top w:val="nil"/>
              <w:left w:val="nil"/>
              <w:bottom w:val="nil"/>
              <w:right w:val="nil"/>
            </w:tcBorders>
            <w:shd w:val="clear" w:color="auto" w:fill="auto"/>
          </w:tcPr>
          <w:p w:rsidR="008942F9" w:rsidRPr="007D3F58" w:rsidRDefault="008942F9" w:rsidP="008942F9">
            <w:pPr>
              <w:jc w:val="both"/>
              <w:rPr>
                <w:rFonts w:ascii="Arial" w:hAnsi="Arial" w:cs="FrankRuehl"/>
                <w:sz w:val="28"/>
                <w:szCs w:val="28"/>
                <w:rtl/>
              </w:rPr>
            </w:pPr>
          </w:p>
        </w:tc>
        <w:tc>
          <w:tcPr>
            <w:tcW w:w="5220" w:type="dxa"/>
            <w:tcBorders>
              <w:top w:val="nil"/>
              <w:left w:val="nil"/>
              <w:bottom w:val="nil"/>
              <w:right w:val="nil"/>
            </w:tcBorders>
            <w:shd w:val="clear" w:color="auto" w:fill="auto"/>
          </w:tcPr>
          <w:p w:rsidR="008942F9" w:rsidRPr="007D3F58" w:rsidRDefault="008942F9" w:rsidP="008942F9">
            <w:pPr>
              <w:jc w:val="both"/>
              <w:rPr>
                <w:b/>
                <w:bCs/>
                <w:rtl/>
              </w:rPr>
            </w:pPr>
            <w:r w:rsidRPr="007D3F58">
              <w:rPr>
                <w:rFonts w:hint="cs"/>
                <w:b/>
                <w:bCs/>
                <w:rtl/>
              </w:rPr>
              <w:t>עמרו כבאגה</w:t>
            </w:r>
          </w:p>
        </w:tc>
        <w:tc>
          <w:tcPr>
            <w:tcW w:w="2677" w:type="dxa"/>
            <w:tcBorders>
              <w:top w:val="nil"/>
              <w:left w:val="nil"/>
              <w:bottom w:val="nil"/>
              <w:right w:val="nil"/>
            </w:tcBorders>
            <w:shd w:val="clear" w:color="auto" w:fill="auto"/>
          </w:tcPr>
          <w:p w:rsidR="008942F9" w:rsidRPr="007D3F58" w:rsidRDefault="008942F9" w:rsidP="00C472AC">
            <w:pPr>
              <w:rPr>
                <w:rFonts w:ascii="Arial" w:hAnsi="Arial"/>
                <w:b/>
                <w:bCs/>
                <w:rtl/>
              </w:rPr>
            </w:pPr>
          </w:p>
          <w:p w:rsidR="008942F9" w:rsidRPr="007D3F58" w:rsidRDefault="008942F9" w:rsidP="00C472AC">
            <w:pPr>
              <w:rPr>
                <w:rFonts w:ascii="Arial" w:hAnsi="Arial"/>
                <w:b/>
                <w:bCs/>
              </w:rPr>
            </w:pPr>
            <w:r w:rsidRPr="007D3F58">
              <w:rPr>
                <w:rFonts w:ascii="Arial" w:hAnsi="Arial" w:hint="cs"/>
                <w:b/>
                <w:bCs/>
                <w:rtl/>
              </w:rPr>
              <w:t>ה</w:t>
            </w:r>
            <w:r w:rsidRPr="007D3F58">
              <w:rPr>
                <w:rFonts w:ascii="Arial" w:hAnsi="Arial"/>
                <w:b/>
                <w:bCs/>
                <w:rtl/>
              </w:rPr>
              <w:t>נאשם</w:t>
            </w:r>
          </w:p>
        </w:tc>
      </w:tr>
    </w:tbl>
    <w:p w:rsidR="008942F9" w:rsidRPr="007D3F58" w:rsidRDefault="008942F9" w:rsidP="008942F9"/>
    <w:p w:rsidR="00CD43D8" w:rsidRPr="00CD43D8" w:rsidRDefault="00CD43D8" w:rsidP="00CD43D8">
      <w:pPr>
        <w:spacing w:before="120" w:after="120" w:line="240" w:lineRule="exact"/>
        <w:ind w:left="283" w:hanging="283"/>
        <w:jc w:val="both"/>
        <w:rPr>
          <w:rStyle w:val="ArialFrankRuehl14"/>
          <w:rFonts w:ascii="FrankRuehl" w:hAnsi="FrankRuehl" w:cs="FrankRuehl"/>
          <w:sz w:val="24"/>
          <w:rtl/>
        </w:rPr>
      </w:pPr>
      <w:bookmarkStart w:id="2" w:name="LawTable"/>
      <w:bookmarkEnd w:id="2"/>
      <w:r w:rsidRPr="00CD43D8">
        <w:rPr>
          <w:rStyle w:val="ArialFrankRuehl14"/>
          <w:rFonts w:ascii="FrankRuehl" w:hAnsi="FrankRuehl" w:cs="FrankRuehl"/>
          <w:sz w:val="24"/>
          <w:rtl/>
        </w:rPr>
        <w:t xml:space="preserve">חקיקה שאוזכרה: </w:t>
      </w:r>
    </w:p>
    <w:p w:rsidR="00CD43D8" w:rsidRPr="00CD43D8" w:rsidRDefault="00CD43D8" w:rsidP="00CD43D8">
      <w:pPr>
        <w:spacing w:before="120" w:after="120" w:line="240" w:lineRule="exact"/>
        <w:ind w:left="283" w:hanging="283"/>
        <w:jc w:val="both"/>
        <w:rPr>
          <w:rStyle w:val="ArialFrankRuehl14"/>
          <w:rFonts w:ascii="FrankRuehl" w:hAnsi="FrankRuehl" w:cs="FrankRuehl"/>
          <w:color w:val="0000FF"/>
          <w:sz w:val="24"/>
          <w:rtl/>
        </w:rPr>
      </w:pPr>
      <w:hyperlink r:id="rId6" w:history="1">
        <w:r w:rsidRPr="00CD43D8">
          <w:rPr>
            <w:rStyle w:val="Hyperlink"/>
            <w:rFonts w:ascii="FrankRuehl" w:hAnsi="FrankRuehl" w:cs="FrankRuehl"/>
            <w:rtl/>
          </w:rPr>
          <w:t>חוק העונשין, תשל"ז-1977</w:t>
        </w:r>
      </w:hyperlink>
      <w:r w:rsidRPr="00CD43D8">
        <w:rPr>
          <w:rStyle w:val="ArialFrankRuehl14"/>
          <w:rFonts w:ascii="FrankRuehl" w:hAnsi="FrankRuehl" w:cs="FrankRuehl"/>
          <w:color w:val="0000FF"/>
          <w:sz w:val="24"/>
          <w:u w:val="single"/>
          <w:rtl/>
        </w:rPr>
        <w:t xml:space="preserve">: סע'  </w:t>
      </w:r>
      <w:hyperlink r:id="rId7" w:history="1">
        <w:r w:rsidRPr="00CD43D8">
          <w:rPr>
            <w:rStyle w:val="Hyperlink"/>
            <w:rFonts w:ascii="FrankRuehl" w:hAnsi="FrankRuehl" w:cs="FrankRuehl"/>
          </w:rPr>
          <w:t>25</w:t>
        </w:r>
      </w:hyperlink>
      <w:r w:rsidRPr="00CD43D8">
        <w:rPr>
          <w:rStyle w:val="ArialFrankRuehl14"/>
          <w:rFonts w:ascii="FrankRuehl" w:hAnsi="FrankRuehl" w:cs="FrankRuehl"/>
          <w:color w:val="0000FF"/>
          <w:sz w:val="24"/>
          <w:u w:val="single"/>
          <w:rtl/>
        </w:rPr>
        <w:t xml:space="preserve">, </w:t>
      </w:r>
      <w:hyperlink r:id="rId8" w:history="1">
        <w:r w:rsidRPr="00CD43D8">
          <w:rPr>
            <w:rStyle w:val="Hyperlink"/>
            <w:rFonts w:ascii="FrankRuehl" w:hAnsi="FrankRuehl" w:cs="FrankRuehl"/>
          </w:rPr>
          <w:t>40</w:t>
        </w:r>
        <w:r w:rsidRPr="00CD43D8">
          <w:rPr>
            <w:rStyle w:val="Hyperlink"/>
            <w:rFonts w:ascii="FrankRuehl" w:hAnsi="FrankRuehl" w:cs="FrankRuehl"/>
            <w:rtl/>
          </w:rPr>
          <w:t>ב</w:t>
        </w:r>
      </w:hyperlink>
      <w:r w:rsidRPr="00CD43D8">
        <w:rPr>
          <w:rStyle w:val="ArialFrankRuehl14"/>
          <w:rFonts w:ascii="FrankRuehl" w:hAnsi="FrankRuehl" w:cs="FrankRuehl"/>
          <w:color w:val="0000FF"/>
          <w:sz w:val="24"/>
          <w:u w:val="single"/>
          <w:rtl/>
        </w:rPr>
        <w:t xml:space="preserve">, </w:t>
      </w:r>
      <w:hyperlink r:id="rId9" w:history="1">
        <w:r w:rsidRPr="00CD43D8">
          <w:rPr>
            <w:rStyle w:val="Hyperlink"/>
            <w:rFonts w:ascii="FrankRuehl" w:hAnsi="FrankRuehl" w:cs="FrankRuehl"/>
          </w:rPr>
          <w:t>40</w:t>
        </w:r>
        <w:r w:rsidRPr="00CD43D8">
          <w:rPr>
            <w:rStyle w:val="Hyperlink"/>
            <w:rFonts w:ascii="FrankRuehl" w:hAnsi="FrankRuehl" w:cs="FrankRuehl"/>
            <w:rtl/>
          </w:rPr>
          <w:t>ג</w:t>
        </w:r>
      </w:hyperlink>
      <w:r w:rsidRPr="00CD43D8">
        <w:rPr>
          <w:rStyle w:val="ArialFrankRuehl14"/>
          <w:rFonts w:ascii="FrankRuehl" w:hAnsi="FrankRuehl" w:cs="FrankRuehl"/>
          <w:color w:val="0000FF"/>
          <w:sz w:val="24"/>
          <w:u w:val="single"/>
          <w:rtl/>
        </w:rPr>
        <w:t xml:space="preserve">, </w:t>
      </w:r>
      <w:hyperlink r:id="rId10" w:history="1">
        <w:r w:rsidRPr="00CD43D8">
          <w:rPr>
            <w:rStyle w:val="Hyperlink"/>
            <w:rFonts w:ascii="FrankRuehl" w:hAnsi="FrankRuehl" w:cs="FrankRuehl"/>
          </w:rPr>
          <w:t>144</w:t>
        </w:r>
      </w:hyperlink>
      <w:r w:rsidRPr="00CD43D8">
        <w:rPr>
          <w:rStyle w:val="ArialFrankRuehl14"/>
          <w:rFonts w:ascii="FrankRuehl" w:hAnsi="FrankRuehl" w:cs="FrankRuehl"/>
          <w:color w:val="0000FF"/>
          <w:sz w:val="24"/>
          <w:rtl/>
        </w:rPr>
        <w:t>(ב2)</w:t>
      </w:r>
    </w:p>
    <w:p w:rsidR="008942F9" w:rsidRPr="00CD43D8" w:rsidRDefault="008942F9" w:rsidP="00CD43D8">
      <w:pPr>
        <w:spacing w:line="360" w:lineRule="auto"/>
        <w:jc w:val="both"/>
        <w:rPr>
          <w:rStyle w:val="ArialFrankRuehl14"/>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942F9" w:rsidTr="008942F9">
        <w:trPr>
          <w:trHeight w:val="355"/>
          <w:jc w:val="center"/>
        </w:trPr>
        <w:tc>
          <w:tcPr>
            <w:tcW w:w="8820" w:type="dxa"/>
            <w:tcBorders>
              <w:top w:val="nil"/>
              <w:left w:val="nil"/>
              <w:bottom w:val="nil"/>
              <w:right w:val="nil"/>
            </w:tcBorders>
            <w:shd w:val="clear" w:color="auto" w:fill="auto"/>
          </w:tcPr>
          <w:p w:rsidR="007D3F58" w:rsidRPr="007D3F58" w:rsidRDefault="007D3F58" w:rsidP="007D3F58">
            <w:pPr>
              <w:jc w:val="center"/>
              <w:rPr>
                <w:rFonts w:ascii="Arial" w:hAnsi="Arial"/>
                <w:b/>
                <w:bCs/>
                <w:sz w:val="32"/>
                <w:szCs w:val="32"/>
                <w:u w:val="single"/>
                <w:rtl/>
              </w:rPr>
            </w:pPr>
            <w:bookmarkStart w:id="4" w:name="PsakDin" w:colFirst="0" w:colLast="0"/>
            <w:bookmarkEnd w:id="0"/>
            <w:r w:rsidRPr="007D3F58">
              <w:rPr>
                <w:rFonts w:ascii="Arial" w:hAnsi="Arial"/>
                <w:b/>
                <w:bCs/>
                <w:sz w:val="32"/>
                <w:szCs w:val="32"/>
                <w:u w:val="single"/>
                <w:rtl/>
              </w:rPr>
              <w:t>גזר דין</w:t>
            </w:r>
          </w:p>
          <w:p w:rsidR="008942F9" w:rsidRPr="007D3F58" w:rsidRDefault="008942F9" w:rsidP="007D3F58">
            <w:pPr>
              <w:jc w:val="center"/>
              <w:rPr>
                <w:rFonts w:ascii="Arial" w:hAnsi="Arial"/>
                <w:bCs/>
                <w:sz w:val="32"/>
                <w:szCs w:val="32"/>
                <w:u w:val="single"/>
                <w:rtl/>
              </w:rPr>
            </w:pPr>
          </w:p>
        </w:tc>
      </w:tr>
      <w:bookmarkEnd w:id="4"/>
    </w:tbl>
    <w:p w:rsidR="008942F9" w:rsidRPr="00A65C7C" w:rsidRDefault="008942F9" w:rsidP="008942F9">
      <w:pPr>
        <w:spacing w:line="360" w:lineRule="auto"/>
        <w:jc w:val="both"/>
        <w:rPr>
          <w:rStyle w:val="ArialFrankRuehl14"/>
          <w:rtl/>
        </w:rPr>
      </w:pPr>
    </w:p>
    <w:p w:rsidR="008942F9" w:rsidRPr="001E3304" w:rsidRDefault="008942F9" w:rsidP="008942F9">
      <w:pPr>
        <w:spacing w:line="360" w:lineRule="auto"/>
        <w:jc w:val="both"/>
        <w:rPr>
          <w:rFonts w:ascii="Arial" w:hAnsi="Arial"/>
          <w:b/>
          <w:bCs/>
          <w:sz w:val="28"/>
          <w:u w:val="single"/>
          <w:rtl/>
        </w:rPr>
      </w:pPr>
      <w:r w:rsidRPr="001E3304">
        <w:rPr>
          <w:rFonts w:ascii="Arial" w:hAnsi="Arial"/>
          <w:b/>
          <w:bCs/>
          <w:sz w:val="28"/>
          <w:u w:val="single"/>
          <w:rtl/>
        </w:rPr>
        <w:t>כתב האישום</w:t>
      </w:r>
    </w:p>
    <w:p w:rsidR="008942F9" w:rsidRPr="001E3304" w:rsidRDefault="008942F9" w:rsidP="008942F9">
      <w:pPr>
        <w:spacing w:line="360" w:lineRule="auto"/>
        <w:jc w:val="both"/>
        <w:rPr>
          <w:rFonts w:ascii="Arial" w:hAnsi="Arial"/>
          <w:sz w:val="28"/>
          <w:rtl/>
        </w:rPr>
      </w:pP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1.  </w:t>
      </w:r>
      <w:r w:rsidRPr="001E3304">
        <w:rPr>
          <w:rFonts w:ascii="Arial" w:hAnsi="Arial"/>
          <w:sz w:val="28"/>
          <w:rtl/>
        </w:rPr>
        <w:tab/>
      </w:r>
      <w:bookmarkStart w:id="5" w:name="ABSTRACT_START"/>
      <w:bookmarkEnd w:id="5"/>
      <w:r w:rsidRPr="001E3304">
        <w:rPr>
          <w:rFonts w:ascii="Arial" w:hAnsi="Arial"/>
          <w:sz w:val="28"/>
          <w:rtl/>
        </w:rPr>
        <w:t xml:space="preserve">הנאשם הורשע, על פי הודאתו במסגרת הסדר טיעון, בעבירות של ניסיון לסחר בנשק, לפי </w:t>
      </w:r>
      <w:hyperlink r:id="rId11" w:history="1">
        <w:r w:rsidR="00CD43D8" w:rsidRPr="00CD43D8">
          <w:rPr>
            <w:rStyle w:val="Hyperlink"/>
            <w:rFonts w:ascii="Arial" w:hAnsi="Arial"/>
            <w:color w:val="0000FF"/>
            <w:sz w:val="28"/>
            <w:rtl/>
          </w:rPr>
          <w:t>סעיף 144(ב2)</w:t>
        </w:r>
      </w:hyperlink>
      <w:r w:rsidRPr="001E3304">
        <w:rPr>
          <w:rFonts w:ascii="Arial" w:hAnsi="Arial"/>
          <w:sz w:val="28"/>
          <w:rtl/>
        </w:rPr>
        <w:t xml:space="preserve"> בצירוף </w:t>
      </w:r>
      <w:hyperlink r:id="rId12" w:history="1">
        <w:r w:rsidR="00CD43D8" w:rsidRPr="00CD43D8">
          <w:rPr>
            <w:rStyle w:val="Hyperlink"/>
            <w:rFonts w:ascii="Arial" w:hAnsi="Arial"/>
            <w:color w:val="0000FF"/>
            <w:sz w:val="28"/>
            <w:rtl/>
          </w:rPr>
          <w:t>סעיף 25</w:t>
        </w:r>
      </w:hyperlink>
      <w:r w:rsidRPr="001E3304">
        <w:rPr>
          <w:rFonts w:ascii="Arial" w:hAnsi="Arial"/>
          <w:sz w:val="28"/>
          <w:rtl/>
        </w:rPr>
        <w:t xml:space="preserve"> ל</w:t>
      </w:r>
      <w:hyperlink r:id="rId13" w:history="1">
        <w:r w:rsidR="007D3F58" w:rsidRPr="007D3F58">
          <w:rPr>
            <w:rFonts w:ascii="Arial" w:hAnsi="Arial"/>
            <w:color w:val="0000FF"/>
            <w:sz w:val="28"/>
            <w:u w:val="single"/>
            <w:rtl/>
          </w:rPr>
          <w:t>חוק העונשין</w:t>
        </w:r>
      </w:hyperlink>
      <w:r w:rsidRPr="001E3304">
        <w:rPr>
          <w:rFonts w:ascii="Arial" w:hAnsi="Arial"/>
          <w:sz w:val="28"/>
          <w:rtl/>
        </w:rPr>
        <w:t xml:space="preserve"> תשל"ז-1977 (להלן: "החוק"); ובעבירה של סחר בנשק, לפי </w:t>
      </w:r>
      <w:hyperlink r:id="rId14" w:history="1">
        <w:r w:rsidR="00CD43D8" w:rsidRPr="00CD43D8">
          <w:rPr>
            <w:rStyle w:val="Hyperlink"/>
            <w:rFonts w:ascii="Arial" w:hAnsi="Arial"/>
            <w:color w:val="0000FF"/>
            <w:sz w:val="28"/>
            <w:rtl/>
          </w:rPr>
          <w:t>סעיף 144(ב2)</w:t>
        </w:r>
      </w:hyperlink>
      <w:r w:rsidRPr="001E3304">
        <w:rPr>
          <w:rFonts w:ascii="Arial" w:hAnsi="Arial"/>
          <w:sz w:val="28"/>
          <w:rtl/>
        </w:rPr>
        <w:t xml:space="preserve"> לחוק. </w:t>
      </w:r>
    </w:p>
    <w:p w:rsidR="008942F9" w:rsidRPr="001E3304" w:rsidRDefault="008942F9" w:rsidP="008942F9">
      <w:pPr>
        <w:spacing w:line="360" w:lineRule="auto"/>
        <w:jc w:val="both"/>
        <w:rPr>
          <w:rFonts w:ascii="Arial" w:hAnsi="Arial"/>
          <w:sz w:val="28"/>
          <w:rtl/>
        </w:rPr>
      </w:pPr>
      <w:bookmarkStart w:id="6" w:name="ABSTRACT_END"/>
      <w:bookmarkEnd w:id="6"/>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2. </w:t>
      </w:r>
      <w:r w:rsidRPr="001E3304">
        <w:rPr>
          <w:rFonts w:ascii="Arial" w:hAnsi="Arial"/>
          <w:sz w:val="28"/>
          <w:rtl/>
        </w:rPr>
        <w:tab/>
        <w:t xml:space="preserve">על פי עובדות כתב האישום המתוקן בהסדר, ביצע הנאשם עסקה בה מכר נשק, ועסקה של ניסיון למכירת נשק, מול לוחם מספר 188 המכונה "עלי", שהנו שוטר אשר במועדים הרלוונטיים לכתב האישום שימש כ"סוכן" מטעם משטרת ישראל. </w:t>
      </w: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ביום 10.2.2019 שוחחו הנאשם והסוכן על עסקה למכירת נשק. </w:t>
      </w: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ביום 14.2.2019 התקשר הנאשם אל הסוכן והציע למכור לו נשק מסוג תת מקלע מאולתר המכונה "קרלו". הסוכן אמר לנאשם כי הוא מעוניין באקדח, אך בשיחה נוספת באותו יום, נעתר הסוכן להצעת הנאשם, והשניים סיכמו להיפגש בשבוע הבא לצורך רכישת הקרלו. הסוכן ביקש מהנאשם "לדאוג לו" למחיר עבור הקרלו, וכן הזכיר לנאשם בנוגע לרכישת אקדח. </w:t>
      </w: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ביום 17.2.2019 התקשר הסוכן לנאשם. במהלך השיחה שאל הנאשם את הסוכן מתי יגיע אליו לשם רכישת הקרלו, והסוכן השיב לו כי יגיע אליו למחרת בערב. במהלך שיחות נוספות באותו יום, הודיע הנאשם לסוכן כי עלות הקרלו, בתוספת 1,100 כדורים מסוג </w:t>
      </w:r>
      <w:r w:rsidRPr="001E3304">
        <w:rPr>
          <w:rFonts w:ascii="Arial" w:hAnsi="Arial"/>
          <w:sz w:val="28"/>
        </w:rPr>
        <w:t>M</w:t>
      </w:r>
      <w:r w:rsidRPr="001E3304">
        <w:rPr>
          <w:rFonts w:ascii="Arial" w:hAnsi="Arial"/>
          <w:sz w:val="28"/>
          <w:rtl/>
        </w:rPr>
        <w:t xml:space="preserve">16, הינה 17,000 ₪ (להלן: "העסקה"). </w:t>
      </w:r>
    </w:p>
    <w:p w:rsidR="008942F9" w:rsidRDefault="008942F9" w:rsidP="008942F9">
      <w:pPr>
        <w:spacing w:line="360" w:lineRule="auto"/>
        <w:jc w:val="both"/>
        <w:rPr>
          <w:rFonts w:ascii="Arial" w:hAnsi="Arial"/>
          <w:sz w:val="28"/>
          <w:rtl/>
        </w:rPr>
      </w:pPr>
      <w:r w:rsidRPr="001E3304">
        <w:rPr>
          <w:rFonts w:ascii="Arial" w:hAnsi="Arial"/>
          <w:sz w:val="28"/>
          <w:rtl/>
        </w:rPr>
        <w:t xml:space="preserve">ביום 18.2.2019, בהמשך לשיחות התיאום, נסע הסוכן למקום אליו כיוון אותו הנאשם בא-ראם. כאשר הגיעו למקום, התקרב הנאשם לרכב בו נסע הסוכן, כשבאמתחתו ארגז מלא בתחמושת מסוג </w:t>
      </w:r>
      <w:r w:rsidRPr="001E3304">
        <w:rPr>
          <w:rFonts w:ascii="Arial" w:hAnsi="Arial"/>
          <w:sz w:val="28"/>
        </w:rPr>
        <w:lastRenderedPageBreak/>
        <w:t>M</w:t>
      </w:r>
      <w:r w:rsidRPr="001E3304">
        <w:rPr>
          <w:rFonts w:ascii="Arial" w:hAnsi="Arial"/>
          <w:sz w:val="28"/>
          <w:rtl/>
        </w:rPr>
        <w:t xml:space="preserve">16 (להלן: "הארגז"). הנאשם ניגש לסוכן, הניח את הארגז על רצפת הרכב בו ישב הסוכן, בצמוד לרגליו של הסוכן אשר בדק את תכולתו. בשלב זה הודיע הנאשם לסוכן כי ישנו עיכוב בהבאת הקרלו, והנשק יובא בתוך מספר דקות. בתגובה החזיר הסוכן לנאשם את הארגז, ואמר לו כי כשיגיע הקרלו, יחזור לקחת אותו יחד עם הארגז. הסוכן ביקש לעדכן אותו מתי להגיע ואמר כי הוא יהיה בקרבת מקום. </w:t>
      </w:r>
    </w:p>
    <w:p w:rsidR="008942F9" w:rsidRPr="001E3304" w:rsidRDefault="008942F9" w:rsidP="008942F9">
      <w:pPr>
        <w:spacing w:line="360" w:lineRule="auto"/>
        <w:jc w:val="both"/>
        <w:rPr>
          <w:rFonts w:ascii="Arial" w:hAnsi="Arial"/>
          <w:sz w:val="28"/>
          <w:rtl/>
        </w:rPr>
      </w:pP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בהמשך למתואר, שוחח הנאשם עם אחר, שזהותו אינה ידועה למאשימה (להלן: "האחר"), במטרה לברר היכן הנשק שבכוונתו למכור לסוכן ובניסיון לזרז את הגעתו למקום. האחר הודיע לנאשם כי הוא מתעכב וכי הנשק שניסה הנאשם למכור לסוכן "מקולקל". הנאשם ביקש מהאחר להביא לו את הנשק "המקולקל" בכל זאת. </w:t>
      </w: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בהמשך למתואר, בשעה 19:21, התקשר הנאשם לסוכן והודיע לו כי עליו לדחות את ביצוע העסקה בכל הנוגע לנשק. הנאשם אמר לסוכן כי הקרלו שהתכוון למכור לו "מקולקל" וביקש ממנו לחזור להשלים את רכישת ארגז התחמושת, אך הסוכן סירב לרכוש את הארגז ללא הקרלו. </w:t>
      </w: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במהלך הימים 26.2.2019 עד 3.3.2019 ובסמוך לכך, שוחחו הנאשם והסוכן במספר הזדמנויות במטרה לקדם עסקה בנשק. </w:t>
      </w: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מספר ימים עובר לתאריך 18.3.2019, שוחחו הנאשם והסוכן על אפשרות רכישת אקדח ונשק מסוג "קרלו". </w:t>
      </w: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בשיחה ביום 3.3.2019 הודיע הנאשם לסוכן כי השיג עבורו אקדח והסוכן סיכם עם הנאשם שיהיה איתו בקשר. בשיחה ביום 13.3.2019 מסר הנאשם לסוכן כי עלות האקדח הינה 18,000 ₪, והסוכן אמר לו כי ישקול את ההצעה. </w:t>
      </w: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ביום 17.3.2019 הודיע הנאשם לסוכן כי האקדח עליו שוחחו כבר נמכר, והציע למכור לסוכן נשק מסוג קרלו וכדורים תואמים תמורת 18,000 ₪. במהלך השיחה תיאמו השניים להיפגש למחרת לשם ביצוע העיסקה, והנאשם הבטיח לסוכן להשיג עבורו בהמשך אקדח, באומרו כי עד לחודש הרמדאן הסוכן "יצא עם אחד שלא היה לאף אחד לפניו". </w:t>
      </w: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למחרת, ביום 18.3.2019, לאחר שיחות תיאום בין השניים, נסע הסוכן למקום אליו כיוון אותו הנאשם בא-ראם. בהגיעו למקום, התקרב הנאשם לרכב בו נסע הסוכן והניח על רצפת הרכב, בין רגליו של הסוכן, שקית ובה נשק מסוג קרלו שבכוחו להמית אדם, וכן מחסנית תואמת. הסוכן בדק את תקינות הנשק. בהמשך מסר הנאשם לסוכן שקית נוספת שבתוכה 900 כדורי 5.56 מ"מ, כל זאת תמורת 19,000 ₪ במזומן, אשר העביר הסוכן לידי הנאשם. </w:t>
      </w:r>
    </w:p>
    <w:p w:rsidR="008942F9" w:rsidRDefault="008942F9" w:rsidP="008942F9">
      <w:pPr>
        <w:spacing w:line="360" w:lineRule="auto"/>
        <w:jc w:val="both"/>
        <w:rPr>
          <w:rFonts w:ascii="Arial" w:hAnsi="Arial"/>
          <w:sz w:val="28"/>
          <w:rtl/>
        </w:rPr>
      </w:pPr>
      <w:r w:rsidRPr="001E3304">
        <w:rPr>
          <w:rFonts w:ascii="Arial" w:hAnsi="Arial"/>
          <w:sz w:val="28"/>
          <w:rtl/>
        </w:rPr>
        <w:t xml:space="preserve">בסיום הפגישה שאל הנאשם את הסוכן אם הוא מעוניין לרכוש נשק נוסף. הסוכן השיב כי הוא מעוניין לרכוש אקדח, והנאשם אמר לו כי בפעם הבאה "יסדר" עבורו אקדח ותחמושת תואמת. </w:t>
      </w:r>
    </w:p>
    <w:p w:rsidR="008942F9" w:rsidRDefault="008942F9" w:rsidP="008942F9">
      <w:pPr>
        <w:spacing w:line="360" w:lineRule="auto"/>
        <w:jc w:val="both"/>
        <w:rPr>
          <w:rFonts w:ascii="Arial" w:hAnsi="Arial"/>
          <w:sz w:val="28"/>
          <w:rtl/>
        </w:rPr>
      </w:pPr>
    </w:p>
    <w:p w:rsidR="008942F9" w:rsidRPr="001E3304" w:rsidRDefault="008942F9" w:rsidP="008942F9">
      <w:pPr>
        <w:spacing w:line="360" w:lineRule="auto"/>
        <w:jc w:val="both"/>
        <w:rPr>
          <w:rFonts w:ascii="Arial" w:hAnsi="Arial"/>
          <w:sz w:val="28"/>
          <w:rtl/>
        </w:rPr>
      </w:pPr>
      <w:r>
        <w:rPr>
          <w:rFonts w:ascii="Arial" w:hAnsi="Arial" w:hint="cs"/>
          <w:sz w:val="28"/>
          <w:rtl/>
        </w:rPr>
        <w:t xml:space="preserve">3. </w:t>
      </w:r>
      <w:r>
        <w:rPr>
          <w:rFonts w:ascii="Arial" w:hAnsi="Arial" w:hint="cs"/>
          <w:sz w:val="28"/>
          <w:rtl/>
        </w:rPr>
        <w:tab/>
        <w:t xml:space="preserve">הסדר הטיעון לא כלל הסכמה לעניין העונש, אך במועד הטיעונים לעונש, הודיעו הצדדים כי מוסכם עליהם שעונשו של הנאשם ייגזר בתחתית מתחם העונש ההולם, שייקבע על ידי בית המשפט. </w:t>
      </w:r>
    </w:p>
    <w:p w:rsidR="008942F9" w:rsidRPr="001E3304" w:rsidRDefault="008942F9" w:rsidP="008942F9">
      <w:pPr>
        <w:spacing w:line="360" w:lineRule="auto"/>
        <w:jc w:val="both"/>
        <w:rPr>
          <w:rFonts w:ascii="Arial" w:hAnsi="Arial"/>
          <w:sz w:val="28"/>
          <w:rtl/>
        </w:rPr>
      </w:pPr>
    </w:p>
    <w:p w:rsidR="008942F9" w:rsidRPr="001E3304" w:rsidRDefault="008942F9" w:rsidP="008942F9">
      <w:pPr>
        <w:spacing w:line="360" w:lineRule="auto"/>
        <w:jc w:val="both"/>
        <w:rPr>
          <w:rFonts w:ascii="Arial" w:hAnsi="Arial"/>
          <w:b/>
          <w:bCs/>
          <w:sz w:val="28"/>
          <w:u w:val="single"/>
          <w:rtl/>
        </w:rPr>
      </w:pPr>
      <w:r w:rsidRPr="001E3304">
        <w:rPr>
          <w:rFonts w:ascii="Arial" w:hAnsi="Arial"/>
          <w:b/>
          <w:bCs/>
          <w:sz w:val="28"/>
          <w:u w:val="single"/>
          <w:rtl/>
        </w:rPr>
        <w:t>תסקיר שירות המבחן</w:t>
      </w:r>
    </w:p>
    <w:p w:rsidR="008942F9" w:rsidRPr="001E3304" w:rsidRDefault="008942F9" w:rsidP="008942F9">
      <w:pPr>
        <w:spacing w:line="360" w:lineRule="auto"/>
        <w:jc w:val="both"/>
        <w:rPr>
          <w:rFonts w:ascii="Arial" w:hAnsi="Arial"/>
          <w:sz w:val="28"/>
          <w:rtl/>
        </w:rPr>
      </w:pPr>
    </w:p>
    <w:p w:rsidR="008942F9" w:rsidRPr="001E3304" w:rsidRDefault="008942F9" w:rsidP="008942F9">
      <w:pPr>
        <w:spacing w:line="360" w:lineRule="auto"/>
        <w:jc w:val="both"/>
        <w:rPr>
          <w:rFonts w:ascii="Arial" w:hAnsi="Arial"/>
          <w:sz w:val="28"/>
          <w:rtl/>
        </w:rPr>
      </w:pPr>
      <w:r>
        <w:rPr>
          <w:rFonts w:ascii="Arial" w:hAnsi="Arial" w:hint="cs"/>
          <w:sz w:val="28"/>
          <w:rtl/>
        </w:rPr>
        <w:lastRenderedPageBreak/>
        <w:t>4</w:t>
      </w:r>
      <w:r w:rsidRPr="001E3304">
        <w:rPr>
          <w:rFonts w:ascii="Arial" w:hAnsi="Arial"/>
          <w:sz w:val="28"/>
          <w:rtl/>
        </w:rPr>
        <w:t xml:space="preserve">. </w:t>
      </w:r>
      <w:r w:rsidRPr="001E3304">
        <w:rPr>
          <w:rFonts w:ascii="Arial" w:hAnsi="Arial"/>
          <w:sz w:val="28"/>
          <w:rtl/>
        </w:rPr>
        <w:tab/>
        <w:t xml:space="preserve">על פי האמור בתסקיר מיום 30.12.2019, הנאשם בן 40, נשוי ואב לשלושה ילדים. טרם מעצרו התגורר בכפר עקב ועבד באופן לא קבוע בשיפוצים. </w:t>
      </w: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בתסקיר התייחסות למשפחת המוצא של הנאשם. לגבי הנאשם צוין כי עזב את הלימודים בהיותו בכיתה ו', וכי אינו יודע קרוא וכתוב. בהמשך השתלב הנאשם במסגרת העבודה. הנאשם התמודד לאורך השנים עם קשיים כלכליים. כיום מתקשה אשתו לכלכל את המשפחה ויש מחסור בדברים בסיסיים בבית, מאחר שהנאשם עצור ואשתו איננה עובדת מחוץ לבית. </w:t>
      </w: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הנאשם שיתף כי חווה משבר כאשר לפני חמש שנים נהרג בנו בתאונת דרכים. </w:t>
      </w: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שירות המבחן התרשם כי הנאשם חווה משבר, בהיותו במעצר לראשונה בחייו, רחוק מביתו, ובחוסר וודאות לגבי עתידו מבחינה משפטית. </w:t>
      </w: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הנאשם נעדר עבר פלילי. לגבי העבירות, הנאשם טען לפני שירות המבחן כי מצא את הנשק ברחוב, לקח אותו לביתו ולאחר מכן החליט למכור אותו, כדי לא לסכן את משפחתו. הנאשם טשטש את מעשיו ומזער את חומרתם, הוא שלל כל כוונה לקבלת רווח כספי מהעסקה המתוארת בכתב האישום, ושלל מניעים עברייניים או תכנון מוקדם. שירות המבחן התרשם כי הנאשם מתקשה להציב גבולות לעצמו ונוטה לפעול גם בדרכים בעלות מאפיינים עברייניים. התנהלותו משקפת קושי לפעול בתוך גבולות ברורים. הנאשם לוקח אחריות חלקית בלבד על מעשיו. מנגד, שירות המבחן התרשם כי אין לנאשם דפוסים עברייניים מושרשים והוא מגלה אחריות ומסירות למשפחתו. </w:t>
      </w: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בשל אופי העבירה והשלכותיה האפשריות, ומאחר שהנאשם אינו לוקח אחריות מלאה למעשיו, לא בא שירות המבחן בהמלצה בעניינו. </w:t>
      </w:r>
    </w:p>
    <w:p w:rsidR="008942F9" w:rsidRPr="001E3304" w:rsidRDefault="008942F9" w:rsidP="008942F9">
      <w:pPr>
        <w:spacing w:line="360" w:lineRule="auto"/>
        <w:jc w:val="both"/>
        <w:rPr>
          <w:rFonts w:ascii="Arial" w:hAnsi="Arial"/>
          <w:sz w:val="28"/>
          <w:rtl/>
        </w:rPr>
      </w:pPr>
    </w:p>
    <w:p w:rsidR="008942F9" w:rsidRPr="001E3304" w:rsidRDefault="008942F9" w:rsidP="008942F9">
      <w:pPr>
        <w:spacing w:line="360" w:lineRule="auto"/>
        <w:jc w:val="both"/>
        <w:rPr>
          <w:rFonts w:ascii="Arial" w:hAnsi="Arial"/>
          <w:b/>
          <w:bCs/>
          <w:sz w:val="28"/>
          <w:rtl/>
        </w:rPr>
      </w:pPr>
      <w:r w:rsidRPr="001E3304">
        <w:rPr>
          <w:rFonts w:ascii="Arial" w:hAnsi="Arial"/>
          <w:b/>
          <w:bCs/>
          <w:sz w:val="28"/>
          <w:u w:val="single"/>
          <w:rtl/>
        </w:rPr>
        <w:t>טיעוני הצדדים לעונש</w:t>
      </w:r>
    </w:p>
    <w:p w:rsidR="008942F9" w:rsidRPr="001E3304" w:rsidRDefault="008942F9" w:rsidP="008942F9">
      <w:pPr>
        <w:spacing w:line="360" w:lineRule="auto"/>
        <w:jc w:val="both"/>
        <w:rPr>
          <w:rFonts w:ascii="Arial" w:hAnsi="Arial"/>
          <w:sz w:val="28"/>
          <w:rtl/>
        </w:rPr>
      </w:pPr>
    </w:p>
    <w:p w:rsidR="008942F9" w:rsidRPr="001E3304" w:rsidRDefault="008942F9" w:rsidP="008942F9">
      <w:pPr>
        <w:spacing w:line="360" w:lineRule="auto"/>
        <w:jc w:val="both"/>
        <w:rPr>
          <w:rFonts w:ascii="Arial" w:hAnsi="Arial"/>
          <w:sz w:val="28"/>
          <w:rtl/>
        </w:rPr>
      </w:pPr>
      <w:r>
        <w:rPr>
          <w:rFonts w:ascii="Arial" w:hAnsi="Arial" w:hint="cs"/>
          <w:sz w:val="28"/>
          <w:rtl/>
        </w:rPr>
        <w:t>5</w:t>
      </w:r>
      <w:r w:rsidRPr="001E3304">
        <w:rPr>
          <w:rFonts w:ascii="Arial" w:hAnsi="Arial"/>
          <w:sz w:val="28"/>
          <w:rtl/>
        </w:rPr>
        <w:t xml:space="preserve">.  </w:t>
      </w:r>
      <w:r>
        <w:rPr>
          <w:rFonts w:ascii="Arial" w:hAnsi="Arial"/>
          <w:sz w:val="28"/>
          <w:rtl/>
        </w:rPr>
        <w:tab/>
      </w:r>
      <w:r w:rsidRPr="001E3304">
        <w:rPr>
          <w:rFonts w:ascii="Arial" w:hAnsi="Arial"/>
          <w:sz w:val="28"/>
          <w:rtl/>
        </w:rPr>
        <w:t xml:space="preserve">ב"כ המאשימה התייחסה בטיעוניה לעבירות בהן הורשע הנאשם, סחר בנשק מסוג קרלו ותחמושת מתאימה, וניסיון לסחר בנשק. לדבריה, מדובר בכמות גדולה של תחמושת. </w:t>
      </w: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לגבי הערכים המוגנים טענה כי מדובר בהגנה על בטחון הציבור ושמירה על שלמות הגוף. </w:t>
      </w: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לדברי ב"כ המאשימה, בית המשפט העליון התייחס לחומרה שבעבירות הקשורות בנשק, ולכך שכאשר נשק מגיב לידיים לא מורשות, לא ניתן לדעת מה יהיה בסופו. במקרה זה לא מדובר רק בהחזקת נשק אלא בסחר בנשק, כאשר הנאשם לא ידע מי הקונה. לדבריה "במזל" היה זה סוכן משטרתי, אך באותה מידה יכול היה הנשק להימכר לגורמים עברייניים או טרוריסטים. </w:t>
      </w: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לגבי נסיבות ביצוע העבירה, ציינה כי לא מדובר באירוע ספונטני אלא במעשה מתוכנן; בקשר מתמשך בין הנאשם לסוכן; בתכנון מדוקדק של פרטי מכירת הנשק. </w:t>
      </w: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חלקו של הנאשם בעבירה מרכזי – הוא העבריין המרכזי, הוא יזם את העסקאות עם הסוכן, הוא הציע לסוכן כלי נשק נוספים, והוא זה שהעביר את הנשק וקיבל תמורה כספית עבורו. לדבריה, מעובדות כתב האישום ניתן ללמוד שלנאשם הייתה גישה לכלי נשק נוספים ומסוגים שונים, כמו גם תחמושת, אותם הציע לסוכן, ומכאן שלא מדובר במעשה חד פעמי. </w:t>
      </w: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לסחר בנשק נוספה העבירה של ניסיון לסחר בנשק, ניסיון שהגיע כמעט לכדי מימוש. מדובר בניסיון למכור נשק מסוג קרלו וארגז תחמושת. </w:t>
      </w: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לטענת ב"כ המאשימה, מתחם העונש ההולם לשני האישומים נע בין ארבע לשמונה שנות מאסר בפועל, בנוסף למאסר על תנאי וקנס. </w:t>
      </w: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לגבי העונש בתוך המתחם, התייחסה לאמור בתסקיר שירות המבחן, אשר לא בא בהמלצה. לזכותו של הנאשם ציינה את הודאתו, את החיסכון בזמן שיפוטי, והעדר הרשעות קודמות. לפיכך ביקשה למקם את הנאשם בתחתית המתחם, ולגזור עליו מאסר בפועל למשך ארבע שנים, מאסר על תנאי וקנס. </w:t>
      </w:r>
    </w:p>
    <w:p w:rsidR="008942F9" w:rsidRPr="001E3304" w:rsidRDefault="008942F9" w:rsidP="008942F9">
      <w:pPr>
        <w:spacing w:line="360" w:lineRule="auto"/>
        <w:jc w:val="both"/>
        <w:rPr>
          <w:rFonts w:ascii="Arial" w:hAnsi="Arial"/>
          <w:sz w:val="28"/>
          <w:rtl/>
        </w:rPr>
      </w:pPr>
    </w:p>
    <w:p w:rsidR="008942F9" w:rsidRPr="001E3304" w:rsidRDefault="008942F9" w:rsidP="008942F9">
      <w:pPr>
        <w:spacing w:line="360" w:lineRule="auto"/>
        <w:jc w:val="both"/>
        <w:rPr>
          <w:rFonts w:ascii="Arial" w:hAnsi="Arial"/>
          <w:sz w:val="28"/>
          <w:rtl/>
        </w:rPr>
      </w:pPr>
      <w:r>
        <w:rPr>
          <w:rFonts w:ascii="Arial" w:hAnsi="Arial" w:hint="cs"/>
          <w:sz w:val="28"/>
          <w:rtl/>
        </w:rPr>
        <w:t>6</w:t>
      </w:r>
      <w:r w:rsidRPr="001E3304">
        <w:rPr>
          <w:rFonts w:ascii="Arial" w:hAnsi="Arial"/>
          <w:sz w:val="28"/>
          <w:rtl/>
        </w:rPr>
        <w:t xml:space="preserve">. </w:t>
      </w:r>
      <w:r w:rsidRPr="001E3304">
        <w:rPr>
          <w:rFonts w:ascii="Arial" w:hAnsi="Arial"/>
          <w:sz w:val="28"/>
          <w:rtl/>
        </w:rPr>
        <w:tab/>
        <w:t xml:space="preserve">ב"כ הנאשם התייחס בטיעוניו להודאתו של הנאשם. כן ציין לגבי מעשיו של הנאשם, כי מדובר במעשים שנעשו על פני תקופה של חודש ימים, מול אותו סוכן, וכי הייתה המשכיות בביצוע המעשים, אותם ניתן לראות כאירוע אחד גדול שנחלק לשניים. לדבריו, העיסקה נועדה למכור לסוכן נשק מסוג קרלו. חלקה הראשון של העסקה לא יצא אל הפועל, כאשר האדם האחר, שאמור היה להביא את הנשק, לא הגיע, ולאחר זמן מה הצליח הנאשם להשיג קרלו ותחמושת עבור הסוכן. </w:t>
      </w: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לטענת ב"כ הנאשם, נסיבות ביצוע העבירה פועלות לטובתו של הנאשם. לדבריו, בסופו של דבר לא נגרם נזק כתוצאה ממעשיו של הנאשם. הנשק נמכר לסוכן שהוא זה שמלכתחילה פנה אל הנאשם. אמנם הנאשם פעל לבדו מול הסוכן ולא היו מעורבים נוספים, אך הנאשם היה בקשר עם אדם אחר להשגת הקרלו, ולאחר שנמסר לו שהקרלו מקולקל, העסקה לא יצאה אל הפועל. לנאשם אין מאגר נשק אותו הוא מוכר, הוא פועל באמצעות אחרים, תמורת רווח כספי מסוים. לכל אחד ב"שרשרת" תרומה משלו. במקרה זה לא מדובר בסוחר שברשותו ארסנל נשק. </w:t>
      </w: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לגבי הערכים המוגנים, טען כי הללו ידועים, וכפי שטענה המאשימה, ישנה מגמה של החמרה בענישה בעבירות הקשורות בנשק. אולם לפני העלאת רף הענישה, הייתה הענישה נמוכה בהרבה. </w:t>
      </w: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ב"כ הנאשם טען כי הפסיקה שהגישה המאשימה איננה תומכת בעמדת המאשימה, והפנה לפסיקה נוספת. לטענת ב"כ הנאשם, בהתאם לפסיקה הנוהגת, יש להעמיד את מתחם העונש ההולם על מאסר בפועל  לתקופה שבין שנתיים לארבע/חמש שנים או לכל היותר בין 30 ל- 70 חודשי מאסר בפועל. </w:t>
      </w: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לגבי העונש בתוך המתחם, טען ב"כ הנאשם כי אין מחלוקת על כך שיש למקם את הנאשם בתחתית המתחם. לדבריו לעונש השפעה על אשתו וילדיו של הנאשם. הנאשם נקלע למצב כלכלי קשה ועשה טעות שיצטרך לתת עליה את הדין. ב"כ הנאשם ביקש לנהוג בנאשם במידת הרחמים, כך שהעונש יבהיר לו את חומרת העבירה, אך לא יפגע בו ובמשפחתו יתר על המידה. </w:t>
      </w:r>
    </w:p>
    <w:p w:rsidR="008942F9" w:rsidRPr="001E3304" w:rsidRDefault="008942F9" w:rsidP="008942F9">
      <w:pPr>
        <w:spacing w:line="360" w:lineRule="auto"/>
        <w:jc w:val="both"/>
        <w:rPr>
          <w:rFonts w:ascii="Arial" w:hAnsi="Arial"/>
          <w:sz w:val="28"/>
          <w:rtl/>
        </w:rPr>
      </w:pPr>
    </w:p>
    <w:p w:rsidR="008942F9" w:rsidRPr="001E3304" w:rsidRDefault="008942F9" w:rsidP="008942F9">
      <w:pPr>
        <w:spacing w:line="360" w:lineRule="auto"/>
        <w:jc w:val="both"/>
        <w:rPr>
          <w:rFonts w:ascii="Arial" w:hAnsi="Arial"/>
          <w:sz w:val="28"/>
          <w:rtl/>
        </w:rPr>
      </w:pPr>
      <w:r>
        <w:rPr>
          <w:rFonts w:ascii="Arial" w:hAnsi="Arial" w:hint="cs"/>
          <w:sz w:val="28"/>
          <w:rtl/>
        </w:rPr>
        <w:t>7</w:t>
      </w:r>
      <w:r w:rsidRPr="001E3304">
        <w:rPr>
          <w:rFonts w:ascii="Arial" w:hAnsi="Arial"/>
          <w:sz w:val="28"/>
          <w:rtl/>
        </w:rPr>
        <w:t xml:space="preserve">. </w:t>
      </w:r>
      <w:r w:rsidRPr="001E3304">
        <w:rPr>
          <w:rFonts w:ascii="Arial" w:hAnsi="Arial"/>
          <w:sz w:val="28"/>
          <w:rtl/>
        </w:rPr>
        <w:tab/>
        <w:t xml:space="preserve">הנאשם ציין כי הוא מצטער. לדבריו הוא לראשונה במעצר, ולמד את הלקח מהכלא. לדברי הנאשם עליו לדאוג למשפחתו, הוא מצטער ומבקש את רחמי בית המשפט. </w:t>
      </w:r>
    </w:p>
    <w:p w:rsidR="008942F9" w:rsidRDefault="008942F9" w:rsidP="008942F9">
      <w:pPr>
        <w:spacing w:line="360" w:lineRule="auto"/>
        <w:jc w:val="both"/>
        <w:rPr>
          <w:rFonts w:ascii="Arial" w:hAnsi="Arial"/>
          <w:sz w:val="28"/>
          <w:rtl/>
        </w:rPr>
      </w:pPr>
    </w:p>
    <w:p w:rsidR="008942F9" w:rsidRDefault="008942F9" w:rsidP="008942F9">
      <w:pPr>
        <w:spacing w:line="360" w:lineRule="auto"/>
        <w:jc w:val="both"/>
        <w:rPr>
          <w:rFonts w:ascii="Arial" w:hAnsi="Arial"/>
          <w:b/>
          <w:bCs/>
          <w:sz w:val="28"/>
          <w:u w:val="single"/>
          <w:rtl/>
        </w:rPr>
      </w:pPr>
      <w:r w:rsidRPr="001E3304">
        <w:rPr>
          <w:rFonts w:ascii="Arial" w:hAnsi="Arial"/>
          <w:b/>
          <w:bCs/>
          <w:sz w:val="28"/>
          <w:u w:val="single"/>
          <w:rtl/>
        </w:rPr>
        <w:t xml:space="preserve">מתחם העונש ההולם </w:t>
      </w:r>
    </w:p>
    <w:p w:rsidR="008942F9" w:rsidRPr="001E3304" w:rsidRDefault="008942F9" w:rsidP="008942F9">
      <w:pPr>
        <w:spacing w:line="360" w:lineRule="auto"/>
        <w:jc w:val="both"/>
        <w:rPr>
          <w:rFonts w:ascii="Arial" w:hAnsi="Arial"/>
          <w:b/>
          <w:bCs/>
          <w:sz w:val="28"/>
          <w:u w:val="single"/>
          <w:rtl/>
        </w:rPr>
      </w:pPr>
    </w:p>
    <w:p w:rsidR="008942F9" w:rsidRPr="001E3304" w:rsidRDefault="008942F9" w:rsidP="008942F9">
      <w:pPr>
        <w:spacing w:line="360" w:lineRule="auto"/>
        <w:jc w:val="both"/>
        <w:rPr>
          <w:rFonts w:ascii="Arial" w:hAnsi="Arial"/>
          <w:sz w:val="28"/>
          <w:rtl/>
        </w:rPr>
      </w:pPr>
      <w:r>
        <w:rPr>
          <w:rFonts w:ascii="Arial" w:hAnsi="Arial" w:hint="cs"/>
          <w:sz w:val="28"/>
          <w:rtl/>
        </w:rPr>
        <w:t>8</w:t>
      </w:r>
      <w:r w:rsidRPr="001E3304">
        <w:rPr>
          <w:rFonts w:ascii="Arial" w:hAnsi="Arial"/>
          <w:sz w:val="28"/>
          <w:rtl/>
        </w:rPr>
        <w:t xml:space="preserve">.  </w:t>
      </w:r>
      <w:r w:rsidRPr="001E3304">
        <w:rPr>
          <w:rFonts w:ascii="Arial" w:hAnsi="Arial"/>
          <w:sz w:val="28"/>
          <w:rtl/>
        </w:rPr>
        <w:tab/>
        <w:t>בהתאם לתיקון 113 ל</w:t>
      </w:r>
      <w:hyperlink r:id="rId15" w:history="1">
        <w:r w:rsidR="007D3F58" w:rsidRPr="007D3F58">
          <w:rPr>
            <w:rFonts w:ascii="Arial" w:hAnsi="Arial"/>
            <w:color w:val="0000FF"/>
            <w:sz w:val="28"/>
            <w:u w:val="single"/>
            <w:rtl/>
          </w:rPr>
          <w:t>חוק העונשין</w:t>
        </w:r>
      </w:hyperlink>
      <w:r w:rsidRPr="001E3304">
        <w:rPr>
          <w:rFonts w:ascii="Arial" w:hAnsi="Arial"/>
          <w:sz w:val="28"/>
          <w:rtl/>
        </w:rPr>
        <w:t xml:space="preserve">, העקרון המנחה בענישה הוא עקרון ההלימה: </w:t>
      </w:r>
      <w:r w:rsidRPr="001E3304">
        <w:rPr>
          <w:rFonts w:ascii="Arial" w:hAnsi="Arial"/>
          <w:b/>
          <w:bCs/>
          <w:sz w:val="28"/>
          <w:rtl/>
        </w:rPr>
        <w:t>"קיומו של יחס הולם בין חומרת מעשה העבירה בנסיבותיו ומידת אשמו של הנאשם ובין סוג ומידת העונש המוטל עליו"</w:t>
      </w:r>
      <w:r w:rsidRPr="001E3304">
        <w:rPr>
          <w:rFonts w:ascii="Arial" w:hAnsi="Arial"/>
          <w:sz w:val="28"/>
          <w:rtl/>
        </w:rPr>
        <w:t xml:space="preserve"> (סעיף </w:t>
      </w:r>
      <w:hyperlink r:id="rId16" w:history="1">
        <w:r w:rsidR="00CD43D8" w:rsidRPr="00CD43D8">
          <w:rPr>
            <w:rStyle w:val="Hyperlink"/>
            <w:rFonts w:ascii="Arial" w:hAnsi="Arial"/>
            <w:color w:val="0000FF"/>
            <w:sz w:val="28"/>
            <w:rtl/>
          </w:rPr>
          <w:t>40ב</w:t>
        </w:r>
      </w:hyperlink>
      <w:r w:rsidRPr="001E3304">
        <w:rPr>
          <w:rFonts w:ascii="Arial" w:hAnsi="Arial"/>
          <w:sz w:val="28"/>
          <w:rtl/>
        </w:rPr>
        <w:t xml:space="preserve">). עקרון ההלימה משמעו מתן דגש לעקרון הגמול על מעשה העבירה, כאשר הנסיבות האישיות מהוות שיקול רק לאחר מכן, בקביעת העונש בתוך מתחם הענישה. </w:t>
      </w: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קביעת מתחם הענישה נעשית בהתחשב בערך החברתי שנפגע מביצוע העבירה, במידת הפגיעה בו, במדיניות הענישה הנהוגה ובנסיבות הקשורות בביצוע העבירה (סעיף </w:t>
      </w:r>
      <w:hyperlink r:id="rId17" w:history="1">
        <w:r w:rsidR="00CD43D8" w:rsidRPr="00CD43D8">
          <w:rPr>
            <w:rStyle w:val="Hyperlink"/>
            <w:rFonts w:ascii="Arial" w:hAnsi="Arial"/>
            <w:color w:val="0000FF"/>
            <w:sz w:val="28"/>
            <w:rtl/>
          </w:rPr>
          <w:t>40ג</w:t>
        </w:r>
      </w:hyperlink>
      <w:r w:rsidRPr="001E3304">
        <w:rPr>
          <w:rFonts w:ascii="Arial" w:hAnsi="Arial"/>
          <w:sz w:val="28"/>
          <w:rtl/>
        </w:rPr>
        <w:t xml:space="preserve">). </w:t>
      </w:r>
    </w:p>
    <w:p w:rsidR="008942F9" w:rsidRPr="001E3304" w:rsidRDefault="008942F9" w:rsidP="008942F9">
      <w:pPr>
        <w:spacing w:line="360" w:lineRule="auto"/>
        <w:jc w:val="both"/>
        <w:rPr>
          <w:rFonts w:ascii="Arial" w:hAnsi="Arial"/>
          <w:sz w:val="28"/>
          <w:rtl/>
        </w:rPr>
      </w:pPr>
    </w:p>
    <w:p w:rsidR="008942F9" w:rsidRPr="001E3304" w:rsidRDefault="008942F9" w:rsidP="008942F9">
      <w:pPr>
        <w:spacing w:line="360" w:lineRule="auto"/>
        <w:jc w:val="both"/>
        <w:rPr>
          <w:rFonts w:ascii="Arial" w:hAnsi="Arial"/>
          <w:sz w:val="28"/>
          <w:rtl/>
        </w:rPr>
      </w:pPr>
      <w:r>
        <w:rPr>
          <w:rFonts w:ascii="Arial" w:hAnsi="Arial" w:hint="cs"/>
          <w:sz w:val="28"/>
          <w:rtl/>
        </w:rPr>
        <w:t>9</w:t>
      </w:r>
      <w:r w:rsidRPr="001E3304">
        <w:rPr>
          <w:rFonts w:ascii="Arial" w:hAnsi="Arial"/>
          <w:sz w:val="28"/>
          <w:rtl/>
        </w:rPr>
        <w:t xml:space="preserve">.  </w:t>
      </w:r>
      <w:r w:rsidRPr="001E3304">
        <w:rPr>
          <w:rFonts w:ascii="Arial" w:hAnsi="Arial"/>
          <w:sz w:val="28"/>
          <w:rtl/>
        </w:rPr>
        <w:tab/>
        <w:t xml:space="preserve">בראש ובראשונה יש להתייחס לעונש שקבע המחוקק לצד העבירות – </w:t>
      </w: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לעבירה של סחר בנשק נקבע עונש של 15 שנות מאסר. </w:t>
      </w:r>
    </w:p>
    <w:p w:rsidR="008942F9" w:rsidRPr="001E3304" w:rsidRDefault="008942F9" w:rsidP="008942F9">
      <w:pPr>
        <w:spacing w:line="360" w:lineRule="auto"/>
        <w:jc w:val="both"/>
        <w:rPr>
          <w:rFonts w:ascii="Arial" w:hAnsi="Arial"/>
          <w:sz w:val="28"/>
          <w:rtl/>
        </w:rPr>
      </w:pPr>
    </w:p>
    <w:p w:rsidR="008942F9" w:rsidRPr="001E3304" w:rsidRDefault="008942F9" w:rsidP="008942F9">
      <w:pPr>
        <w:spacing w:line="360" w:lineRule="auto"/>
        <w:jc w:val="both"/>
        <w:rPr>
          <w:rFonts w:ascii="Arial" w:hAnsi="Arial"/>
          <w:sz w:val="28"/>
          <w:rtl/>
        </w:rPr>
      </w:pPr>
      <w:r>
        <w:rPr>
          <w:rFonts w:ascii="Arial" w:hAnsi="Arial" w:hint="cs"/>
          <w:sz w:val="28"/>
          <w:rtl/>
        </w:rPr>
        <w:t>10</w:t>
      </w:r>
      <w:r w:rsidRPr="001E3304">
        <w:rPr>
          <w:rFonts w:ascii="Arial" w:hAnsi="Arial"/>
          <w:sz w:val="28"/>
          <w:rtl/>
        </w:rPr>
        <w:t xml:space="preserve">.  </w:t>
      </w:r>
      <w:r w:rsidRPr="001E3304">
        <w:rPr>
          <w:rFonts w:ascii="Arial" w:hAnsi="Arial"/>
          <w:sz w:val="28"/>
          <w:rtl/>
        </w:rPr>
        <w:tab/>
        <w:t xml:space="preserve">לצד הענישה שקבע המחוקק יש להתחשב כאמור במדיניות הענישה הנהוגה. </w:t>
      </w:r>
    </w:p>
    <w:p w:rsidR="008942F9" w:rsidRPr="001E3304" w:rsidRDefault="008942F9" w:rsidP="008942F9">
      <w:pPr>
        <w:spacing w:line="360" w:lineRule="auto"/>
        <w:jc w:val="both"/>
        <w:rPr>
          <w:rFonts w:ascii="Arial" w:hAnsi="Arial"/>
          <w:sz w:val="28"/>
          <w:rtl/>
        </w:rPr>
      </w:pPr>
    </w:p>
    <w:p w:rsidR="008942F9" w:rsidRPr="001E3304" w:rsidRDefault="008942F9" w:rsidP="008942F9">
      <w:pPr>
        <w:spacing w:line="360" w:lineRule="auto"/>
        <w:jc w:val="both"/>
        <w:rPr>
          <w:rFonts w:ascii="Arial" w:hAnsi="Arial"/>
          <w:sz w:val="28"/>
          <w:rtl/>
        </w:rPr>
      </w:pPr>
      <w:r w:rsidRPr="001E3304">
        <w:rPr>
          <w:rFonts w:ascii="Arial" w:hAnsi="Arial"/>
          <w:sz w:val="28"/>
          <w:rtl/>
        </w:rPr>
        <w:t>המאשימה הפנתה ל</w:t>
      </w:r>
      <w:hyperlink r:id="rId18" w:history="1">
        <w:r w:rsidR="007D3F58" w:rsidRPr="007D3F58">
          <w:rPr>
            <w:rFonts w:ascii="Arial" w:hAnsi="Arial"/>
            <w:color w:val="0000FF"/>
            <w:sz w:val="28"/>
            <w:u w:val="single"/>
            <w:rtl/>
          </w:rPr>
          <w:t>ת"פ (י-ם) 35608-04-18</w:t>
        </w:r>
      </w:hyperlink>
      <w:r w:rsidRPr="001E3304">
        <w:rPr>
          <w:rFonts w:ascii="Arial" w:hAnsi="Arial"/>
          <w:sz w:val="28"/>
          <w:rtl/>
        </w:rPr>
        <w:t xml:space="preserve"> </w:t>
      </w:r>
      <w:r w:rsidRPr="001E3304">
        <w:rPr>
          <w:rFonts w:ascii="Arial" w:hAnsi="Arial"/>
          <w:sz w:val="28"/>
          <w:u w:val="single"/>
          <w:rtl/>
        </w:rPr>
        <w:t>מדינת ישראל נ' יזן קורד ואח'</w:t>
      </w:r>
      <w:r w:rsidRPr="001E3304">
        <w:rPr>
          <w:rFonts w:ascii="Arial" w:hAnsi="Arial"/>
          <w:sz w:val="28"/>
          <w:rtl/>
        </w:rPr>
        <w:t xml:space="preserve"> (28.2.2019), שם, בגין שתי עבירות של סחר בנשק – מכירת אקדח ומכירת רובה סער לסוכן משטרתי, נגזר על נאשם 3 בכתב האישום מאסר בפועל למשך 34 חודשים, מאסר על תנאי וקנס של 10,000 ₪; </w:t>
      </w:r>
      <w:hyperlink r:id="rId19" w:history="1">
        <w:r w:rsidR="007D3F58" w:rsidRPr="007D3F58">
          <w:rPr>
            <w:rFonts w:ascii="Arial" w:hAnsi="Arial"/>
            <w:color w:val="0000FF"/>
            <w:sz w:val="28"/>
            <w:u w:val="single"/>
            <w:rtl/>
          </w:rPr>
          <w:t>ע"פ 4154/16</w:t>
        </w:r>
      </w:hyperlink>
      <w:r w:rsidRPr="001E3304">
        <w:rPr>
          <w:rFonts w:ascii="Arial" w:hAnsi="Arial"/>
          <w:sz w:val="28"/>
          <w:rtl/>
        </w:rPr>
        <w:t xml:space="preserve"> </w:t>
      </w:r>
      <w:r w:rsidRPr="001E3304">
        <w:rPr>
          <w:rFonts w:ascii="Arial" w:hAnsi="Arial"/>
          <w:sz w:val="28"/>
          <w:u w:val="single"/>
          <w:rtl/>
        </w:rPr>
        <w:t>רונן דהוד נ' מדינת ישראל</w:t>
      </w:r>
      <w:r w:rsidRPr="001E3304">
        <w:rPr>
          <w:rFonts w:ascii="Arial" w:hAnsi="Arial"/>
          <w:sz w:val="28"/>
          <w:rtl/>
        </w:rPr>
        <w:t xml:space="preserve"> (19.1.2017) – בית המשפט העליון אישר גזר דין שכלל 45 חודשי מאסר בפועל, לנאשם שהורשע בעבירות של סחר בנשק והחזקה ונשיאה של נשק, לאחר שמכר לסוכן משטרתי אקדח ורובה ציד; </w:t>
      </w:r>
      <w:hyperlink r:id="rId20" w:history="1">
        <w:r w:rsidR="007D3F58" w:rsidRPr="007D3F58">
          <w:rPr>
            <w:rFonts w:ascii="Arial" w:hAnsi="Arial"/>
            <w:color w:val="0000FF"/>
            <w:sz w:val="28"/>
            <w:u w:val="single"/>
            <w:rtl/>
          </w:rPr>
          <w:t>ע"פ 2422/14</w:t>
        </w:r>
      </w:hyperlink>
      <w:r w:rsidRPr="001E3304">
        <w:rPr>
          <w:rFonts w:ascii="Arial" w:hAnsi="Arial"/>
          <w:sz w:val="28"/>
          <w:rtl/>
        </w:rPr>
        <w:t xml:space="preserve"> </w:t>
      </w:r>
      <w:r w:rsidRPr="001E3304">
        <w:rPr>
          <w:rFonts w:ascii="Arial" w:hAnsi="Arial"/>
          <w:sz w:val="28"/>
          <w:u w:val="single"/>
          <w:rtl/>
        </w:rPr>
        <w:t>עלי ח'דר נ' מדינת ישראל</w:t>
      </w:r>
      <w:r w:rsidRPr="001E3304">
        <w:rPr>
          <w:rFonts w:ascii="Arial" w:hAnsi="Arial"/>
          <w:sz w:val="28"/>
          <w:rtl/>
        </w:rPr>
        <w:t xml:space="preserve"> (21.12.2014) – בגין עבירות נשק נגזר על המערער מאסר בפועל למשך 36 חודשים ומאסר על תנאי; </w:t>
      </w:r>
      <w:hyperlink r:id="rId21" w:history="1">
        <w:r w:rsidR="007D3F58" w:rsidRPr="007D3F58">
          <w:rPr>
            <w:rFonts w:ascii="Arial" w:hAnsi="Arial"/>
            <w:color w:val="0000FF"/>
            <w:sz w:val="28"/>
            <w:u w:val="single"/>
            <w:rtl/>
          </w:rPr>
          <w:t>ע"פ 785/15</w:t>
        </w:r>
      </w:hyperlink>
      <w:r w:rsidRPr="001E3304">
        <w:rPr>
          <w:rFonts w:ascii="Arial" w:hAnsi="Arial"/>
          <w:sz w:val="28"/>
          <w:rtl/>
        </w:rPr>
        <w:t xml:space="preserve"> </w:t>
      </w:r>
      <w:r w:rsidRPr="001E3304">
        <w:rPr>
          <w:rFonts w:ascii="Arial" w:hAnsi="Arial"/>
          <w:sz w:val="28"/>
          <w:u w:val="single"/>
          <w:rtl/>
        </w:rPr>
        <w:t>איהב פואקה נ' מדינת ישראל</w:t>
      </w:r>
      <w:r w:rsidRPr="001E3304">
        <w:rPr>
          <w:rFonts w:ascii="Arial" w:hAnsi="Arial"/>
          <w:sz w:val="28"/>
          <w:rtl/>
        </w:rPr>
        <w:t xml:space="preserve"> (6.12.2015) – המערער נדון למאסר בפועל למשך 84 חודשים, מאסר על תנאי וקנס, לאר שהורשע בעבירות של תיווך בסם ובעבירות של עסקה בנשק וניסיון לעסקה בנשק. בערעור הועמד עונש המאסר בפועל על 78 חודשים. </w:t>
      </w:r>
    </w:p>
    <w:p w:rsidR="008942F9" w:rsidRPr="001E3304" w:rsidRDefault="008942F9" w:rsidP="008942F9">
      <w:pPr>
        <w:spacing w:line="360" w:lineRule="auto"/>
        <w:jc w:val="both"/>
        <w:rPr>
          <w:rFonts w:ascii="Arial" w:hAnsi="Arial"/>
          <w:sz w:val="28"/>
          <w:rtl/>
        </w:rPr>
      </w:pPr>
    </w:p>
    <w:p w:rsidR="008942F9" w:rsidRPr="001E3304" w:rsidRDefault="008942F9" w:rsidP="008942F9">
      <w:pPr>
        <w:spacing w:line="360" w:lineRule="auto"/>
        <w:jc w:val="both"/>
        <w:rPr>
          <w:rFonts w:ascii="Arial" w:hAnsi="Arial"/>
          <w:sz w:val="28"/>
          <w:rtl/>
        </w:rPr>
      </w:pPr>
      <w:r w:rsidRPr="001E3304">
        <w:rPr>
          <w:rFonts w:ascii="Arial" w:hAnsi="Arial"/>
          <w:sz w:val="28"/>
          <w:rtl/>
        </w:rPr>
        <w:t>ב"כ הנאשם הפנה ל</w:t>
      </w:r>
      <w:hyperlink r:id="rId22" w:history="1">
        <w:r w:rsidR="007D3F58" w:rsidRPr="007D3F58">
          <w:rPr>
            <w:rFonts w:ascii="Arial" w:hAnsi="Arial"/>
            <w:color w:val="0000FF"/>
            <w:sz w:val="28"/>
            <w:u w:val="single"/>
            <w:rtl/>
          </w:rPr>
          <w:t>ע"פ 1397/16</w:t>
        </w:r>
      </w:hyperlink>
      <w:r w:rsidRPr="001E3304">
        <w:rPr>
          <w:rFonts w:ascii="Arial" w:hAnsi="Arial"/>
          <w:sz w:val="28"/>
          <w:rtl/>
        </w:rPr>
        <w:t xml:space="preserve"> </w:t>
      </w:r>
      <w:r w:rsidRPr="001E3304">
        <w:rPr>
          <w:rFonts w:ascii="Arial" w:hAnsi="Arial"/>
          <w:sz w:val="28"/>
          <w:u w:val="single"/>
          <w:rtl/>
        </w:rPr>
        <w:t>מדינת ישראל נ' אחמד חמאיל</w:t>
      </w:r>
      <w:r w:rsidRPr="001E3304">
        <w:rPr>
          <w:rFonts w:ascii="Arial" w:hAnsi="Arial"/>
          <w:sz w:val="28"/>
          <w:rtl/>
        </w:rPr>
        <w:t xml:space="preserve"> (6.9.2016) – בגין עסקאות נשק עם סוכן משטרתי, נקבעו מתחמי ענישה של שלוש עד שש שנות מאסר ו- שנתיים וחצי עד חמש שנות מאסר. על הנאשמים נגזרו עונשים של 48 ו- 35 חודשי מאסר בפועל. הערעורים נדחו; </w:t>
      </w:r>
      <w:hyperlink r:id="rId23" w:history="1">
        <w:r w:rsidR="007D3F58" w:rsidRPr="007D3F58">
          <w:rPr>
            <w:rFonts w:ascii="Arial" w:hAnsi="Arial"/>
            <w:color w:val="0000FF"/>
            <w:sz w:val="28"/>
            <w:u w:val="single"/>
            <w:rtl/>
          </w:rPr>
          <w:t>ע"פ 2802/18</w:t>
        </w:r>
      </w:hyperlink>
      <w:r w:rsidRPr="001E3304">
        <w:rPr>
          <w:rFonts w:ascii="Arial" w:hAnsi="Arial"/>
          <w:sz w:val="28"/>
          <w:rtl/>
        </w:rPr>
        <w:t xml:space="preserve"> </w:t>
      </w:r>
      <w:r w:rsidRPr="001E3304">
        <w:rPr>
          <w:rFonts w:ascii="Arial" w:hAnsi="Arial"/>
          <w:sz w:val="28"/>
          <w:u w:val="single"/>
          <w:rtl/>
        </w:rPr>
        <w:t>איוב ג'ואמיס ואח' נ' מדינת ישראל</w:t>
      </w:r>
      <w:r w:rsidRPr="001E3304">
        <w:rPr>
          <w:rFonts w:ascii="Arial" w:hAnsi="Arial"/>
          <w:sz w:val="28"/>
          <w:rtl/>
        </w:rPr>
        <w:t xml:space="preserve"> (26.7.2018) – בגין שתי עבירות הקשורות בסחר בנשק, נגזרו על הנאשמים עונשי מאסר בפועל של 42 חודשים ו- 15 חודשים. הערעורים נדחו; </w:t>
      </w:r>
      <w:hyperlink r:id="rId24" w:history="1">
        <w:r w:rsidR="007D3F58" w:rsidRPr="007D3F58">
          <w:rPr>
            <w:rFonts w:ascii="Arial" w:hAnsi="Arial"/>
            <w:color w:val="0000FF"/>
            <w:sz w:val="28"/>
            <w:u w:val="single"/>
            <w:rtl/>
          </w:rPr>
          <w:t>ת"פ (י-ם) 19384-05-16</w:t>
        </w:r>
      </w:hyperlink>
      <w:r w:rsidRPr="001E3304">
        <w:rPr>
          <w:rFonts w:ascii="Arial" w:hAnsi="Arial"/>
          <w:sz w:val="28"/>
          <w:rtl/>
        </w:rPr>
        <w:t xml:space="preserve"> </w:t>
      </w:r>
      <w:r w:rsidRPr="001E3304">
        <w:rPr>
          <w:rFonts w:ascii="Arial" w:hAnsi="Arial"/>
          <w:sz w:val="28"/>
          <w:u w:val="single"/>
          <w:rtl/>
        </w:rPr>
        <w:t>מדינת ישראל נ' חוסאם אשהב</w:t>
      </w:r>
      <w:r w:rsidRPr="001E3304">
        <w:rPr>
          <w:rFonts w:ascii="Arial" w:hAnsi="Arial"/>
          <w:sz w:val="28"/>
          <w:rtl/>
        </w:rPr>
        <w:t xml:space="preserve"> (20.7.2017) – בגין עבירות הקשורות בנשק, ובהן שתי עבירות של סחר בנשק, נגזר על הנאשם מאסר בפועל למשך 46 חודשים. בגזר דינו הפנה בית המשפט לשורה של גזרי דין שניתנו בעבירות דומות; </w:t>
      </w:r>
      <w:hyperlink r:id="rId25" w:history="1">
        <w:r w:rsidR="007D3F58" w:rsidRPr="007D3F58">
          <w:rPr>
            <w:rFonts w:ascii="Arial" w:hAnsi="Arial"/>
            <w:color w:val="0000FF"/>
            <w:sz w:val="28"/>
            <w:u w:val="single"/>
            <w:rtl/>
          </w:rPr>
          <w:t>ע"פ 8045/17</w:t>
        </w:r>
      </w:hyperlink>
      <w:r w:rsidRPr="001E3304">
        <w:rPr>
          <w:rFonts w:ascii="Arial" w:hAnsi="Arial"/>
          <w:sz w:val="28"/>
          <w:rtl/>
        </w:rPr>
        <w:t xml:space="preserve"> </w:t>
      </w:r>
      <w:r w:rsidRPr="001E3304">
        <w:rPr>
          <w:rFonts w:ascii="Arial" w:hAnsi="Arial"/>
          <w:sz w:val="28"/>
          <w:u w:val="single"/>
          <w:rtl/>
        </w:rPr>
        <w:t>מחמוד בראנסי ואח' נ' מדינת ישראל</w:t>
      </w:r>
      <w:r w:rsidRPr="001E3304">
        <w:rPr>
          <w:rFonts w:ascii="Arial" w:hAnsi="Arial"/>
          <w:sz w:val="28"/>
          <w:rtl/>
        </w:rPr>
        <w:t xml:space="preserve"> (16.8.2018). </w:t>
      </w:r>
    </w:p>
    <w:p w:rsidR="008942F9" w:rsidRPr="001E3304" w:rsidRDefault="008942F9" w:rsidP="008942F9">
      <w:pPr>
        <w:spacing w:line="360" w:lineRule="auto"/>
        <w:jc w:val="both"/>
        <w:rPr>
          <w:rFonts w:ascii="Arial" w:hAnsi="Arial"/>
          <w:sz w:val="28"/>
          <w:rtl/>
        </w:rPr>
      </w:pPr>
      <w:r>
        <w:rPr>
          <w:rFonts w:ascii="Arial" w:hAnsi="Arial" w:hint="cs"/>
          <w:sz w:val="28"/>
          <w:rtl/>
        </w:rPr>
        <w:t>11</w:t>
      </w:r>
      <w:r w:rsidRPr="001E3304">
        <w:rPr>
          <w:rFonts w:ascii="Arial" w:hAnsi="Arial"/>
          <w:sz w:val="28"/>
          <w:rtl/>
        </w:rPr>
        <w:t xml:space="preserve">.  </w:t>
      </w:r>
      <w:r w:rsidRPr="001E3304">
        <w:rPr>
          <w:rFonts w:ascii="Arial" w:hAnsi="Arial"/>
          <w:sz w:val="28"/>
          <w:rtl/>
        </w:rPr>
        <w:tab/>
        <w:t xml:space="preserve">לעניין הערך החברתי שנפגע מהעבירה – מדובר בהגנה על בטחון הציבור ועל שלמות גופו. </w:t>
      </w:r>
    </w:p>
    <w:p w:rsidR="008942F9" w:rsidRPr="001E3304" w:rsidRDefault="008942F9" w:rsidP="008942F9">
      <w:pPr>
        <w:spacing w:line="360" w:lineRule="auto"/>
        <w:jc w:val="both"/>
        <w:rPr>
          <w:rFonts w:ascii="Arial" w:hAnsi="Arial"/>
          <w:sz w:val="28"/>
          <w:rtl/>
        </w:rPr>
      </w:pPr>
    </w:p>
    <w:p w:rsidR="008942F9" w:rsidRPr="001E3304" w:rsidRDefault="008942F9" w:rsidP="008942F9">
      <w:pPr>
        <w:spacing w:line="360" w:lineRule="auto"/>
        <w:jc w:val="both"/>
        <w:rPr>
          <w:rFonts w:ascii="Arial" w:hAnsi="Arial"/>
          <w:sz w:val="28"/>
          <w:rtl/>
        </w:rPr>
      </w:pPr>
      <w:r w:rsidRPr="001E3304">
        <w:rPr>
          <w:rFonts w:ascii="Arial" w:hAnsi="Arial"/>
          <w:sz w:val="28"/>
          <w:rtl/>
        </w:rPr>
        <w:t>בתי המשפט התייחסו רבות לחומרה המיוחדת שבעבירות הקשורות בסחר בנשק. לעניין זה נקבע ב</w:t>
      </w:r>
      <w:hyperlink r:id="rId26" w:history="1">
        <w:r w:rsidR="007D3F58" w:rsidRPr="007D3F58">
          <w:rPr>
            <w:rFonts w:ascii="Arial" w:hAnsi="Arial"/>
            <w:color w:val="0000FF"/>
            <w:sz w:val="28"/>
            <w:u w:val="single"/>
            <w:rtl/>
          </w:rPr>
          <w:t>ע"פ 2422/14</w:t>
        </w:r>
      </w:hyperlink>
      <w:r w:rsidRPr="001E3304">
        <w:rPr>
          <w:rFonts w:ascii="Arial" w:hAnsi="Arial"/>
          <w:sz w:val="28"/>
          <w:rtl/>
        </w:rPr>
        <w:t xml:space="preserve"> הנ"ל:</w:t>
      </w:r>
    </w:p>
    <w:p w:rsidR="008942F9" w:rsidRPr="001E3304" w:rsidRDefault="008942F9" w:rsidP="008942F9">
      <w:pPr>
        <w:spacing w:line="360" w:lineRule="auto"/>
        <w:ind w:left="340" w:right="340"/>
        <w:jc w:val="both"/>
        <w:rPr>
          <w:rFonts w:ascii="Arial" w:hAnsi="Arial"/>
          <w:b/>
          <w:bCs/>
          <w:sz w:val="28"/>
          <w:rtl/>
        </w:rPr>
      </w:pPr>
      <w:r w:rsidRPr="001E3304">
        <w:rPr>
          <w:rFonts w:ascii="Arial" w:hAnsi="Arial"/>
          <w:b/>
          <w:bCs/>
          <w:sz w:val="28"/>
          <w:rtl/>
        </w:rPr>
        <w:t>"המעשה בו הורשע המערער הוא חמור, ובית משפט זה עמד לא אחת על חומרתן המיוחדת של עבירות בנשק ועל הסכנות הצפויות מעבירות כאלה, אשר גורמות לפעילות עבריינית אחרת ומאיימות על שלום הציבור כולו (</w:t>
      </w:r>
      <w:hyperlink r:id="rId27" w:history="1">
        <w:r w:rsidR="007D3F58" w:rsidRPr="007D3F58">
          <w:rPr>
            <w:rFonts w:ascii="Arial" w:hAnsi="Arial"/>
            <w:b/>
            <w:bCs/>
            <w:color w:val="0000FF"/>
            <w:sz w:val="28"/>
            <w:u w:val="single"/>
            <w:rtl/>
          </w:rPr>
          <w:t>ע"פ 5833/07</w:t>
        </w:r>
      </w:hyperlink>
      <w:r w:rsidRPr="001E3304">
        <w:rPr>
          <w:rFonts w:ascii="Arial" w:hAnsi="Arial"/>
          <w:b/>
          <w:bCs/>
          <w:sz w:val="28"/>
          <w:rtl/>
        </w:rPr>
        <w:t xml:space="preserve"> ח'ורי נ' מדינת ישראל [פורסם בנבו] (18.11.2007); </w:t>
      </w:r>
      <w:hyperlink r:id="rId28" w:history="1">
        <w:r w:rsidR="007D3F58" w:rsidRPr="007D3F58">
          <w:rPr>
            <w:rFonts w:ascii="Arial" w:hAnsi="Arial"/>
            <w:b/>
            <w:bCs/>
            <w:color w:val="0000FF"/>
            <w:sz w:val="28"/>
            <w:u w:val="single"/>
            <w:rtl/>
          </w:rPr>
          <w:t>ע"פ 4450/11</w:t>
        </w:r>
      </w:hyperlink>
      <w:r w:rsidRPr="001E3304">
        <w:rPr>
          <w:rFonts w:ascii="Arial" w:hAnsi="Arial"/>
          <w:b/>
          <w:bCs/>
          <w:sz w:val="28"/>
          <w:rtl/>
        </w:rPr>
        <w:t xml:space="preserve"> עספור נ' מדינת ישראל [פורסם בנבו] (8.2.2012)). על כן, בית משפט זה אימץ עמדה עקרונית לפיה יש להחמיר, ככלל, בענישתם של נאשמים שהורשעו בעבירות נשק בכלל ובעבירות סחר בנשק בפרט (</w:t>
      </w:r>
      <w:hyperlink r:id="rId29" w:history="1">
        <w:r w:rsidR="007D3F58" w:rsidRPr="007D3F58">
          <w:rPr>
            <w:rFonts w:ascii="Arial" w:hAnsi="Arial"/>
            <w:b/>
            <w:bCs/>
            <w:color w:val="0000FF"/>
            <w:sz w:val="28"/>
            <w:u w:val="single"/>
            <w:rtl/>
          </w:rPr>
          <w:t>ע"פ 6210/10</w:t>
        </w:r>
      </w:hyperlink>
      <w:r w:rsidRPr="001E3304">
        <w:rPr>
          <w:rFonts w:ascii="Arial" w:hAnsi="Arial"/>
          <w:b/>
          <w:bCs/>
          <w:sz w:val="28"/>
          <w:rtl/>
        </w:rPr>
        <w:t xml:space="preserve"> מדינת ישראל נ' אגבריה [פורסם בנבו] (23.3.2011); </w:t>
      </w:r>
      <w:hyperlink r:id="rId30" w:history="1">
        <w:r w:rsidR="007D3F58" w:rsidRPr="007D3F58">
          <w:rPr>
            <w:rFonts w:ascii="Arial" w:hAnsi="Arial"/>
            <w:b/>
            <w:bCs/>
            <w:color w:val="0000FF"/>
            <w:sz w:val="28"/>
            <w:u w:val="single"/>
            <w:rtl/>
          </w:rPr>
          <w:t>ע"פ 319/11</w:t>
        </w:r>
      </w:hyperlink>
      <w:r w:rsidRPr="001E3304">
        <w:rPr>
          <w:rFonts w:ascii="Arial" w:hAnsi="Arial"/>
          <w:b/>
          <w:bCs/>
          <w:sz w:val="28"/>
          <w:rtl/>
        </w:rPr>
        <w:t xml:space="preserve"> מדינת ישראל נ' יאסין [פורסם בנבו] (4.12.2011)). במספר הזדמנויות בתי המשפט מצאו כי יש להחמיר בעונשיהם של עברייני נשק בשל הסכנה הנשקפת מהם (</w:t>
      </w:r>
      <w:hyperlink r:id="rId31" w:history="1">
        <w:r w:rsidR="007D3F58" w:rsidRPr="007D3F58">
          <w:rPr>
            <w:rFonts w:ascii="Arial" w:hAnsi="Arial"/>
            <w:b/>
            <w:bCs/>
            <w:color w:val="0000FF"/>
            <w:sz w:val="28"/>
            <w:u w:val="single"/>
            <w:rtl/>
          </w:rPr>
          <w:t>ע"פ 4526/04</w:t>
        </w:r>
      </w:hyperlink>
      <w:r w:rsidRPr="001E3304">
        <w:rPr>
          <w:rFonts w:ascii="Arial" w:hAnsi="Arial"/>
          <w:b/>
          <w:bCs/>
          <w:sz w:val="28"/>
          <w:rtl/>
        </w:rPr>
        <w:t xml:space="preserve"> זעתרי נ' מדינת ישראל [פורסם בנבו] (8.11.2004); </w:t>
      </w:r>
      <w:hyperlink r:id="rId32" w:history="1">
        <w:r w:rsidR="007D3F58" w:rsidRPr="007D3F58">
          <w:rPr>
            <w:rFonts w:ascii="Arial" w:hAnsi="Arial"/>
            <w:b/>
            <w:bCs/>
            <w:color w:val="0000FF"/>
            <w:sz w:val="28"/>
            <w:u w:val="single"/>
            <w:rtl/>
          </w:rPr>
          <w:t>ע"פ 5380/06</w:t>
        </w:r>
      </w:hyperlink>
      <w:r w:rsidRPr="001E3304">
        <w:rPr>
          <w:rFonts w:ascii="Arial" w:hAnsi="Arial"/>
          <w:b/>
          <w:bCs/>
          <w:sz w:val="28"/>
          <w:rtl/>
        </w:rPr>
        <w:t xml:space="preserve"> סלאמה נ' מדינת ישראל [פורסם בנבו] (3.12.2007)). לעניין זה ראוי לציין כי אין נפקא מינה לכך שהקונה הינו סוכן משטרתי, שכן המעורבים אינם מודעים לכך ומסוכנותם נותרת בעינה".</w:t>
      </w:r>
    </w:p>
    <w:p w:rsidR="008942F9" w:rsidRPr="001E3304" w:rsidRDefault="008942F9" w:rsidP="008942F9">
      <w:pPr>
        <w:spacing w:line="360" w:lineRule="auto"/>
        <w:jc w:val="both"/>
        <w:rPr>
          <w:rFonts w:ascii="Arial" w:hAnsi="Arial"/>
          <w:sz w:val="28"/>
          <w:rtl/>
        </w:rPr>
      </w:pPr>
    </w:p>
    <w:p w:rsidR="008942F9" w:rsidRPr="001E3304" w:rsidRDefault="008942F9" w:rsidP="008942F9">
      <w:pPr>
        <w:spacing w:line="360" w:lineRule="auto"/>
        <w:jc w:val="both"/>
        <w:rPr>
          <w:rFonts w:ascii="Arial" w:hAnsi="Arial"/>
          <w:sz w:val="28"/>
          <w:rtl/>
        </w:rPr>
      </w:pPr>
      <w:r w:rsidRPr="001E3304">
        <w:rPr>
          <w:rFonts w:ascii="Arial" w:hAnsi="Arial"/>
          <w:sz w:val="28"/>
          <w:rtl/>
        </w:rPr>
        <w:t>1</w:t>
      </w:r>
      <w:r>
        <w:rPr>
          <w:rFonts w:ascii="Arial" w:hAnsi="Arial" w:hint="cs"/>
          <w:sz w:val="28"/>
          <w:rtl/>
        </w:rPr>
        <w:t>2</w:t>
      </w:r>
      <w:r w:rsidRPr="001E3304">
        <w:rPr>
          <w:rFonts w:ascii="Arial" w:hAnsi="Arial"/>
          <w:sz w:val="28"/>
          <w:rtl/>
        </w:rPr>
        <w:t xml:space="preserve">.  </w:t>
      </w:r>
      <w:r w:rsidRPr="001E3304">
        <w:rPr>
          <w:rFonts w:ascii="Arial" w:hAnsi="Arial"/>
          <w:sz w:val="28"/>
          <w:rtl/>
        </w:rPr>
        <w:tab/>
        <w:t xml:space="preserve">אשר לנסיבות הקשורות בעבירה - </w:t>
      </w: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על פי עובדות כתב האישום המתוקן, הנאשם פעל באופן נמרץ במטרה למכור לסוכן המשטרתי נשק. בין השניים התקיימו שיחות טלפון רבות במטרה לקדם את העסקאות, ונערכו מפגשים למכירת נשק תמורת סכומי כסף גבוהים. מכתב האישום עולה כי הנאשם ידע למי לפנות כדי לקבל נשק ואף השיג נשק ותחמושת עבור הסוכן. בסופו של דבר הנאשם מכר לסוכן נשק ותחמושת והציע לסוכן לרכוש נשק נוסף. </w:t>
      </w: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יצוין כי הנזק הפוטנציאלי רב, שכן אלמלא היה מדובר בסוכן משטרתי, עלול היה הנשק לשמש למעשים פליליים או למעשי טרור. העובדה שמדובר בסוכן, ובשל כך הנשק הגיע לידי המשטרה, איננה בזכותו של הנאשם אלא בשל פעילות משטרתית מוצלחת. </w:t>
      </w:r>
    </w:p>
    <w:p w:rsidR="008942F9" w:rsidRPr="001E3304" w:rsidRDefault="008942F9" w:rsidP="008942F9">
      <w:pPr>
        <w:spacing w:line="360" w:lineRule="auto"/>
        <w:jc w:val="both"/>
        <w:rPr>
          <w:rFonts w:ascii="Arial" w:hAnsi="Arial"/>
          <w:sz w:val="28"/>
          <w:rtl/>
        </w:rPr>
      </w:pPr>
    </w:p>
    <w:p w:rsidR="008942F9" w:rsidRPr="001E3304" w:rsidRDefault="008942F9" w:rsidP="008942F9">
      <w:pPr>
        <w:spacing w:line="360" w:lineRule="auto"/>
        <w:jc w:val="both"/>
        <w:rPr>
          <w:rFonts w:ascii="Arial" w:hAnsi="Arial"/>
          <w:sz w:val="28"/>
          <w:rtl/>
        </w:rPr>
      </w:pPr>
      <w:r w:rsidRPr="001E3304">
        <w:rPr>
          <w:rFonts w:ascii="Arial" w:hAnsi="Arial"/>
          <w:sz w:val="28"/>
          <w:rtl/>
        </w:rPr>
        <w:t>1</w:t>
      </w:r>
      <w:r>
        <w:rPr>
          <w:rFonts w:ascii="Arial" w:hAnsi="Arial" w:hint="cs"/>
          <w:sz w:val="28"/>
          <w:rtl/>
        </w:rPr>
        <w:t>3</w:t>
      </w:r>
      <w:r w:rsidRPr="001E3304">
        <w:rPr>
          <w:rFonts w:ascii="Arial" w:hAnsi="Arial"/>
          <w:sz w:val="28"/>
          <w:rtl/>
        </w:rPr>
        <w:t xml:space="preserve">.  </w:t>
      </w:r>
      <w:r w:rsidRPr="001E3304">
        <w:rPr>
          <w:rFonts w:ascii="Arial" w:hAnsi="Arial"/>
          <w:sz w:val="28"/>
          <w:rtl/>
        </w:rPr>
        <w:tab/>
        <w:t xml:space="preserve">בהתחשב במכלול השיקולים כמפורט לעיל, לאור מהות העבירות ונסיבותיהן ובהתחשב בפסיקת בית המשפט העליון לעניין הצורך להחמיר בענישה בעבירות של סחר בנשק, אני קובעת את מתחם הענישה במקרה זה בין 45 ל- 70 חודשי מאסר בפועל, לצד מאסר על תנאי. </w:t>
      </w:r>
    </w:p>
    <w:p w:rsidR="008942F9" w:rsidRDefault="008942F9" w:rsidP="008942F9">
      <w:pPr>
        <w:spacing w:line="360" w:lineRule="auto"/>
        <w:jc w:val="both"/>
        <w:rPr>
          <w:rFonts w:ascii="Arial" w:hAnsi="Arial"/>
          <w:sz w:val="28"/>
          <w:rtl/>
        </w:rPr>
      </w:pPr>
    </w:p>
    <w:p w:rsidR="008942F9" w:rsidRDefault="008942F9" w:rsidP="008942F9">
      <w:pPr>
        <w:spacing w:line="360" w:lineRule="auto"/>
        <w:jc w:val="both"/>
        <w:rPr>
          <w:rFonts w:ascii="Arial" w:hAnsi="Arial"/>
          <w:sz w:val="28"/>
          <w:rtl/>
        </w:rPr>
      </w:pPr>
    </w:p>
    <w:p w:rsidR="008942F9" w:rsidRPr="001E3304" w:rsidRDefault="008942F9" w:rsidP="008942F9">
      <w:pPr>
        <w:spacing w:line="360" w:lineRule="auto"/>
        <w:jc w:val="both"/>
        <w:rPr>
          <w:rFonts w:ascii="Arial" w:hAnsi="Arial"/>
          <w:sz w:val="28"/>
          <w:rtl/>
        </w:rPr>
      </w:pPr>
    </w:p>
    <w:p w:rsidR="008942F9" w:rsidRPr="001E3304" w:rsidRDefault="008942F9" w:rsidP="008942F9">
      <w:pPr>
        <w:spacing w:line="360" w:lineRule="auto"/>
        <w:jc w:val="both"/>
        <w:rPr>
          <w:rFonts w:ascii="Arial" w:hAnsi="Arial"/>
          <w:b/>
          <w:bCs/>
          <w:sz w:val="28"/>
          <w:u w:val="single"/>
          <w:rtl/>
        </w:rPr>
      </w:pPr>
      <w:r w:rsidRPr="001E3304">
        <w:rPr>
          <w:rFonts w:ascii="Arial" w:hAnsi="Arial"/>
          <w:b/>
          <w:bCs/>
          <w:sz w:val="28"/>
          <w:u w:val="single"/>
          <w:rtl/>
        </w:rPr>
        <w:t>העונש בתוך המתחם</w:t>
      </w:r>
    </w:p>
    <w:p w:rsidR="008942F9" w:rsidRPr="001E3304" w:rsidRDefault="008942F9" w:rsidP="008942F9">
      <w:pPr>
        <w:spacing w:line="360" w:lineRule="auto"/>
        <w:jc w:val="both"/>
        <w:rPr>
          <w:rFonts w:ascii="Arial" w:hAnsi="Arial"/>
          <w:sz w:val="28"/>
          <w:rtl/>
        </w:rPr>
      </w:pPr>
    </w:p>
    <w:p w:rsidR="008942F9" w:rsidRPr="001E3304" w:rsidRDefault="008942F9" w:rsidP="008942F9">
      <w:pPr>
        <w:spacing w:line="360" w:lineRule="auto"/>
        <w:jc w:val="both"/>
        <w:rPr>
          <w:rFonts w:ascii="Arial" w:hAnsi="Arial"/>
          <w:sz w:val="28"/>
          <w:rtl/>
        </w:rPr>
      </w:pPr>
      <w:r w:rsidRPr="001E3304">
        <w:rPr>
          <w:rFonts w:ascii="Arial" w:hAnsi="Arial"/>
          <w:sz w:val="28"/>
          <w:rtl/>
        </w:rPr>
        <w:t>1</w:t>
      </w:r>
      <w:r>
        <w:rPr>
          <w:rFonts w:ascii="Arial" w:hAnsi="Arial" w:hint="cs"/>
          <w:sz w:val="28"/>
          <w:rtl/>
        </w:rPr>
        <w:t>4</w:t>
      </w:r>
      <w:r w:rsidRPr="001E3304">
        <w:rPr>
          <w:rFonts w:ascii="Arial" w:hAnsi="Arial"/>
          <w:sz w:val="28"/>
          <w:rtl/>
        </w:rPr>
        <w:t xml:space="preserve">.  </w:t>
      </w:r>
      <w:r w:rsidRPr="001E3304">
        <w:rPr>
          <w:rFonts w:ascii="Arial" w:hAnsi="Arial"/>
          <w:sz w:val="28"/>
          <w:rtl/>
        </w:rPr>
        <w:tab/>
        <w:t xml:space="preserve">לזכותו של הנאשם יש לזקוף את הודאתו. כן יש להתחשב בכך שאין לנאשם עבר פלילי, וזהו מעצרו הראשון. עוד יש להתחשב בנזק שנגרם למשפחתו של הנאשם כתוצאה ממעצרו, נזק שיימשך בשל המאסר שייגזר על הנאשם. </w:t>
      </w: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מנגד, מתסקיר שירות המבחן עולה כי </w:t>
      </w:r>
      <w:r>
        <w:rPr>
          <w:rFonts w:ascii="Arial" w:hAnsi="Arial" w:hint="cs"/>
          <w:sz w:val="28"/>
          <w:rtl/>
        </w:rPr>
        <w:t xml:space="preserve">על אף הודאתו בעובדות כתב האישום המתוקן, </w:t>
      </w:r>
      <w:r w:rsidRPr="001E3304">
        <w:rPr>
          <w:rFonts w:ascii="Arial" w:hAnsi="Arial"/>
          <w:sz w:val="28"/>
          <w:rtl/>
        </w:rPr>
        <w:t xml:space="preserve">הנאשם אינו מפנים את חומרת מעשיו ואינו מקבל אחריות מלאה עליהם. </w:t>
      </w: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בהתחשב במכלול הנסיבות, אני מקבלת את עמדת הצדדים, לפיה ייגזר דינו של הנאשם בתחתית מתחם העונש ההולם. </w:t>
      </w:r>
    </w:p>
    <w:p w:rsidR="008942F9" w:rsidRPr="001E3304" w:rsidRDefault="008942F9" w:rsidP="008942F9">
      <w:pPr>
        <w:spacing w:line="360" w:lineRule="auto"/>
        <w:jc w:val="both"/>
        <w:rPr>
          <w:rFonts w:ascii="Arial" w:hAnsi="Arial"/>
          <w:sz w:val="28"/>
          <w:rtl/>
        </w:rPr>
      </w:pPr>
    </w:p>
    <w:p w:rsidR="008942F9" w:rsidRDefault="008942F9" w:rsidP="008942F9">
      <w:pPr>
        <w:spacing w:line="360" w:lineRule="auto"/>
        <w:jc w:val="both"/>
        <w:rPr>
          <w:rFonts w:ascii="Arial" w:hAnsi="Arial"/>
          <w:sz w:val="28"/>
          <w:rtl/>
        </w:rPr>
      </w:pPr>
      <w:r w:rsidRPr="001E3304">
        <w:rPr>
          <w:rFonts w:ascii="Arial" w:hAnsi="Arial"/>
          <w:sz w:val="28"/>
          <w:rtl/>
        </w:rPr>
        <w:t>1</w:t>
      </w:r>
      <w:r>
        <w:rPr>
          <w:rFonts w:ascii="Arial" w:hAnsi="Arial" w:hint="cs"/>
          <w:sz w:val="28"/>
          <w:rtl/>
        </w:rPr>
        <w:t>5</w:t>
      </w:r>
      <w:r w:rsidRPr="001E3304">
        <w:rPr>
          <w:rFonts w:ascii="Arial" w:hAnsi="Arial"/>
          <w:sz w:val="28"/>
          <w:rtl/>
        </w:rPr>
        <w:t xml:space="preserve">. </w:t>
      </w:r>
      <w:r w:rsidRPr="001E3304">
        <w:rPr>
          <w:rFonts w:ascii="Arial" w:hAnsi="Arial"/>
          <w:sz w:val="28"/>
          <w:rtl/>
        </w:rPr>
        <w:tab/>
        <w:t>נוכח האמור לעיל, אני דנה את הנאשם כמפורט להלן:</w:t>
      </w:r>
    </w:p>
    <w:p w:rsidR="008942F9" w:rsidRPr="001E3304" w:rsidRDefault="008942F9" w:rsidP="008942F9">
      <w:pPr>
        <w:spacing w:line="360" w:lineRule="auto"/>
        <w:jc w:val="both"/>
        <w:rPr>
          <w:rFonts w:ascii="Arial" w:hAnsi="Arial"/>
          <w:sz w:val="28"/>
          <w:rtl/>
        </w:rPr>
      </w:pPr>
    </w:p>
    <w:p w:rsidR="008942F9" w:rsidRDefault="008942F9" w:rsidP="008942F9">
      <w:pPr>
        <w:spacing w:line="360" w:lineRule="auto"/>
        <w:jc w:val="both"/>
        <w:rPr>
          <w:rFonts w:ascii="Arial" w:hAnsi="Arial"/>
          <w:sz w:val="28"/>
          <w:rtl/>
        </w:rPr>
      </w:pPr>
      <w:r w:rsidRPr="001E3304">
        <w:rPr>
          <w:rFonts w:ascii="Arial" w:hAnsi="Arial"/>
          <w:sz w:val="28"/>
          <w:rtl/>
        </w:rPr>
        <w:t xml:space="preserve">א. מאסר בפועל למשך 45 חודשים, החל מיום מעצרו 19.3.2019. </w:t>
      </w:r>
    </w:p>
    <w:p w:rsidR="008942F9" w:rsidRPr="001E3304" w:rsidRDefault="008942F9" w:rsidP="008942F9">
      <w:pPr>
        <w:spacing w:line="360" w:lineRule="auto"/>
        <w:jc w:val="both"/>
        <w:rPr>
          <w:rFonts w:ascii="Arial" w:hAnsi="Arial"/>
          <w:sz w:val="28"/>
          <w:rtl/>
        </w:rPr>
      </w:pPr>
    </w:p>
    <w:p w:rsidR="008942F9" w:rsidRPr="001E3304" w:rsidRDefault="008942F9" w:rsidP="008942F9">
      <w:pPr>
        <w:spacing w:line="360" w:lineRule="auto"/>
        <w:jc w:val="both"/>
        <w:rPr>
          <w:rFonts w:ascii="Arial" w:hAnsi="Arial"/>
          <w:sz w:val="28"/>
          <w:rtl/>
        </w:rPr>
      </w:pPr>
      <w:r w:rsidRPr="001E3304">
        <w:rPr>
          <w:rFonts w:ascii="Arial" w:hAnsi="Arial"/>
          <w:sz w:val="28"/>
          <w:rtl/>
        </w:rPr>
        <w:t xml:space="preserve">ב. מאסר על תנאי של 8 חודשים, אותו לא ירצה הנאשם אלא אם יעבור, תוך שלוש שנים מיום שחרורו מהמאסר, כל עבירת נשק מסוג פשע. </w:t>
      </w:r>
    </w:p>
    <w:p w:rsidR="008942F9" w:rsidRPr="001E3304" w:rsidRDefault="008942F9" w:rsidP="008942F9">
      <w:pPr>
        <w:spacing w:line="360" w:lineRule="auto"/>
        <w:jc w:val="both"/>
        <w:rPr>
          <w:rFonts w:ascii="Arial" w:hAnsi="Arial"/>
          <w:sz w:val="28"/>
          <w:rtl/>
        </w:rPr>
      </w:pPr>
    </w:p>
    <w:p w:rsidR="008942F9" w:rsidRPr="007937A7" w:rsidRDefault="008942F9" w:rsidP="008942F9">
      <w:pPr>
        <w:spacing w:line="360" w:lineRule="auto"/>
        <w:jc w:val="both"/>
        <w:rPr>
          <w:rFonts w:ascii="Arial" w:hAnsi="Arial"/>
          <w:b/>
          <w:bCs/>
          <w:sz w:val="28"/>
          <w:rtl/>
        </w:rPr>
      </w:pPr>
      <w:r w:rsidRPr="007937A7">
        <w:rPr>
          <w:rFonts w:ascii="Arial" w:hAnsi="Arial"/>
          <w:b/>
          <w:bCs/>
          <w:sz w:val="28"/>
          <w:rtl/>
        </w:rPr>
        <w:t xml:space="preserve">זכות ערעור לבית המשפט העליון בתוך 45 יום מהיום. </w:t>
      </w:r>
    </w:p>
    <w:p w:rsidR="008942F9" w:rsidRPr="001E3304" w:rsidRDefault="008942F9" w:rsidP="008942F9">
      <w:pPr>
        <w:spacing w:line="360" w:lineRule="auto"/>
        <w:jc w:val="both"/>
        <w:rPr>
          <w:rFonts w:ascii="Arial" w:hAnsi="Arial"/>
          <w:sz w:val="28"/>
          <w:rtl/>
        </w:rPr>
      </w:pPr>
    </w:p>
    <w:p w:rsidR="008942F9" w:rsidRPr="001E3304" w:rsidRDefault="008942F9" w:rsidP="008942F9">
      <w:pPr>
        <w:spacing w:line="360" w:lineRule="auto"/>
        <w:jc w:val="both"/>
        <w:rPr>
          <w:rFonts w:ascii="Arial" w:hAnsi="Arial"/>
          <w:b/>
          <w:bCs/>
          <w:sz w:val="28"/>
          <w:u w:val="single"/>
          <w:rtl/>
        </w:rPr>
      </w:pPr>
      <w:r w:rsidRPr="001E3304">
        <w:rPr>
          <w:rFonts w:ascii="Arial" w:hAnsi="Arial"/>
          <w:b/>
          <w:bCs/>
          <w:sz w:val="28"/>
          <w:u w:val="single"/>
          <w:rtl/>
        </w:rPr>
        <w:t xml:space="preserve">המזכירות תשלח העתק לשירות המבחן. </w:t>
      </w:r>
    </w:p>
    <w:p w:rsidR="008942F9" w:rsidRPr="001E3304" w:rsidRDefault="008942F9" w:rsidP="008942F9">
      <w:pPr>
        <w:spacing w:line="360" w:lineRule="auto"/>
        <w:jc w:val="both"/>
        <w:rPr>
          <w:rFonts w:ascii="Arial" w:hAnsi="Arial"/>
          <w:sz w:val="28"/>
          <w:rtl/>
        </w:rPr>
      </w:pPr>
    </w:p>
    <w:p w:rsidR="008942F9" w:rsidRPr="00A65C7C" w:rsidRDefault="008942F9" w:rsidP="008942F9">
      <w:pPr>
        <w:rPr>
          <w:rStyle w:val="FrankRuehl14"/>
          <w:rtl/>
        </w:rPr>
      </w:pPr>
    </w:p>
    <w:p w:rsidR="008942F9" w:rsidRPr="00A65C7C" w:rsidRDefault="007D3F58" w:rsidP="008942F9">
      <w:pPr>
        <w:ind w:left="5040"/>
        <w:rPr>
          <w:rStyle w:val="FrankRuehl14"/>
          <w:rtl/>
        </w:rPr>
      </w:pPr>
      <w:bookmarkStart w:id="7" w:name="Nitan"/>
      <w:r w:rsidRPr="007D3F58">
        <w:rPr>
          <w:rFonts w:ascii="Arial" w:hAnsi="Arial"/>
          <w:color w:val="FFFFFF"/>
          <w:sz w:val="2"/>
          <w:szCs w:val="2"/>
          <w:rtl/>
        </w:rPr>
        <w:t>5129371</w:t>
      </w:r>
      <w:r>
        <w:rPr>
          <w:rFonts w:ascii="Arial" w:hAnsi="Arial"/>
          <w:rtl/>
        </w:rPr>
        <w:t xml:space="preserve">ניתן היום,  ז' אדר תש"פ, 03 מרץ 2020, במעמד הצדדים. </w:t>
      </w:r>
      <w:bookmarkEnd w:id="7"/>
    </w:p>
    <w:tbl>
      <w:tblPr>
        <w:bidiVisual/>
        <w:tblW w:w="0" w:type="auto"/>
        <w:tblInd w:w="5040" w:type="dxa"/>
        <w:tblLook w:val="01E0" w:firstRow="1" w:lastRow="1" w:firstColumn="1" w:lastColumn="1" w:noHBand="0" w:noVBand="0"/>
      </w:tblPr>
      <w:tblGrid>
        <w:gridCol w:w="2869"/>
      </w:tblGrid>
      <w:tr w:rsidR="008942F9" w:rsidTr="008942F9">
        <w:tc>
          <w:tcPr>
            <w:tcW w:w="2869" w:type="dxa"/>
            <w:tcBorders>
              <w:top w:val="nil"/>
              <w:left w:val="nil"/>
              <w:bottom w:val="single" w:sz="4" w:space="0" w:color="auto"/>
              <w:right w:val="nil"/>
            </w:tcBorders>
            <w:shd w:val="clear" w:color="auto" w:fill="auto"/>
            <w:vAlign w:val="center"/>
          </w:tcPr>
          <w:p w:rsidR="008942F9" w:rsidRPr="007D3F58" w:rsidRDefault="007D3F58" w:rsidP="008942F9">
            <w:pPr>
              <w:jc w:val="center"/>
              <w:rPr>
                <w:rFonts w:ascii="Courier New" w:hAnsi="Courier New"/>
                <w:b/>
                <w:bCs/>
                <w:color w:val="FFFFFF"/>
                <w:sz w:val="2"/>
                <w:szCs w:val="2"/>
                <w:rtl/>
              </w:rPr>
            </w:pPr>
            <w:r w:rsidRPr="007D3F58">
              <w:rPr>
                <w:rFonts w:ascii="Courier New" w:hAnsi="Courier New"/>
                <w:b/>
                <w:bCs/>
                <w:color w:val="FFFFFF"/>
                <w:sz w:val="2"/>
                <w:szCs w:val="2"/>
                <w:rtl/>
              </w:rPr>
              <w:t>54678313</w:t>
            </w:r>
          </w:p>
        </w:tc>
      </w:tr>
      <w:tr w:rsidR="008942F9" w:rsidTr="008942F9">
        <w:tc>
          <w:tcPr>
            <w:tcW w:w="2869" w:type="dxa"/>
            <w:tcBorders>
              <w:top w:val="single" w:sz="4" w:space="0" w:color="auto"/>
              <w:left w:val="nil"/>
              <w:bottom w:val="nil"/>
              <w:right w:val="nil"/>
            </w:tcBorders>
            <w:shd w:val="clear" w:color="auto" w:fill="auto"/>
          </w:tcPr>
          <w:p w:rsidR="008942F9" w:rsidRPr="008942F9" w:rsidRDefault="008942F9" w:rsidP="008942F9">
            <w:pPr>
              <w:pStyle w:val="3"/>
              <w:spacing w:line="240" w:lineRule="auto"/>
              <w:jc w:val="center"/>
              <w:rPr>
                <w:sz w:val="28"/>
                <w:rtl/>
              </w:rPr>
            </w:pPr>
            <w:r w:rsidRPr="008942F9">
              <w:rPr>
                <w:rFonts w:hint="cs"/>
                <w:sz w:val="28"/>
                <w:rtl/>
              </w:rPr>
              <w:t>רבקה פרידמן-פלדמן, שופטת</w:t>
            </w:r>
          </w:p>
        </w:tc>
      </w:tr>
    </w:tbl>
    <w:p w:rsidR="008942F9" w:rsidRDefault="008942F9" w:rsidP="008942F9">
      <w:pPr>
        <w:jc w:val="center"/>
        <w:rPr>
          <w:rtl/>
        </w:rPr>
      </w:pPr>
    </w:p>
    <w:p w:rsidR="008942F9" w:rsidRPr="00A65C7C" w:rsidRDefault="008942F9" w:rsidP="008942F9">
      <w:pPr>
        <w:rPr>
          <w:rStyle w:val="FrankRuehl14"/>
          <w:rtl/>
        </w:rPr>
      </w:pPr>
    </w:p>
    <w:p w:rsidR="008942F9" w:rsidRDefault="008942F9" w:rsidP="008942F9">
      <w:pPr>
        <w:pStyle w:val="a3"/>
        <w:jc w:val="center"/>
        <w:rPr>
          <w:rtl/>
        </w:rPr>
      </w:pPr>
    </w:p>
    <w:p w:rsidR="00317D80" w:rsidRPr="007D3F58" w:rsidRDefault="00317D80" w:rsidP="007D3F58">
      <w:pPr>
        <w:keepNext/>
        <w:rPr>
          <w:rFonts w:ascii="David" w:hAnsi="David"/>
          <w:color w:val="000000"/>
          <w:sz w:val="22"/>
          <w:szCs w:val="22"/>
          <w:rtl/>
        </w:rPr>
      </w:pPr>
    </w:p>
    <w:p w:rsidR="007D3F58" w:rsidRPr="007D3F58" w:rsidRDefault="007D3F58" w:rsidP="007D3F58">
      <w:pPr>
        <w:keepNext/>
        <w:rPr>
          <w:rFonts w:ascii="David" w:hAnsi="David"/>
          <w:color w:val="000000"/>
          <w:sz w:val="22"/>
          <w:szCs w:val="22"/>
          <w:rtl/>
        </w:rPr>
      </w:pPr>
      <w:r w:rsidRPr="007D3F58">
        <w:rPr>
          <w:rFonts w:ascii="David" w:hAnsi="David"/>
          <w:color w:val="000000"/>
          <w:sz w:val="22"/>
          <w:szCs w:val="22"/>
          <w:rtl/>
        </w:rPr>
        <w:t>רבקה פרידמן פלדמן 54678313</w:t>
      </w:r>
    </w:p>
    <w:p w:rsidR="007D3F58" w:rsidRDefault="007D3F58" w:rsidP="007D3F58">
      <w:r w:rsidRPr="007D3F58">
        <w:rPr>
          <w:color w:val="000000"/>
          <w:rtl/>
        </w:rPr>
        <w:t>נוסח מסמך זה כפוף לשינויי ניסוח ועריכה</w:t>
      </w:r>
    </w:p>
    <w:p w:rsidR="007D3F58" w:rsidRDefault="007D3F58" w:rsidP="007D3F58">
      <w:pPr>
        <w:rPr>
          <w:rtl/>
        </w:rPr>
      </w:pPr>
    </w:p>
    <w:p w:rsidR="007D3F58" w:rsidRDefault="007D3F58" w:rsidP="007D3F58">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rsidR="007D3F58" w:rsidRPr="007D3F58" w:rsidRDefault="007D3F58" w:rsidP="007D3F58">
      <w:pPr>
        <w:jc w:val="center"/>
        <w:rPr>
          <w:color w:val="0000FF"/>
          <w:u w:val="single"/>
        </w:rPr>
      </w:pPr>
    </w:p>
    <w:sectPr w:rsidR="007D3F58" w:rsidRPr="007D3F58" w:rsidSect="007D3F58">
      <w:headerReference w:type="even" r:id="rId34"/>
      <w:headerReference w:type="default" r:id="rId35"/>
      <w:footerReference w:type="even" r:id="rId36"/>
      <w:footerReference w:type="default" r:id="rId37"/>
      <w:pgSz w:w="11907" w:h="16840" w:code="9"/>
      <w:pgMar w:top="1701" w:right="1701" w:bottom="156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45EE" w:rsidRDefault="005C45EE" w:rsidP="00462217">
      <w:r>
        <w:separator/>
      </w:r>
    </w:p>
  </w:endnote>
  <w:endnote w:type="continuationSeparator" w:id="0">
    <w:p w:rsidR="005C45EE" w:rsidRDefault="005C45EE" w:rsidP="00462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3F58" w:rsidRDefault="007D3F58" w:rsidP="007D3F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rsidR="007D3F58" w:rsidRPr="007D3F58" w:rsidRDefault="007D3F58" w:rsidP="007D3F5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3F58" w:rsidRDefault="007D3F58" w:rsidP="007D3F5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1B3FE4">
      <w:rPr>
        <w:rFonts w:ascii="FrankRuehl" w:hAnsi="FrankRuehl" w:cs="FrankRuehl"/>
        <w:rtl/>
      </w:rPr>
      <w:t>1</w:t>
    </w:r>
    <w:r>
      <w:rPr>
        <w:rFonts w:ascii="FrankRuehl" w:hAnsi="FrankRuehl" w:cs="FrankRuehl"/>
        <w:rtl/>
      </w:rPr>
      <w:fldChar w:fldCharType="end"/>
    </w:r>
  </w:p>
  <w:p w:rsidR="00C472AC" w:rsidRPr="007D3F58" w:rsidRDefault="007D3F58" w:rsidP="007D3F58">
    <w:pPr>
      <w:pStyle w:val="a5"/>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45EE" w:rsidRDefault="005C45EE" w:rsidP="00462217">
      <w:r>
        <w:separator/>
      </w:r>
    </w:p>
  </w:footnote>
  <w:footnote w:type="continuationSeparator" w:id="0">
    <w:p w:rsidR="005C45EE" w:rsidRDefault="005C45EE" w:rsidP="004622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3F58" w:rsidRPr="007D3F58" w:rsidRDefault="007D3F58" w:rsidP="007D3F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1316-04-19</w:t>
    </w:r>
    <w:r>
      <w:rPr>
        <w:rFonts w:ascii="David" w:hAnsi="David"/>
        <w:color w:val="000000"/>
        <w:sz w:val="22"/>
        <w:szCs w:val="22"/>
        <w:rtl/>
      </w:rPr>
      <w:tab/>
      <w:t xml:space="preserve"> מדינת ישראל נ' עמרו כבאגה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3F58" w:rsidRPr="007D3F58" w:rsidRDefault="007D3F58" w:rsidP="007D3F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1316-04-19</w:t>
    </w:r>
    <w:r>
      <w:rPr>
        <w:rFonts w:ascii="David" w:hAnsi="David"/>
        <w:color w:val="000000"/>
        <w:sz w:val="22"/>
        <w:szCs w:val="22"/>
        <w:rtl/>
      </w:rPr>
      <w:tab/>
      <w:t xml:space="preserve"> מדינת ישראל נ' עמרו כבאגה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942F9"/>
    <w:rsid w:val="001473BD"/>
    <w:rsid w:val="001B3FE4"/>
    <w:rsid w:val="00317D80"/>
    <w:rsid w:val="00462217"/>
    <w:rsid w:val="005C45EE"/>
    <w:rsid w:val="007D3F58"/>
    <w:rsid w:val="007F10B1"/>
    <w:rsid w:val="008942F9"/>
    <w:rsid w:val="00C472AC"/>
    <w:rsid w:val="00C501AB"/>
    <w:rsid w:val="00CD43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795E885-7257-4AC4-AB6B-0F72D974B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942F9"/>
    <w:pPr>
      <w:bidi/>
    </w:pPr>
    <w:rPr>
      <w:rFonts w:ascii="Times New Roman" w:eastAsia="Times New Roman" w:hAnsi="Times New Roman" w:cs="David"/>
      <w:noProof/>
      <w:sz w:val="24"/>
      <w:szCs w:val="24"/>
    </w:rPr>
  </w:style>
  <w:style w:type="paragraph" w:styleId="3">
    <w:name w:val="heading 3"/>
    <w:basedOn w:val="a"/>
    <w:next w:val="a"/>
    <w:link w:val="30"/>
    <w:qFormat/>
    <w:rsid w:val="008942F9"/>
    <w:pPr>
      <w:keepNext/>
      <w:spacing w:line="360" w:lineRule="auto"/>
      <w:jc w:val="both"/>
      <w:outlineLvl w:val="2"/>
    </w:pPr>
    <w:rPr>
      <w:b/>
      <w:bCs/>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8942F9"/>
    <w:rPr>
      <w:rFonts w:ascii="Times New Roman" w:eastAsia="Times New Roman" w:hAnsi="Times New Roman" w:cs="David"/>
      <w:b/>
      <w:bCs/>
      <w:noProof/>
      <w:sz w:val="20"/>
      <w:szCs w:val="24"/>
      <w:lang w:eastAsia="he-IL"/>
    </w:rPr>
  </w:style>
  <w:style w:type="paragraph" w:styleId="a3">
    <w:name w:val="header"/>
    <w:basedOn w:val="a"/>
    <w:link w:val="a4"/>
    <w:rsid w:val="008942F9"/>
    <w:pPr>
      <w:tabs>
        <w:tab w:val="center" w:pos="4153"/>
        <w:tab w:val="right" w:pos="8306"/>
      </w:tabs>
    </w:pPr>
  </w:style>
  <w:style w:type="character" w:customStyle="1" w:styleId="a4">
    <w:name w:val="כותרת עליונה תו"/>
    <w:link w:val="a3"/>
    <w:rsid w:val="008942F9"/>
    <w:rPr>
      <w:rFonts w:ascii="Times New Roman" w:eastAsia="Times New Roman" w:hAnsi="Times New Roman" w:cs="David"/>
      <w:noProof/>
      <w:sz w:val="24"/>
      <w:szCs w:val="24"/>
    </w:rPr>
  </w:style>
  <w:style w:type="paragraph" w:styleId="a5">
    <w:name w:val="footer"/>
    <w:basedOn w:val="a"/>
    <w:link w:val="a6"/>
    <w:rsid w:val="008942F9"/>
    <w:pPr>
      <w:tabs>
        <w:tab w:val="center" w:pos="4153"/>
        <w:tab w:val="right" w:pos="8306"/>
      </w:tabs>
    </w:pPr>
  </w:style>
  <w:style w:type="character" w:customStyle="1" w:styleId="a6">
    <w:name w:val="כותרת תחתונה תו"/>
    <w:link w:val="a5"/>
    <w:rsid w:val="008942F9"/>
    <w:rPr>
      <w:rFonts w:ascii="Times New Roman" w:eastAsia="Times New Roman" w:hAnsi="Times New Roman" w:cs="David"/>
      <w:noProof/>
      <w:sz w:val="24"/>
      <w:szCs w:val="24"/>
    </w:rPr>
  </w:style>
  <w:style w:type="table" w:styleId="a7">
    <w:name w:val="Table Grid"/>
    <w:basedOn w:val="a1"/>
    <w:rsid w:val="008942F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ialFrankRuehl14">
    <w:name w:val="סגנון (לטיני) Arial (עברית ושפות אחרות) FrankRuehl ‏14 נק'"/>
    <w:rsid w:val="008942F9"/>
    <w:rPr>
      <w:rFonts w:ascii="Arial" w:hAnsi="Arial" w:cs="David"/>
      <w:sz w:val="28"/>
      <w:szCs w:val="24"/>
    </w:rPr>
  </w:style>
  <w:style w:type="character" w:customStyle="1" w:styleId="FrankRuehl14">
    <w:name w:val="סגנון (עברית ושפות אחרות) FrankRuehl ‏14 נק'"/>
    <w:rsid w:val="008942F9"/>
    <w:rPr>
      <w:rFonts w:cs="David"/>
      <w:sz w:val="28"/>
      <w:szCs w:val="24"/>
    </w:rPr>
  </w:style>
  <w:style w:type="character" w:styleId="a8">
    <w:name w:val="page number"/>
    <w:rsid w:val="007D3F58"/>
  </w:style>
  <w:style w:type="character" w:styleId="Hyperlink">
    <w:name w:val="Hyperlink"/>
    <w:rsid w:val="007D3F5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3877165" TargetMode="External"/><Relationship Id="rId26" Type="http://schemas.openxmlformats.org/officeDocument/2006/relationships/hyperlink" Target="http://www.nevo.co.il/case/13090914" TargetMode="External"/><Relationship Id="rId39" Type="http://schemas.openxmlformats.org/officeDocument/2006/relationships/theme" Target="theme/theme1.xml"/><Relationship Id="rId21" Type="http://schemas.openxmlformats.org/officeDocument/2006/relationships/hyperlink" Target="http://www.nevo.co.il/case/20007334" TargetMode="External"/><Relationship Id="rId34" Type="http://schemas.openxmlformats.org/officeDocument/2006/relationships/header" Target="header1.xml"/><Relationship Id="rId7" Type="http://schemas.openxmlformats.org/officeDocument/2006/relationships/hyperlink" Target="http://www.nevo.co.il/law/70301/25" TargetMode="External"/><Relationship Id="rId12" Type="http://schemas.openxmlformats.org/officeDocument/2006/relationships/hyperlink" Target="http://www.nevo.co.il/law/70301/25" TargetMode="External"/><Relationship Id="rId17" Type="http://schemas.openxmlformats.org/officeDocument/2006/relationships/hyperlink" Target="http://www.nevo.co.il/law/70301/40c" TargetMode="External"/><Relationship Id="rId25" Type="http://schemas.openxmlformats.org/officeDocument/2006/relationships/hyperlink" Target="http://www.nevo.co.il/case/23750625"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40b" TargetMode="External"/><Relationship Id="rId20" Type="http://schemas.openxmlformats.org/officeDocument/2006/relationships/hyperlink" Target="http://www.nevo.co.il/case/13090914" TargetMode="External"/><Relationship Id="rId29" Type="http://schemas.openxmlformats.org/officeDocument/2006/relationships/hyperlink" Target="http://www.nevo.co.il/case/6054579"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case/21589069" TargetMode="External"/><Relationship Id="rId32" Type="http://schemas.openxmlformats.org/officeDocument/2006/relationships/hyperlink" Target="http://www.nevo.co.il/case/6008999"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3850962" TargetMode="External"/><Relationship Id="rId28" Type="http://schemas.openxmlformats.org/officeDocument/2006/relationships/hyperlink" Target="http://www.nevo.co.il/case/5703734" TargetMode="External"/><Relationship Id="rId36" Type="http://schemas.openxmlformats.org/officeDocument/2006/relationships/footer" Target="footer1.xml"/><Relationship Id="rId10" Type="http://schemas.openxmlformats.org/officeDocument/2006/relationships/hyperlink" Target="http://www.nevo.co.il/law/70301/144.b2" TargetMode="External"/><Relationship Id="rId19" Type="http://schemas.openxmlformats.org/officeDocument/2006/relationships/hyperlink" Target="http://www.nevo.co.il/case/21474520" TargetMode="External"/><Relationship Id="rId31" Type="http://schemas.openxmlformats.org/officeDocument/2006/relationships/hyperlink" Target="http://www.nevo.co.il/case/5962283" TargetMode="External"/><Relationship Id="rId4" Type="http://schemas.openxmlformats.org/officeDocument/2006/relationships/footnotes" Target="footnotes.xml"/><Relationship Id="rId9" Type="http://schemas.openxmlformats.org/officeDocument/2006/relationships/hyperlink" Target="http://www.nevo.co.il/law/70301/40c"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case/21472788" TargetMode="External"/><Relationship Id="rId27" Type="http://schemas.openxmlformats.org/officeDocument/2006/relationships/hyperlink" Target="http://www.nevo.co.il/case/6034921" TargetMode="External"/><Relationship Id="rId30" Type="http://schemas.openxmlformats.org/officeDocument/2006/relationships/hyperlink" Target="http://www.nevo.co.il/case/5699080" TargetMode="External"/><Relationship Id="rId35" Type="http://schemas.openxmlformats.org/officeDocument/2006/relationships/header" Target="header2.xml"/><Relationship Id="rId8" Type="http://schemas.openxmlformats.org/officeDocument/2006/relationships/hyperlink" Target="http://www.nevo.co.il/law/70301/40b"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2477</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14834</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3539061</vt:i4>
      </vt:variant>
      <vt:variant>
        <vt:i4>78</vt:i4>
      </vt:variant>
      <vt:variant>
        <vt:i4>0</vt:i4>
      </vt:variant>
      <vt:variant>
        <vt:i4>5</vt:i4>
      </vt:variant>
      <vt:variant>
        <vt:lpwstr>http://www.nevo.co.il/case/6008999</vt:lpwstr>
      </vt:variant>
      <vt:variant>
        <vt:lpwstr/>
      </vt:variant>
      <vt:variant>
        <vt:i4>3276919</vt:i4>
      </vt:variant>
      <vt:variant>
        <vt:i4>75</vt:i4>
      </vt:variant>
      <vt:variant>
        <vt:i4>0</vt:i4>
      </vt:variant>
      <vt:variant>
        <vt:i4>5</vt:i4>
      </vt:variant>
      <vt:variant>
        <vt:lpwstr>http://www.nevo.co.il/case/5962283</vt:lpwstr>
      </vt:variant>
      <vt:variant>
        <vt:lpwstr/>
      </vt:variant>
      <vt:variant>
        <vt:i4>3932275</vt:i4>
      </vt:variant>
      <vt:variant>
        <vt:i4>72</vt:i4>
      </vt:variant>
      <vt:variant>
        <vt:i4>0</vt:i4>
      </vt:variant>
      <vt:variant>
        <vt:i4>5</vt:i4>
      </vt:variant>
      <vt:variant>
        <vt:lpwstr>http://www.nevo.co.il/case/5699080</vt:lpwstr>
      </vt:variant>
      <vt:variant>
        <vt:lpwstr/>
      </vt:variant>
      <vt:variant>
        <vt:i4>4128887</vt:i4>
      </vt:variant>
      <vt:variant>
        <vt:i4>69</vt:i4>
      </vt:variant>
      <vt:variant>
        <vt:i4>0</vt:i4>
      </vt:variant>
      <vt:variant>
        <vt:i4>5</vt:i4>
      </vt:variant>
      <vt:variant>
        <vt:lpwstr>http://www.nevo.co.il/case/6054579</vt:lpwstr>
      </vt:variant>
      <vt:variant>
        <vt:lpwstr/>
      </vt:variant>
      <vt:variant>
        <vt:i4>3539059</vt:i4>
      </vt:variant>
      <vt:variant>
        <vt:i4>66</vt:i4>
      </vt:variant>
      <vt:variant>
        <vt:i4>0</vt:i4>
      </vt:variant>
      <vt:variant>
        <vt:i4>5</vt:i4>
      </vt:variant>
      <vt:variant>
        <vt:lpwstr>http://www.nevo.co.il/case/5703734</vt:lpwstr>
      </vt:variant>
      <vt:variant>
        <vt:lpwstr/>
      </vt:variant>
      <vt:variant>
        <vt:i4>3997810</vt:i4>
      </vt:variant>
      <vt:variant>
        <vt:i4>63</vt:i4>
      </vt:variant>
      <vt:variant>
        <vt:i4>0</vt:i4>
      </vt:variant>
      <vt:variant>
        <vt:i4>5</vt:i4>
      </vt:variant>
      <vt:variant>
        <vt:lpwstr>http://www.nevo.co.il/case/6034921</vt:lpwstr>
      </vt:variant>
      <vt:variant>
        <vt:lpwstr/>
      </vt:variant>
      <vt:variant>
        <vt:i4>3145847</vt:i4>
      </vt:variant>
      <vt:variant>
        <vt:i4>60</vt:i4>
      </vt:variant>
      <vt:variant>
        <vt:i4>0</vt:i4>
      </vt:variant>
      <vt:variant>
        <vt:i4>5</vt:i4>
      </vt:variant>
      <vt:variant>
        <vt:lpwstr>http://www.nevo.co.il/case/13090914</vt:lpwstr>
      </vt:variant>
      <vt:variant>
        <vt:lpwstr/>
      </vt:variant>
      <vt:variant>
        <vt:i4>3604596</vt:i4>
      </vt:variant>
      <vt:variant>
        <vt:i4>57</vt:i4>
      </vt:variant>
      <vt:variant>
        <vt:i4>0</vt:i4>
      </vt:variant>
      <vt:variant>
        <vt:i4>5</vt:i4>
      </vt:variant>
      <vt:variant>
        <vt:lpwstr>http://www.nevo.co.il/case/23750625</vt:lpwstr>
      </vt:variant>
      <vt:variant>
        <vt:lpwstr/>
      </vt:variant>
      <vt:variant>
        <vt:i4>3670141</vt:i4>
      </vt:variant>
      <vt:variant>
        <vt:i4>54</vt:i4>
      </vt:variant>
      <vt:variant>
        <vt:i4>0</vt:i4>
      </vt:variant>
      <vt:variant>
        <vt:i4>5</vt:i4>
      </vt:variant>
      <vt:variant>
        <vt:lpwstr>http://www.nevo.co.il/case/21589069</vt:lpwstr>
      </vt:variant>
      <vt:variant>
        <vt:lpwstr/>
      </vt:variant>
      <vt:variant>
        <vt:i4>3932283</vt:i4>
      </vt:variant>
      <vt:variant>
        <vt:i4>51</vt:i4>
      </vt:variant>
      <vt:variant>
        <vt:i4>0</vt:i4>
      </vt:variant>
      <vt:variant>
        <vt:i4>5</vt:i4>
      </vt:variant>
      <vt:variant>
        <vt:lpwstr>http://www.nevo.co.il/case/23850962</vt:lpwstr>
      </vt:variant>
      <vt:variant>
        <vt:lpwstr/>
      </vt:variant>
      <vt:variant>
        <vt:i4>3932277</vt:i4>
      </vt:variant>
      <vt:variant>
        <vt:i4>48</vt:i4>
      </vt:variant>
      <vt:variant>
        <vt:i4>0</vt:i4>
      </vt:variant>
      <vt:variant>
        <vt:i4>5</vt:i4>
      </vt:variant>
      <vt:variant>
        <vt:lpwstr>http://www.nevo.co.il/case/21472788</vt:lpwstr>
      </vt:variant>
      <vt:variant>
        <vt:lpwstr/>
      </vt:variant>
      <vt:variant>
        <vt:i4>3539063</vt:i4>
      </vt:variant>
      <vt:variant>
        <vt:i4>45</vt:i4>
      </vt:variant>
      <vt:variant>
        <vt:i4>0</vt:i4>
      </vt:variant>
      <vt:variant>
        <vt:i4>5</vt:i4>
      </vt:variant>
      <vt:variant>
        <vt:lpwstr>http://www.nevo.co.il/case/20007334</vt:lpwstr>
      </vt:variant>
      <vt:variant>
        <vt:lpwstr/>
      </vt:variant>
      <vt:variant>
        <vt:i4>3145847</vt:i4>
      </vt:variant>
      <vt:variant>
        <vt:i4>42</vt:i4>
      </vt:variant>
      <vt:variant>
        <vt:i4>0</vt:i4>
      </vt:variant>
      <vt:variant>
        <vt:i4>5</vt:i4>
      </vt:variant>
      <vt:variant>
        <vt:lpwstr>http://www.nevo.co.il/case/13090914</vt:lpwstr>
      </vt:variant>
      <vt:variant>
        <vt:lpwstr/>
      </vt:variant>
      <vt:variant>
        <vt:i4>3145847</vt:i4>
      </vt:variant>
      <vt:variant>
        <vt:i4>39</vt:i4>
      </vt:variant>
      <vt:variant>
        <vt:i4>0</vt:i4>
      </vt:variant>
      <vt:variant>
        <vt:i4>5</vt:i4>
      </vt:variant>
      <vt:variant>
        <vt:lpwstr>http://www.nevo.co.il/case/21474520</vt:lpwstr>
      </vt:variant>
      <vt:variant>
        <vt:lpwstr/>
      </vt:variant>
      <vt:variant>
        <vt:i4>3866737</vt:i4>
      </vt:variant>
      <vt:variant>
        <vt:i4>36</vt:i4>
      </vt:variant>
      <vt:variant>
        <vt:i4>0</vt:i4>
      </vt:variant>
      <vt:variant>
        <vt:i4>5</vt:i4>
      </vt:variant>
      <vt:variant>
        <vt:lpwstr>http://www.nevo.co.il/case/23877165</vt:lpwstr>
      </vt:variant>
      <vt:variant>
        <vt:lpwstr/>
      </vt:variant>
      <vt:variant>
        <vt:i4>6619233</vt:i4>
      </vt:variant>
      <vt:variant>
        <vt:i4>33</vt:i4>
      </vt:variant>
      <vt:variant>
        <vt:i4>0</vt:i4>
      </vt:variant>
      <vt:variant>
        <vt:i4>5</vt:i4>
      </vt:variant>
      <vt:variant>
        <vt:lpwstr>http://www.nevo.co.il/law/70301/40c</vt:lpwstr>
      </vt:variant>
      <vt:variant>
        <vt:lpwstr/>
      </vt:variant>
      <vt:variant>
        <vt:i4>6619233</vt:i4>
      </vt:variant>
      <vt:variant>
        <vt:i4>30</vt:i4>
      </vt:variant>
      <vt:variant>
        <vt:i4>0</vt:i4>
      </vt:variant>
      <vt:variant>
        <vt:i4>5</vt:i4>
      </vt:variant>
      <vt:variant>
        <vt:lpwstr>http://www.nevo.co.il/law/70301/40b</vt:lpwstr>
      </vt:variant>
      <vt:variant>
        <vt:lpwstr/>
      </vt:variant>
      <vt:variant>
        <vt:i4>7995492</vt:i4>
      </vt:variant>
      <vt:variant>
        <vt:i4>27</vt:i4>
      </vt:variant>
      <vt:variant>
        <vt:i4>0</vt:i4>
      </vt:variant>
      <vt:variant>
        <vt:i4>5</vt:i4>
      </vt:variant>
      <vt:variant>
        <vt:lpwstr>http://www.nevo.co.il/law/70301</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7995492</vt:i4>
      </vt:variant>
      <vt:variant>
        <vt:i4>21</vt:i4>
      </vt:variant>
      <vt:variant>
        <vt:i4>0</vt:i4>
      </vt:variant>
      <vt:variant>
        <vt:i4>5</vt:i4>
      </vt:variant>
      <vt:variant>
        <vt:lpwstr>http://www.nevo.co.il/law/70301</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2024-01-07T12:10:00Z</dcterms:created>
  <dcterms:modified xsi:type="dcterms:W3CDTF">2024-01-07T12:10:00Z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1316</vt:lpwstr>
  </property>
  <property fmtid="{D5CDD505-2E9C-101B-9397-08002B2CF9AE}" pid="6" name="NEWPARTB">
    <vt:lpwstr>04</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עמרו כבאגה</vt:lpwstr>
  </property>
  <property fmtid="{D5CDD505-2E9C-101B-9397-08002B2CF9AE}" pid="10" name="JUDGE">
    <vt:lpwstr>רבקה פרידמן פלדמן</vt:lpwstr>
  </property>
  <property fmtid="{D5CDD505-2E9C-101B-9397-08002B2CF9AE}" pid="11" name="CITY">
    <vt:lpwstr>י-ם</vt:lpwstr>
  </property>
  <property fmtid="{D5CDD505-2E9C-101B-9397-08002B2CF9AE}" pid="12" name="DATE">
    <vt:lpwstr>20200303</vt:lpwstr>
  </property>
  <property fmtid="{D5CDD505-2E9C-101B-9397-08002B2CF9AE}" pid="13" name="TYPE_N_DATE">
    <vt:lpwstr>39020200303</vt:lpwstr>
  </property>
  <property fmtid="{D5CDD505-2E9C-101B-9397-08002B2CF9AE}" pid="14" name="CASESLISTTMP1">
    <vt:lpwstr>23877165;21474520;13090914:2;20007334;21472788;23850962;21589069;23750625;6034921;5703734;6054579;5699080;5962283;6008999</vt:lpwstr>
  </property>
  <property fmtid="{D5CDD505-2E9C-101B-9397-08002B2CF9AE}" pid="15" name="WORDNUMPAGES">
    <vt:lpwstr>7</vt:lpwstr>
  </property>
  <property fmtid="{D5CDD505-2E9C-101B-9397-08002B2CF9AE}" pid="16" name="TYPE_ABS_DATE">
    <vt:lpwstr>390020200303</vt:lpwstr>
  </property>
  <property fmtid="{D5CDD505-2E9C-101B-9397-08002B2CF9AE}" pid="17" name="ISABSTRACT">
    <vt:lpwstr>Y</vt:lpwstr>
  </property>
  <property fmtid="{D5CDD505-2E9C-101B-9397-08002B2CF9AE}" pid="18" name="LAWLISTTMP1">
    <vt:lpwstr>70301/144.b2:2;025;040b;040c</vt:lpwstr>
  </property>
</Properties>
</file>