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131"/>
        <w:gridCol w:w="3730"/>
      </w:tblGrid>
      <w:tr w:rsidR="00B91C00" w:rsidRPr="00471E3E" w14:paraId="4E4E38B1" w14:textId="77777777" w:rsidTr="000A298E">
        <w:trPr>
          <w:trHeight w:hRule="exact" w:val="418"/>
          <w:jc w:val="center"/>
        </w:trPr>
        <w:tc>
          <w:tcPr>
            <w:tcW w:w="8861" w:type="dxa"/>
            <w:gridSpan w:val="2"/>
          </w:tcPr>
          <w:p w14:paraId="46F55F1A" w14:textId="77777777" w:rsidR="00B91C00" w:rsidRPr="00471E3E" w:rsidRDefault="00B91C00" w:rsidP="000A298E">
            <w:pPr>
              <w:pStyle w:val="a3"/>
              <w:jc w:val="center"/>
              <w:rPr>
                <w:rFonts w:ascii="Tahoma" w:hAnsi="Tahoma"/>
                <w:color w:val="000080"/>
                <w:sz w:val="32"/>
                <w:szCs w:val="32"/>
                <w:rtl/>
              </w:rPr>
            </w:pPr>
            <w:r w:rsidRPr="00471E3E">
              <w:rPr>
                <w:rFonts w:ascii="Tahoma" w:hAnsi="Tahoma"/>
                <w:b/>
                <w:bCs/>
                <w:color w:val="000080"/>
                <w:sz w:val="32"/>
                <w:szCs w:val="32"/>
                <w:rtl/>
              </w:rPr>
              <w:t>בית המשפט המחוזי בתל אביב - יפו</w:t>
            </w:r>
          </w:p>
        </w:tc>
      </w:tr>
      <w:tr w:rsidR="00B91C00" w:rsidRPr="00471E3E" w14:paraId="00181C11" w14:textId="77777777" w:rsidTr="000A298E">
        <w:trPr>
          <w:trHeight w:val="337"/>
          <w:jc w:val="center"/>
        </w:trPr>
        <w:tc>
          <w:tcPr>
            <w:tcW w:w="5131" w:type="dxa"/>
          </w:tcPr>
          <w:p w14:paraId="29E1CCBF" w14:textId="77777777" w:rsidR="00B91C00" w:rsidRPr="00471E3E" w:rsidRDefault="00B91C00" w:rsidP="000A298E">
            <w:pPr>
              <w:rPr>
                <w:rFonts w:ascii="David" w:hAnsi="David"/>
                <w:b/>
                <w:bCs/>
                <w:rtl/>
              </w:rPr>
            </w:pPr>
            <w:r w:rsidRPr="00471E3E">
              <w:rPr>
                <w:rFonts w:ascii="David" w:hAnsi="David"/>
                <w:b/>
                <w:bCs/>
                <w:rtl/>
              </w:rPr>
              <w:t>ת"פ 39500-07-20 מדינת ישראל נ' אסרף</w:t>
            </w:r>
          </w:p>
          <w:p w14:paraId="56788B2F" w14:textId="77777777" w:rsidR="00B91C00" w:rsidRPr="00471E3E" w:rsidRDefault="00B91C00" w:rsidP="000A298E">
            <w:pPr>
              <w:pStyle w:val="a3"/>
              <w:rPr>
                <w:rFonts w:ascii="David" w:hAnsi="David"/>
                <w:b/>
                <w:bCs/>
                <w:rtl/>
              </w:rPr>
            </w:pPr>
          </w:p>
        </w:tc>
        <w:tc>
          <w:tcPr>
            <w:tcW w:w="3730" w:type="dxa"/>
          </w:tcPr>
          <w:p w14:paraId="69807512" w14:textId="77777777" w:rsidR="00B91C00" w:rsidRPr="00471E3E" w:rsidRDefault="00B91C00" w:rsidP="000A298E">
            <w:pPr>
              <w:pStyle w:val="a3"/>
              <w:jc w:val="right"/>
              <w:rPr>
                <w:rFonts w:ascii="David" w:hAnsi="David"/>
                <w:b/>
                <w:bCs/>
                <w:rtl/>
              </w:rPr>
            </w:pPr>
            <w:r w:rsidRPr="00471E3E">
              <w:rPr>
                <w:rFonts w:ascii="David" w:hAnsi="David"/>
                <w:b/>
                <w:bCs/>
                <w:rtl/>
              </w:rPr>
              <w:t xml:space="preserve">23 </w:t>
            </w:r>
            <w:r w:rsidRPr="00471E3E">
              <w:rPr>
                <w:rFonts w:ascii="David" w:hAnsi="David" w:hint="cs"/>
                <w:b/>
                <w:bCs/>
                <w:rtl/>
              </w:rPr>
              <w:t>ב</w:t>
            </w:r>
            <w:r w:rsidRPr="00471E3E">
              <w:rPr>
                <w:rFonts w:ascii="David" w:hAnsi="David"/>
                <w:b/>
                <w:bCs/>
                <w:rtl/>
              </w:rPr>
              <w:t>פברואר 2021</w:t>
            </w:r>
          </w:p>
        </w:tc>
      </w:tr>
    </w:tbl>
    <w:p w14:paraId="37F97A90" w14:textId="77777777" w:rsidR="00B91C00" w:rsidRPr="00471E3E" w:rsidRDefault="00B91C00" w:rsidP="00B91C00">
      <w:pPr>
        <w:pStyle w:val="a3"/>
        <w:rPr>
          <w:rtl/>
        </w:rPr>
      </w:pPr>
      <w:r w:rsidRPr="00471E3E">
        <w:rPr>
          <w:rFonts w:hint="cs"/>
          <w:rtl/>
        </w:rPr>
        <w:t xml:space="preserve"> </w:t>
      </w:r>
    </w:p>
    <w:p w14:paraId="78DFBD9A" w14:textId="77777777" w:rsidR="00B91C00" w:rsidRPr="00471E3E" w:rsidRDefault="00B91C00" w:rsidP="00B91C00">
      <w:pPr>
        <w:rPr>
          <w:rFonts w:ascii="Arial" w:hAnsi="Arial"/>
          <w:rtl/>
        </w:rPr>
      </w:pPr>
    </w:p>
    <w:p w14:paraId="3A79BBE0" w14:textId="77777777" w:rsidR="00B91C00" w:rsidRPr="00471E3E" w:rsidRDefault="00B91C00" w:rsidP="00B91C00">
      <w:pPr>
        <w:rPr>
          <w:rFonts w:ascii="Arial" w:hAnsi="Arial"/>
          <w:rtl/>
        </w:rPr>
      </w:pPr>
    </w:p>
    <w:tbl>
      <w:tblPr>
        <w:bidiVisual/>
        <w:tblW w:w="8359" w:type="dxa"/>
        <w:tblInd w:w="415" w:type="dxa"/>
        <w:tblLook w:val="01E0" w:firstRow="1" w:lastRow="1" w:firstColumn="1" w:lastColumn="1" w:noHBand="0" w:noVBand="0"/>
      </w:tblPr>
      <w:tblGrid>
        <w:gridCol w:w="2437"/>
        <w:gridCol w:w="5866"/>
        <w:gridCol w:w="56"/>
      </w:tblGrid>
      <w:tr w:rsidR="00B91C00" w:rsidRPr="00471E3E" w14:paraId="69211DD3" w14:textId="77777777" w:rsidTr="00B91C00">
        <w:trPr>
          <w:gridAfter w:val="1"/>
          <w:wAfter w:w="56" w:type="dxa"/>
        </w:trPr>
        <w:tc>
          <w:tcPr>
            <w:tcW w:w="8303" w:type="dxa"/>
            <w:gridSpan w:val="2"/>
            <w:shd w:val="clear" w:color="auto" w:fill="auto"/>
          </w:tcPr>
          <w:p w14:paraId="6B294ED3" w14:textId="77777777" w:rsidR="00B91C00" w:rsidRPr="00471E3E" w:rsidRDefault="00B91C00" w:rsidP="00B91C00">
            <w:pPr>
              <w:spacing w:line="360" w:lineRule="auto"/>
              <w:jc w:val="both"/>
              <w:rPr>
                <w:rStyle w:val="TimesNewRomanTimesNewRoman"/>
                <w:rtl/>
              </w:rPr>
            </w:pPr>
            <w:r w:rsidRPr="00471E3E">
              <w:rPr>
                <w:rFonts w:hint="cs"/>
                <w:b/>
                <w:bCs/>
                <w:rtl/>
              </w:rPr>
              <w:t>לפני כבוד השופט בני שגיא, סגן נשיא</w:t>
            </w:r>
            <w:r w:rsidRPr="00471E3E">
              <w:rPr>
                <w:rStyle w:val="TimesNewRomanTimesNewRoman"/>
                <w:rtl/>
              </w:rPr>
              <w:t xml:space="preserve"> </w:t>
            </w:r>
          </w:p>
          <w:p w14:paraId="2AC1D550" w14:textId="77777777" w:rsidR="00B91C00" w:rsidRPr="00471E3E" w:rsidRDefault="00B91C00" w:rsidP="00B91C00">
            <w:pPr>
              <w:spacing w:line="360" w:lineRule="auto"/>
              <w:jc w:val="both"/>
              <w:rPr>
                <w:b/>
                <w:bCs/>
                <w:rtl/>
              </w:rPr>
            </w:pPr>
          </w:p>
        </w:tc>
      </w:tr>
      <w:tr w:rsidR="00B91C00" w:rsidRPr="00471E3E" w14:paraId="231AFB1E" w14:textId="77777777" w:rsidTr="00B91C00">
        <w:trPr>
          <w:cantSplit/>
          <w:trHeight w:val="724"/>
        </w:trPr>
        <w:tc>
          <w:tcPr>
            <w:tcW w:w="2437" w:type="dxa"/>
            <w:shd w:val="clear" w:color="auto" w:fill="auto"/>
          </w:tcPr>
          <w:p w14:paraId="36821799" w14:textId="77777777" w:rsidR="00B91C00" w:rsidRPr="00471E3E" w:rsidRDefault="00B91C00" w:rsidP="00B91C00">
            <w:pPr>
              <w:ind w:left="26"/>
              <w:jc w:val="right"/>
              <w:rPr>
                <w:b/>
                <w:bCs/>
                <w:rtl/>
              </w:rPr>
            </w:pPr>
            <w:bookmarkStart w:id="0" w:name="FirstAppellant"/>
            <w:bookmarkStart w:id="1" w:name="FirstLawyer"/>
            <w:bookmarkStart w:id="2" w:name="LastJudge"/>
            <w:bookmarkEnd w:id="2"/>
          </w:p>
          <w:p w14:paraId="37D00A4C" w14:textId="77777777" w:rsidR="00B91C00" w:rsidRPr="00471E3E" w:rsidRDefault="00B91C00" w:rsidP="00B91C00">
            <w:pPr>
              <w:ind w:left="26"/>
              <w:rPr>
                <w:b/>
                <w:bCs/>
                <w:rtl/>
              </w:rPr>
            </w:pPr>
            <w:r w:rsidRPr="00471E3E">
              <w:rPr>
                <w:rFonts w:hint="cs"/>
                <w:b/>
                <w:bCs/>
                <w:rtl/>
              </w:rPr>
              <w:t>המאשימה:</w:t>
            </w:r>
          </w:p>
        </w:tc>
        <w:tc>
          <w:tcPr>
            <w:tcW w:w="5922" w:type="dxa"/>
            <w:gridSpan w:val="2"/>
            <w:shd w:val="clear" w:color="auto" w:fill="auto"/>
          </w:tcPr>
          <w:p w14:paraId="4327C48D" w14:textId="77777777" w:rsidR="00B91C00" w:rsidRPr="00471E3E" w:rsidRDefault="00B91C00" w:rsidP="00B91C00">
            <w:pPr>
              <w:jc w:val="right"/>
              <w:rPr>
                <w:rtl/>
              </w:rPr>
            </w:pPr>
          </w:p>
          <w:p w14:paraId="67AC1EE0" w14:textId="77777777" w:rsidR="00B91C00" w:rsidRPr="00471E3E" w:rsidRDefault="00B91C00" w:rsidP="00B91C00">
            <w:pPr>
              <w:spacing w:line="360" w:lineRule="auto"/>
              <w:rPr>
                <w:rtl/>
              </w:rPr>
            </w:pPr>
            <w:r w:rsidRPr="00471E3E">
              <w:rPr>
                <w:rFonts w:hint="cs"/>
                <w:rtl/>
              </w:rPr>
              <w:t xml:space="preserve"> </w:t>
            </w:r>
            <w:r w:rsidRPr="00471E3E">
              <w:rPr>
                <w:rFonts w:hint="cs"/>
                <w:b/>
                <w:bCs/>
                <w:rtl/>
              </w:rPr>
              <w:t>מדינת ישראל</w:t>
            </w:r>
          </w:p>
          <w:p w14:paraId="5129666B" w14:textId="77777777" w:rsidR="00B91C00" w:rsidRPr="00471E3E" w:rsidRDefault="00B91C00" w:rsidP="00B91C00">
            <w:pPr>
              <w:spacing w:line="360" w:lineRule="auto"/>
              <w:rPr>
                <w:rtl/>
              </w:rPr>
            </w:pPr>
            <w:r w:rsidRPr="00471E3E">
              <w:rPr>
                <w:rFonts w:hint="cs"/>
                <w:rtl/>
              </w:rPr>
              <w:t>על-ידי ב"כ עו"ד יוסי קורצברג ועו"ד שלי קוטין</w:t>
            </w:r>
          </w:p>
          <w:p w14:paraId="3C4AF80E" w14:textId="77777777" w:rsidR="00B91C00" w:rsidRPr="00471E3E" w:rsidRDefault="00B91C00" w:rsidP="00B91C00">
            <w:pPr>
              <w:jc w:val="right"/>
              <w:rPr>
                <w:b/>
                <w:bCs/>
                <w:rtl/>
              </w:rPr>
            </w:pPr>
          </w:p>
        </w:tc>
      </w:tr>
      <w:bookmarkEnd w:id="0"/>
      <w:bookmarkEnd w:id="1"/>
      <w:tr w:rsidR="00B91C00" w:rsidRPr="00471E3E" w14:paraId="0BAE7F73" w14:textId="77777777" w:rsidTr="00B91C00">
        <w:tc>
          <w:tcPr>
            <w:tcW w:w="8359" w:type="dxa"/>
            <w:gridSpan w:val="3"/>
            <w:shd w:val="clear" w:color="auto" w:fill="auto"/>
            <w:vAlign w:val="center"/>
          </w:tcPr>
          <w:p w14:paraId="5D20730E" w14:textId="77777777" w:rsidR="00B91C00" w:rsidRPr="00471E3E" w:rsidRDefault="00B91C00" w:rsidP="00B91C00">
            <w:pPr>
              <w:jc w:val="center"/>
              <w:rPr>
                <w:rFonts w:ascii="Arial" w:hAnsi="Arial"/>
                <w:b/>
                <w:bCs/>
                <w:rtl/>
              </w:rPr>
            </w:pPr>
            <w:r w:rsidRPr="00471E3E">
              <w:rPr>
                <w:rFonts w:ascii="Arial" w:hAnsi="Arial" w:hint="cs"/>
                <w:b/>
                <w:bCs/>
                <w:rtl/>
              </w:rPr>
              <w:t>נגד</w:t>
            </w:r>
          </w:p>
          <w:p w14:paraId="40EAD307" w14:textId="77777777" w:rsidR="00B91C00" w:rsidRPr="00471E3E" w:rsidRDefault="00B91C00" w:rsidP="00B91C00">
            <w:pPr>
              <w:jc w:val="right"/>
              <w:rPr>
                <w:rFonts w:ascii="Arial" w:hAnsi="Arial"/>
                <w:b/>
                <w:bCs/>
                <w:rtl/>
              </w:rPr>
            </w:pPr>
          </w:p>
        </w:tc>
      </w:tr>
      <w:tr w:rsidR="00B91C00" w:rsidRPr="00471E3E" w14:paraId="3E183422" w14:textId="77777777" w:rsidTr="00B91C00">
        <w:tc>
          <w:tcPr>
            <w:tcW w:w="2437" w:type="dxa"/>
            <w:shd w:val="clear" w:color="auto" w:fill="auto"/>
          </w:tcPr>
          <w:p w14:paraId="405C1254" w14:textId="77777777" w:rsidR="00B91C00" w:rsidRPr="00471E3E" w:rsidRDefault="00B91C00" w:rsidP="00B91C00">
            <w:pPr>
              <w:ind w:left="26"/>
              <w:rPr>
                <w:b/>
                <w:bCs/>
                <w:rtl/>
              </w:rPr>
            </w:pPr>
            <w:r w:rsidRPr="00471E3E">
              <w:rPr>
                <w:rFonts w:hint="cs"/>
                <w:b/>
                <w:bCs/>
                <w:rtl/>
              </w:rPr>
              <w:t>הנאשם:</w:t>
            </w:r>
          </w:p>
        </w:tc>
        <w:tc>
          <w:tcPr>
            <w:tcW w:w="5922" w:type="dxa"/>
            <w:gridSpan w:val="2"/>
            <w:shd w:val="clear" w:color="auto" w:fill="auto"/>
          </w:tcPr>
          <w:p w14:paraId="2737F928" w14:textId="77777777" w:rsidR="00B91C00" w:rsidRPr="00471E3E" w:rsidRDefault="00B91C00" w:rsidP="00B91C00">
            <w:pPr>
              <w:spacing w:line="360" w:lineRule="auto"/>
              <w:rPr>
                <w:rtl/>
              </w:rPr>
            </w:pPr>
            <w:r w:rsidRPr="00471E3E">
              <w:rPr>
                <w:rFonts w:hint="cs"/>
                <w:b/>
                <w:bCs/>
                <w:rtl/>
              </w:rPr>
              <w:t xml:space="preserve">מנחם מנדל אסרף ת"ז  </w:t>
            </w:r>
            <w:r w:rsidR="00471E3E">
              <w:rPr>
                <w:b/>
                <w:bCs/>
              </w:rPr>
              <w:t>xxxxxxxxxx</w:t>
            </w:r>
          </w:p>
          <w:p w14:paraId="295E48CD" w14:textId="77777777" w:rsidR="00B91C00" w:rsidRPr="00471E3E" w:rsidRDefault="00B91C00" w:rsidP="00B91C00">
            <w:pPr>
              <w:spacing w:line="360" w:lineRule="auto"/>
              <w:rPr>
                <w:rtl/>
              </w:rPr>
            </w:pPr>
            <w:r w:rsidRPr="00471E3E">
              <w:rPr>
                <w:rFonts w:hint="cs"/>
                <w:rtl/>
              </w:rPr>
              <w:t>על-ידי ב"כ עו"ד ימימה אברמוביץ'</w:t>
            </w:r>
          </w:p>
          <w:p w14:paraId="211BAF13" w14:textId="77777777" w:rsidR="00B91C00" w:rsidRPr="00471E3E" w:rsidRDefault="00B91C00" w:rsidP="00B91C00">
            <w:pPr>
              <w:jc w:val="right"/>
              <w:rPr>
                <w:b/>
                <w:bCs/>
                <w:rtl/>
              </w:rPr>
            </w:pPr>
          </w:p>
        </w:tc>
      </w:tr>
    </w:tbl>
    <w:p w14:paraId="4194DA16" w14:textId="77777777" w:rsidR="00B91C00" w:rsidRPr="00471E3E" w:rsidRDefault="00B91C00" w:rsidP="00B91C00">
      <w:pPr>
        <w:rPr>
          <w:rFonts w:ascii="Arial" w:hAnsi="Arial"/>
          <w:rtl/>
        </w:rPr>
      </w:pPr>
    </w:p>
    <w:p w14:paraId="067F60C0" w14:textId="77777777" w:rsidR="00A77D74" w:rsidRDefault="00A77D74" w:rsidP="00A77D74">
      <w:pPr>
        <w:jc w:val="center"/>
        <w:rPr>
          <w:rFonts w:ascii="Arial" w:hAnsi="Arial"/>
          <w:sz w:val="30"/>
          <w:szCs w:val="30"/>
          <w:rtl/>
        </w:rPr>
      </w:pPr>
      <w:bookmarkStart w:id="3" w:name="LawTable"/>
      <w:bookmarkEnd w:id="3"/>
    </w:p>
    <w:p w14:paraId="5FAF68A9" w14:textId="77777777" w:rsidR="00A77D74" w:rsidRPr="00A77D74" w:rsidRDefault="00A77D74" w:rsidP="00A77D74">
      <w:pPr>
        <w:spacing w:before="120" w:after="120" w:line="240" w:lineRule="exact"/>
        <w:ind w:left="283" w:hanging="283"/>
        <w:jc w:val="both"/>
        <w:rPr>
          <w:rFonts w:ascii="FrankRuehl" w:hAnsi="FrankRuehl" w:cs="FrankRuehl"/>
          <w:rtl/>
        </w:rPr>
      </w:pPr>
    </w:p>
    <w:p w14:paraId="674EFD19" w14:textId="77777777" w:rsidR="00A77D74" w:rsidRPr="00A77D74" w:rsidRDefault="00A77D74" w:rsidP="00A77D74">
      <w:pPr>
        <w:spacing w:before="120" w:after="120" w:line="240" w:lineRule="exact"/>
        <w:ind w:left="283" w:hanging="283"/>
        <w:jc w:val="both"/>
        <w:rPr>
          <w:rFonts w:ascii="FrankRuehl" w:hAnsi="FrankRuehl" w:cs="FrankRuehl"/>
          <w:rtl/>
        </w:rPr>
      </w:pPr>
    </w:p>
    <w:p w14:paraId="5C50A2E3" w14:textId="77777777" w:rsidR="00A77D74" w:rsidRPr="00A77D74" w:rsidRDefault="00A77D74" w:rsidP="00A77D74">
      <w:pPr>
        <w:spacing w:before="120" w:after="120" w:line="240" w:lineRule="exact"/>
        <w:ind w:left="283" w:hanging="283"/>
        <w:jc w:val="both"/>
        <w:rPr>
          <w:rFonts w:ascii="FrankRuehl" w:hAnsi="FrankRuehl" w:cs="FrankRuehl"/>
          <w:rtl/>
        </w:rPr>
      </w:pPr>
      <w:r w:rsidRPr="00A77D74">
        <w:rPr>
          <w:rFonts w:ascii="FrankRuehl" w:hAnsi="FrankRuehl" w:cs="FrankRuehl"/>
          <w:rtl/>
        </w:rPr>
        <w:t xml:space="preserve">חקיקה שאוזכרה: </w:t>
      </w:r>
    </w:p>
    <w:p w14:paraId="1C85D381" w14:textId="77777777" w:rsidR="00A77D74" w:rsidRPr="00A77D74" w:rsidRDefault="00A77D74" w:rsidP="00A77D74">
      <w:pPr>
        <w:spacing w:before="120" w:after="120" w:line="240" w:lineRule="exact"/>
        <w:ind w:left="283" w:hanging="283"/>
        <w:jc w:val="both"/>
        <w:rPr>
          <w:rFonts w:ascii="FrankRuehl" w:hAnsi="FrankRuehl" w:cs="FrankRuehl"/>
          <w:rtl/>
        </w:rPr>
      </w:pPr>
      <w:hyperlink r:id="rId7" w:history="1">
        <w:r w:rsidRPr="00A77D74">
          <w:rPr>
            <w:rFonts w:ascii="FrankRuehl" w:hAnsi="FrankRuehl" w:cs="FrankRuehl"/>
            <w:color w:val="0000FF"/>
            <w:rtl/>
          </w:rPr>
          <w:t>חוק העונשין, תשל"ז-1977</w:t>
        </w:r>
      </w:hyperlink>
      <w:r w:rsidRPr="00A77D74">
        <w:rPr>
          <w:rFonts w:ascii="FrankRuehl" w:hAnsi="FrankRuehl" w:cs="FrankRuehl"/>
          <w:rtl/>
        </w:rPr>
        <w:t xml:space="preserve">: סע'  </w:t>
      </w:r>
      <w:hyperlink r:id="rId8" w:history="1">
        <w:r w:rsidRPr="00A77D74">
          <w:rPr>
            <w:rFonts w:ascii="FrankRuehl" w:hAnsi="FrankRuehl" w:cs="FrankRuehl"/>
            <w:color w:val="0000FF"/>
            <w:rtl/>
          </w:rPr>
          <w:t>144(ב)</w:t>
        </w:r>
      </w:hyperlink>
    </w:p>
    <w:p w14:paraId="550FCB10" w14:textId="77777777" w:rsidR="00A77D74" w:rsidRPr="00A77D74" w:rsidRDefault="00A77D74" w:rsidP="00A77D74">
      <w:pPr>
        <w:jc w:val="center"/>
        <w:rPr>
          <w:rFonts w:ascii="Arial" w:hAnsi="Arial"/>
          <w:sz w:val="30"/>
          <w:szCs w:val="30"/>
          <w:rtl/>
        </w:rPr>
      </w:pPr>
      <w:bookmarkStart w:id="4" w:name="LawTable_End"/>
      <w:bookmarkEnd w:id="4"/>
    </w:p>
    <w:p w14:paraId="59EDFE6D" w14:textId="77777777" w:rsidR="00471E3E" w:rsidRPr="00952EF8" w:rsidRDefault="00471E3E" w:rsidP="00952EF8">
      <w:pPr>
        <w:jc w:val="center"/>
        <w:rPr>
          <w:rFonts w:ascii="Arial" w:hAnsi="Arial"/>
          <w:sz w:val="30"/>
          <w:szCs w:val="30"/>
          <w:rtl/>
        </w:rPr>
      </w:pPr>
    </w:p>
    <w:p w14:paraId="1A467EBB" w14:textId="77777777" w:rsidR="00471E3E" w:rsidRPr="00471E3E" w:rsidRDefault="00471E3E" w:rsidP="00471E3E">
      <w:pPr>
        <w:spacing w:line="360" w:lineRule="auto"/>
        <w:jc w:val="center"/>
        <w:rPr>
          <w:rFonts w:ascii="Arial" w:hAnsi="Arial"/>
          <w:b/>
          <w:bCs/>
          <w:sz w:val="30"/>
          <w:szCs w:val="30"/>
          <w:u w:val="single"/>
          <w:rtl/>
        </w:rPr>
      </w:pPr>
      <w:bookmarkStart w:id="5" w:name="PsakDin"/>
      <w:r w:rsidRPr="00471E3E">
        <w:rPr>
          <w:rFonts w:ascii="Arial" w:hAnsi="Arial"/>
          <w:b/>
          <w:bCs/>
          <w:sz w:val="30"/>
          <w:szCs w:val="30"/>
          <w:u w:val="single"/>
          <w:rtl/>
        </w:rPr>
        <w:t>גזר דין</w:t>
      </w:r>
    </w:p>
    <w:bookmarkEnd w:id="5"/>
    <w:p w14:paraId="1D788B53" w14:textId="77777777" w:rsidR="00B91C00" w:rsidRDefault="00B91C00" w:rsidP="00B91C00">
      <w:pPr>
        <w:spacing w:line="360" w:lineRule="auto"/>
        <w:rPr>
          <w:rFonts w:ascii="Arial" w:hAnsi="Arial"/>
          <w:rtl/>
        </w:rPr>
      </w:pPr>
    </w:p>
    <w:p w14:paraId="3485BC41" w14:textId="77777777" w:rsidR="00B91C00" w:rsidRDefault="00B91C00" w:rsidP="00B91C00">
      <w:pPr>
        <w:spacing w:line="360" w:lineRule="auto"/>
        <w:ind w:firstLine="360"/>
        <w:rPr>
          <w:rFonts w:ascii="Arial" w:hAnsi="Arial"/>
          <w:rtl/>
        </w:rPr>
      </w:pPr>
      <w:r>
        <w:rPr>
          <w:rFonts w:ascii="Arial" w:hAnsi="Arial" w:hint="cs"/>
          <w:u w:val="single"/>
          <w:rtl/>
        </w:rPr>
        <w:t>כללי</w:t>
      </w:r>
    </w:p>
    <w:p w14:paraId="0993DFEF" w14:textId="77777777" w:rsidR="00B91C00" w:rsidRDefault="00B91C00" w:rsidP="00B91C00">
      <w:pPr>
        <w:rPr>
          <w:rFonts w:ascii="Arial" w:hAnsi="Arial"/>
          <w:rtl/>
        </w:rPr>
      </w:pPr>
    </w:p>
    <w:p w14:paraId="090290E5" w14:textId="77777777" w:rsidR="00B91C00" w:rsidRDefault="00B91C00" w:rsidP="00B91C00">
      <w:pPr>
        <w:pStyle w:val="a9"/>
        <w:numPr>
          <w:ilvl w:val="0"/>
          <w:numId w:val="1"/>
        </w:numPr>
        <w:spacing w:before="240" w:after="240" w:line="360" w:lineRule="auto"/>
        <w:contextualSpacing w:val="0"/>
        <w:jc w:val="both"/>
      </w:pPr>
      <w:bookmarkStart w:id="6" w:name="ABSTRACT_START"/>
      <w:bookmarkEnd w:id="6"/>
      <w:r>
        <w:rPr>
          <w:rFonts w:hint="cs"/>
          <w:rtl/>
        </w:rPr>
        <w:t xml:space="preserve">הנאשם הורשע על יסוד הודאתו בעובדות כתב אישום מתוקן בעבירה של נשיאת נשק שלא כדין, לפי </w:t>
      </w:r>
      <w:hyperlink r:id="rId9" w:history="1">
        <w:r w:rsidR="00952EF8" w:rsidRPr="00952EF8">
          <w:rPr>
            <w:rStyle w:val="Hyperlink"/>
            <w:rFonts w:hint="eastAsia"/>
            <w:rtl/>
          </w:rPr>
          <w:t>סעיף</w:t>
        </w:r>
        <w:r w:rsidR="00952EF8" w:rsidRPr="00952EF8">
          <w:rPr>
            <w:rStyle w:val="Hyperlink"/>
            <w:rtl/>
          </w:rPr>
          <w:t xml:space="preserve"> 144(ב)</w:t>
        </w:r>
      </w:hyperlink>
      <w:r>
        <w:rPr>
          <w:rFonts w:hint="cs"/>
          <w:rtl/>
        </w:rPr>
        <w:t xml:space="preserve"> רישא וסיפא ל</w:t>
      </w:r>
      <w:hyperlink r:id="rId10" w:history="1">
        <w:r w:rsidR="00471E3E" w:rsidRPr="00471E3E">
          <w:rPr>
            <w:color w:val="0000FF"/>
            <w:u w:val="single"/>
            <w:rtl/>
          </w:rPr>
          <w:t>חוק העונשין</w:t>
        </w:r>
      </w:hyperlink>
      <w:r>
        <w:rPr>
          <w:rFonts w:hint="cs"/>
          <w:rtl/>
        </w:rPr>
        <w:t xml:space="preserve">, תשל"ז-1977 (להלן - </w:t>
      </w:r>
      <w:r>
        <w:rPr>
          <w:rFonts w:hint="cs"/>
          <w:b/>
          <w:bCs/>
          <w:rtl/>
        </w:rPr>
        <w:t>חוק העונשין</w:t>
      </w:r>
      <w:r>
        <w:rPr>
          <w:rFonts w:hint="cs"/>
          <w:rtl/>
        </w:rPr>
        <w:t xml:space="preserve">). הצדדים לא הגיעו להסכמה לעניין העונש, ובהקשר זה כל צד טען על-פי מיטב שיקול דעתו. </w:t>
      </w:r>
    </w:p>
    <w:p w14:paraId="427D5617" w14:textId="77777777" w:rsidR="00B91C00" w:rsidRDefault="00B91C00" w:rsidP="00B91C00">
      <w:pPr>
        <w:pStyle w:val="a9"/>
        <w:numPr>
          <w:ilvl w:val="0"/>
          <w:numId w:val="1"/>
        </w:numPr>
        <w:spacing w:before="240" w:after="240" w:line="360" w:lineRule="auto"/>
        <w:contextualSpacing w:val="0"/>
        <w:jc w:val="both"/>
      </w:pPr>
      <w:bookmarkStart w:id="7" w:name="ABSTRACT_END"/>
      <w:bookmarkEnd w:id="7"/>
      <w:r>
        <w:rPr>
          <w:rFonts w:hint="cs"/>
          <w:rtl/>
        </w:rPr>
        <w:t xml:space="preserve">על-פי עובדות כתב האישום, ביום 6.7.20 בשעה 18:30 או בסמוך לכך, נסע הנאשם ברחוב דב הוז בחולון כשהוא מורכב על קטנוע הנהוג על-ידי שי הררי. במהלך הנסיעה נשא הנאשם והוביל אקדח חצי אוטומטי מסוג </w:t>
      </w:r>
      <w:r>
        <w:rPr>
          <w:rFonts w:hint="cs"/>
        </w:rPr>
        <w:t>F</w:t>
      </w:r>
      <w:r>
        <w:t>N</w:t>
      </w:r>
      <w:r>
        <w:rPr>
          <w:rFonts w:hint="cs"/>
          <w:rtl/>
        </w:rPr>
        <w:t xml:space="preserve">. הנאשם נשא את האקדח על גופו בתוך תיק צד, כשהוא טעון ב- 11 כדורים ודרוך. </w:t>
      </w:r>
    </w:p>
    <w:p w14:paraId="5D5C9356" w14:textId="77777777" w:rsidR="00B91C00" w:rsidRDefault="00B91C00" w:rsidP="00B91C00">
      <w:pPr>
        <w:pStyle w:val="a9"/>
        <w:numPr>
          <w:ilvl w:val="0"/>
          <w:numId w:val="1"/>
        </w:numPr>
        <w:spacing w:before="240" w:after="240" w:line="360" w:lineRule="auto"/>
        <w:contextualSpacing w:val="0"/>
        <w:jc w:val="both"/>
      </w:pPr>
      <w:r>
        <w:rPr>
          <w:rFonts w:hint="cs"/>
          <w:rtl/>
        </w:rPr>
        <w:t>כאמור לעיל, הצדדים לא הגיעו להסדר לעניין העונש, אולם במסגרת ההסדר הוגשה בהסכמה חוות דעת של מעבדת הנשק המשטרתית, ממנה עולה כי האקדח מהווה כלי נשק היורה, אשר בכוחו להמית אדם, אולם האקדח אינו תקין, שכן הנצרה הידנית שבורה ולא פועלת, חסרה נצרת מחסנית, והפטיש נופל לעיתים לחצי דריכה. יחד עם זאת, צוין בחוות הדעת כי חרף התקלות האמורות ניתן לירות באקדח.</w:t>
      </w:r>
    </w:p>
    <w:p w14:paraId="438D220F" w14:textId="77777777" w:rsidR="00B91C00" w:rsidRDefault="00B91C00" w:rsidP="00B91C00">
      <w:pPr>
        <w:pStyle w:val="a9"/>
        <w:numPr>
          <w:ilvl w:val="0"/>
          <w:numId w:val="1"/>
        </w:numPr>
        <w:spacing w:before="240" w:after="240" w:line="360" w:lineRule="auto"/>
        <w:contextualSpacing w:val="0"/>
        <w:jc w:val="both"/>
      </w:pPr>
      <w:r>
        <w:rPr>
          <w:rFonts w:hint="cs"/>
          <w:rtl/>
        </w:rPr>
        <w:lastRenderedPageBreak/>
        <w:t xml:space="preserve">עובר לשמיעת טיעוני הצדדים הופנה הנאשם לשרות המבחן, שכן העבירה בוצעה עוד טרם מלאו לנאשם 21 שנה. מהתסקיר עולה כי מדובר בנאשם בן 19, רווק, אשר הפסיק את לימודיו בגיל 16 בשל מעורבות בפלילים, ולאחר סיום עונש המאסר האחרון שריצה, עבד במשך כשנה בחנות לכלי בית. שרות המבחן התייחס לנתוניו המשפחתיים של הנאשם, לעובדה כי הוריו התגרשו, ואביו ניתק עימם קשר עת היה בן שלוש. אימו של הנאשם נישאה בשנית עת היה הנאשם בן 11, והנאשם תיאר אותה כדמות אימהית ואבהית חזקה יציבה ומשמעותית בחייו. הנאשם התקשה להרחיב ולשתף בדבר חוויות ולקיים שיח פתוח, תוך שהוא משייך זאת לעזיבת אביו ולקושי שנוצר אצלו במתן אמון באחר. שרות המבחן התרשם כי מדובר במי שמתקשה להפנים ולקבל את גבולות החוק, במי שלוקה בכישורי חיים מיטיבים, ובמי שקיימת בעניינו נזקקות טיפולית גבוהה. שרות המבחן העריך כי קיים סיכון רב להישנות התנהגות עוברת חוק, וציין כי כיום אינו בשל להשתלבות בהליך טיפולי. </w:t>
      </w:r>
    </w:p>
    <w:p w14:paraId="18606ECC" w14:textId="77777777" w:rsidR="00B91C00" w:rsidRDefault="00B91C00" w:rsidP="00B91C00">
      <w:pPr>
        <w:pStyle w:val="a9"/>
        <w:spacing w:before="240" w:after="240" w:line="360" w:lineRule="auto"/>
        <w:ind w:left="360"/>
        <w:contextualSpacing w:val="0"/>
        <w:jc w:val="both"/>
      </w:pPr>
      <w:r>
        <w:rPr>
          <w:rFonts w:hint="cs"/>
          <w:rtl/>
        </w:rPr>
        <w:t>בהינתן האמור לעיל, התסקיר אינו כולל המלצה טיפולית, למעט המלצה כי ככל שיוטל על הנאשם עונש מאסר בפועל, ניתן יהיה לבקש משב"ס לשלבו במחלקה טיפולית בתחום האלימות.</w:t>
      </w:r>
    </w:p>
    <w:p w14:paraId="46873750" w14:textId="77777777" w:rsidR="00B91C00" w:rsidRDefault="00B91C00" w:rsidP="00B91C00">
      <w:pPr>
        <w:pStyle w:val="a9"/>
        <w:spacing w:before="240" w:after="240" w:line="360" w:lineRule="auto"/>
        <w:ind w:left="360"/>
        <w:contextualSpacing w:val="0"/>
        <w:jc w:val="both"/>
        <w:rPr>
          <w:u w:val="single"/>
          <w:rtl/>
        </w:rPr>
      </w:pPr>
      <w:r>
        <w:rPr>
          <w:rFonts w:hint="cs"/>
          <w:u w:val="single"/>
          <w:rtl/>
        </w:rPr>
        <w:t>ראיות לעונש</w:t>
      </w:r>
    </w:p>
    <w:p w14:paraId="4C61E289" w14:textId="77777777" w:rsidR="00B91C00" w:rsidRDefault="00B91C00" w:rsidP="00B91C00">
      <w:pPr>
        <w:pStyle w:val="a9"/>
        <w:numPr>
          <w:ilvl w:val="0"/>
          <w:numId w:val="1"/>
        </w:numPr>
        <w:spacing w:before="240" w:after="240" w:line="360" w:lineRule="auto"/>
        <w:contextualSpacing w:val="0"/>
        <w:jc w:val="both"/>
      </w:pPr>
      <w:r>
        <w:rPr>
          <w:rFonts w:hint="cs"/>
          <w:rtl/>
        </w:rPr>
        <w:t xml:space="preserve">מגיליון הרשעותיו של הנאשם (תע/1) עולה כי חרף גילו הצעיר, מדובר במי שהספיק לצבור לחובתו שתי הרשעות קודמות במגוון רב של עבירות. הרשעתו הראשונה משקפת עבירות רכוש, הפרעה לשוטר במילוי תפקידו ופציעה בגינה נדון </w:t>
      </w:r>
      <w:r w:rsidRPr="00D65920">
        <w:rPr>
          <w:rFonts w:hint="cs"/>
          <w:rtl/>
        </w:rPr>
        <w:t>ל-</w:t>
      </w:r>
      <w:r>
        <w:rPr>
          <w:rFonts w:hint="cs"/>
          <w:b/>
          <w:bCs/>
          <w:rtl/>
        </w:rPr>
        <w:t xml:space="preserve"> </w:t>
      </w:r>
      <w:r w:rsidRPr="001C5F99">
        <w:rPr>
          <w:rFonts w:hint="cs"/>
          <w:b/>
          <w:bCs/>
          <w:rtl/>
        </w:rPr>
        <w:t>9 חודשי מאסר</w:t>
      </w:r>
      <w:r w:rsidRPr="000373B7">
        <w:rPr>
          <w:rFonts w:hint="cs"/>
          <w:rtl/>
        </w:rPr>
        <w:t>.</w:t>
      </w:r>
      <w:r>
        <w:rPr>
          <w:rFonts w:hint="cs"/>
          <w:rtl/>
        </w:rPr>
        <w:t xml:space="preserve"> הרשעתו השנייה משקפת עבירות של דרישה באיומים של רכוש, הפרת הוראה חוקית ואי הגשת עזרה לאחר גרימת תאונה, בגינה נדון ל- </w:t>
      </w:r>
      <w:r w:rsidRPr="000373B7">
        <w:rPr>
          <w:rFonts w:hint="cs"/>
          <w:b/>
          <w:bCs/>
          <w:rtl/>
        </w:rPr>
        <w:t>17</w:t>
      </w:r>
      <w:r w:rsidRPr="001C5F99">
        <w:rPr>
          <w:rFonts w:hint="cs"/>
          <w:b/>
          <w:bCs/>
          <w:rtl/>
        </w:rPr>
        <w:t xml:space="preserve"> חודשי מאסר</w:t>
      </w:r>
      <w:r>
        <w:rPr>
          <w:rFonts w:hint="cs"/>
          <w:rtl/>
        </w:rPr>
        <w:t xml:space="preserve">. </w:t>
      </w:r>
    </w:p>
    <w:p w14:paraId="623C7FE1" w14:textId="77777777" w:rsidR="00B91C00" w:rsidRDefault="00B91C00" w:rsidP="00B91C00">
      <w:pPr>
        <w:pStyle w:val="a9"/>
        <w:numPr>
          <w:ilvl w:val="0"/>
          <w:numId w:val="1"/>
        </w:numPr>
        <w:spacing w:before="240" w:after="240" w:line="360" w:lineRule="auto"/>
        <w:contextualSpacing w:val="0"/>
        <w:jc w:val="both"/>
      </w:pPr>
      <w:r>
        <w:rPr>
          <w:rFonts w:hint="cs"/>
          <w:rtl/>
        </w:rPr>
        <w:t xml:space="preserve">מטעם ההגנה העיד מר כפיר אלפונטה, אשר שימש כמאמן הכדורגל של הנאשם בתקופת היותו נער ועד גיל 15. העד תיאר את כשרונו של הנאשם כשחקן כדורגל, את חשיבותה של המסגרת עבורו, ואת צערו על התדרדרותו של הנאשם לאורך השנים. </w:t>
      </w:r>
    </w:p>
    <w:p w14:paraId="4602B9F9" w14:textId="77777777" w:rsidR="00B91C00" w:rsidRDefault="00B91C00" w:rsidP="00B91C00">
      <w:pPr>
        <w:pStyle w:val="a9"/>
        <w:numPr>
          <w:ilvl w:val="0"/>
          <w:numId w:val="1"/>
        </w:numPr>
        <w:spacing w:before="240" w:after="240" w:line="360" w:lineRule="auto"/>
        <w:contextualSpacing w:val="0"/>
        <w:jc w:val="both"/>
      </w:pPr>
      <w:r>
        <w:rPr>
          <w:rFonts w:hint="cs"/>
          <w:rtl/>
        </w:rPr>
        <w:t xml:space="preserve">הוגשו מסמכים רפואיים (נע/1). מטעמי צנעת הפרט לא אפרט את כלל הנתונים המפורטים במסמכים אלה, אולם אציין כי על-פי הנתונים השונים, נראה כי שימוש בסמים תרם תרומה משמעותית לאותו מצב בו היה נתון הנאשם. </w:t>
      </w:r>
    </w:p>
    <w:p w14:paraId="71A55A20" w14:textId="77777777" w:rsidR="00B91C00" w:rsidRDefault="00B91C00" w:rsidP="00B91C00">
      <w:pPr>
        <w:pStyle w:val="a9"/>
        <w:spacing w:before="240" w:after="240" w:line="360" w:lineRule="auto"/>
        <w:ind w:left="360"/>
        <w:contextualSpacing w:val="0"/>
        <w:jc w:val="both"/>
        <w:rPr>
          <w:u w:val="single"/>
          <w:rtl/>
        </w:rPr>
      </w:pPr>
      <w:r>
        <w:rPr>
          <w:rFonts w:hint="cs"/>
          <w:u w:val="single"/>
          <w:rtl/>
        </w:rPr>
        <w:t>טיעוני הצדדים לעונש</w:t>
      </w:r>
    </w:p>
    <w:p w14:paraId="6F7F6134" w14:textId="77777777" w:rsidR="00B91C00" w:rsidRDefault="00B91C00" w:rsidP="00B91C00">
      <w:pPr>
        <w:pStyle w:val="a9"/>
        <w:numPr>
          <w:ilvl w:val="0"/>
          <w:numId w:val="1"/>
        </w:numPr>
        <w:spacing w:before="240" w:after="240" w:line="360" w:lineRule="auto"/>
        <w:contextualSpacing w:val="0"/>
        <w:jc w:val="both"/>
      </w:pPr>
      <w:r>
        <w:rPr>
          <w:rFonts w:hint="cs"/>
          <w:b/>
          <w:bCs/>
          <w:rtl/>
        </w:rPr>
        <w:t>התובע</w:t>
      </w:r>
      <w:r>
        <w:rPr>
          <w:rFonts w:hint="cs"/>
          <w:rtl/>
        </w:rPr>
        <w:t xml:space="preserve">, עו"ד יוסי קורצברג, עמד בטיעוניו על חומרת המעשה, תוך הדגשת העובדה כי מדובר באקדח אותו נשא הנאשם בטבורה של עיר, כשהוא טעון ודרוך. הוסבר כי אף אם נמצא שהאקדח אינו תקין, עדיין מדובר בכלי נשק קטלני. התובע נימק את עתירתו לקביעת מתחם עונש הולם </w:t>
      </w:r>
      <w:r>
        <w:rPr>
          <w:rFonts w:hint="cs"/>
          <w:b/>
          <w:bCs/>
          <w:rtl/>
        </w:rPr>
        <w:t>הנע בין 3 ל-6 שנות מאסר</w:t>
      </w:r>
      <w:r>
        <w:rPr>
          <w:rFonts w:hint="cs"/>
          <w:rtl/>
        </w:rPr>
        <w:t xml:space="preserve"> בנסיבות ביצוע העבירה, שהן לשיטתו, הנסיבות החמורות ביותר שניתן להעלות על הדעת ביחס לעבירה של נשיאת נשק. עוד הפנה התובע לעמדת בית המשפט העליון בשורת פסקי דין הקוראת להחמרה בעבירות הנשק, ולצורך להתאים את הנחית פרקליט המדינה 9.16 לאותה מגמת החמרה מתבקשת. נטען כי יש מקום ליתן ביטוי גם להרתעת היחיד והרבים, ובשקלול כלל הנסיבות, כמו גם מדיניות הענישה הנוהגת, יש להעמיד את המתחם כפי עתירת התביעה. </w:t>
      </w:r>
    </w:p>
    <w:p w14:paraId="04C0F12B" w14:textId="77777777" w:rsidR="00B91C00" w:rsidRDefault="00B91C00" w:rsidP="00B91C00">
      <w:pPr>
        <w:pStyle w:val="a9"/>
        <w:spacing w:before="240" w:after="240" w:line="360" w:lineRule="auto"/>
        <w:ind w:left="360"/>
        <w:contextualSpacing w:val="0"/>
        <w:jc w:val="both"/>
        <w:rPr>
          <w:rtl/>
        </w:rPr>
      </w:pPr>
      <w:r w:rsidRPr="004D14F6">
        <w:rPr>
          <w:rFonts w:hint="cs"/>
          <w:rtl/>
        </w:rPr>
        <w:lastRenderedPageBreak/>
        <w:t>באשר לעונש המתאים,</w:t>
      </w:r>
      <w:r>
        <w:rPr>
          <w:rFonts w:hint="cs"/>
          <w:rtl/>
        </w:rPr>
        <w:t xml:space="preserve"> ובשים לב לעברו הפלילי המכביד של הנאשם, סבר התובע כי יש מקום לקבוע את עונשו בשליש העליון של המתחם. </w:t>
      </w:r>
    </w:p>
    <w:p w14:paraId="78F0BA09" w14:textId="77777777" w:rsidR="00B91C00" w:rsidRDefault="00B91C00" w:rsidP="00B91C00">
      <w:pPr>
        <w:pStyle w:val="a9"/>
        <w:numPr>
          <w:ilvl w:val="0"/>
          <w:numId w:val="1"/>
        </w:numPr>
        <w:spacing w:before="240" w:after="240" w:line="360" w:lineRule="auto"/>
        <w:contextualSpacing w:val="0"/>
        <w:jc w:val="both"/>
      </w:pPr>
      <w:r>
        <w:rPr>
          <w:rFonts w:hint="cs"/>
          <w:rtl/>
        </w:rPr>
        <w:t>הסנגורית, עו"ד ימימה אברמוביץ', התייחסה לנתוניו האישיים של הנאשם, לעובדה כי מדובר במי שהוא נכדו של זאב רוזנשטיין, אך לא הכירו כ"סבא" אלא כמי שהורשע בעבירות חמורות ותויג כראש ארגון פשע. נטען כי הנאשם גדל לתוך סביבה מורכבת, גם נוכח עזיבת אביו, גם נוכח העובדה כי אימו הקימה משפחה חדשה, וזאת תוך התייחסות לדמותה הדומיננטית של סבתו שליוותה אותו בתקופות הקשות.</w:t>
      </w:r>
    </w:p>
    <w:p w14:paraId="461DED0C" w14:textId="77777777" w:rsidR="00B91C00" w:rsidRDefault="00B91C00" w:rsidP="00B91C00">
      <w:pPr>
        <w:pStyle w:val="a9"/>
        <w:spacing w:before="240" w:after="240" w:line="360" w:lineRule="auto"/>
        <w:ind w:left="360"/>
        <w:contextualSpacing w:val="0"/>
        <w:jc w:val="both"/>
        <w:rPr>
          <w:rtl/>
        </w:rPr>
      </w:pPr>
    </w:p>
    <w:p w14:paraId="051BAFEB" w14:textId="77777777" w:rsidR="00B91C00" w:rsidRDefault="00B91C00" w:rsidP="00B91C00">
      <w:pPr>
        <w:pStyle w:val="a9"/>
        <w:spacing w:before="240" w:after="240" w:line="360" w:lineRule="auto"/>
        <w:ind w:left="360"/>
        <w:contextualSpacing w:val="0"/>
        <w:jc w:val="both"/>
        <w:rPr>
          <w:rtl/>
        </w:rPr>
      </w:pPr>
      <w:r>
        <w:rPr>
          <w:rFonts w:hint="cs"/>
          <w:rtl/>
        </w:rPr>
        <w:t xml:space="preserve">הסנגורית סברה כי מתחם העונש ההולם צריך לנוע </w:t>
      </w:r>
      <w:r w:rsidRPr="00BA4D4B">
        <w:rPr>
          <w:rFonts w:hint="cs"/>
          <w:b/>
          <w:bCs/>
          <w:rtl/>
        </w:rPr>
        <w:t>בין 12 חודשי מאסר ל- 24 חודשי מאסר</w:t>
      </w:r>
      <w:r>
        <w:rPr>
          <w:rFonts w:hint="cs"/>
          <w:b/>
          <w:bCs/>
          <w:rtl/>
        </w:rPr>
        <w:t xml:space="preserve">, </w:t>
      </w:r>
      <w:r w:rsidRPr="00BA4D4B">
        <w:rPr>
          <w:rFonts w:hint="cs"/>
          <w:rtl/>
        </w:rPr>
        <w:t xml:space="preserve">וזאת בהינתן כלל הנסיבות, לרבות העובדה כי מדובר באקדח תקול. הסנגורית התייחסה אף היא למדיניות הענישה הנוהגת, </w:t>
      </w:r>
      <w:r>
        <w:rPr>
          <w:rFonts w:hint="cs"/>
          <w:rtl/>
        </w:rPr>
        <w:t xml:space="preserve">והפנתה למספר פסקי דין המתיישבים, לשיטתה, עם מתחם העונש ההולם הנטען על-ידה. </w:t>
      </w:r>
    </w:p>
    <w:p w14:paraId="12387396" w14:textId="77777777" w:rsidR="00B91C00" w:rsidRDefault="00B91C00" w:rsidP="00B91C00">
      <w:pPr>
        <w:pStyle w:val="a9"/>
        <w:spacing w:before="240" w:after="240" w:line="360" w:lineRule="auto"/>
        <w:ind w:left="360"/>
        <w:contextualSpacing w:val="0"/>
        <w:jc w:val="both"/>
        <w:rPr>
          <w:rtl/>
        </w:rPr>
      </w:pPr>
      <w:r>
        <w:rPr>
          <w:rFonts w:hint="cs"/>
          <w:rtl/>
        </w:rPr>
        <w:t xml:space="preserve">הסנגורית עמדה על הודאתו המידית של הנאשם במיוחס לו כבר בשטח עת נלכד על-ידי המשטרה, וביקשה לראות בכך כאינדיקציה מובהקת לכך שהנאשם מבקש לשנות מאורחות חייו. </w:t>
      </w:r>
    </w:p>
    <w:p w14:paraId="1AB6F139" w14:textId="77777777" w:rsidR="00B91C00" w:rsidRDefault="00B91C00" w:rsidP="00B91C00">
      <w:pPr>
        <w:pStyle w:val="a9"/>
        <w:spacing w:before="240" w:after="240" w:line="360" w:lineRule="auto"/>
        <w:ind w:left="360"/>
        <w:contextualSpacing w:val="0"/>
        <w:jc w:val="both"/>
        <w:rPr>
          <w:rtl/>
        </w:rPr>
      </w:pPr>
      <w:r>
        <w:rPr>
          <w:rFonts w:hint="cs"/>
          <w:rtl/>
        </w:rPr>
        <w:t xml:space="preserve">עוד הוסבר כי מדובר במי שנקלע לאחר שחרורו ממאסרו האחרון לקושי רפואי כעולה מהמסמכים שסומנו נע/1. </w:t>
      </w:r>
    </w:p>
    <w:p w14:paraId="7750E63B" w14:textId="77777777" w:rsidR="00B91C00" w:rsidRPr="00BA4D4B" w:rsidRDefault="00B91C00" w:rsidP="00B91C00">
      <w:pPr>
        <w:pStyle w:val="a9"/>
        <w:spacing w:before="240" w:after="240" w:line="360" w:lineRule="auto"/>
        <w:ind w:left="360"/>
        <w:contextualSpacing w:val="0"/>
        <w:jc w:val="both"/>
      </w:pPr>
      <w:r>
        <w:rPr>
          <w:rFonts w:hint="cs"/>
          <w:rtl/>
        </w:rPr>
        <w:t xml:space="preserve">בסיכומו של טיעון, סברה הסנגורית כי יש מקום לגזור את דינו של הנאשם בסמוך לרף התחתון של מתחם העונש ההולם המוצע על-ידה, וזאת נוכח גילו הצעיר, נתוניו המורכבים, הודאתו ורצונו לשקם את חייו. </w:t>
      </w:r>
    </w:p>
    <w:p w14:paraId="759D4D0E" w14:textId="77777777" w:rsidR="00B91C00" w:rsidRDefault="00B91C00" w:rsidP="00B91C00">
      <w:pPr>
        <w:pStyle w:val="a9"/>
        <w:numPr>
          <w:ilvl w:val="0"/>
          <w:numId w:val="1"/>
        </w:numPr>
        <w:spacing w:before="240" w:after="240" w:line="360" w:lineRule="auto"/>
        <w:contextualSpacing w:val="0"/>
        <w:jc w:val="both"/>
      </w:pPr>
      <w:r>
        <w:rPr>
          <w:rFonts w:hint="cs"/>
          <w:b/>
          <w:bCs/>
          <w:rtl/>
        </w:rPr>
        <w:t>הנאשם</w:t>
      </w:r>
      <w:r>
        <w:rPr>
          <w:rFonts w:hint="cs"/>
          <w:rtl/>
        </w:rPr>
        <w:t xml:space="preserve"> בדברו האחרון ציין כי עבר תקופה לא קלה והביע רצון לשקם את חייו.  </w:t>
      </w:r>
    </w:p>
    <w:p w14:paraId="2EA21A62" w14:textId="77777777" w:rsidR="00B91C00" w:rsidRPr="005450C6" w:rsidRDefault="00B91C00" w:rsidP="00B91C00">
      <w:pPr>
        <w:pStyle w:val="a9"/>
        <w:spacing w:before="240" w:after="240" w:line="360" w:lineRule="auto"/>
        <w:ind w:left="360"/>
        <w:contextualSpacing w:val="0"/>
        <w:jc w:val="both"/>
        <w:rPr>
          <w:rtl/>
        </w:rPr>
      </w:pPr>
      <w:r w:rsidRPr="005450C6">
        <w:rPr>
          <w:rFonts w:hint="cs"/>
          <w:b/>
          <w:bCs/>
          <w:u w:val="single"/>
          <w:rtl/>
        </w:rPr>
        <w:t>דיון והכרעה</w:t>
      </w:r>
    </w:p>
    <w:p w14:paraId="1BDAE4AA" w14:textId="77777777" w:rsidR="00B91C00" w:rsidRDefault="00B91C00" w:rsidP="00B91C00">
      <w:pPr>
        <w:pStyle w:val="a9"/>
        <w:spacing w:before="240" w:after="240" w:line="360" w:lineRule="auto"/>
        <w:ind w:left="360"/>
        <w:contextualSpacing w:val="0"/>
        <w:jc w:val="both"/>
        <w:rPr>
          <w:u w:val="single"/>
          <w:rtl/>
        </w:rPr>
      </w:pPr>
      <w:r>
        <w:rPr>
          <w:rFonts w:hint="cs"/>
          <w:u w:val="single"/>
          <w:rtl/>
        </w:rPr>
        <w:t>קביעת מתחם העונש ההולם</w:t>
      </w:r>
    </w:p>
    <w:p w14:paraId="3783170A" w14:textId="77777777" w:rsidR="00B91C00" w:rsidRDefault="00B91C00" w:rsidP="00B91C00">
      <w:pPr>
        <w:pStyle w:val="a9"/>
        <w:numPr>
          <w:ilvl w:val="0"/>
          <w:numId w:val="1"/>
        </w:numPr>
        <w:spacing w:before="240" w:after="240" w:line="360" w:lineRule="auto"/>
        <w:contextualSpacing w:val="0"/>
        <w:jc w:val="both"/>
      </w:pPr>
      <w:r>
        <w:rPr>
          <w:rFonts w:hint="cs"/>
          <w:rtl/>
        </w:rPr>
        <w:t>הערכים החברתיים הרלוונטיים לעבירות נשק הם הגנה על שלום הציבור וביטחונו ועל הסדר הציבורי, זאת מאחר שעבירות אלה מהוות את התשתית לביצוע מגוון רחב של עבירות - החל בעבירות איומים, המשך בעבירות גרימת חבלה חמורה וכלה בעבירות המתה - עבירות הגוררות מטבע הדברים פגיעה בגוף, בנפש וברכוש [</w:t>
      </w:r>
      <w:hyperlink r:id="rId11" w:history="1">
        <w:r w:rsidR="00471E3E" w:rsidRPr="00471E3E">
          <w:rPr>
            <w:color w:val="0000FF"/>
            <w:u w:val="single"/>
            <w:rtl/>
          </w:rPr>
          <w:t>ע"פ 4406/19</w:t>
        </w:r>
      </w:hyperlink>
      <w:r>
        <w:rPr>
          <w:rFonts w:hint="cs"/>
          <w:rtl/>
        </w:rPr>
        <w:t xml:space="preserve"> </w:t>
      </w:r>
      <w:r>
        <w:rPr>
          <w:rFonts w:hint="cs"/>
          <w:b/>
          <w:bCs/>
          <w:rtl/>
        </w:rPr>
        <w:t>מדינת ישראל נ' יונס סובח</w:t>
      </w:r>
      <w:r>
        <w:rPr>
          <w:rFonts w:hint="cs"/>
          <w:rtl/>
        </w:rPr>
        <w:t xml:space="preserve"> (5.11.2019) (להלן - </w:t>
      </w:r>
      <w:r>
        <w:rPr>
          <w:rFonts w:hint="cs"/>
          <w:b/>
          <w:bCs/>
          <w:rtl/>
        </w:rPr>
        <w:t>עניין סובח</w:t>
      </w:r>
      <w:r>
        <w:rPr>
          <w:rFonts w:hint="cs"/>
          <w:rtl/>
        </w:rPr>
        <w:t>)].</w:t>
      </w:r>
      <w:r w:rsidR="00471E3E">
        <w:rPr>
          <w:rFonts w:hint="cs"/>
          <w:rtl/>
        </w:rPr>
        <w:t xml:space="preserve"> </w:t>
      </w:r>
      <w:r>
        <w:rPr>
          <w:rFonts w:hint="cs"/>
          <w:rtl/>
        </w:rPr>
        <w:t xml:space="preserve"> </w:t>
      </w:r>
    </w:p>
    <w:p w14:paraId="3B17A6D6" w14:textId="77777777" w:rsidR="00B91C00" w:rsidRDefault="00B91C00" w:rsidP="00B91C00">
      <w:pPr>
        <w:pStyle w:val="a9"/>
        <w:numPr>
          <w:ilvl w:val="0"/>
          <w:numId w:val="1"/>
        </w:numPr>
        <w:spacing w:before="240" w:after="240" w:line="360" w:lineRule="auto"/>
        <w:contextualSpacing w:val="0"/>
        <w:jc w:val="both"/>
      </w:pPr>
      <w:r>
        <w:rPr>
          <w:rFonts w:hint="cs"/>
          <w:rtl/>
        </w:rPr>
        <w:t>בתי המשפט חזרו פעם אחר פעם על חומרתן של עבירות נשק והסכנה הרבה הטמונה בהן "</w:t>
      </w:r>
      <w:r>
        <w:rPr>
          <w:rFonts w:hint="cs"/>
          <w:b/>
          <w:bCs/>
          <w:rtl/>
        </w:rPr>
        <w:t>בעיקר בשל כך שעבירות מסוג זה מקימות פוטנציאל להסלמה עבריינית ויוצרות סיכון ממשי וחמור לשלום הציבור וביטחונו</w:t>
      </w:r>
      <w:r>
        <w:rPr>
          <w:rFonts w:hint="cs"/>
          <w:rtl/>
        </w:rPr>
        <w:t>" (</w:t>
      </w:r>
      <w:hyperlink r:id="rId12" w:history="1">
        <w:r w:rsidR="00471E3E" w:rsidRPr="00471E3E">
          <w:rPr>
            <w:color w:val="0000FF"/>
            <w:u w:val="single"/>
            <w:rtl/>
          </w:rPr>
          <w:t>ע"פ 3156/11</w:t>
        </w:r>
      </w:hyperlink>
      <w:r>
        <w:rPr>
          <w:rFonts w:hint="cs"/>
          <w:rtl/>
        </w:rPr>
        <w:t xml:space="preserve"> </w:t>
      </w:r>
      <w:r>
        <w:rPr>
          <w:rFonts w:hint="cs"/>
          <w:b/>
          <w:bCs/>
          <w:rtl/>
        </w:rPr>
        <w:t>זראיעה נ' מדינת ישראל</w:t>
      </w:r>
      <w:r>
        <w:rPr>
          <w:rFonts w:hint="cs"/>
          <w:rtl/>
        </w:rPr>
        <w:t xml:space="preserve">, פס' 5 (21.2.2012)). </w:t>
      </w:r>
    </w:p>
    <w:p w14:paraId="15682F2B" w14:textId="77777777" w:rsidR="00B91C00" w:rsidRDefault="00B91C00" w:rsidP="00B91C00">
      <w:pPr>
        <w:pStyle w:val="a9"/>
        <w:numPr>
          <w:ilvl w:val="0"/>
          <w:numId w:val="1"/>
        </w:numPr>
        <w:spacing w:before="240" w:after="240" w:line="360" w:lineRule="auto"/>
        <w:contextualSpacing w:val="0"/>
        <w:jc w:val="both"/>
      </w:pPr>
      <w:r>
        <w:rPr>
          <w:rFonts w:hint="cs"/>
          <w:rtl/>
        </w:rPr>
        <w:t xml:space="preserve">הנאשם נשא אקדח טעון ודרוך כשהוא מורכב על אופנוע, ובדרך ליעד (גיאוגרפי) לא ידוע. </w:t>
      </w:r>
      <w:r w:rsidRPr="00CB1201">
        <w:rPr>
          <w:rFonts w:hint="cs"/>
          <w:color w:val="000000"/>
          <w:rtl/>
        </w:rPr>
        <w:t xml:space="preserve">הגם שלא צוין בכתב האישום הרקע לנשיאת האקדח או נתון בדבר כוונה לעשות בו שימוש, </w:t>
      </w:r>
      <w:r>
        <w:rPr>
          <w:rFonts w:hint="cs"/>
          <w:rtl/>
        </w:rPr>
        <w:t xml:space="preserve">הרי שאין בכך כדי לגרוע מפוטנציאל הנזק הטמון בעבירה בכלל ובנסיבותיה הקונקרטיות בפרט. </w:t>
      </w:r>
    </w:p>
    <w:p w14:paraId="58E64CC7" w14:textId="77777777" w:rsidR="00B91C00" w:rsidRDefault="00B91C00" w:rsidP="00B91C00">
      <w:pPr>
        <w:pStyle w:val="a9"/>
        <w:spacing w:before="240" w:after="240" w:line="360" w:lineRule="auto"/>
        <w:ind w:left="360"/>
        <w:contextualSpacing w:val="0"/>
        <w:jc w:val="both"/>
        <w:rPr>
          <w:rtl/>
        </w:rPr>
      </w:pPr>
      <w:r>
        <w:rPr>
          <w:rFonts w:hint="cs"/>
          <w:rtl/>
        </w:rPr>
        <w:t xml:space="preserve">ראה בהקשר זה </w:t>
      </w:r>
      <w:hyperlink r:id="rId13" w:history="1">
        <w:r w:rsidR="00471E3E" w:rsidRPr="00471E3E">
          <w:rPr>
            <w:color w:val="0000FF"/>
            <w:u w:val="single"/>
            <w:rtl/>
          </w:rPr>
          <w:t>ע"פ 4945/13</w:t>
        </w:r>
      </w:hyperlink>
      <w:r>
        <w:rPr>
          <w:rFonts w:hint="cs"/>
          <w:rtl/>
        </w:rPr>
        <w:t xml:space="preserve"> </w:t>
      </w:r>
      <w:r w:rsidRPr="00C104CD">
        <w:rPr>
          <w:rFonts w:hint="cs"/>
          <w:b/>
          <w:bCs/>
          <w:rtl/>
        </w:rPr>
        <w:t xml:space="preserve">מדינת ישראל נ' סלימאן </w:t>
      </w:r>
      <w:r>
        <w:rPr>
          <w:rFonts w:hint="cs"/>
          <w:rtl/>
        </w:rPr>
        <w:t>(19.1.2014):</w:t>
      </w:r>
    </w:p>
    <w:p w14:paraId="161C4510" w14:textId="77777777" w:rsidR="00B91C00" w:rsidRDefault="00B91C00" w:rsidP="00B91C00">
      <w:pPr>
        <w:pStyle w:val="a9"/>
        <w:spacing w:before="240" w:after="240" w:line="360" w:lineRule="auto"/>
        <w:ind w:left="357"/>
        <w:contextualSpacing w:val="0"/>
        <w:jc w:val="both"/>
        <w:rPr>
          <w:rtl/>
        </w:rPr>
      </w:pPr>
      <w:r>
        <w:rPr>
          <w:rFonts w:hint="cs"/>
          <w:rtl/>
        </w:rPr>
        <w:t>"</w:t>
      </w:r>
      <w:r>
        <w:rPr>
          <w:rFonts w:hint="cs"/>
          <w:b/>
          <w:bCs/>
          <w:rtl/>
        </w:rPr>
        <w:t>הסיכון שנשקף לשלום הציבור צריך להילקח בחשבון על 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Fonts w:hint="cs"/>
          <w:rtl/>
        </w:rPr>
        <w:t xml:space="preserve">". </w:t>
      </w:r>
    </w:p>
    <w:p w14:paraId="55923753" w14:textId="77777777" w:rsidR="00B91C00" w:rsidRDefault="00B91C00" w:rsidP="00B91C00">
      <w:pPr>
        <w:pStyle w:val="a9"/>
        <w:spacing w:before="240" w:after="240" w:line="360" w:lineRule="auto"/>
        <w:ind w:left="357"/>
        <w:contextualSpacing w:val="0"/>
        <w:jc w:val="both"/>
        <w:rPr>
          <w:rtl/>
        </w:rPr>
      </w:pPr>
      <w:r>
        <w:rPr>
          <w:rFonts w:hint="cs"/>
          <w:rtl/>
        </w:rPr>
        <w:t xml:space="preserve">יחד עם זאת, וכפי שנקבע בעבר, מתחם העונש ההולם צריך לשקלל גם את סוג הנשק, ובענייננו, גם את העובדה כי דובר בנשק תקול, אף שהיה מסוגל לירות. </w:t>
      </w:r>
    </w:p>
    <w:p w14:paraId="6561540D" w14:textId="77777777" w:rsidR="00B91C00" w:rsidRDefault="00B91C00" w:rsidP="00B91C00">
      <w:pPr>
        <w:pStyle w:val="a9"/>
        <w:spacing w:before="240" w:after="240" w:line="360" w:lineRule="auto"/>
        <w:ind w:left="357"/>
        <w:contextualSpacing w:val="0"/>
        <w:jc w:val="both"/>
        <w:rPr>
          <w:rtl/>
        </w:rPr>
      </w:pPr>
      <w:r>
        <w:rPr>
          <w:rFonts w:hint="cs"/>
          <w:rtl/>
        </w:rPr>
        <w:t>ראה בהקשר זה עמדת בית המשפט העליון:</w:t>
      </w:r>
    </w:p>
    <w:p w14:paraId="61E25BF3" w14:textId="77777777" w:rsidR="00B91C00" w:rsidRDefault="00B91C00" w:rsidP="00B91C00">
      <w:pPr>
        <w:pStyle w:val="a9"/>
        <w:spacing w:before="240" w:after="240" w:line="360" w:lineRule="auto"/>
        <w:ind w:left="357"/>
        <w:contextualSpacing w:val="0"/>
        <w:jc w:val="both"/>
        <w:rPr>
          <w:rtl/>
        </w:rPr>
      </w:pPr>
      <w:r>
        <w:rPr>
          <w:rFonts w:hint="cs"/>
          <w:rtl/>
        </w:rPr>
        <w:t>"</w:t>
      </w:r>
      <w:r>
        <w:rPr>
          <w:rFonts w:hint="cs"/>
          <w:b/>
          <w:bCs/>
          <w:rtl/>
        </w:rPr>
        <w:t xml:space="preserve">מתחם העונש ההולם בעבירות המבוצעות בנשק צריך שיקבע בהתאם לסוג הנשק שבו מדובר. שהרי, </w:t>
      </w:r>
      <w:r w:rsidRPr="00C104CD">
        <w:rPr>
          <w:b/>
          <w:bCs/>
          <w:rtl/>
        </w:rPr>
        <w:t>סוג הנשק</w:t>
      </w:r>
      <w:r>
        <w:rPr>
          <w:rFonts w:hint="cs"/>
          <w:b/>
          <w:bCs/>
          <w:rtl/>
        </w:rPr>
        <w:t xml:space="preserve">, כמו-גם </w:t>
      </w:r>
      <w:r w:rsidRPr="00C104CD">
        <w:rPr>
          <w:b/>
          <w:bCs/>
          <w:rtl/>
        </w:rPr>
        <w:t>ההיקף</w:t>
      </w:r>
      <w:r>
        <w:rPr>
          <w:rFonts w:hint="cs"/>
          <w:b/>
          <w:bCs/>
          <w:rtl/>
        </w:rPr>
        <w:t xml:space="preserve"> שבו נסחר, הוחזק, הובל וכיוצא באלה, הם </w:t>
      </w:r>
      <w:r w:rsidRPr="00C104CD">
        <w:rPr>
          <w:b/>
          <w:bCs/>
          <w:rtl/>
        </w:rPr>
        <w:t xml:space="preserve">נסיבות הקשורות בביצוע העבירה </w:t>
      </w:r>
      <w:r>
        <w:rPr>
          <w:rFonts w:hint="cs"/>
          <w:b/>
          <w:bCs/>
          <w:rtl/>
        </w:rPr>
        <w:t>והם שקובעים את פוטנציאל הנזק הכרוך במעשה העבירה... למעשה, אין כל חידוש בקביעה כי קיים מדרג ענישה בעבירות המבוצעות בנשק, הנקבע, בין השאר, על-פי סוג, איכות וכמות הנשק שנעשה בו שימוש</w:t>
      </w:r>
      <w:r>
        <w:rPr>
          <w:rFonts w:hint="cs"/>
          <w:rtl/>
        </w:rPr>
        <w:t>" (</w:t>
      </w:r>
      <w:hyperlink r:id="rId14" w:history="1">
        <w:r w:rsidR="00471E3E" w:rsidRPr="00471E3E">
          <w:rPr>
            <w:color w:val="0000FF"/>
            <w:u w:val="single"/>
            <w:rtl/>
          </w:rPr>
          <w:t>ע"פ 1323/13</w:t>
        </w:r>
      </w:hyperlink>
      <w:r>
        <w:rPr>
          <w:rFonts w:hint="cs"/>
          <w:rtl/>
        </w:rPr>
        <w:t xml:space="preserve"> </w:t>
      </w:r>
      <w:r>
        <w:rPr>
          <w:rFonts w:hint="cs"/>
          <w:b/>
          <w:bCs/>
          <w:rtl/>
        </w:rPr>
        <w:t>חסן נ' מדינת ישראל</w:t>
      </w:r>
      <w:r>
        <w:rPr>
          <w:rFonts w:hint="cs"/>
          <w:rtl/>
        </w:rPr>
        <w:t xml:space="preserve">, פס' 10 (5.6.2013); </w:t>
      </w:r>
      <w:r>
        <w:rPr>
          <w:rFonts w:hint="cs"/>
          <w:u w:val="single"/>
          <w:rtl/>
        </w:rPr>
        <w:t>וראו גם</w:t>
      </w:r>
      <w:r>
        <w:rPr>
          <w:rFonts w:hint="cs"/>
          <w:rtl/>
        </w:rPr>
        <w:t xml:space="preserve">: </w:t>
      </w:r>
      <w:hyperlink r:id="rId15" w:history="1">
        <w:r w:rsidR="00471E3E" w:rsidRPr="00471E3E">
          <w:rPr>
            <w:color w:val="0000FF"/>
            <w:u w:val="single"/>
            <w:rtl/>
          </w:rPr>
          <w:t>ע"פ 9702/16</w:t>
        </w:r>
      </w:hyperlink>
      <w:r>
        <w:rPr>
          <w:rFonts w:hint="cs"/>
          <w:rtl/>
        </w:rPr>
        <w:t xml:space="preserve"> </w:t>
      </w:r>
      <w:r>
        <w:rPr>
          <w:rFonts w:hint="cs"/>
          <w:b/>
          <w:bCs/>
          <w:rtl/>
        </w:rPr>
        <w:t>אלוליאיה נ' מדינת ישראל</w:t>
      </w:r>
      <w:r>
        <w:rPr>
          <w:rFonts w:hint="cs"/>
          <w:rtl/>
        </w:rPr>
        <w:t xml:space="preserve">, פס' 8 (13.9.2017); </w:t>
      </w:r>
      <w:hyperlink r:id="rId16" w:history="1">
        <w:r w:rsidR="00471E3E" w:rsidRPr="00471E3E">
          <w:rPr>
            <w:color w:val="0000FF"/>
            <w:u w:val="single"/>
            <w:rtl/>
          </w:rPr>
          <w:t>ע"פ 8899/06</w:t>
        </w:r>
      </w:hyperlink>
      <w:r>
        <w:rPr>
          <w:rFonts w:hint="cs"/>
          <w:rtl/>
        </w:rPr>
        <w:t xml:space="preserve"> </w:t>
      </w:r>
      <w:r>
        <w:rPr>
          <w:rFonts w:hint="cs"/>
          <w:b/>
          <w:bCs/>
          <w:rtl/>
        </w:rPr>
        <w:t>ארמין נ' מדינת ישראל</w:t>
      </w:r>
      <w:r>
        <w:rPr>
          <w:rFonts w:hint="cs"/>
          <w:rtl/>
        </w:rPr>
        <w:t>, פס' 20 (29.7.2007)).</w:t>
      </w:r>
    </w:p>
    <w:p w14:paraId="43EE6254" w14:textId="77777777" w:rsidR="00B91C00" w:rsidRDefault="00B91C00" w:rsidP="00B91C00">
      <w:pPr>
        <w:pStyle w:val="a9"/>
        <w:spacing w:before="240" w:after="240" w:line="360" w:lineRule="auto"/>
        <w:ind w:left="357"/>
        <w:contextualSpacing w:val="0"/>
        <w:jc w:val="both"/>
        <w:rPr>
          <w:rtl/>
        </w:rPr>
      </w:pPr>
      <w:r>
        <w:rPr>
          <w:rFonts w:hint="cs"/>
          <w:rtl/>
        </w:rPr>
        <w:t xml:space="preserve"> כמו כן, יש ליתן את הדעת לעובדה כי בפועל לא נעשה שימוש באקדח ולא נגרם נזק ממשי בגין העבירה בה הורשע הנאשם והנשק נתפס על ידי המשטרה.</w:t>
      </w:r>
      <w:r w:rsidR="00471E3E">
        <w:rPr>
          <w:rFonts w:hint="cs"/>
          <w:rtl/>
        </w:rPr>
        <w:t xml:space="preserve"> </w:t>
      </w:r>
      <w:r>
        <w:rPr>
          <w:rFonts w:hint="cs"/>
          <w:rtl/>
        </w:rPr>
        <w:t xml:space="preserve"> </w:t>
      </w:r>
    </w:p>
    <w:p w14:paraId="2B3EFD52" w14:textId="77777777" w:rsidR="00B91C00" w:rsidRDefault="00B91C00" w:rsidP="00B91C00">
      <w:pPr>
        <w:pStyle w:val="a9"/>
        <w:spacing w:before="240" w:after="240" w:line="360" w:lineRule="auto"/>
        <w:ind w:left="357"/>
        <w:contextualSpacing w:val="0"/>
        <w:jc w:val="both"/>
        <w:rPr>
          <w:rtl/>
        </w:rPr>
      </w:pPr>
      <w:r>
        <w:rPr>
          <w:rFonts w:hint="cs"/>
          <w:rtl/>
        </w:rPr>
        <w:t xml:space="preserve">בשנים האחרונות חלה בבית המשפט העליון מגמה של החמרה ברמת הענישה בעבירות נשק, אשר באה לידי ביטוי בשורה ארוכה של פסקי דין: </w:t>
      </w:r>
    </w:p>
    <w:p w14:paraId="2A88ED3C" w14:textId="77777777" w:rsidR="00B91C00" w:rsidRDefault="00B91C00" w:rsidP="00B91C00">
      <w:pPr>
        <w:pStyle w:val="a9"/>
        <w:spacing w:before="240" w:after="240" w:line="360" w:lineRule="auto"/>
        <w:ind w:left="357"/>
        <w:contextualSpacing w:val="0"/>
        <w:jc w:val="both"/>
        <w:rPr>
          <w:rtl/>
        </w:rPr>
      </w:pPr>
      <w:r>
        <w:rPr>
          <w:rFonts w:hint="cs"/>
          <w:rtl/>
        </w:rPr>
        <w:t>"</w:t>
      </w:r>
      <w:r>
        <w:rPr>
          <w:rFonts w:hint="cs"/>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w:t>
      </w:r>
      <w:r>
        <w:rPr>
          <w:rFonts w:hint="cs"/>
          <w:rtl/>
        </w:rPr>
        <w:t xml:space="preserve"> </w:t>
      </w:r>
      <w:r>
        <w:rPr>
          <w:rFonts w:hint="cs"/>
          <w:b/>
          <w:bCs/>
          <w:rtl/>
        </w:rPr>
        <w:t>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w:t>
      </w:r>
      <w:r>
        <w:rPr>
          <w:rFonts w:hint="cs"/>
          <w:rtl/>
        </w:rPr>
        <w:t xml:space="preserve"> (</w:t>
      </w:r>
      <w:hyperlink r:id="rId17" w:history="1">
        <w:r w:rsidR="00471E3E" w:rsidRPr="00471E3E">
          <w:rPr>
            <w:color w:val="0000FF"/>
            <w:u w:val="single"/>
            <w:rtl/>
          </w:rPr>
          <w:t>ע"פ 8045/17</w:t>
        </w:r>
      </w:hyperlink>
      <w:r>
        <w:rPr>
          <w:rFonts w:hint="cs"/>
          <w:rtl/>
        </w:rPr>
        <w:t xml:space="preserve"> </w:t>
      </w:r>
      <w:r>
        <w:rPr>
          <w:rFonts w:hint="cs"/>
          <w:b/>
          <w:bCs/>
          <w:rtl/>
        </w:rPr>
        <w:t>בראנסי נ' מדינת ישראל</w:t>
      </w:r>
      <w:r>
        <w:rPr>
          <w:rFonts w:hint="cs"/>
          <w:rtl/>
        </w:rPr>
        <w:t xml:space="preserve">, פס' 11 (16.8.2018)). </w:t>
      </w:r>
    </w:p>
    <w:p w14:paraId="6201E459" w14:textId="77777777" w:rsidR="00B91C00" w:rsidRDefault="00B91C00" w:rsidP="00B91C00">
      <w:pPr>
        <w:pStyle w:val="a9"/>
        <w:spacing w:before="240" w:after="240" w:line="360" w:lineRule="auto"/>
        <w:ind w:left="357"/>
        <w:contextualSpacing w:val="0"/>
        <w:jc w:val="both"/>
        <w:rPr>
          <w:rtl/>
        </w:rPr>
      </w:pPr>
      <w:r>
        <w:rPr>
          <w:rFonts w:hint="cs"/>
          <w:rtl/>
        </w:rPr>
        <w:t>וכן:</w:t>
      </w:r>
    </w:p>
    <w:p w14:paraId="7DA20418" w14:textId="77777777" w:rsidR="00B91C00" w:rsidRDefault="00B91C00" w:rsidP="00B91C00">
      <w:pPr>
        <w:pStyle w:val="a9"/>
        <w:spacing w:before="240" w:after="240" w:line="360" w:lineRule="auto"/>
        <w:ind w:left="357"/>
        <w:contextualSpacing w:val="0"/>
        <w:jc w:val="both"/>
        <w:rPr>
          <w:rtl/>
        </w:rPr>
      </w:pPr>
      <w:r>
        <w:rPr>
          <w:rFonts w:hint="cs"/>
          <w:rtl/>
        </w:rPr>
        <w:t>"</w:t>
      </w:r>
      <w:r>
        <w:rPr>
          <w:rFonts w:hint="cs"/>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זאת אף בלא שנעשה בנשק שימוש לביצוע עבירה נוספת</w:t>
      </w:r>
      <w:r>
        <w:rPr>
          <w:rFonts w:hint="cs"/>
          <w:rtl/>
        </w:rPr>
        <w:t>" (עניין סובח, פס' 17).</w:t>
      </w:r>
    </w:p>
    <w:p w14:paraId="4B83FDC9" w14:textId="77777777" w:rsidR="00B91C00" w:rsidRDefault="00B91C00" w:rsidP="00B91C00">
      <w:pPr>
        <w:pStyle w:val="a9"/>
        <w:spacing w:before="240" w:after="240" w:line="360" w:lineRule="auto"/>
        <w:ind w:left="357"/>
        <w:contextualSpacing w:val="0"/>
        <w:jc w:val="both"/>
        <w:rPr>
          <w:rtl/>
        </w:rPr>
      </w:pPr>
      <w:r>
        <w:rPr>
          <w:rFonts w:hint="cs"/>
          <w:u w:val="single"/>
          <w:rtl/>
        </w:rPr>
        <w:t>וראו גם</w:t>
      </w:r>
      <w:r>
        <w:rPr>
          <w:rFonts w:hint="cs"/>
          <w:rtl/>
        </w:rPr>
        <w:t xml:space="preserve">: </w:t>
      </w:r>
      <w:hyperlink r:id="rId18" w:history="1">
        <w:r w:rsidR="00471E3E" w:rsidRPr="00471E3E">
          <w:rPr>
            <w:color w:val="0000FF"/>
            <w:u w:val="single"/>
            <w:rtl/>
          </w:rPr>
          <w:t>ע"פ 7177/20</w:t>
        </w:r>
      </w:hyperlink>
      <w:r>
        <w:rPr>
          <w:rFonts w:hint="cs"/>
          <w:rtl/>
        </w:rPr>
        <w:t xml:space="preserve"> </w:t>
      </w:r>
      <w:r>
        <w:rPr>
          <w:rFonts w:hint="cs"/>
          <w:b/>
          <w:bCs/>
          <w:rtl/>
        </w:rPr>
        <w:t>כנעאן נ' מדינת ישראל</w:t>
      </w:r>
      <w:r>
        <w:rPr>
          <w:rFonts w:hint="cs"/>
          <w:rtl/>
        </w:rPr>
        <w:t xml:space="preserve">, פס' 2 (27.1.2021); </w:t>
      </w:r>
      <w:hyperlink r:id="rId19" w:history="1">
        <w:r w:rsidR="00471E3E" w:rsidRPr="00471E3E">
          <w:rPr>
            <w:color w:val="0000FF"/>
            <w:u w:val="single"/>
            <w:rtl/>
          </w:rPr>
          <w:t>ע"פ 5807/20</w:t>
        </w:r>
      </w:hyperlink>
      <w:r>
        <w:rPr>
          <w:rFonts w:hint="cs"/>
          <w:rtl/>
        </w:rPr>
        <w:t xml:space="preserve"> </w:t>
      </w:r>
      <w:r>
        <w:rPr>
          <w:rFonts w:hint="cs"/>
          <w:b/>
          <w:bCs/>
          <w:rtl/>
        </w:rPr>
        <w:t>שיבלי נ' מדינת ישראל</w:t>
      </w:r>
      <w:r>
        <w:rPr>
          <w:rFonts w:hint="cs"/>
          <w:rtl/>
        </w:rPr>
        <w:t>, פס' 8</w:t>
      </w:r>
      <w:r>
        <w:rPr>
          <w:rFonts w:hint="cs"/>
          <w:b/>
          <w:bCs/>
          <w:rtl/>
        </w:rPr>
        <w:t xml:space="preserve"> </w:t>
      </w:r>
      <w:r>
        <w:rPr>
          <w:rFonts w:hint="cs"/>
          <w:rtl/>
        </w:rPr>
        <w:t xml:space="preserve">(30.12.2020); </w:t>
      </w:r>
      <w:hyperlink r:id="rId20" w:history="1">
        <w:r w:rsidR="00471E3E" w:rsidRPr="00471E3E">
          <w:rPr>
            <w:color w:val="0000FF"/>
            <w:u w:val="single"/>
            <w:rtl/>
          </w:rPr>
          <w:t>ע"פ 8017/20</w:t>
        </w:r>
      </w:hyperlink>
      <w:r>
        <w:rPr>
          <w:rFonts w:hint="cs"/>
          <w:rtl/>
        </w:rPr>
        <w:t xml:space="preserve"> </w:t>
      </w:r>
      <w:r>
        <w:rPr>
          <w:rFonts w:hint="cs"/>
          <w:b/>
          <w:bCs/>
          <w:rtl/>
        </w:rPr>
        <w:t>מדינת ישראל נ' גריפאת</w:t>
      </w:r>
      <w:r>
        <w:rPr>
          <w:rFonts w:hint="cs"/>
          <w:rtl/>
        </w:rPr>
        <w:t xml:space="preserve">, פס' 6 (22.12.2020); </w:t>
      </w:r>
      <w:hyperlink r:id="rId21" w:history="1">
        <w:r w:rsidR="00471E3E" w:rsidRPr="00471E3E">
          <w:rPr>
            <w:color w:val="0000FF"/>
            <w:u w:val="single"/>
            <w:rtl/>
          </w:rPr>
          <w:t>ע"פ  2564/19</w:t>
        </w:r>
      </w:hyperlink>
      <w:r>
        <w:rPr>
          <w:rFonts w:hint="cs"/>
          <w:rtl/>
        </w:rPr>
        <w:t xml:space="preserve"> </w:t>
      </w:r>
      <w:r>
        <w:rPr>
          <w:rFonts w:hint="cs"/>
          <w:b/>
          <w:bCs/>
          <w:rtl/>
        </w:rPr>
        <w:t>אזברגה נ' מדינת ישראל</w:t>
      </w:r>
      <w:r>
        <w:rPr>
          <w:rFonts w:hint="cs"/>
          <w:rtl/>
        </w:rPr>
        <w:t xml:space="preserve">, פס' 10 (18.7.2019); </w:t>
      </w:r>
      <w:hyperlink r:id="rId22" w:history="1">
        <w:r w:rsidR="00471E3E" w:rsidRPr="00471E3E">
          <w:rPr>
            <w:color w:val="0000FF"/>
            <w:u w:val="single"/>
            <w:rtl/>
          </w:rPr>
          <w:t>ע"פ 135/17</w:t>
        </w:r>
      </w:hyperlink>
      <w:r>
        <w:rPr>
          <w:rFonts w:hint="cs"/>
          <w:rtl/>
        </w:rPr>
        <w:t xml:space="preserve"> </w:t>
      </w:r>
      <w:r>
        <w:rPr>
          <w:rFonts w:hint="cs"/>
          <w:b/>
          <w:bCs/>
          <w:rtl/>
        </w:rPr>
        <w:t>מדינת ישראל נ' בסל</w:t>
      </w:r>
      <w:r>
        <w:rPr>
          <w:rFonts w:hint="cs"/>
          <w:rtl/>
        </w:rPr>
        <w:t xml:space="preserve">, פס' 10 (8.3.2017). </w:t>
      </w:r>
    </w:p>
    <w:p w14:paraId="21ABE59B" w14:textId="77777777" w:rsidR="00B91C00" w:rsidRDefault="00B91C00" w:rsidP="00B91C00">
      <w:pPr>
        <w:pStyle w:val="a9"/>
        <w:numPr>
          <w:ilvl w:val="0"/>
          <w:numId w:val="1"/>
        </w:numPr>
        <w:spacing w:before="240" w:after="240" w:line="360" w:lineRule="auto"/>
        <w:ind w:left="357"/>
        <w:contextualSpacing w:val="0"/>
        <w:jc w:val="both"/>
        <w:rPr>
          <w:rtl/>
        </w:rPr>
      </w:pPr>
      <w:r w:rsidRPr="00D74EA5">
        <w:rPr>
          <w:rFonts w:hint="cs"/>
          <w:color w:val="000000"/>
          <w:rtl/>
        </w:rPr>
        <w:t>מתוך כלל פסקי הדין שהוגשו על ידי הצדדים, ואחרים שאותרו על ידי, מצאתי את הבאים כרלוונטיים לצורך קביעת מתחם העונש ההולם:</w:t>
      </w:r>
    </w:p>
    <w:p w14:paraId="5A944020" w14:textId="77777777" w:rsidR="00B91C00" w:rsidRDefault="00471E3E" w:rsidP="00B91C00">
      <w:pPr>
        <w:pStyle w:val="a9"/>
        <w:spacing w:before="240" w:after="240" w:line="360" w:lineRule="auto"/>
        <w:ind w:left="357"/>
        <w:contextualSpacing w:val="0"/>
        <w:jc w:val="both"/>
        <w:rPr>
          <w:rtl/>
        </w:rPr>
      </w:pPr>
      <w:hyperlink r:id="rId23" w:history="1">
        <w:r w:rsidRPr="00471E3E">
          <w:rPr>
            <w:color w:val="0000FF"/>
            <w:u w:val="single"/>
            <w:rtl/>
          </w:rPr>
          <w:t>ע"פ 7177/20</w:t>
        </w:r>
      </w:hyperlink>
      <w:r w:rsidR="00B91C00">
        <w:rPr>
          <w:rFonts w:hint="cs"/>
          <w:rtl/>
        </w:rPr>
        <w:t xml:space="preserve"> </w:t>
      </w:r>
      <w:r w:rsidR="00B91C00" w:rsidRPr="00C104CD">
        <w:rPr>
          <w:rFonts w:hint="cs"/>
          <w:b/>
          <w:bCs/>
          <w:rtl/>
        </w:rPr>
        <w:t>כנעאן נ' מדינת ישראל</w:t>
      </w:r>
      <w:r w:rsidR="00B91C00">
        <w:rPr>
          <w:rFonts w:hint="cs"/>
          <w:rtl/>
        </w:rPr>
        <w:t xml:space="preserve"> (27.1.2021) - המערער הורשע על יסוד הודאתו בעבירה של נשיאת נשק בכך שיצא מפתח ביתו של שכנו, הוציא אקדח, הכניס לתוכו מחסנית טעונה, דרך את האקדח וכעבור מספר דקות פרק את האקדח והעביר אותו לנאשם 2 בכתב האישום. בית המשפט המחוזי קבע </w:t>
      </w:r>
      <w:r w:rsidR="00B91C00" w:rsidRPr="00C104CD">
        <w:rPr>
          <w:rFonts w:hint="cs"/>
          <w:b/>
          <w:bCs/>
          <w:rtl/>
        </w:rPr>
        <w:t>מתחם ענישה שנע בין 15 ל- 36 חודשי מאסר בפועל</w:t>
      </w:r>
      <w:r w:rsidR="00B91C00">
        <w:rPr>
          <w:rFonts w:hint="cs"/>
          <w:rtl/>
        </w:rPr>
        <w:t xml:space="preserve">, והשית על המערער </w:t>
      </w:r>
      <w:r w:rsidR="00B91C00" w:rsidRPr="00C104CD">
        <w:rPr>
          <w:rFonts w:hint="cs"/>
          <w:b/>
          <w:bCs/>
          <w:rtl/>
        </w:rPr>
        <w:t>24 חודשי מאסר בפועל</w:t>
      </w:r>
      <w:r w:rsidR="00B91C00">
        <w:rPr>
          <w:rFonts w:hint="cs"/>
          <w:rtl/>
        </w:rPr>
        <w:t xml:space="preserve">, לצד עונשים נלווים. בית המשפט העליון דחה ערעור על חומרת העונש. </w:t>
      </w:r>
    </w:p>
    <w:p w14:paraId="046CFD25" w14:textId="77777777" w:rsidR="00B91C00" w:rsidRDefault="00471E3E" w:rsidP="00B91C00">
      <w:pPr>
        <w:pStyle w:val="a9"/>
        <w:spacing w:before="240" w:after="240" w:line="360" w:lineRule="auto"/>
        <w:ind w:left="357"/>
        <w:contextualSpacing w:val="0"/>
        <w:jc w:val="both"/>
        <w:rPr>
          <w:rtl/>
        </w:rPr>
      </w:pPr>
      <w:hyperlink r:id="rId24" w:history="1">
        <w:r w:rsidRPr="00471E3E">
          <w:rPr>
            <w:color w:val="0000FF"/>
            <w:u w:val="single"/>
            <w:rtl/>
          </w:rPr>
          <w:t>ע"פ 2564/19</w:t>
        </w:r>
      </w:hyperlink>
      <w:r w:rsidR="00B91C00">
        <w:rPr>
          <w:rFonts w:hint="cs"/>
          <w:rtl/>
        </w:rPr>
        <w:t xml:space="preserve"> </w:t>
      </w:r>
      <w:r w:rsidR="00B91C00">
        <w:rPr>
          <w:rFonts w:hint="cs"/>
          <w:b/>
          <w:bCs/>
          <w:rtl/>
        </w:rPr>
        <w:t xml:space="preserve">איברהים אזברגה נ' מדינת ישראל </w:t>
      </w:r>
      <w:r w:rsidR="00B91C00">
        <w:rPr>
          <w:rFonts w:hint="cs"/>
          <w:rtl/>
        </w:rPr>
        <w:t xml:space="preserve">(18.7.2019) - המערער הורשע על יסוד הודאתו בעבירה של נשיאת נשק בכך שקשר קשר עם אחרים וניהל עמם משא ומתן לרכישת אקדח שהיה מצוי ברשותם במטרה לסחור בו. לאחר תיאום, הגיעו המערער ושותפו מלוד לירושלים, שם הועבר לרשותם אקדח גנוב מתוצרת חברת "גלוק", קליבר 9 מ"מ, יחד עם מחסנית תואמת. בסמוך לכך, נכנסו המערער ושותפו לרכב, הסתירו את האקדח מתחת למושב הנוסע שעליו ישב המערער, ועשו את דרכם חזרה מירושלים עד שנעצרו על ידי המשטרה. בית המשפט המחוזי קבע </w:t>
      </w:r>
      <w:r w:rsidR="00B91C00">
        <w:rPr>
          <w:rFonts w:hint="cs"/>
          <w:b/>
          <w:bCs/>
          <w:rtl/>
        </w:rPr>
        <w:t>מתחם ענישה שנע בין 12 ל- 40 חודשי מאסר בפועל</w:t>
      </w:r>
      <w:r w:rsidR="00B91C00">
        <w:rPr>
          <w:rFonts w:hint="cs"/>
          <w:rtl/>
        </w:rPr>
        <w:t xml:space="preserve">, והשית על המערער </w:t>
      </w:r>
      <w:r w:rsidR="00B91C00">
        <w:rPr>
          <w:rFonts w:hint="cs"/>
          <w:b/>
          <w:bCs/>
          <w:rtl/>
        </w:rPr>
        <w:t>16 חודשי מאסר בפועל</w:t>
      </w:r>
      <w:r w:rsidR="00B91C00">
        <w:rPr>
          <w:rFonts w:hint="cs"/>
          <w:rtl/>
        </w:rPr>
        <w:t xml:space="preserve">, לצד עונשים נלווים. בית המשפט העליון דחה ערעור על חומרת העונש. </w:t>
      </w:r>
    </w:p>
    <w:p w14:paraId="64382F09" w14:textId="77777777" w:rsidR="00B91C00" w:rsidRDefault="00471E3E" w:rsidP="00B91C00">
      <w:pPr>
        <w:pStyle w:val="a9"/>
        <w:spacing w:before="240" w:after="240" w:line="360" w:lineRule="auto"/>
        <w:ind w:left="357"/>
        <w:contextualSpacing w:val="0"/>
        <w:jc w:val="both"/>
        <w:rPr>
          <w:rtl/>
        </w:rPr>
      </w:pPr>
      <w:hyperlink r:id="rId25" w:history="1">
        <w:r w:rsidRPr="00471E3E">
          <w:rPr>
            <w:color w:val="0000FF"/>
            <w:u w:val="single"/>
            <w:rtl/>
          </w:rPr>
          <w:t>ע"פ 4345/18</w:t>
        </w:r>
      </w:hyperlink>
      <w:r w:rsidR="00B91C00">
        <w:rPr>
          <w:rFonts w:hint="cs"/>
          <w:rtl/>
        </w:rPr>
        <w:t xml:space="preserve"> </w:t>
      </w:r>
      <w:r w:rsidR="00B91C00">
        <w:rPr>
          <w:rFonts w:hint="cs"/>
          <w:b/>
          <w:bCs/>
          <w:rtl/>
        </w:rPr>
        <w:t xml:space="preserve">אבו עמאר נ' מדינת ישראל </w:t>
      </w:r>
      <w:r w:rsidR="00B91C00">
        <w:rPr>
          <w:rFonts w:hint="cs"/>
          <w:rtl/>
        </w:rPr>
        <w:t xml:space="preserve">(29.11.2018) - המערער הורשע על יסוד הודאתו בעבירות של נשיאת נשק ונהיגה בקלות ראש בכך שנהג ברכבו בעיר לוד כשהוא נושא בתא הכפפות נשק מאולתר מסוג "קרל גוסטב", טעון במחסנית מלאה בעשרה כדורים תואמים. שני שוטרים אשר הבחינו בנהיגתו המהירה וחסרת הזהירות של המערער, כרזו לו לעצור את רכבו בצד הדרך, ובנסיבות אלה נתפס הנשק הטעון בתא הכפפות. בית המשפט המחוזי קבע </w:t>
      </w:r>
      <w:r w:rsidR="00B91C00">
        <w:rPr>
          <w:rFonts w:hint="cs"/>
          <w:b/>
          <w:bCs/>
          <w:rtl/>
        </w:rPr>
        <w:t>מתחם ענישה שנע בין 20 ל- 48 חודשי מאסר בפועל</w:t>
      </w:r>
      <w:r w:rsidR="00B91C00">
        <w:rPr>
          <w:rFonts w:hint="cs"/>
          <w:rtl/>
        </w:rPr>
        <w:t>, והשית על המערער</w:t>
      </w:r>
      <w:r w:rsidR="00B91C00">
        <w:rPr>
          <w:rFonts w:hint="cs"/>
          <w:b/>
          <w:bCs/>
          <w:rtl/>
        </w:rPr>
        <w:t xml:space="preserve"> </w:t>
      </w:r>
      <w:r w:rsidR="00B91C00">
        <w:rPr>
          <w:rFonts w:hint="cs"/>
          <w:rtl/>
        </w:rPr>
        <w:t>20 חודשי מאסר בפועל,</w:t>
      </w:r>
      <w:r w:rsidR="00B91C00">
        <w:rPr>
          <w:rFonts w:hint="cs"/>
          <w:b/>
          <w:bCs/>
          <w:rtl/>
        </w:rPr>
        <w:t xml:space="preserve"> </w:t>
      </w:r>
      <w:r w:rsidR="00B91C00">
        <w:rPr>
          <w:rFonts w:hint="cs"/>
          <w:rtl/>
        </w:rPr>
        <w:t>לצד עונשים נלווים. במסגרת ערעור שהוגש על חומרת העונש, קבע בית המשפט העליון כך: "</w:t>
      </w:r>
      <w:r w:rsidR="00B91C00">
        <w:rPr>
          <w:rFonts w:hint="cs"/>
          <w:b/>
          <w:bCs/>
          <w:rtl/>
        </w:rPr>
        <w:t>איננו סבורים כי יש מקום להתערב במתחם הענישה שקבע בית המשפט קמא, אשר רצפתו (20 חודשי מאסר) תואמת בקירוב את שנפסק על ידי בית משפט זה בעבירות מהסוג בו עסקינן, ביחס לנאשמים המצויים ברף התחתון של המתחם</w:t>
      </w:r>
      <w:r w:rsidR="00B91C00">
        <w:rPr>
          <w:rFonts w:hint="cs"/>
          <w:rtl/>
        </w:rPr>
        <w:t xml:space="preserve">". יחד עם זאת, העונש שהושת על המערער הופחת והועמד על </w:t>
      </w:r>
      <w:r w:rsidR="00B91C00">
        <w:rPr>
          <w:rFonts w:hint="cs"/>
          <w:b/>
          <w:bCs/>
          <w:rtl/>
        </w:rPr>
        <w:t>17 חודשי מאסר בפועל</w:t>
      </w:r>
      <w:r w:rsidR="00B91C00">
        <w:rPr>
          <w:rFonts w:hint="cs"/>
          <w:rtl/>
        </w:rPr>
        <w:t xml:space="preserve">, וזאת לאור סיכויי שיקומו והשתלבותו בהליך טיפולי, ובשים לב לגילו הצעיר ולהעדר כל עבר פלילי. </w:t>
      </w:r>
    </w:p>
    <w:p w14:paraId="5A7147C1" w14:textId="77777777" w:rsidR="00B91C00" w:rsidRDefault="00471E3E" w:rsidP="00B91C00">
      <w:pPr>
        <w:pStyle w:val="a9"/>
        <w:spacing w:before="240" w:after="240" w:line="360" w:lineRule="auto"/>
        <w:ind w:left="357"/>
        <w:contextualSpacing w:val="0"/>
        <w:jc w:val="both"/>
        <w:rPr>
          <w:rtl/>
        </w:rPr>
      </w:pPr>
      <w:hyperlink r:id="rId26" w:history="1">
        <w:r w:rsidRPr="00471E3E">
          <w:rPr>
            <w:color w:val="0000FF"/>
            <w:u w:val="single"/>
            <w:rtl/>
          </w:rPr>
          <w:t>ע"פ 4135/16</w:t>
        </w:r>
      </w:hyperlink>
      <w:r w:rsidR="00B91C00">
        <w:rPr>
          <w:rFonts w:hint="cs"/>
          <w:rtl/>
        </w:rPr>
        <w:t xml:space="preserve"> </w:t>
      </w:r>
      <w:r w:rsidR="00B91C00">
        <w:rPr>
          <w:rFonts w:hint="cs"/>
          <w:b/>
          <w:bCs/>
          <w:rtl/>
        </w:rPr>
        <w:t xml:space="preserve">נאסר נ' מדינת ישראל </w:t>
      </w:r>
      <w:r w:rsidR="00B91C00">
        <w:rPr>
          <w:rFonts w:hint="cs"/>
          <w:rtl/>
        </w:rPr>
        <w:t xml:space="preserve">(22.2.2017) - המערער הורשע על יסוד הודאתו בעבירות של החזקת נשק, הובלת נשק ונהיגה בזמן פסילה בכך שהחזיק בשדה ליד ביתו אקדח, שתי מחסניות ו- 13 כדורים. בשלב כלשהו, נטל המערער את האקדח ממקום המסתור וחרף היותו פסול מנהיגה, נהג ברכבו כאשר האקדח והתחמושת מוסתרים מתחת למושב הרכב. בית המשפט המחוזי קבע לעבירת נשיאת הנשק </w:t>
      </w:r>
      <w:r w:rsidR="00B91C00">
        <w:rPr>
          <w:rFonts w:hint="cs"/>
          <w:b/>
          <w:bCs/>
          <w:rtl/>
        </w:rPr>
        <w:t>מתחם ענישה שנע בין 18 ל- 40 חודשי מאסר בפועל</w:t>
      </w:r>
      <w:r w:rsidR="00B91C00">
        <w:rPr>
          <w:rFonts w:hint="cs"/>
          <w:rtl/>
        </w:rPr>
        <w:t xml:space="preserve">. לעבירת הנהיגה בזמן פסילה נקבע מתחם ענישה שנע בין מאסר על תנאי ועד ל- 10 חודשי מאסר. על המערער הושת </w:t>
      </w:r>
      <w:r w:rsidR="00B91C00">
        <w:rPr>
          <w:rFonts w:hint="cs"/>
          <w:b/>
          <w:bCs/>
          <w:rtl/>
        </w:rPr>
        <w:t>עונש כולל של</w:t>
      </w:r>
      <w:r w:rsidR="00B91C00">
        <w:rPr>
          <w:rFonts w:hint="cs"/>
          <w:rtl/>
        </w:rPr>
        <w:t xml:space="preserve"> </w:t>
      </w:r>
      <w:r w:rsidR="00B91C00">
        <w:rPr>
          <w:rFonts w:hint="cs"/>
          <w:b/>
          <w:bCs/>
          <w:rtl/>
        </w:rPr>
        <w:t>30 חודשי מאסר בפועל</w:t>
      </w:r>
      <w:r w:rsidR="00B91C00">
        <w:rPr>
          <w:rFonts w:hint="cs"/>
          <w:rtl/>
        </w:rPr>
        <w:t xml:space="preserve"> (כן הופעל עונש מאסר על תנאי כך שסך הכל הושת על המערער עונש של 36 חודשי מאסר בפועל). בית המשפט העליון דחה ערעור על חומרת העונש.</w:t>
      </w:r>
      <w:r>
        <w:rPr>
          <w:rFonts w:hint="cs"/>
          <w:rtl/>
        </w:rPr>
        <w:t xml:space="preserve"> </w:t>
      </w:r>
      <w:r w:rsidR="00B91C00">
        <w:rPr>
          <w:rFonts w:hint="cs"/>
          <w:rtl/>
        </w:rPr>
        <w:t xml:space="preserve"> </w:t>
      </w:r>
    </w:p>
    <w:p w14:paraId="46DAAF00" w14:textId="77777777" w:rsidR="00B91C00" w:rsidRDefault="00471E3E" w:rsidP="00B91C00">
      <w:pPr>
        <w:pStyle w:val="a9"/>
        <w:spacing w:before="240" w:after="240" w:line="360" w:lineRule="auto"/>
        <w:ind w:left="357"/>
        <w:contextualSpacing w:val="0"/>
        <w:jc w:val="both"/>
        <w:rPr>
          <w:rtl/>
        </w:rPr>
      </w:pPr>
      <w:hyperlink r:id="rId27" w:history="1">
        <w:r w:rsidRPr="00471E3E">
          <w:rPr>
            <w:color w:val="0000FF"/>
            <w:u w:val="single"/>
            <w:rtl/>
          </w:rPr>
          <w:t>ע"פ 3877/16</w:t>
        </w:r>
      </w:hyperlink>
      <w:r w:rsidR="00B91C00">
        <w:rPr>
          <w:rFonts w:hint="cs"/>
          <w:rtl/>
        </w:rPr>
        <w:t xml:space="preserve"> </w:t>
      </w:r>
      <w:r w:rsidR="00B91C00">
        <w:rPr>
          <w:rFonts w:hint="cs"/>
          <w:b/>
          <w:bCs/>
          <w:rtl/>
        </w:rPr>
        <w:t xml:space="preserve">ג'באלי נ' מדינת ישראל </w:t>
      </w:r>
      <w:r w:rsidR="00B91C00">
        <w:rPr>
          <w:rFonts w:hint="cs"/>
          <w:rtl/>
        </w:rPr>
        <w:t xml:space="preserve">(17.11.2016) - המערער הורשע על יסוד הודאתו בעבירה של נשיאת נשק בכך שבעקבות סכסוך שנתגלע בין קרוב משפחה של המערער לבין אחר, נסע המערער למקום מפגש בו קבעו השניים להיפגש לצורך יישוב הסכסוך, כשהוא נושא עמו ברכב אקדח טעון במחסנית שהכילה 14 כדורים. כשהגיע למקום המפגש, עצר המערער את הרכב והחביא את האקדח במכנסיו. באותו שלב הגיעו למקום שוטרים שהורו למערער להרים ידיים אך המערער כרע לכיוון הרצפה והשליך את האקדח מאחורי גבו. בית המשפט המחוזי קבע </w:t>
      </w:r>
      <w:r w:rsidR="00B91C00">
        <w:rPr>
          <w:rFonts w:hint="cs"/>
          <w:b/>
          <w:bCs/>
          <w:rtl/>
        </w:rPr>
        <w:t>מתחם ענישה שנע בין 24 ל- 48 חודשי מאסר בפועל</w:t>
      </w:r>
      <w:r w:rsidR="00B91C00">
        <w:rPr>
          <w:rFonts w:hint="cs"/>
          <w:rtl/>
        </w:rPr>
        <w:t xml:space="preserve">, והשית על המערער </w:t>
      </w:r>
      <w:r w:rsidR="00B91C00">
        <w:rPr>
          <w:rFonts w:hint="cs"/>
          <w:b/>
          <w:bCs/>
          <w:rtl/>
        </w:rPr>
        <w:t>34 חודשי מאסר בפועל</w:t>
      </w:r>
      <w:r w:rsidR="00B91C00">
        <w:rPr>
          <w:rFonts w:hint="cs"/>
          <w:rtl/>
        </w:rPr>
        <w:t>, לצד עונשים נלווים. בית המשפט העליון דחה ערעור על חומרת העונש. מקרה זה חמור מענייננו, בהינתן העובדה כי העבירה בוצעה על רקע רצונו של המערער ליישב סכסוך בין אחרים והשימוש בנשק נמנע בזכות התערבות המשטרה, בעוד שבענייננו לא ידוע דבר על הרקע לנשיאת האקדח או כוונה לעשות בו שימוש.</w:t>
      </w:r>
    </w:p>
    <w:p w14:paraId="4E785E74" w14:textId="77777777" w:rsidR="00B91C00" w:rsidRDefault="00471E3E" w:rsidP="00B91C00">
      <w:pPr>
        <w:pStyle w:val="a9"/>
        <w:spacing w:before="240" w:after="240" w:line="360" w:lineRule="auto"/>
        <w:ind w:left="357"/>
        <w:contextualSpacing w:val="0"/>
        <w:jc w:val="both"/>
        <w:rPr>
          <w:rtl/>
        </w:rPr>
      </w:pPr>
      <w:hyperlink r:id="rId28" w:history="1">
        <w:r w:rsidRPr="00471E3E">
          <w:rPr>
            <w:color w:val="0000FF"/>
            <w:u w:val="single"/>
            <w:rtl/>
          </w:rPr>
          <w:t>ע"פ 4982/15</w:t>
        </w:r>
      </w:hyperlink>
      <w:r w:rsidR="00B91C00">
        <w:rPr>
          <w:rFonts w:hint="cs"/>
          <w:rtl/>
        </w:rPr>
        <w:t xml:space="preserve"> </w:t>
      </w:r>
      <w:r w:rsidR="00B91C00">
        <w:rPr>
          <w:rFonts w:hint="cs"/>
          <w:b/>
          <w:bCs/>
          <w:rtl/>
        </w:rPr>
        <w:t xml:space="preserve">שחיטה נ' מדינת ישראל </w:t>
      </w:r>
      <w:r w:rsidR="00B91C00">
        <w:rPr>
          <w:rFonts w:hint="cs"/>
          <w:rtl/>
        </w:rPr>
        <w:t xml:space="preserve">(3.9.2015) - המערער הורשע על יסוד הודאתו בעבירה של נשיאת נשק בכך שהחזיק ברכבו במקום מוצנע אקדח (שלא היה תקין) יחד עם מחסנית ריקה. בית המשפט המחוזי קבע </w:t>
      </w:r>
      <w:r w:rsidR="00B91C00">
        <w:rPr>
          <w:rFonts w:hint="cs"/>
          <w:b/>
          <w:bCs/>
          <w:rtl/>
        </w:rPr>
        <w:t>מתחם ענישה שנע בין 12 ל- 36 חודשי מאסר בפועל</w:t>
      </w:r>
      <w:r w:rsidR="00B91C00">
        <w:rPr>
          <w:rFonts w:hint="cs"/>
          <w:rtl/>
        </w:rPr>
        <w:t xml:space="preserve">, והשית על המערער 20 חודשי מאסר בפועל, לצד עונשים נלווים. בית המשפט העליון קיבל ערעור על חומרת העונש והעמיד את עונשו של המערער על </w:t>
      </w:r>
      <w:r w:rsidR="00B91C00">
        <w:rPr>
          <w:rFonts w:hint="cs"/>
          <w:b/>
          <w:bCs/>
          <w:rtl/>
        </w:rPr>
        <w:t>16 חודשי מאסר בפועל</w:t>
      </w:r>
      <w:r w:rsidR="00B91C00">
        <w:rPr>
          <w:rFonts w:hint="cs"/>
          <w:rtl/>
        </w:rPr>
        <w:t>. בהשוואה למקרה דנא, ענייננו חמור יותר שכן לא זו בלבד שהאקדח היה תקין; אלא שהנאשם נשא בנוסף אליו גם מחסנית ו- 4 כדורים תואמים. בית המשפט העליון קבע בעניין שחיטה כי "</w:t>
      </w:r>
      <w:r w:rsidR="00B91C00">
        <w:rPr>
          <w:rFonts w:hint="cs"/>
          <w:b/>
          <w:bCs/>
          <w:rtl/>
        </w:rPr>
        <w:t>גם אם המחוקק אינו מבחין בין נשק תקין לשאינו תקין, תיתכן לכך רלבנטיות מסוימת לעניין העונש</w:t>
      </w:r>
      <w:r w:rsidR="00B91C00">
        <w:rPr>
          <w:rFonts w:hint="cs"/>
          <w:rtl/>
        </w:rPr>
        <w:t>".</w:t>
      </w:r>
      <w:r>
        <w:rPr>
          <w:rFonts w:hint="cs"/>
          <w:rtl/>
        </w:rPr>
        <w:t xml:space="preserve">     </w:t>
      </w:r>
      <w:r w:rsidR="00B91C00">
        <w:rPr>
          <w:rFonts w:hint="cs"/>
          <w:rtl/>
        </w:rPr>
        <w:t xml:space="preserve"> </w:t>
      </w:r>
    </w:p>
    <w:p w14:paraId="7ACC5E9B" w14:textId="77777777" w:rsidR="00B91C00" w:rsidRDefault="00471E3E" w:rsidP="00B91C00">
      <w:pPr>
        <w:pStyle w:val="a9"/>
        <w:spacing w:before="240" w:after="240" w:line="360" w:lineRule="auto"/>
        <w:ind w:left="357"/>
        <w:contextualSpacing w:val="0"/>
        <w:jc w:val="both"/>
        <w:rPr>
          <w:rtl/>
        </w:rPr>
      </w:pPr>
      <w:hyperlink r:id="rId29" w:history="1">
        <w:r w:rsidRPr="00471E3E">
          <w:rPr>
            <w:color w:val="0000FF"/>
            <w:u w:val="single"/>
            <w:rtl/>
          </w:rPr>
          <w:t>ע"פ 2892/13</w:t>
        </w:r>
      </w:hyperlink>
      <w:r w:rsidR="00B91C00">
        <w:rPr>
          <w:rFonts w:hint="cs"/>
          <w:rtl/>
        </w:rPr>
        <w:t xml:space="preserve"> </w:t>
      </w:r>
      <w:r w:rsidR="00B91C00">
        <w:rPr>
          <w:rFonts w:hint="cs"/>
          <w:b/>
          <w:bCs/>
          <w:rtl/>
        </w:rPr>
        <w:t xml:space="preserve">עודתאללה נ' מדינת ישראל </w:t>
      </w:r>
      <w:r w:rsidR="00B91C00">
        <w:rPr>
          <w:rFonts w:hint="cs"/>
          <w:rtl/>
        </w:rPr>
        <w:t xml:space="preserve">(29.9.2013) - המערער הורשע לאחר ניהול הוכחות בעבירות של נשיאת נשק והסתייעות ברכב לביצוע פשע בכך שנהג ברכב בעיר נצרת, יחד עם אדם נוסף, כשהוא נושא אקדח ובו מחסנית ריקה מכדורים, כשהוא מוסתר תחת שטיחון מתחת לכסא הנהג ברכב. משהבחין המערער במחסום משטרתי, סטה מנתיבו לדרך ללא מוצא ועצר את הרכב. השוטרים הגיעו לרכבו של המערער ומצאו את האקדח. בתום החיפוש, המערער והאדם הנוסף נעצרו והובלו לתחנת המשטרה. בית המשפט המחוזי קבע </w:t>
      </w:r>
      <w:r w:rsidR="00B91C00">
        <w:rPr>
          <w:rFonts w:hint="cs"/>
          <w:b/>
          <w:bCs/>
          <w:rtl/>
        </w:rPr>
        <w:t>מתחם ענישה שנע בין 12 ל- 36 חודשי מאסר בפועל</w:t>
      </w:r>
      <w:r w:rsidR="00B91C00">
        <w:rPr>
          <w:rFonts w:hint="cs"/>
          <w:rtl/>
        </w:rPr>
        <w:t xml:space="preserve">, והשית על המערער </w:t>
      </w:r>
      <w:r w:rsidR="00B91C00">
        <w:rPr>
          <w:rFonts w:hint="cs"/>
          <w:b/>
          <w:bCs/>
          <w:rtl/>
        </w:rPr>
        <w:t>21 חודשי מאסר בפועל</w:t>
      </w:r>
      <w:r w:rsidR="00B91C00">
        <w:rPr>
          <w:rFonts w:hint="cs"/>
          <w:rtl/>
        </w:rPr>
        <w:t xml:space="preserve">, לצד עונשים נלווים. בית המשפט העליון דחה ערעור על חומרת העונש. הגם שמקרה זה דומה בעובדותיו לענייננו, לטעמי המקרה שבפניי חמור יותר וזאת נוכח העובדה שמלבד האקדח, נשא עמו הנאשם גם מחסנית ובה ארבעה כדורים תואמים; וזאת במובחן מעניינו של המערער אשר נשא מחסנית ריקה מכדורים. </w:t>
      </w:r>
    </w:p>
    <w:p w14:paraId="0D5651AE" w14:textId="77777777" w:rsidR="00B91C00" w:rsidRDefault="00471E3E" w:rsidP="00B91C00">
      <w:pPr>
        <w:pStyle w:val="a9"/>
        <w:spacing w:before="240" w:after="240" w:line="360" w:lineRule="auto"/>
        <w:ind w:left="357"/>
        <w:contextualSpacing w:val="0"/>
        <w:jc w:val="both"/>
        <w:rPr>
          <w:rtl/>
        </w:rPr>
      </w:pPr>
      <w:hyperlink r:id="rId30" w:history="1">
        <w:r w:rsidRPr="00471E3E">
          <w:rPr>
            <w:color w:val="0000FF"/>
            <w:u w:val="single"/>
            <w:rtl/>
          </w:rPr>
          <w:t>ע"פ 3156/11</w:t>
        </w:r>
      </w:hyperlink>
      <w:r w:rsidR="00B91C00">
        <w:rPr>
          <w:rFonts w:hint="cs"/>
          <w:rtl/>
        </w:rPr>
        <w:t xml:space="preserve"> </w:t>
      </w:r>
      <w:r w:rsidR="00B91C00">
        <w:rPr>
          <w:rFonts w:hint="cs"/>
          <w:b/>
          <w:bCs/>
          <w:rtl/>
        </w:rPr>
        <w:t xml:space="preserve">זראיעה נ' מדינת ישראל </w:t>
      </w:r>
      <w:r w:rsidR="00B91C00">
        <w:rPr>
          <w:rFonts w:hint="cs"/>
          <w:rtl/>
        </w:rPr>
        <w:t xml:space="preserve">(21.2.2012) - המערער הורשע על יסוד הודאתו בעבירות של נשיאת נשק, הובלת נשק והסתייעות ברכב לביצוע פשע בכך שנסע ברכבו, לאחר שהסליק בו אקדח מסוג "סמיטיווטסון", מחסנית טעונה בכדורי אקדח בקוטר 9 מ"מ וקופסאות עם כדורי אקדח. האקדח והתחמושת נתפסו בחיפוש שגרתי שביצעה המשטרה ברכב. בית המשפט המחוזי השית על המערער </w:t>
      </w:r>
      <w:r w:rsidR="00B91C00">
        <w:rPr>
          <w:rFonts w:hint="cs"/>
          <w:b/>
          <w:bCs/>
          <w:rtl/>
        </w:rPr>
        <w:t>24 חודשי מאסר בפועל</w:t>
      </w:r>
      <w:r w:rsidR="00B91C00">
        <w:rPr>
          <w:rFonts w:hint="cs"/>
          <w:rtl/>
        </w:rPr>
        <w:t xml:space="preserve">. בית המשפט העליון דחה ערעור על חומרת העונש. </w:t>
      </w:r>
    </w:p>
    <w:p w14:paraId="43882CF1" w14:textId="77777777" w:rsidR="00B91C00" w:rsidRDefault="00471E3E" w:rsidP="00B91C00">
      <w:pPr>
        <w:pStyle w:val="a9"/>
        <w:spacing w:before="240" w:after="240" w:line="360" w:lineRule="auto"/>
        <w:ind w:left="357"/>
        <w:contextualSpacing w:val="0"/>
        <w:jc w:val="both"/>
        <w:rPr>
          <w:rtl/>
        </w:rPr>
      </w:pPr>
      <w:hyperlink r:id="rId31" w:history="1">
        <w:r w:rsidRPr="00471E3E">
          <w:rPr>
            <w:color w:val="0000FF"/>
            <w:u w:val="single"/>
            <w:rtl/>
          </w:rPr>
          <w:t>ת"פ (מרכז) 52416-06-20</w:t>
        </w:r>
      </w:hyperlink>
      <w:r w:rsidR="00B91C00">
        <w:rPr>
          <w:rFonts w:hint="cs"/>
          <w:rtl/>
        </w:rPr>
        <w:t xml:space="preserve"> </w:t>
      </w:r>
      <w:r w:rsidR="00B91C00">
        <w:rPr>
          <w:rFonts w:hint="cs"/>
          <w:b/>
          <w:bCs/>
          <w:rtl/>
        </w:rPr>
        <w:t>מדינת ישראל נ' מתאני</w:t>
      </w:r>
      <w:r w:rsidR="00B91C00">
        <w:rPr>
          <w:rFonts w:hint="cs"/>
          <w:rtl/>
        </w:rPr>
        <w:t xml:space="preserve"> (12.1.2021) - הנאשם הורשע על יסוד הודאתו בעבירה של נשיאת נשק בכך שיצא ממתחם ביתו כשהוא מסתיר במכנסיו אקדח גנוב מדגם יריחו שהיה טעון במחסנית וכדורים תואמים, ורכב על אופניו. רכב משטרתי שהגיע ממולו של הנאשם התנגש בו, והנאשם, שנפל מאופניו, החל לרוץ במהירות לכיוון בית עסק הנמצא במקום, והשליך את האקדח. במסגרת הסדר טיעון, גובשה בין הצדדים הסכמה כי התביעה תעתור לעונש של 27 חודשי מאסר בפועל ואילו ההגנה תהיה חופשיה בטיעוניה. בית המשפט המחוזי קבע </w:t>
      </w:r>
      <w:r w:rsidR="00B91C00">
        <w:rPr>
          <w:rFonts w:hint="cs"/>
          <w:b/>
          <w:bCs/>
          <w:rtl/>
        </w:rPr>
        <w:t>מתחם ענישה שנע בין 15 ל- 40 חודשי מאסר בפועל</w:t>
      </w:r>
      <w:r w:rsidR="00B91C00">
        <w:rPr>
          <w:rFonts w:hint="cs"/>
          <w:rtl/>
        </w:rPr>
        <w:t xml:space="preserve">, והשית על הנאשם </w:t>
      </w:r>
      <w:r w:rsidR="00B91C00">
        <w:rPr>
          <w:rFonts w:hint="cs"/>
          <w:b/>
          <w:bCs/>
          <w:rtl/>
        </w:rPr>
        <w:t>23 חודשי מאסר בפועל,</w:t>
      </w:r>
      <w:r w:rsidR="00B91C00">
        <w:rPr>
          <w:rFonts w:hint="cs"/>
          <w:rtl/>
        </w:rPr>
        <w:t xml:space="preserve"> לצד עונשים נלווים.</w:t>
      </w:r>
      <w:r>
        <w:rPr>
          <w:rFonts w:hint="cs"/>
          <w:rtl/>
        </w:rPr>
        <w:t xml:space="preserve"> </w:t>
      </w:r>
      <w:r w:rsidR="00B91C00">
        <w:rPr>
          <w:rFonts w:hint="cs"/>
          <w:rtl/>
        </w:rPr>
        <w:t xml:space="preserve"> </w:t>
      </w:r>
    </w:p>
    <w:p w14:paraId="5A31043F" w14:textId="77777777" w:rsidR="00B91C00" w:rsidRDefault="00471E3E" w:rsidP="00B91C00">
      <w:pPr>
        <w:pStyle w:val="a9"/>
        <w:spacing w:before="240" w:after="240" w:line="360" w:lineRule="auto"/>
        <w:ind w:left="357"/>
        <w:contextualSpacing w:val="0"/>
        <w:jc w:val="both"/>
        <w:rPr>
          <w:rtl/>
        </w:rPr>
      </w:pPr>
      <w:hyperlink r:id="rId32" w:history="1">
        <w:r w:rsidRPr="00471E3E">
          <w:rPr>
            <w:color w:val="0000FF"/>
            <w:u w:val="single"/>
            <w:rtl/>
          </w:rPr>
          <w:t>ת"פ (חי') 14115-07-19</w:t>
        </w:r>
      </w:hyperlink>
      <w:r w:rsidR="00B91C00">
        <w:rPr>
          <w:rFonts w:hint="cs"/>
          <w:rtl/>
        </w:rPr>
        <w:t xml:space="preserve"> </w:t>
      </w:r>
      <w:r w:rsidR="00B91C00">
        <w:rPr>
          <w:rFonts w:hint="cs"/>
          <w:b/>
          <w:bCs/>
          <w:rtl/>
        </w:rPr>
        <w:t>מדינת ישראל נ' ג'בארין</w:t>
      </w:r>
      <w:r w:rsidR="00B91C00">
        <w:rPr>
          <w:rFonts w:hint="cs"/>
          <w:rtl/>
        </w:rPr>
        <w:t xml:space="preserve"> (28.1.2020) - הנאשם הורשע על יסוד הודאתו בעבירות של נשיאת נשק והפרעה לשוטר במילוי תפקידו בכך שנשא על גופו אקדח חצי אוטומטי מסוג ברטה קליבר 7.65 מ"מ ובתוכו מחסנית עם שלושה כדורים. משהבחין הנאשם בניידת משטרה, נמלט מהמקום כשהשוטרים בעקבותיו, עד שנעצר. בית המשפט המחוזי קבע </w:t>
      </w:r>
      <w:r w:rsidR="00B91C00">
        <w:rPr>
          <w:rFonts w:hint="cs"/>
          <w:b/>
          <w:bCs/>
          <w:rtl/>
        </w:rPr>
        <w:t>מתחם ענישה שנע בין 18 ל- 36 חודשי מאסר בפועל</w:t>
      </w:r>
      <w:r w:rsidR="00B91C00">
        <w:rPr>
          <w:rFonts w:hint="cs"/>
          <w:rtl/>
        </w:rPr>
        <w:t xml:space="preserve">, והשית עליו </w:t>
      </w:r>
      <w:r w:rsidR="00B91C00">
        <w:rPr>
          <w:rFonts w:hint="cs"/>
          <w:b/>
          <w:bCs/>
          <w:rtl/>
        </w:rPr>
        <w:t>20 חודשי מאסר בפועל</w:t>
      </w:r>
      <w:r w:rsidR="00B91C00">
        <w:rPr>
          <w:rFonts w:hint="cs"/>
          <w:rtl/>
        </w:rPr>
        <w:t>, לצד עונשים נלווים.</w:t>
      </w:r>
      <w:r>
        <w:rPr>
          <w:rFonts w:hint="cs"/>
          <w:rtl/>
        </w:rPr>
        <w:t xml:space="preserve"> </w:t>
      </w:r>
      <w:r w:rsidR="00B91C00">
        <w:rPr>
          <w:rFonts w:hint="cs"/>
          <w:rtl/>
        </w:rPr>
        <w:t xml:space="preserve"> </w:t>
      </w:r>
    </w:p>
    <w:p w14:paraId="257CD7E7" w14:textId="77777777" w:rsidR="00B91C00" w:rsidRDefault="00471E3E" w:rsidP="00B91C00">
      <w:pPr>
        <w:pStyle w:val="a9"/>
        <w:spacing w:before="240" w:after="240" w:line="360" w:lineRule="auto"/>
        <w:ind w:left="357"/>
        <w:contextualSpacing w:val="0"/>
        <w:jc w:val="both"/>
        <w:rPr>
          <w:rtl/>
        </w:rPr>
      </w:pPr>
      <w:hyperlink r:id="rId33" w:history="1">
        <w:r w:rsidRPr="00471E3E">
          <w:rPr>
            <w:color w:val="0000FF"/>
            <w:u w:val="single"/>
            <w:rtl/>
          </w:rPr>
          <w:t>ת"פ (מרכז) 41522-05-18</w:t>
        </w:r>
      </w:hyperlink>
      <w:r w:rsidR="00B91C00">
        <w:rPr>
          <w:rFonts w:hint="cs"/>
          <w:rtl/>
        </w:rPr>
        <w:t xml:space="preserve"> </w:t>
      </w:r>
      <w:r w:rsidR="00B91C00">
        <w:rPr>
          <w:rFonts w:hint="cs"/>
          <w:b/>
          <w:bCs/>
          <w:rtl/>
        </w:rPr>
        <w:t>מדינת ישראל נ' אמיר אזברגה</w:t>
      </w:r>
      <w:r w:rsidR="00B91C00">
        <w:rPr>
          <w:rFonts w:hint="cs"/>
          <w:rtl/>
        </w:rPr>
        <w:t xml:space="preserve"> (10.8.2020) - הנאשם הורשע על יסוד הודאתו בעבירות של נשיאת נשק והפרעה לשוטר במילוי תפקידו בכך שיצא בשעת צהריים מרכבו כשהוא נושא מתחת חולצתו אקדח חצי אוטומטי טעון במחסנית ובה 14 כדורים 9 מ"מ. כשהבחין בשוטרים, נמלט הנאשם מהמקום, השוטרים רדפו אחריו, ובזמן שקפץ על חומה - האקדח נפל מגופו. בית המשפט המחוזי קבע </w:t>
      </w:r>
      <w:r w:rsidR="00B91C00">
        <w:rPr>
          <w:rFonts w:hint="cs"/>
          <w:b/>
          <w:bCs/>
          <w:rtl/>
        </w:rPr>
        <w:t>מתחם ענישה שנע בין 16 ל- 40 חודשי מאסר בפועל</w:t>
      </w:r>
      <w:r w:rsidR="00B91C00">
        <w:rPr>
          <w:rFonts w:hint="cs"/>
          <w:rtl/>
        </w:rPr>
        <w:t xml:space="preserve">, והשית על הנאשם </w:t>
      </w:r>
      <w:r w:rsidR="00B91C00">
        <w:rPr>
          <w:rFonts w:hint="cs"/>
          <w:b/>
          <w:bCs/>
          <w:rtl/>
        </w:rPr>
        <w:t>21 חודשי מאסר בפועל</w:t>
      </w:r>
      <w:r w:rsidR="00B91C00">
        <w:rPr>
          <w:rFonts w:hint="cs"/>
          <w:rtl/>
        </w:rPr>
        <w:t>, לצד עונשים נלווים (ובסך הכל 26 חודשים כולל הפעלת מאסר על תנאי).</w:t>
      </w:r>
      <w:r>
        <w:rPr>
          <w:rFonts w:hint="cs"/>
          <w:rtl/>
        </w:rPr>
        <w:t xml:space="preserve"> </w:t>
      </w:r>
    </w:p>
    <w:p w14:paraId="41738BCA" w14:textId="77777777" w:rsidR="00B91C00" w:rsidRDefault="00471E3E" w:rsidP="00B91C00">
      <w:pPr>
        <w:pStyle w:val="a9"/>
        <w:spacing w:before="240" w:after="240" w:line="360" w:lineRule="auto"/>
        <w:ind w:left="357"/>
        <w:contextualSpacing w:val="0"/>
        <w:jc w:val="both"/>
        <w:rPr>
          <w:rtl/>
        </w:rPr>
      </w:pPr>
      <w:hyperlink r:id="rId34" w:history="1">
        <w:r w:rsidRPr="00471E3E">
          <w:rPr>
            <w:color w:val="0000FF"/>
            <w:u w:val="single"/>
            <w:rtl/>
          </w:rPr>
          <w:t>ת"פ 38687-04-20</w:t>
        </w:r>
      </w:hyperlink>
      <w:r w:rsidR="00B91C00">
        <w:rPr>
          <w:rFonts w:hint="cs"/>
          <w:rtl/>
        </w:rPr>
        <w:t xml:space="preserve"> </w:t>
      </w:r>
      <w:r w:rsidR="00B91C00">
        <w:rPr>
          <w:rFonts w:hint="cs"/>
          <w:b/>
          <w:bCs/>
          <w:rtl/>
        </w:rPr>
        <w:t>מדינת ישראל נ' טוביה</w:t>
      </w:r>
      <w:r w:rsidR="00B91C00">
        <w:rPr>
          <w:rFonts w:hint="cs"/>
          <w:rtl/>
        </w:rPr>
        <w:t xml:space="preserve"> (10.2.2021) - הנאשם הורשע במקרה זה בעבירה של נשיאת נשק, וזאת לאחר שנשא אקדח וכן מחסנית שהכילה ארבעה כדורים עת היה בתוך רכב נוסע ונמלט מהשוטרים רגלית לאחר שביקשו כי יעצור, שאז גם השליך את הנשק לחצר סמוכה. במקרה זה נקבע על ידי, מתחם </w:t>
      </w:r>
      <w:r w:rsidR="00B91C00">
        <w:rPr>
          <w:rFonts w:hint="cs"/>
          <w:b/>
          <w:bCs/>
          <w:rtl/>
        </w:rPr>
        <w:t xml:space="preserve">הנע בין 16 </w:t>
      </w:r>
      <w:r w:rsidR="00B91C00" w:rsidRPr="00304953">
        <w:rPr>
          <w:rFonts w:hint="cs"/>
          <w:b/>
          <w:bCs/>
          <w:rtl/>
        </w:rPr>
        <w:t>חודשי מאסר ל-40 חודשי מאסר</w:t>
      </w:r>
      <w:r w:rsidR="00B91C00">
        <w:rPr>
          <w:rFonts w:hint="cs"/>
          <w:rtl/>
        </w:rPr>
        <w:t xml:space="preserve">, והוטל עונש </w:t>
      </w:r>
      <w:r w:rsidR="00B91C00" w:rsidRPr="00304953">
        <w:rPr>
          <w:rFonts w:hint="cs"/>
          <w:b/>
          <w:bCs/>
          <w:rtl/>
        </w:rPr>
        <w:t>של 30 חודשי מאסר</w:t>
      </w:r>
      <w:r w:rsidR="00B91C00">
        <w:rPr>
          <w:rFonts w:hint="cs"/>
          <w:rtl/>
        </w:rPr>
        <w:t xml:space="preserve">, וזאת גם תוך מתן משקל לעברו הפלילי של הנאשם. </w:t>
      </w:r>
    </w:p>
    <w:p w14:paraId="08C69A2E" w14:textId="77777777" w:rsidR="00B91C00" w:rsidRPr="001031D9" w:rsidRDefault="00471E3E" w:rsidP="00B91C00">
      <w:pPr>
        <w:pStyle w:val="a9"/>
        <w:spacing w:before="240" w:after="240" w:line="360" w:lineRule="auto"/>
        <w:ind w:left="357"/>
        <w:contextualSpacing w:val="0"/>
        <w:jc w:val="both"/>
        <w:rPr>
          <w:rtl/>
        </w:rPr>
      </w:pPr>
      <w:hyperlink r:id="rId35" w:history="1">
        <w:r w:rsidRPr="00471E3E">
          <w:rPr>
            <w:color w:val="0000FF"/>
            <w:u w:val="single"/>
            <w:rtl/>
          </w:rPr>
          <w:t>ת"פ 45228-07-16</w:t>
        </w:r>
      </w:hyperlink>
      <w:r w:rsidR="00B91C00">
        <w:rPr>
          <w:rFonts w:hint="cs"/>
          <w:rtl/>
        </w:rPr>
        <w:t xml:space="preserve"> </w:t>
      </w:r>
      <w:r w:rsidR="00B91C00">
        <w:rPr>
          <w:rFonts w:hint="cs"/>
          <w:b/>
          <w:bCs/>
          <w:rtl/>
        </w:rPr>
        <w:t>מדינת ישראל נ' ג'בארין</w:t>
      </w:r>
      <w:r w:rsidR="00B91C00">
        <w:rPr>
          <w:rFonts w:hint="cs"/>
          <w:rtl/>
        </w:rPr>
        <w:t xml:space="preserve"> (30.4.2017) - הנאשם במקרה זה נשא על גופו אקדח  טעון ומחסנית ובה עשרה כדורים. כשהבחין בשוטרים מתקרבים לעברו נמלט בריצה לתוך בית דודו, והסליק את הנשק, המחסנית והכדורים מתחת לשמיכה. בית המשפט המחוזי בחיפה קבע מתחם עונש </w:t>
      </w:r>
      <w:r w:rsidR="00B91C00">
        <w:rPr>
          <w:rFonts w:hint="cs"/>
          <w:b/>
          <w:bCs/>
          <w:rtl/>
        </w:rPr>
        <w:t>הנע בין 10 חודשי מאסר ל-30 חודשי מאסר</w:t>
      </w:r>
      <w:r w:rsidR="00B91C00">
        <w:rPr>
          <w:rFonts w:hint="cs"/>
          <w:rtl/>
        </w:rPr>
        <w:t xml:space="preserve">, והשית על הנאשם </w:t>
      </w:r>
      <w:r w:rsidR="00B91C00" w:rsidRPr="001031D9">
        <w:rPr>
          <w:rFonts w:hint="cs"/>
          <w:b/>
          <w:bCs/>
          <w:rtl/>
        </w:rPr>
        <w:t>עונש של 12 חודשי מאסר</w:t>
      </w:r>
      <w:r w:rsidR="00B91C00" w:rsidRPr="001031D9">
        <w:rPr>
          <w:rFonts w:hint="cs"/>
          <w:rtl/>
        </w:rPr>
        <w:t xml:space="preserve">. </w:t>
      </w:r>
    </w:p>
    <w:p w14:paraId="4615895D" w14:textId="77777777" w:rsidR="00B91C00" w:rsidRDefault="00B91C00" w:rsidP="00B91C00">
      <w:pPr>
        <w:pStyle w:val="a9"/>
        <w:numPr>
          <w:ilvl w:val="0"/>
          <w:numId w:val="1"/>
        </w:numPr>
        <w:spacing w:before="240" w:after="240" w:line="360" w:lineRule="auto"/>
        <w:ind w:left="357"/>
        <w:contextualSpacing w:val="0"/>
        <w:jc w:val="both"/>
      </w:pPr>
      <w:r>
        <w:rPr>
          <w:rFonts w:hint="cs"/>
          <w:rtl/>
        </w:rPr>
        <w:t xml:space="preserve">על יסוד כלל השיקולים שפורטו, ראיתי לקבוע </w:t>
      </w:r>
      <w:r>
        <w:rPr>
          <w:rFonts w:hint="cs"/>
          <w:b/>
          <w:bCs/>
          <w:rtl/>
        </w:rPr>
        <w:t>מתחם עונש הולם הנע בין 16 ל- 40 חודשי מאסר</w:t>
      </w:r>
      <w:r>
        <w:rPr>
          <w:rFonts w:hint="cs"/>
          <w:rtl/>
        </w:rPr>
        <w:t xml:space="preserve">. </w:t>
      </w:r>
    </w:p>
    <w:p w14:paraId="43438688" w14:textId="77777777" w:rsidR="00B91C00" w:rsidRDefault="00B91C00" w:rsidP="00B91C00">
      <w:pPr>
        <w:pStyle w:val="a9"/>
        <w:spacing w:before="240" w:after="240" w:line="360" w:lineRule="auto"/>
        <w:ind w:left="357"/>
        <w:contextualSpacing w:val="0"/>
        <w:jc w:val="both"/>
        <w:rPr>
          <w:u w:val="single"/>
          <w:rtl/>
        </w:rPr>
      </w:pPr>
      <w:r>
        <w:rPr>
          <w:rFonts w:hint="cs"/>
          <w:u w:val="single"/>
          <w:rtl/>
        </w:rPr>
        <w:t>קביעת העונש המתאים</w:t>
      </w:r>
    </w:p>
    <w:p w14:paraId="108CEFC4" w14:textId="77777777" w:rsidR="00B91C00" w:rsidRDefault="00B91C00" w:rsidP="00B91C00">
      <w:pPr>
        <w:pStyle w:val="a9"/>
        <w:numPr>
          <w:ilvl w:val="0"/>
          <w:numId w:val="1"/>
        </w:numPr>
        <w:spacing w:before="240" w:after="240" w:line="360" w:lineRule="auto"/>
        <w:ind w:left="357"/>
        <w:contextualSpacing w:val="0"/>
        <w:jc w:val="both"/>
      </w:pPr>
      <w:r>
        <w:rPr>
          <w:rFonts w:hint="cs"/>
          <w:rtl/>
        </w:rPr>
        <w:t>בבחינת הנסיבות שאינן קשורות בביצוע העבירה, נתתי דעתי לנתונים הבאים:</w:t>
      </w:r>
    </w:p>
    <w:p w14:paraId="09D6FC50" w14:textId="77777777" w:rsidR="00B91C00" w:rsidRDefault="00B91C00" w:rsidP="00B91C00">
      <w:pPr>
        <w:pStyle w:val="a9"/>
        <w:spacing w:before="240" w:after="240" w:line="360" w:lineRule="auto"/>
        <w:ind w:left="357"/>
        <w:contextualSpacing w:val="0"/>
        <w:jc w:val="both"/>
        <w:rPr>
          <w:rtl/>
        </w:rPr>
      </w:pPr>
      <w:r>
        <w:rPr>
          <w:rFonts w:hint="cs"/>
          <w:rtl/>
        </w:rPr>
        <w:t xml:space="preserve">העובדה כי הנאשם הודה במיוחס לו, עוד בשטח עת נתפס על-ידי השוטר, ובהמשך בפתח ההליך המשפטי, מהווה נימוק משמעותי לקולא. </w:t>
      </w:r>
    </w:p>
    <w:p w14:paraId="179A2ED4" w14:textId="77777777" w:rsidR="00B91C00" w:rsidRDefault="00B91C00" w:rsidP="00B91C00">
      <w:pPr>
        <w:pStyle w:val="a9"/>
        <w:spacing w:before="240" w:after="240" w:line="360" w:lineRule="auto"/>
        <w:ind w:left="357"/>
        <w:contextualSpacing w:val="0"/>
        <w:jc w:val="both"/>
        <w:rPr>
          <w:rtl/>
        </w:rPr>
      </w:pPr>
      <w:r>
        <w:rPr>
          <w:rFonts w:hint="cs"/>
          <w:rtl/>
        </w:rPr>
        <w:t xml:space="preserve">נתתי משקל לקולא גם לנתוניו המורכבים של הנאשם, לרבות לאלה העולים מהמסמכים הרפואיים שהוגשו, הגם שלקחתי בחשבון את תרומת השימוש בסמים למצב שתואר בהם. </w:t>
      </w:r>
    </w:p>
    <w:p w14:paraId="11034379" w14:textId="77777777" w:rsidR="00B91C00" w:rsidRDefault="00B91C00" w:rsidP="00B91C00">
      <w:pPr>
        <w:pStyle w:val="a9"/>
        <w:spacing w:before="240" w:after="240" w:line="360" w:lineRule="auto"/>
        <w:ind w:left="357"/>
        <w:contextualSpacing w:val="0"/>
        <w:jc w:val="both"/>
        <w:rPr>
          <w:rtl/>
        </w:rPr>
      </w:pPr>
      <w:r>
        <w:rPr>
          <w:rFonts w:hint="cs"/>
          <w:rtl/>
        </w:rPr>
        <w:t xml:space="preserve">התחשבתי אף בגילו הצעיר של הנאשם (כבן 20 היום). </w:t>
      </w:r>
    </w:p>
    <w:p w14:paraId="4540453C" w14:textId="77777777" w:rsidR="00B91C00" w:rsidRDefault="00B91C00" w:rsidP="00B91C00">
      <w:pPr>
        <w:pStyle w:val="a9"/>
        <w:spacing w:before="240" w:after="240" w:line="360" w:lineRule="auto"/>
        <w:ind w:left="357"/>
        <w:contextualSpacing w:val="0"/>
        <w:jc w:val="both"/>
        <w:rPr>
          <w:rtl/>
        </w:rPr>
      </w:pPr>
      <w:r>
        <w:rPr>
          <w:rFonts w:hint="cs"/>
          <w:rtl/>
        </w:rPr>
        <w:t xml:space="preserve">לצד נימוקים אלה אשר יש בהם למתן את העונש המתאים, ראיתי ליתן משקל לחומרא לעברו הפלילי של הנאשם, אשר חרף גילו הצעיר הספיק לבצע שורת עבירות, ולרצות שתי תקופות מאסר שאינן קצרות (9 חודשים ו-17 חודשים). ניתן לומר כי העבר הפלילי תומך במסקנת התובע, לפיה מדובר במי שבחר לאמץ בנקודת הזמן הנוכחית את אורח החיים העברייני. </w:t>
      </w:r>
    </w:p>
    <w:p w14:paraId="4DACE530" w14:textId="77777777" w:rsidR="00B91C00" w:rsidRDefault="00B91C00" w:rsidP="00B91C00">
      <w:pPr>
        <w:pStyle w:val="a9"/>
        <w:spacing w:before="240" w:after="240" w:line="360" w:lineRule="auto"/>
        <w:ind w:left="357"/>
        <w:contextualSpacing w:val="0"/>
        <w:jc w:val="both"/>
        <w:rPr>
          <w:rtl/>
        </w:rPr>
      </w:pPr>
    </w:p>
    <w:p w14:paraId="7CE14CD5" w14:textId="77777777" w:rsidR="00B91C00" w:rsidRPr="00CF45A2" w:rsidRDefault="00B91C00" w:rsidP="00B91C00">
      <w:pPr>
        <w:pStyle w:val="a9"/>
        <w:numPr>
          <w:ilvl w:val="0"/>
          <w:numId w:val="1"/>
        </w:numPr>
        <w:spacing w:before="240" w:after="240" w:line="360" w:lineRule="auto"/>
        <w:jc w:val="both"/>
        <w:rPr>
          <w:rFonts w:ascii="David" w:hAnsi="David"/>
        </w:rPr>
      </w:pPr>
      <w:r>
        <w:rPr>
          <w:rFonts w:hint="cs"/>
          <w:rtl/>
        </w:rPr>
        <w:t>על בסיס השיקולים שפורטו לעיל, ראיתי לגזור על הנאשם את העונשים הבאים:</w:t>
      </w:r>
    </w:p>
    <w:p w14:paraId="6A4D84E2" w14:textId="77777777" w:rsidR="00B91C00" w:rsidRDefault="00B91C00" w:rsidP="00B91C00">
      <w:pPr>
        <w:pStyle w:val="a9"/>
        <w:spacing w:before="240" w:after="240" w:line="360" w:lineRule="auto"/>
        <w:ind w:left="360"/>
        <w:jc w:val="both"/>
        <w:rPr>
          <w:rFonts w:ascii="David" w:hAnsi="David"/>
          <w:rtl/>
        </w:rPr>
      </w:pPr>
    </w:p>
    <w:p w14:paraId="3AEFB588" w14:textId="77777777" w:rsidR="00B91C00" w:rsidRDefault="00B91C00" w:rsidP="00B91C00">
      <w:pPr>
        <w:pStyle w:val="a9"/>
        <w:numPr>
          <w:ilvl w:val="0"/>
          <w:numId w:val="2"/>
        </w:numPr>
        <w:spacing w:before="240" w:after="240" w:line="360" w:lineRule="auto"/>
        <w:ind w:left="714" w:hanging="357"/>
        <w:jc w:val="both"/>
      </w:pPr>
      <w:r>
        <w:rPr>
          <w:rFonts w:hint="cs"/>
          <w:rtl/>
        </w:rPr>
        <w:t xml:space="preserve">30 חודשי מאסר לריצוי בפועל החל מיום מעצרו </w:t>
      </w:r>
      <w:r>
        <w:rPr>
          <w:rtl/>
        </w:rPr>
        <w:t>–</w:t>
      </w:r>
      <w:r>
        <w:rPr>
          <w:rFonts w:hint="cs"/>
          <w:rtl/>
        </w:rPr>
        <w:t xml:space="preserve"> 6.7.20.</w:t>
      </w:r>
    </w:p>
    <w:p w14:paraId="1913FDAC" w14:textId="77777777" w:rsidR="00B91C00" w:rsidRDefault="00B91C00" w:rsidP="00B91C00">
      <w:pPr>
        <w:pStyle w:val="a9"/>
        <w:spacing w:before="240" w:after="240" w:line="360" w:lineRule="auto"/>
        <w:ind w:left="714"/>
        <w:jc w:val="both"/>
        <w:rPr>
          <w:rtl/>
        </w:rPr>
      </w:pPr>
    </w:p>
    <w:p w14:paraId="2EF76C1A" w14:textId="77777777" w:rsidR="00B91C00" w:rsidRDefault="00B91C00" w:rsidP="00B91C00">
      <w:pPr>
        <w:pStyle w:val="a9"/>
        <w:numPr>
          <w:ilvl w:val="0"/>
          <w:numId w:val="2"/>
        </w:numPr>
        <w:spacing w:before="240" w:after="240" w:line="360" w:lineRule="auto"/>
        <w:ind w:left="714" w:hanging="357"/>
        <w:jc w:val="both"/>
      </w:pPr>
      <w:r>
        <w:rPr>
          <w:rFonts w:hint="cs"/>
          <w:rtl/>
        </w:rPr>
        <w:t xml:space="preserve">9 חודשי מאסר אולם הנאשם לא יישא עונש זה אלא אם יעבור תוך 3 שנים מיום שחרורו כל עבירת נשק מסוג פשע, או עבירת אלימות נגד הגוף מסוג פשע. </w:t>
      </w:r>
    </w:p>
    <w:p w14:paraId="64FAF942" w14:textId="77777777" w:rsidR="00B91C00" w:rsidRDefault="00B91C00" w:rsidP="00B91C00">
      <w:pPr>
        <w:pStyle w:val="a9"/>
        <w:rPr>
          <w:rtl/>
        </w:rPr>
      </w:pPr>
    </w:p>
    <w:p w14:paraId="0B3954B0" w14:textId="77777777" w:rsidR="00B91C00" w:rsidRDefault="00B91C00" w:rsidP="00B91C00">
      <w:pPr>
        <w:pStyle w:val="a9"/>
        <w:numPr>
          <w:ilvl w:val="0"/>
          <w:numId w:val="2"/>
        </w:numPr>
        <w:spacing w:before="240" w:after="240" w:line="360" w:lineRule="auto"/>
        <w:ind w:left="714" w:hanging="357"/>
        <w:jc w:val="both"/>
      </w:pPr>
      <w:r>
        <w:rPr>
          <w:rFonts w:hint="cs"/>
          <w:rtl/>
        </w:rPr>
        <w:t xml:space="preserve">5 חודשי מאסר אולם הנאשם לא יישא עונש זה אלא אם יעבור תוך 3 שנים מיום שחרורו כל עבירת אלימות נגד הגוף מסוג עוון. </w:t>
      </w:r>
    </w:p>
    <w:p w14:paraId="31729325" w14:textId="77777777" w:rsidR="00B91C00" w:rsidRDefault="00B91C00" w:rsidP="00B91C00">
      <w:pPr>
        <w:pStyle w:val="a9"/>
        <w:spacing w:before="240" w:after="240" w:line="360" w:lineRule="auto"/>
        <w:ind w:left="714"/>
        <w:jc w:val="both"/>
      </w:pPr>
    </w:p>
    <w:p w14:paraId="1383B68E" w14:textId="77777777" w:rsidR="00B91C00" w:rsidRDefault="00B91C00" w:rsidP="00B91C00">
      <w:pPr>
        <w:pStyle w:val="a9"/>
        <w:numPr>
          <w:ilvl w:val="0"/>
          <w:numId w:val="2"/>
        </w:numPr>
        <w:spacing w:before="240" w:after="240" w:line="360" w:lineRule="auto"/>
        <w:ind w:left="714" w:hanging="357"/>
        <w:jc w:val="both"/>
      </w:pPr>
      <w:r>
        <w:rPr>
          <w:rFonts w:hint="cs"/>
          <w:rtl/>
        </w:rPr>
        <w:t xml:space="preserve">קנס כספי בסך 5,000 ₪ או 40 ימי מאסר תמורתו, אשר ישולם ב-10 תשלומים חודשיים שווים החל מיום 1.6.2021 ועד לסיום התשלומים. </w:t>
      </w:r>
    </w:p>
    <w:p w14:paraId="3EFF1D55" w14:textId="77777777" w:rsidR="00B91C00" w:rsidRDefault="00B91C00" w:rsidP="00B91C00">
      <w:pPr>
        <w:pStyle w:val="a9"/>
        <w:rPr>
          <w:rtl/>
        </w:rPr>
      </w:pPr>
    </w:p>
    <w:p w14:paraId="5C15251D" w14:textId="77777777" w:rsidR="00B91C00" w:rsidRDefault="00B91C00" w:rsidP="00B91C00">
      <w:pPr>
        <w:spacing w:before="240" w:after="240" w:line="360" w:lineRule="auto"/>
        <w:ind w:firstLine="357"/>
        <w:jc w:val="both"/>
      </w:pPr>
      <w:r>
        <w:rPr>
          <w:rFonts w:ascii="David" w:hAnsi="David"/>
          <w:rtl/>
        </w:rPr>
        <w:t xml:space="preserve">ניתן צו כללי למוצגים לשיקול קצין משטרה ו/או התביעה. </w:t>
      </w:r>
    </w:p>
    <w:p w14:paraId="323D9E35" w14:textId="77777777" w:rsidR="00B91C00" w:rsidRDefault="00B91C00" w:rsidP="00B91C00">
      <w:pPr>
        <w:spacing w:before="240" w:after="240" w:line="360" w:lineRule="auto"/>
        <w:ind w:firstLine="357"/>
        <w:jc w:val="both"/>
        <w:rPr>
          <w:rFonts w:ascii="David" w:hAnsi="David"/>
        </w:rPr>
      </w:pPr>
      <w:r>
        <w:rPr>
          <w:rFonts w:ascii="David" w:hAnsi="David"/>
          <w:rtl/>
        </w:rPr>
        <w:t>זכות ערעור כחוק.</w:t>
      </w:r>
      <w:r w:rsidR="00471E3E">
        <w:rPr>
          <w:rFonts w:ascii="David" w:hAnsi="David"/>
          <w:rtl/>
        </w:rPr>
        <w:t xml:space="preserve">    </w:t>
      </w:r>
      <w:r>
        <w:rPr>
          <w:rFonts w:ascii="David" w:hAnsi="David"/>
          <w:rtl/>
        </w:rPr>
        <w:t xml:space="preserve"> </w:t>
      </w:r>
    </w:p>
    <w:p w14:paraId="00EB1479" w14:textId="77777777" w:rsidR="00B91C00" w:rsidRPr="00B05847" w:rsidRDefault="00B91C00" w:rsidP="00B91C00">
      <w:pPr>
        <w:rPr>
          <w:rtl/>
        </w:rPr>
      </w:pPr>
    </w:p>
    <w:p w14:paraId="557D28CB" w14:textId="77777777" w:rsidR="00B91C00" w:rsidRDefault="00471E3E" w:rsidP="00B91C00">
      <w:pPr>
        <w:rPr>
          <w:rtl/>
        </w:rPr>
      </w:pPr>
      <w:bookmarkStart w:id="8" w:name="Nitan"/>
      <w:r w:rsidRPr="00471E3E">
        <w:rPr>
          <w:rFonts w:ascii="Arial" w:hAnsi="Arial"/>
          <w:b/>
          <w:bCs/>
          <w:color w:val="FFFFFF"/>
          <w:sz w:val="2"/>
          <w:szCs w:val="2"/>
          <w:rtl/>
        </w:rPr>
        <w:t>5129371</w:t>
      </w:r>
      <w:r>
        <w:rPr>
          <w:rFonts w:ascii="Arial" w:hAnsi="Arial"/>
          <w:b/>
          <w:bCs/>
          <w:rtl/>
        </w:rPr>
        <w:t xml:space="preserve">ניתן והודע היום, י"א אדר תשפ"א, 23 פברואר 2021, במעמד הצדדים. </w:t>
      </w:r>
      <w:bookmarkEnd w:id="8"/>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B91C00" w14:paraId="44084F14" w14:textId="77777777" w:rsidTr="00B91C00">
        <w:trPr>
          <w:trHeight w:val="316"/>
        </w:trPr>
        <w:tc>
          <w:tcPr>
            <w:tcW w:w="3936" w:type="dxa"/>
            <w:tcBorders>
              <w:top w:val="nil"/>
              <w:left w:val="nil"/>
              <w:bottom w:val="single" w:sz="4" w:space="0" w:color="auto"/>
              <w:right w:val="nil"/>
            </w:tcBorders>
            <w:shd w:val="clear" w:color="auto" w:fill="auto"/>
            <w:vAlign w:val="bottom"/>
          </w:tcPr>
          <w:p w14:paraId="3D92CE7C" w14:textId="77777777" w:rsidR="00B91C00" w:rsidRPr="00471E3E" w:rsidRDefault="00471E3E" w:rsidP="00B91C00">
            <w:pPr>
              <w:jc w:val="center"/>
              <w:rPr>
                <w:rFonts w:cs="Times New Roman"/>
                <w:color w:val="FFFFFF"/>
                <w:sz w:val="2"/>
                <w:szCs w:val="2"/>
              </w:rPr>
            </w:pPr>
            <w:r w:rsidRPr="00471E3E">
              <w:rPr>
                <w:rFonts w:cs="Times New Roman"/>
                <w:color w:val="FFFFFF"/>
                <w:sz w:val="2"/>
                <w:szCs w:val="2"/>
                <w:rtl/>
              </w:rPr>
              <w:t>54678313</w:t>
            </w:r>
          </w:p>
        </w:tc>
      </w:tr>
      <w:tr w:rsidR="00B91C00" w14:paraId="4BCB879C" w14:textId="77777777" w:rsidTr="00B91C00">
        <w:trPr>
          <w:trHeight w:val="361"/>
        </w:trPr>
        <w:tc>
          <w:tcPr>
            <w:tcW w:w="3936" w:type="dxa"/>
            <w:tcBorders>
              <w:top w:val="single" w:sz="4" w:space="0" w:color="auto"/>
              <w:left w:val="nil"/>
              <w:bottom w:val="nil"/>
              <w:right w:val="nil"/>
            </w:tcBorders>
            <w:shd w:val="clear" w:color="auto" w:fill="auto"/>
          </w:tcPr>
          <w:p w14:paraId="0DCE788D" w14:textId="77777777" w:rsidR="00B91C00" w:rsidRPr="00B91C00" w:rsidRDefault="00B91C00" w:rsidP="00B91C00">
            <w:pPr>
              <w:jc w:val="center"/>
              <w:rPr>
                <w:b/>
                <w:bCs/>
                <w:rtl/>
              </w:rPr>
            </w:pPr>
            <w:r w:rsidRPr="00B91C00">
              <w:rPr>
                <w:b/>
                <w:bCs/>
                <w:rtl/>
              </w:rPr>
              <w:t>בני שגיא, שופט</w:t>
            </w:r>
          </w:p>
          <w:p w14:paraId="44F37B3C" w14:textId="77777777" w:rsidR="00B91C00" w:rsidRPr="00B91C00" w:rsidRDefault="00B91C00" w:rsidP="00B91C00">
            <w:pPr>
              <w:jc w:val="center"/>
              <w:rPr>
                <w:b/>
                <w:bCs/>
                <w:rtl/>
                <w:lang w:eastAsia="he-IL"/>
              </w:rPr>
            </w:pPr>
            <w:r w:rsidRPr="00B91C00">
              <w:rPr>
                <w:b/>
                <w:bCs/>
                <w:rtl/>
              </w:rPr>
              <w:t>סגן נשיא</w:t>
            </w:r>
          </w:p>
        </w:tc>
      </w:tr>
    </w:tbl>
    <w:p w14:paraId="5A1E4B34" w14:textId="77777777" w:rsidR="00B91C00" w:rsidRPr="00250B83" w:rsidRDefault="00B91C00" w:rsidP="00B91C00">
      <w:pPr>
        <w:rPr>
          <w:rtl/>
        </w:rPr>
      </w:pPr>
    </w:p>
    <w:p w14:paraId="5737FA6F" w14:textId="77777777" w:rsidR="00B91C00" w:rsidRPr="00250B83" w:rsidRDefault="00B91C00" w:rsidP="00B91C00">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98F476C" w14:textId="77777777" w:rsidR="00B91C00" w:rsidRPr="00AF1097" w:rsidRDefault="00B91C00" w:rsidP="00B91C00">
      <w:pPr>
        <w:jc w:val="center"/>
        <w:rPr>
          <w:rFonts w:ascii="Arial" w:hAnsi="Arial"/>
          <w:rtl/>
        </w:rPr>
      </w:pPr>
    </w:p>
    <w:p w14:paraId="28B3BE92" w14:textId="77777777" w:rsidR="00B91C00" w:rsidRPr="00250B83" w:rsidRDefault="00B91C00" w:rsidP="00B91C00">
      <w:pPr>
        <w:rPr>
          <w:rtl/>
        </w:rPr>
      </w:pPr>
    </w:p>
    <w:p w14:paraId="12A2B3B2" w14:textId="77777777" w:rsidR="00B91C00" w:rsidRPr="00952EF8" w:rsidRDefault="00952EF8" w:rsidP="00B91C00">
      <w:pPr>
        <w:pStyle w:val="a3"/>
        <w:jc w:val="center"/>
        <w:rPr>
          <w:color w:val="FFFFFF"/>
          <w:sz w:val="2"/>
          <w:szCs w:val="2"/>
          <w:rtl/>
        </w:rPr>
      </w:pPr>
      <w:r w:rsidRPr="00952EF8">
        <w:rPr>
          <w:color w:val="FFFFFF"/>
          <w:sz w:val="2"/>
          <w:szCs w:val="2"/>
          <w:rtl/>
        </w:rPr>
        <w:t>5129371</w:t>
      </w:r>
    </w:p>
    <w:p w14:paraId="06D4602D" w14:textId="77777777" w:rsidR="00DE4133" w:rsidRPr="00952EF8" w:rsidRDefault="00952EF8" w:rsidP="00471E3E">
      <w:pPr>
        <w:keepNext/>
        <w:rPr>
          <w:rFonts w:ascii="David" w:hAnsi="David"/>
          <w:color w:val="FFFFFF"/>
          <w:sz w:val="2"/>
          <w:szCs w:val="2"/>
          <w:rtl/>
        </w:rPr>
      </w:pPr>
      <w:r w:rsidRPr="00952EF8">
        <w:rPr>
          <w:rFonts w:ascii="David" w:hAnsi="David"/>
          <w:color w:val="FFFFFF"/>
          <w:sz w:val="2"/>
          <w:szCs w:val="2"/>
          <w:rtl/>
        </w:rPr>
        <w:t>54678313</w:t>
      </w:r>
    </w:p>
    <w:p w14:paraId="1C7A4DC8" w14:textId="77777777" w:rsidR="00471E3E" w:rsidRPr="00471E3E" w:rsidRDefault="00471E3E" w:rsidP="00471E3E">
      <w:pPr>
        <w:keepNext/>
        <w:rPr>
          <w:rFonts w:ascii="David" w:hAnsi="David"/>
          <w:color w:val="000000"/>
          <w:sz w:val="22"/>
          <w:szCs w:val="22"/>
          <w:rtl/>
        </w:rPr>
      </w:pPr>
      <w:r w:rsidRPr="00471E3E">
        <w:rPr>
          <w:rFonts w:ascii="David" w:hAnsi="David"/>
          <w:color w:val="000000"/>
          <w:sz w:val="22"/>
          <w:szCs w:val="22"/>
          <w:rtl/>
        </w:rPr>
        <w:t>בני שגיא 54678313</w:t>
      </w:r>
    </w:p>
    <w:p w14:paraId="1B06A44F" w14:textId="77777777" w:rsidR="00471E3E" w:rsidRDefault="00471E3E" w:rsidP="00471E3E">
      <w:r w:rsidRPr="00471E3E">
        <w:rPr>
          <w:color w:val="000000"/>
          <w:rtl/>
        </w:rPr>
        <w:t>נוסח מסמך זה כפוף לשינויי ניסוח ועריכה</w:t>
      </w:r>
    </w:p>
    <w:p w14:paraId="68DA3C72" w14:textId="77777777" w:rsidR="00471E3E" w:rsidRDefault="00214A9E" w:rsidP="00471E3E">
      <w:pPr>
        <w:rPr>
          <w:rFonts w:hint="cs"/>
          <w:rtl/>
        </w:rPr>
      </w:pPr>
      <w:r>
        <w:rPr>
          <w:rFonts w:hint="cs"/>
          <w:rtl/>
        </w:rPr>
        <w:t xml:space="preserve"> </w:t>
      </w:r>
    </w:p>
    <w:p w14:paraId="174DC1C6" w14:textId="77777777" w:rsidR="00471E3E" w:rsidRDefault="00471E3E" w:rsidP="00471E3E">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D0F9309" w14:textId="77777777" w:rsidR="00952EF8" w:rsidRPr="00952EF8" w:rsidRDefault="00952EF8" w:rsidP="00952EF8">
      <w:pPr>
        <w:keepNext/>
        <w:rPr>
          <w:rFonts w:ascii="David" w:hAnsi="David"/>
          <w:color w:val="000000"/>
          <w:sz w:val="22"/>
          <w:szCs w:val="22"/>
          <w:rtl/>
        </w:rPr>
      </w:pPr>
    </w:p>
    <w:sectPr w:rsidR="00952EF8" w:rsidRPr="00952EF8" w:rsidSect="00952EF8">
      <w:headerReference w:type="even" r:id="rId37"/>
      <w:headerReference w:type="default" r:id="rId38"/>
      <w:footerReference w:type="even" r:id="rId39"/>
      <w:footerReference w:type="default" r:id="rId4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9AD40" w14:textId="77777777" w:rsidR="00A00E9E" w:rsidRDefault="00A00E9E" w:rsidP="00636B6A">
      <w:r>
        <w:separator/>
      </w:r>
    </w:p>
  </w:endnote>
  <w:endnote w:type="continuationSeparator" w:id="0">
    <w:p w14:paraId="23E51BAF" w14:textId="77777777" w:rsidR="00A00E9E" w:rsidRDefault="00A00E9E" w:rsidP="0063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E9F4" w14:textId="77777777" w:rsidR="00952EF8" w:rsidRDefault="00952EF8" w:rsidP="00952E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A5152D" w14:textId="77777777" w:rsidR="000A298E" w:rsidRPr="00952EF8" w:rsidRDefault="00952EF8" w:rsidP="00952EF8">
    <w:pPr>
      <w:pStyle w:val="a5"/>
      <w:pBdr>
        <w:top w:val="single" w:sz="4" w:space="1" w:color="auto"/>
        <w:between w:val="single" w:sz="4" w:space="0" w:color="auto"/>
      </w:pBdr>
      <w:spacing w:after="60"/>
      <w:jc w:val="center"/>
      <w:rPr>
        <w:rFonts w:ascii="FrankRuehl" w:hAnsi="FrankRuehl" w:cs="FrankRuehl"/>
        <w:color w:val="000000"/>
      </w:rPr>
    </w:pPr>
    <w:r w:rsidRPr="00952E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7F324" w14:textId="77777777" w:rsidR="00952EF8" w:rsidRDefault="00952EF8" w:rsidP="00952E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717B">
      <w:rPr>
        <w:rFonts w:ascii="FrankRuehl" w:hAnsi="FrankRuehl" w:cs="FrankRuehl"/>
        <w:noProof/>
        <w:rtl/>
      </w:rPr>
      <w:t>1</w:t>
    </w:r>
    <w:r>
      <w:rPr>
        <w:rFonts w:ascii="FrankRuehl" w:hAnsi="FrankRuehl" w:cs="FrankRuehl"/>
        <w:rtl/>
      </w:rPr>
      <w:fldChar w:fldCharType="end"/>
    </w:r>
  </w:p>
  <w:p w14:paraId="3E87706A" w14:textId="77777777" w:rsidR="000A298E" w:rsidRPr="00952EF8" w:rsidRDefault="00952EF8" w:rsidP="00952EF8">
    <w:pPr>
      <w:pStyle w:val="a5"/>
      <w:pBdr>
        <w:top w:val="single" w:sz="4" w:space="1" w:color="auto"/>
        <w:between w:val="single" w:sz="4" w:space="0" w:color="auto"/>
      </w:pBdr>
      <w:spacing w:after="60"/>
      <w:jc w:val="center"/>
      <w:rPr>
        <w:rFonts w:ascii="FrankRuehl" w:hAnsi="FrankRuehl" w:cs="FrankRuehl"/>
        <w:color w:val="000000"/>
      </w:rPr>
    </w:pPr>
    <w:r w:rsidRPr="00952EF8">
      <w:rPr>
        <w:rFonts w:ascii="FrankRuehl" w:hAnsi="FrankRuehl" w:cs="FrankRuehl"/>
        <w:color w:val="000000"/>
      </w:rPr>
      <w:pict w14:anchorId="21958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EED84" w14:textId="77777777" w:rsidR="00A00E9E" w:rsidRDefault="00A00E9E" w:rsidP="00636B6A">
      <w:r>
        <w:separator/>
      </w:r>
    </w:p>
  </w:footnote>
  <w:footnote w:type="continuationSeparator" w:id="0">
    <w:p w14:paraId="67C7A8E9" w14:textId="77777777" w:rsidR="00A00E9E" w:rsidRDefault="00A00E9E" w:rsidP="00636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C7603" w14:textId="77777777" w:rsidR="00471E3E" w:rsidRPr="00952EF8" w:rsidRDefault="00952EF8" w:rsidP="00952E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39500-07-20</w:t>
    </w:r>
    <w:r>
      <w:rPr>
        <w:rFonts w:ascii="David" w:hAnsi="David"/>
        <w:color w:val="000000"/>
        <w:sz w:val="22"/>
        <w:szCs w:val="22"/>
        <w:rtl/>
      </w:rPr>
      <w:tab/>
      <w:t xml:space="preserve"> מדינת ישראל נ' מנחם מנדל אסרף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F938" w14:textId="77777777" w:rsidR="00471E3E" w:rsidRPr="00952EF8" w:rsidRDefault="00952EF8" w:rsidP="00952E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39500-07-20</w:t>
    </w:r>
    <w:r>
      <w:rPr>
        <w:rFonts w:ascii="David" w:hAnsi="David"/>
        <w:color w:val="000000"/>
        <w:sz w:val="22"/>
        <w:szCs w:val="22"/>
        <w:rtl/>
      </w:rPr>
      <w:tab/>
      <w:t xml:space="preserve"> מדינת ישראל נ' מנחם מנדל אסרף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1DD"/>
    <w:multiLevelType w:val="hybridMultilevel"/>
    <w:tmpl w:val="C388DB04"/>
    <w:lvl w:ilvl="0" w:tplc="444EF7B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626108"/>
    <w:multiLevelType w:val="hybridMultilevel"/>
    <w:tmpl w:val="A698B9C8"/>
    <w:lvl w:ilvl="0" w:tplc="E110DB08">
      <w:start w:val="1"/>
      <w:numFmt w:val="decimal"/>
      <w:lvlText w:val="%1."/>
      <w:lvlJc w:val="left"/>
      <w:pPr>
        <w:ind w:left="360" w:hanging="360"/>
      </w:pPr>
      <w:rPr>
        <w:b w:val="0"/>
        <w:bCs w:val="0"/>
      </w:rPr>
    </w:lvl>
    <w:lvl w:ilvl="1" w:tplc="04090019">
      <w:start w:val="1"/>
      <w:numFmt w:val="lowerLetter"/>
      <w:lvlText w:val="%2."/>
      <w:lvlJc w:val="left"/>
      <w:pPr>
        <w:ind w:left="1050" w:hanging="360"/>
      </w:pPr>
    </w:lvl>
    <w:lvl w:ilvl="2" w:tplc="0409001B">
      <w:start w:val="1"/>
      <w:numFmt w:val="lowerRoman"/>
      <w:lvlText w:val="%3."/>
      <w:lvlJc w:val="right"/>
      <w:pPr>
        <w:ind w:left="1770" w:hanging="180"/>
      </w:pPr>
    </w:lvl>
    <w:lvl w:ilvl="3" w:tplc="0409000F">
      <w:start w:val="1"/>
      <w:numFmt w:val="decimal"/>
      <w:lvlText w:val="%4."/>
      <w:lvlJc w:val="left"/>
      <w:pPr>
        <w:ind w:left="2490" w:hanging="360"/>
      </w:pPr>
    </w:lvl>
    <w:lvl w:ilvl="4" w:tplc="04090019">
      <w:start w:val="1"/>
      <w:numFmt w:val="lowerLetter"/>
      <w:lvlText w:val="%5."/>
      <w:lvlJc w:val="left"/>
      <w:pPr>
        <w:ind w:left="3210" w:hanging="360"/>
      </w:pPr>
    </w:lvl>
    <w:lvl w:ilvl="5" w:tplc="0409001B">
      <w:start w:val="1"/>
      <w:numFmt w:val="lowerRoman"/>
      <w:lvlText w:val="%6."/>
      <w:lvlJc w:val="right"/>
      <w:pPr>
        <w:ind w:left="3930" w:hanging="180"/>
      </w:pPr>
    </w:lvl>
    <w:lvl w:ilvl="6" w:tplc="0409000F">
      <w:start w:val="1"/>
      <w:numFmt w:val="decimal"/>
      <w:lvlText w:val="%7."/>
      <w:lvlJc w:val="left"/>
      <w:pPr>
        <w:ind w:left="4650" w:hanging="360"/>
      </w:pPr>
    </w:lvl>
    <w:lvl w:ilvl="7" w:tplc="04090019">
      <w:start w:val="1"/>
      <w:numFmt w:val="lowerLetter"/>
      <w:lvlText w:val="%8."/>
      <w:lvlJc w:val="left"/>
      <w:pPr>
        <w:ind w:left="5370" w:hanging="360"/>
      </w:pPr>
    </w:lvl>
    <w:lvl w:ilvl="8" w:tplc="0409001B">
      <w:start w:val="1"/>
      <w:numFmt w:val="lowerRoman"/>
      <w:lvlText w:val="%9."/>
      <w:lvlJc w:val="right"/>
      <w:pPr>
        <w:ind w:left="6090" w:hanging="180"/>
      </w:pPr>
    </w:lvl>
  </w:abstractNum>
  <w:num w:numId="1" w16cid:durableId="2079739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31687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1C00"/>
    <w:rsid w:val="000A298E"/>
    <w:rsid w:val="001B5A3B"/>
    <w:rsid w:val="00214A9E"/>
    <w:rsid w:val="00471E3E"/>
    <w:rsid w:val="00636B6A"/>
    <w:rsid w:val="00700885"/>
    <w:rsid w:val="008E6FB3"/>
    <w:rsid w:val="00952EF8"/>
    <w:rsid w:val="00A00E9E"/>
    <w:rsid w:val="00A77D74"/>
    <w:rsid w:val="00AD2871"/>
    <w:rsid w:val="00B91C00"/>
    <w:rsid w:val="00C04C2E"/>
    <w:rsid w:val="00DE4133"/>
    <w:rsid w:val="00EB717B"/>
    <w:rsid w:val="00EE5955"/>
    <w:rsid w:val="00F21D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CD5533"/>
  <w15:chartTrackingRefBased/>
  <w15:docId w15:val="{061E2F8E-D1F9-47FE-B388-F520F072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1C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1C00"/>
    <w:pPr>
      <w:tabs>
        <w:tab w:val="center" w:pos="4153"/>
        <w:tab w:val="right" w:pos="8306"/>
      </w:tabs>
    </w:pPr>
  </w:style>
  <w:style w:type="character" w:customStyle="1" w:styleId="a4">
    <w:name w:val="כותרת עליונה תו"/>
    <w:link w:val="a3"/>
    <w:rsid w:val="00B91C00"/>
    <w:rPr>
      <w:rFonts w:ascii="Times New Roman" w:eastAsia="Times New Roman" w:hAnsi="Times New Roman" w:cs="David"/>
      <w:sz w:val="24"/>
      <w:szCs w:val="24"/>
    </w:rPr>
  </w:style>
  <w:style w:type="paragraph" w:styleId="a5">
    <w:name w:val="footer"/>
    <w:basedOn w:val="a"/>
    <w:link w:val="a6"/>
    <w:rsid w:val="00B91C00"/>
    <w:pPr>
      <w:tabs>
        <w:tab w:val="center" w:pos="4153"/>
        <w:tab w:val="right" w:pos="8306"/>
      </w:tabs>
    </w:pPr>
  </w:style>
  <w:style w:type="character" w:customStyle="1" w:styleId="a6">
    <w:name w:val="כותרת תחתונה תו"/>
    <w:link w:val="a5"/>
    <w:rsid w:val="00B91C00"/>
    <w:rPr>
      <w:rFonts w:ascii="Times New Roman" w:eastAsia="Times New Roman" w:hAnsi="Times New Roman" w:cs="David"/>
      <w:sz w:val="24"/>
      <w:szCs w:val="24"/>
    </w:rPr>
  </w:style>
  <w:style w:type="table" w:styleId="a7">
    <w:name w:val="Table Grid"/>
    <w:basedOn w:val="a1"/>
    <w:rsid w:val="00B91C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1C00"/>
  </w:style>
  <w:style w:type="character" w:customStyle="1" w:styleId="TimesNewRomanTimesNewRoman">
    <w:name w:val="סגנון (לטיני) Times New Roman (עברית ושפות אחרות) Times New Roman..."/>
    <w:rsid w:val="00B91C00"/>
    <w:rPr>
      <w:rFonts w:ascii="Times New Roman" w:hAnsi="Times New Roman" w:cs="David" w:hint="default"/>
      <w:b/>
      <w:bCs/>
      <w:sz w:val="26"/>
      <w:szCs w:val="26"/>
    </w:rPr>
  </w:style>
  <w:style w:type="paragraph" w:styleId="a9">
    <w:name w:val="List Paragraph"/>
    <w:basedOn w:val="a"/>
    <w:qFormat/>
    <w:rsid w:val="00B91C00"/>
    <w:pPr>
      <w:ind w:left="720"/>
      <w:contextualSpacing/>
    </w:pPr>
  </w:style>
  <w:style w:type="character" w:styleId="Hyperlink">
    <w:name w:val="Hyperlink"/>
    <w:rsid w:val="00471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7791493" TargetMode="External"/><Relationship Id="rId18" Type="http://schemas.openxmlformats.org/officeDocument/2006/relationships/hyperlink" Target="http://www.nevo.co.il/case/27087184" TargetMode="External"/><Relationship Id="rId26" Type="http://schemas.openxmlformats.org/officeDocument/2006/relationships/hyperlink" Target="http://www.nevo.co.il/case/21474514" TargetMode="External"/><Relationship Id="rId39" Type="http://schemas.openxmlformats.org/officeDocument/2006/relationships/footer" Target="footer1.xml"/><Relationship Id="rId21" Type="http://schemas.openxmlformats.org/officeDocument/2006/relationships/hyperlink" Target="http://www.nevo.co.il/case/25612982" TargetMode="External"/><Relationship Id="rId34" Type="http://schemas.openxmlformats.org/officeDocument/2006/relationships/hyperlink" Target="http://www.nevo.co.il/case/26631078"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04154" TargetMode="External"/><Relationship Id="rId20" Type="http://schemas.openxmlformats.org/officeDocument/2006/relationships/hyperlink" Target="http://www.nevo.co.il/case/27171364" TargetMode="External"/><Relationship Id="rId29" Type="http://schemas.openxmlformats.org/officeDocument/2006/relationships/hyperlink" Target="http://www.nevo.co.il/case/694929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824863" TargetMode="External"/><Relationship Id="rId24" Type="http://schemas.openxmlformats.org/officeDocument/2006/relationships/hyperlink" Target="http://www.nevo.co.il/case/25612982" TargetMode="External"/><Relationship Id="rId32" Type="http://schemas.openxmlformats.org/officeDocument/2006/relationships/hyperlink" Target="http://www.nevo.co.il/case/25842649"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1771409" TargetMode="External"/><Relationship Id="rId23" Type="http://schemas.openxmlformats.org/officeDocument/2006/relationships/hyperlink" Target="http://www.nevo.co.il/case/27087184" TargetMode="External"/><Relationship Id="rId28" Type="http://schemas.openxmlformats.org/officeDocument/2006/relationships/hyperlink" Target="http://www.nevo.co.il/case/20446658"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6934681" TargetMode="External"/><Relationship Id="rId31" Type="http://schemas.openxmlformats.org/officeDocument/2006/relationships/hyperlink" Target="http://www.nevo.co.il/case/26779313"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473037" TargetMode="External"/><Relationship Id="rId22" Type="http://schemas.openxmlformats.org/officeDocument/2006/relationships/hyperlink" Target="http://www.nevo.co.il/case/22006503" TargetMode="External"/><Relationship Id="rId27" Type="http://schemas.openxmlformats.org/officeDocument/2006/relationships/hyperlink" Target="http://www.nevo.co.il/case/21474168" TargetMode="External"/><Relationship Id="rId30" Type="http://schemas.openxmlformats.org/officeDocument/2006/relationships/hyperlink" Target="http://www.nevo.co.il/case/5878682" TargetMode="External"/><Relationship Id="rId35" Type="http://schemas.openxmlformats.org/officeDocument/2006/relationships/hyperlink" Target="http://www.nevo.co.il/case/21640336" TargetMode="Externa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case/5878682" TargetMode="External"/><Relationship Id="rId17" Type="http://schemas.openxmlformats.org/officeDocument/2006/relationships/hyperlink" Target="http://www.nevo.co.il/case/23750625" TargetMode="External"/><Relationship Id="rId25" Type="http://schemas.openxmlformats.org/officeDocument/2006/relationships/hyperlink" Target="http://www.nevo.co.il/case/24269595" TargetMode="External"/><Relationship Id="rId33" Type="http://schemas.openxmlformats.org/officeDocument/2006/relationships/hyperlink" Target="http://www.nevo.co.il/case/2419419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3200</Words>
  <Characters>16002</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19164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3604594</vt:i4>
      </vt:variant>
      <vt:variant>
        <vt:i4>84</vt:i4>
      </vt:variant>
      <vt:variant>
        <vt:i4>0</vt:i4>
      </vt:variant>
      <vt:variant>
        <vt:i4>5</vt:i4>
      </vt:variant>
      <vt:variant>
        <vt:lpwstr>http://www.nevo.co.il/case/21640336</vt:lpwstr>
      </vt:variant>
      <vt:variant>
        <vt:lpwstr/>
      </vt:variant>
      <vt:variant>
        <vt:i4>3276913</vt:i4>
      </vt:variant>
      <vt:variant>
        <vt:i4>81</vt:i4>
      </vt:variant>
      <vt:variant>
        <vt:i4>0</vt:i4>
      </vt:variant>
      <vt:variant>
        <vt:i4>5</vt:i4>
      </vt:variant>
      <vt:variant>
        <vt:lpwstr>http://www.nevo.co.il/case/26631078</vt:lpwstr>
      </vt:variant>
      <vt:variant>
        <vt:lpwstr/>
      </vt:variant>
      <vt:variant>
        <vt:i4>4063352</vt:i4>
      </vt:variant>
      <vt:variant>
        <vt:i4>78</vt:i4>
      </vt:variant>
      <vt:variant>
        <vt:i4>0</vt:i4>
      </vt:variant>
      <vt:variant>
        <vt:i4>5</vt:i4>
      </vt:variant>
      <vt:variant>
        <vt:lpwstr>http://www.nevo.co.il/case/24194196</vt:lpwstr>
      </vt:variant>
      <vt:variant>
        <vt:lpwstr/>
      </vt:variant>
      <vt:variant>
        <vt:i4>3932275</vt:i4>
      </vt:variant>
      <vt:variant>
        <vt:i4>75</vt:i4>
      </vt:variant>
      <vt:variant>
        <vt:i4>0</vt:i4>
      </vt:variant>
      <vt:variant>
        <vt:i4>5</vt:i4>
      </vt:variant>
      <vt:variant>
        <vt:lpwstr>http://www.nevo.co.il/case/25842649</vt:lpwstr>
      </vt:variant>
      <vt:variant>
        <vt:lpwstr/>
      </vt:variant>
      <vt:variant>
        <vt:i4>3997814</vt:i4>
      </vt:variant>
      <vt:variant>
        <vt:i4>72</vt:i4>
      </vt:variant>
      <vt:variant>
        <vt:i4>0</vt:i4>
      </vt:variant>
      <vt:variant>
        <vt:i4>5</vt:i4>
      </vt:variant>
      <vt:variant>
        <vt:lpwstr>http://www.nevo.co.il/case/26779313</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3145853</vt:i4>
      </vt:variant>
      <vt:variant>
        <vt:i4>66</vt:i4>
      </vt:variant>
      <vt:variant>
        <vt:i4>0</vt:i4>
      </vt:variant>
      <vt:variant>
        <vt:i4>5</vt:i4>
      </vt:variant>
      <vt:variant>
        <vt:lpwstr>http://www.nevo.co.il/case/6949290</vt:lpwstr>
      </vt:variant>
      <vt:variant>
        <vt:lpwstr/>
      </vt:variant>
      <vt:variant>
        <vt:i4>3473526</vt:i4>
      </vt:variant>
      <vt:variant>
        <vt:i4>63</vt:i4>
      </vt:variant>
      <vt:variant>
        <vt:i4>0</vt:i4>
      </vt:variant>
      <vt:variant>
        <vt:i4>5</vt:i4>
      </vt:variant>
      <vt:variant>
        <vt:lpwstr>http://www.nevo.co.il/case/20446658</vt:lpwstr>
      </vt:variant>
      <vt:variant>
        <vt:lpwstr/>
      </vt:variant>
      <vt:variant>
        <vt:i4>3407987</vt:i4>
      </vt:variant>
      <vt:variant>
        <vt:i4>60</vt:i4>
      </vt:variant>
      <vt:variant>
        <vt:i4>0</vt:i4>
      </vt:variant>
      <vt:variant>
        <vt:i4>5</vt:i4>
      </vt:variant>
      <vt:variant>
        <vt:lpwstr>http://www.nevo.co.il/case/21474168</vt:lpwstr>
      </vt:variant>
      <vt:variant>
        <vt:lpwstr/>
      </vt:variant>
      <vt:variant>
        <vt:i4>3342455</vt:i4>
      </vt:variant>
      <vt:variant>
        <vt:i4>57</vt:i4>
      </vt:variant>
      <vt:variant>
        <vt:i4>0</vt:i4>
      </vt:variant>
      <vt:variant>
        <vt:i4>5</vt:i4>
      </vt:variant>
      <vt:variant>
        <vt:lpwstr>http://www.nevo.co.il/case/21474514</vt:lpwstr>
      </vt:variant>
      <vt:variant>
        <vt:lpwstr/>
      </vt:variant>
      <vt:variant>
        <vt:i4>3145843</vt:i4>
      </vt:variant>
      <vt:variant>
        <vt:i4>54</vt:i4>
      </vt:variant>
      <vt:variant>
        <vt:i4>0</vt:i4>
      </vt:variant>
      <vt:variant>
        <vt:i4>5</vt:i4>
      </vt:variant>
      <vt:variant>
        <vt:lpwstr>http://www.nevo.co.il/case/24269595</vt:lpwstr>
      </vt:variant>
      <vt:variant>
        <vt:lpwstr/>
      </vt:variant>
      <vt:variant>
        <vt:i4>4063353</vt:i4>
      </vt:variant>
      <vt:variant>
        <vt:i4>51</vt:i4>
      </vt:variant>
      <vt:variant>
        <vt:i4>0</vt:i4>
      </vt:variant>
      <vt:variant>
        <vt:i4>5</vt:i4>
      </vt:variant>
      <vt:variant>
        <vt:lpwstr>http://www.nevo.co.il/case/25612982</vt:lpwstr>
      </vt:variant>
      <vt:variant>
        <vt:lpwstr/>
      </vt:variant>
      <vt:variant>
        <vt:i4>3997818</vt:i4>
      </vt:variant>
      <vt:variant>
        <vt:i4>48</vt:i4>
      </vt:variant>
      <vt:variant>
        <vt:i4>0</vt:i4>
      </vt:variant>
      <vt:variant>
        <vt:i4>5</vt:i4>
      </vt:variant>
      <vt:variant>
        <vt:lpwstr>http://www.nevo.co.il/case/27087184</vt:lpwstr>
      </vt:variant>
      <vt:variant>
        <vt:lpwstr/>
      </vt:variant>
      <vt:variant>
        <vt:i4>3407987</vt:i4>
      </vt:variant>
      <vt:variant>
        <vt:i4>45</vt:i4>
      </vt:variant>
      <vt:variant>
        <vt:i4>0</vt:i4>
      </vt:variant>
      <vt:variant>
        <vt:i4>5</vt:i4>
      </vt:variant>
      <vt:variant>
        <vt:lpwstr>http://www.nevo.co.il/case/22006503</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3407991</vt:i4>
      </vt:variant>
      <vt:variant>
        <vt:i4>39</vt:i4>
      </vt:variant>
      <vt:variant>
        <vt:i4>0</vt:i4>
      </vt:variant>
      <vt:variant>
        <vt:i4>5</vt:i4>
      </vt:variant>
      <vt:variant>
        <vt:lpwstr>http://www.nevo.co.il/case/27171364</vt:lpwstr>
      </vt:variant>
      <vt:variant>
        <vt:lpwstr/>
      </vt:variant>
      <vt:variant>
        <vt:i4>3604599</vt:i4>
      </vt:variant>
      <vt:variant>
        <vt:i4>36</vt:i4>
      </vt:variant>
      <vt:variant>
        <vt:i4>0</vt:i4>
      </vt:variant>
      <vt:variant>
        <vt:i4>5</vt:i4>
      </vt:variant>
      <vt:variant>
        <vt:lpwstr>http://www.nevo.co.il/case/26934681</vt:lpwstr>
      </vt:variant>
      <vt:variant>
        <vt:lpwstr/>
      </vt:variant>
      <vt:variant>
        <vt:i4>3997818</vt:i4>
      </vt:variant>
      <vt:variant>
        <vt:i4>33</vt:i4>
      </vt:variant>
      <vt:variant>
        <vt:i4>0</vt:i4>
      </vt:variant>
      <vt:variant>
        <vt:i4>5</vt:i4>
      </vt:variant>
      <vt:variant>
        <vt:lpwstr>http://www.nevo.co.il/case/27087184</vt:lpwstr>
      </vt:variant>
      <vt:variant>
        <vt:lpwstr/>
      </vt:variant>
      <vt:variant>
        <vt:i4>3604596</vt:i4>
      </vt:variant>
      <vt:variant>
        <vt:i4>30</vt:i4>
      </vt:variant>
      <vt:variant>
        <vt:i4>0</vt:i4>
      </vt:variant>
      <vt:variant>
        <vt:i4>5</vt:i4>
      </vt:variant>
      <vt:variant>
        <vt:lpwstr>http://www.nevo.co.il/case/23750625</vt:lpwstr>
      </vt:variant>
      <vt:variant>
        <vt:lpwstr/>
      </vt:variant>
      <vt:variant>
        <vt:i4>3145853</vt:i4>
      </vt:variant>
      <vt:variant>
        <vt:i4>27</vt:i4>
      </vt:variant>
      <vt:variant>
        <vt:i4>0</vt:i4>
      </vt:variant>
      <vt:variant>
        <vt:i4>5</vt:i4>
      </vt:variant>
      <vt:variant>
        <vt:lpwstr>http://www.nevo.co.il/case/5804154</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3539068</vt:i4>
      </vt:variant>
      <vt:variant>
        <vt:i4>15</vt:i4>
      </vt:variant>
      <vt:variant>
        <vt:i4>0</vt:i4>
      </vt:variant>
      <vt:variant>
        <vt:i4>5</vt:i4>
      </vt:variant>
      <vt:variant>
        <vt:lpwstr>http://www.nevo.co.il/case/5878682</vt:lpwstr>
      </vt:variant>
      <vt:variant>
        <vt:lpwstr/>
      </vt:variant>
      <vt:variant>
        <vt:i4>3670139</vt:i4>
      </vt:variant>
      <vt:variant>
        <vt:i4>12</vt:i4>
      </vt:variant>
      <vt:variant>
        <vt:i4>0</vt:i4>
      </vt:variant>
      <vt:variant>
        <vt:i4>5</vt:i4>
      </vt:variant>
      <vt:variant>
        <vt:lpwstr>http://www.nevo.co.il/case/25824863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2024-01-07T12:16:00Z</dcterms:created>
  <dcterms:modified xsi:type="dcterms:W3CDTF">2024-01-07T12:16:00Z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39500</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מנחם מנדל אסרף</vt:lpwstr>
  </property>
  <property fmtid="{D5CDD505-2E9C-101B-9397-08002B2CF9AE}" pid="10" name="LAWYER">
    <vt:lpwstr>יוסי קורצברג; שלי קוטין;ימימה אברמוביץ'</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20210223</vt:lpwstr>
  </property>
  <property fmtid="{D5CDD505-2E9C-101B-9397-08002B2CF9AE}" pid="14" name="TYPE_N_DATE">
    <vt:lpwstr>39020210223</vt:lpwstr>
  </property>
  <property fmtid="{D5CDD505-2E9C-101B-9397-08002B2CF9AE}" pid="15" name="WORDNUMPAGES">
    <vt:lpwstr>8</vt:lpwstr>
  </property>
  <property fmtid="{D5CDD505-2E9C-101B-9397-08002B2CF9AE}" pid="16" name="TYPE_ABS_DATE">
    <vt:lpwstr>390020210223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25824863;5878682:2;7791493;6473037;21771409;5804154;23750625;27087184:2;26934681;27171364;25612982:2;22006503;24269595;21474514;21474168;20446658;6949290;26779313;25842649;24194196;26631078;21640336</vt:lpwstr>
  </property>
  <property fmtid="{D5CDD505-2E9C-101B-9397-08002B2CF9AE}" pid="36" name="LAWLISTTMP1">
    <vt:lpwstr>70301/144.b</vt:lpwstr>
  </property>
</Properties>
</file>