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78"/>
        <w:gridCol w:w="2127"/>
      </w:tblGrid>
      <w:tr w:rsidR="00D457A4" w:rsidRPr="00E71908" w14:paraId="2F356E15" w14:textId="77777777" w:rsidTr="00B03CC0">
        <w:trPr>
          <w:trHeight w:hRule="exact" w:val="418"/>
          <w:jc w:val="center"/>
        </w:trPr>
        <w:tc>
          <w:tcPr>
            <w:tcW w:w="8505" w:type="dxa"/>
            <w:gridSpan w:val="2"/>
          </w:tcPr>
          <w:p w14:paraId="6707BEF3" w14:textId="77777777" w:rsidR="00D457A4" w:rsidRPr="00E71908" w:rsidRDefault="00D457A4" w:rsidP="00B03CC0">
            <w:pPr>
              <w:pStyle w:val="a3"/>
              <w:jc w:val="center"/>
              <w:rPr>
                <w:rFonts w:ascii="Tahoma" w:hAnsi="Tahoma" w:cs="Tahoma"/>
                <w:color w:val="000080"/>
                <w:rtl/>
              </w:rPr>
            </w:pPr>
            <w:bookmarkStart w:id="0" w:name="LastJudge"/>
            <w:r w:rsidRPr="00E71908">
              <w:rPr>
                <w:rFonts w:ascii="Tahoma" w:hAnsi="Tahoma" w:cs="Tahoma"/>
                <w:b/>
                <w:bCs/>
                <w:color w:val="000080"/>
                <w:rtl/>
              </w:rPr>
              <w:t>בית המשפט המחוזי בחיפה</w:t>
            </w:r>
          </w:p>
        </w:tc>
      </w:tr>
      <w:tr w:rsidR="00D457A4" w:rsidRPr="00E71908" w14:paraId="2BFBB44F" w14:textId="77777777" w:rsidTr="00B03CC0">
        <w:trPr>
          <w:trHeight w:val="337"/>
          <w:jc w:val="center"/>
        </w:trPr>
        <w:tc>
          <w:tcPr>
            <w:tcW w:w="6378" w:type="dxa"/>
          </w:tcPr>
          <w:p w14:paraId="2FCCF47F" w14:textId="77777777" w:rsidR="00D457A4" w:rsidRPr="00E71908" w:rsidRDefault="00D457A4" w:rsidP="00B03CC0">
            <w:pPr>
              <w:jc w:val="both"/>
              <w:rPr>
                <w:rFonts w:cs="FrankRuehl"/>
                <w:sz w:val="28"/>
                <w:szCs w:val="28"/>
                <w:rtl/>
              </w:rPr>
            </w:pPr>
            <w:r w:rsidRPr="00E71908">
              <w:rPr>
                <w:rFonts w:cs="FrankRuehl"/>
                <w:sz w:val="28"/>
                <w:szCs w:val="28"/>
                <w:rtl/>
              </w:rPr>
              <w:t>ת"פ</w:t>
            </w:r>
            <w:r w:rsidRPr="00E71908">
              <w:rPr>
                <w:rFonts w:cs="FrankRuehl" w:hint="cs"/>
                <w:sz w:val="28"/>
                <w:szCs w:val="28"/>
                <w:rtl/>
              </w:rPr>
              <w:t xml:space="preserve"> </w:t>
            </w:r>
            <w:r w:rsidRPr="00E71908">
              <w:rPr>
                <w:rFonts w:cs="FrankRuehl"/>
                <w:sz w:val="28"/>
                <w:szCs w:val="28"/>
                <w:rtl/>
              </w:rPr>
              <w:t>72146-11-20</w:t>
            </w:r>
            <w:r w:rsidRPr="00E71908">
              <w:rPr>
                <w:rFonts w:cs="FrankRuehl" w:hint="cs"/>
                <w:sz w:val="28"/>
                <w:szCs w:val="28"/>
                <w:rtl/>
              </w:rPr>
              <w:t xml:space="preserve"> </w:t>
            </w:r>
            <w:r w:rsidRPr="00E71908">
              <w:rPr>
                <w:rFonts w:cs="FrankRuehl"/>
                <w:sz w:val="28"/>
                <w:szCs w:val="28"/>
                <w:rtl/>
              </w:rPr>
              <w:t>מדינת ישראל נ' ריאן</w:t>
            </w:r>
            <w:r w:rsidRPr="00E71908">
              <w:rPr>
                <w:rFonts w:cs="FrankRuehl" w:hint="cs"/>
                <w:sz w:val="28"/>
                <w:szCs w:val="28"/>
                <w:rtl/>
              </w:rPr>
              <w:t xml:space="preserve"> </w:t>
            </w:r>
            <w:r w:rsidRPr="00E71908">
              <w:rPr>
                <w:rFonts w:cs="FrankRuehl"/>
                <w:sz w:val="28"/>
                <w:szCs w:val="28"/>
                <w:rtl/>
              </w:rPr>
              <w:t>(עצור/אסיר בפיקוח)</w:t>
            </w:r>
          </w:p>
          <w:p w14:paraId="64CC6FF2" w14:textId="77777777" w:rsidR="00D457A4" w:rsidRPr="00E71908" w:rsidRDefault="00D457A4" w:rsidP="00B03CC0">
            <w:pPr>
              <w:pStyle w:val="a3"/>
              <w:rPr>
                <w:rFonts w:cs="FrankRuehl"/>
                <w:sz w:val="28"/>
                <w:szCs w:val="28"/>
                <w:rtl/>
              </w:rPr>
            </w:pPr>
          </w:p>
        </w:tc>
        <w:tc>
          <w:tcPr>
            <w:tcW w:w="2127" w:type="dxa"/>
          </w:tcPr>
          <w:p w14:paraId="11EF7F84" w14:textId="77777777" w:rsidR="00D457A4" w:rsidRPr="00E71908" w:rsidRDefault="00D457A4" w:rsidP="00B03CC0">
            <w:pPr>
              <w:pStyle w:val="a3"/>
              <w:jc w:val="right"/>
              <w:rPr>
                <w:rFonts w:cs="FrankRuehl"/>
                <w:sz w:val="28"/>
                <w:szCs w:val="28"/>
                <w:rtl/>
              </w:rPr>
            </w:pPr>
          </w:p>
        </w:tc>
      </w:tr>
    </w:tbl>
    <w:p w14:paraId="72410DDE" w14:textId="77777777" w:rsidR="00D457A4" w:rsidRPr="00E71908" w:rsidRDefault="00D457A4" w:rsidP="00D457A4">
      <w:pPr>
        <w:pStyle w:val="a3"/>
        <w:rPr>
          <w:rtl/>
        </w:rPr>
      </w:pPr>
      <w:r w:rsidRPr="00E71908">
        <w:rPr>
          <w:rFonts w:hint="cs"/>
          <w:rtl/>
        </w:rPr>
        <w:t xml:space="preserve"> </w:t>
      </w:r>
    </w:p>
    <w:p w14:paraId="44BDEF51" w14:textId="77777777" w:rsidR="00D457A4" w:rsidRPr="00E71908" w:rsidRDefault="00D457A4" w:rsidP="00D457A4">
      <w:pPr>
        <w:spacing w:line="360" w:lineRule="auto"/>
        <w:jc w:val="both"/>
        <w:rPr>
          <w:sz w:val="6"/>
          <w:szCs w:val="6"/>
          <w:rtl/>
        </w:rPr>
      </w:pPr>
    </w:p>
    <w:p w14:paraId="4592BF08" w14:textId="77777777" w:rsidR="00D457A4" w:rsidRPr="00E71908" w:rsidRDefault="00D457A4" w:rsidP="00D457A4">
      <w:pPr>
        <w:spacing w:line="360" w:lineRule="auto"/>
        <w:jc w:val="both"/>
        <w:rPr>
          <w:sz w:val="6"/>
          <w:szCs w:val="6"/>
          <w:rtl/>
        </w:rPr>
      </w:pPr>
    </w:p>
    <w:tbl>
      <w:tblPr>
        <w:bidiVisual/>
        <w:tblW w:w="8802" w:type="dxa"/>
        <w:tblInd w:w="-286" w:type="dxa"/>
        <w:tblLook w:val="01E0" w:firstRow="1" w:lastRow="1" w:firstColumn="1" w:lastColumn="1" w:noHBand="0" w:noVBand="0"/>
      </w:tblPr>
      <w:tblGrid>
        <w:gridCol w:w="2880"/>
        <w:gridCol w:w="5838"/>
        <w:gridCol w:w="84"/>
      </w:tblGrid>
      <w:tr w:rsidR="00D457A4" w:rsidRPr="00E71908" w14:paraId="7D552369" w14:textId="77777777" w:rsidTr="00D457A4">
        <w:trPr>
          <w:gridAfter w:val="1"/>
          <w:wAfter w:w="56" w:type="dxa"/>
        </w:trPr>
        <w:tc>
          <w:tcPr>
            <w:tcW w:w="8718" w:type="dxa"/>
            <w:gridSpan w:val="2"/>
            <w:shd w:val="clear" w:color="auto" w:fill="auto"/>
          </w:tcPr>
          <w:p w14:paraId="29B7701F" w14:textId="77777777" w:rsidR="00D457A4" w:rsidRPr="00E71908" w:rsidRDefault="00D457A4" w:rsidP="00B03CC0">
            <w:pPr>
              <w:rPr>
                <w:b/>
                <w:bCs/>
                <w:sz w:val="26"/>
                <w:szCs w:val="26"/>
                <w:rtl/>
              </w:rPr>
            </w:pPr>
            <w:r w:rsidRPr="00E71908">
              <w:rPr>
                <w:rFonts w:hint="cs"/>
                <w:b/>
                <w:bCs/>
                <w:sz w:val="26"/>
                <w:szCs w:val="26"/>
                <w:rtl/>
              </w:rPr>
              <w:t>לפני כבוד ה</w:t>
            </w:r>
            <w:r w:rsidRPr="00E71908">
              <w:rPr>
                <w:b/>
                <w:bCs/>
                <w:sz w:val="26"/>
                <w:szCs w:val="26"/>
                <w:rtl/>
              </w:rPr>
              <w:t>שופט דניאל פיש</w:t>
            </w:r>
            <w:r w:rsidRPr="00E71908">
              <w:rPr>
                <w:rStyle w:val="TimesNewRomanTimesNewRoman"/>
                <w:rtl/>
              </w:rPr>
              <w:t xml:space="preserve"> </w:t>
            </w:r>
          </w:p>
        </w:tc>
      </w:tr>
      <w:tr w:rsidR="00D457A4" w:rsidRPr="00E71908" w14:paraId="5C88586D" w14:textId="77777777" w:rsidTr="00D457A4">
        <w:trPr>
          <w:cantSplit/>
          <w:trHeight w:val="724"/>
        </w:trPr>
        <w:tc>
          <w:tcPr>
            <w:tcW w:w="2880" w:type="dxa"/>
            <w:shd w:val="clear" w:color="auto" w:fill="auto"/>
          </w:tcPr>
          <w:p w14:paraId="463C5E4B" w14:textId="77777777" w:rsidR="00D457A4" w:rsidRPr="00E71908" w:rsidRDefault="00D457A4" w:rsidP="00D457A4">
            <w:pPr>
              <w:ind w:left="26"/>
              <w:rPr>
                <w:b/>
                <w:bCs/>
                <w:sz w:val="26"/>
                <w:szCs w:val="26"/>
                <w:rtl/>
              </w:rPr>
            </w:pPr>
            <w:bookmarkStart w:id="1" w:name="FirstAppellant"/>
          </w:p>
          <w:p w14:paraId="14FA337F" w14:textId="77777777" w:rsidR="00D457A4" w:rsidRPr="00E71908" w:rsidRDefault="00D457A4" w:rsidP="00D457A4">
            <w:pPr>
              <w:ind w:left="26"/>
              <w:rPr>
                <w:b/>
                <w:bCs/>
                <w:sz w:val="26"/>
                <w:szCs w:val="26"/>
                <w:rtl/>
              </w:rPr>
            </w:pPr>
            <w:r w:rsidRPr="00E71908">
              <w:rPr>
                <w:rFonts w:hint="cs"/>
                <w:b/>
                <w:bCs/>
                <w:sz w:val="26"/>
                <w:szCs w:val="26"/>
                <w:rtl/>
              </w:rPr>
              <w:t>ה</w:t>
            </w:r>
            <w:r w:rsidRPr="00E71908">
              <w:rPr>
                <w:b/>
                <w:bCs/>
                <w:sz w:val="26"/>
                <w:szCs w:val="26"/>
                <w:rtl/>
              </w:rPr>
              <w:t>מאשימה</w:t>
            </w:r>
          </w:p>
        </w:tc>
        <w:tc>
          <w:tcPr>
            <w:tcW w:w="5922" w:type="dxa"/>
            <w:gridSpan w:val="2"/>
            <w:shd w:val="clear" w:color="auto" w:fill="auto"/>
          </w:tcPr>
          <w:p w14:paraId="5D965737" w14:textId="77777777" w:rsidR="00D457A4" w:rsidRPr="00E71908" w:rsidRDefault="00D457A4" w:rsidP="00B03CC0">
            <w:pPr>
              <w:rPr>
                <w:rFonts w:cs="Times New Roman"/>
                <w:rtl/>
              </w:rPr>
            </w:pPr>
          </w:p>
          <w:p w14:paraId="6B9CCF24" w14:textId="77777777" w:rsidR="00D457A4" w:rsidRPr="00E71908" w:rsidRDefault="00D457A4" w:rsidP="00B03CC0">
            <w:pPr>
              <w:rPr>
                <w:b/>
                <w:bCs/>
                <w:sz w:val="26"/>
                <w:szCs w:val="26"/>
                <w:rtl/>
              </w:rPr>
            </w:pPr>
            <w:r w:rsidRPr="00E71908">
              <w:rPr>
                <w:rtl/>
              </w:rPr>
              <w:t xml:space="preserve"> </w:t>
            </w:r>
            <w:r w:rsidRPr="00E71908">
              <w:rPr>
                <w:b/>
                <w:bCs/>
                <w:sz w:val="26"/>
                <w:szCs w:val="26"/>
                <w:rtl/>
              </w:rPr>
              <w:t>מדינת ישראל</w:t>
            </w:r>
          </w:p>
          <w:p w14:paraId="79C38313" w14:textId="77777777" w:rsidR="00D457A4" w:rsidRPr="00E71908" w:rsidRDefault="00D457A4" w:rsidP="00B03CC0">
            <w:pPr>
              <w:rPr>
                <w:b/>
                <w:bCs/>
                <w:sz w:val="26"/>
                <w:szCs w:val="26"/>
                <w:rtl/>
              </w:rPr>
            </w:pPr>
          </w:p>
        </w:tc>
      </w:tr>
      <w:bookmarkEnd w:id="1"/>
      <w:tr w:rsidR="00D457A4" w:rsidRPr="00E71908" w14:paraId="7E7AE914" w14:textId="77777777" w:rsidTr="00D457A4">
        <w:tc>
          <w:tcPr>
            <w:tcW w:w="8802" w:type="dxa"/>
            <w:gridSpan w:val="3"/>
            <w:shd w:val="clear" w:color="auto" w:fill="auto"/>
            <w:vAlign w:val="center"/>
          </w:tcPr>
          <w:p w14:paraId="75B5366B" w14:textId="77777777" w:rsidR="00D457A4" w:rsidRPr="00E71908" w:rsidRDefault="00D457A4" w:rsidP="00D457A4">
            <w:pPr>
              <w:jc w:val="center"/>
              <w:rPr>
                <w:rFonts w:ascii="Arial" w:hAnsi="Arial"/>
                <w:b/>
                <w:bCs/>
                <w:sz w:val="26"/>
                <w:szCs w:val="26"/>
                <w:rtl/>
              </w:rPr>
            </w:pPr>
          </w:p>
          <w:p w14:paraId="43F5AB7F" w14:textId="77777777" w:rsidR="00D457A4" w:rsidRPr="00E71908" w:rsidRDefault="00D457A4" w:rsidP="00D457A4">
            <w:pPr>
              <w:jc w:val="center"/>
              <w:rPr>
                <w:rFonts w:ascii="Arial" w:hAnsi="Arial"/>
                <w:b/>
                <w:bCs/>
                <w:sz w:val="26"/>
                <w:szCs w:val="26"/>
                <w:rtl/>
              </w:rPr>
            </w:pPr>
            <w:r w:rsidRPr="00E71908">
              <w:rPr>
                <w:rFonts w:ascii="Arial" w:hAnsi="Arial" w:hint="cs"/>
                <w:b/>
                <w:bCs/>
                <w:sz w:val="26"/>
                <w:szCs w:val="26"/>
                <w:rtl/>
              </w:rPr>
              <w:t>נגד</w:t>
            </w:r>
          </w:p>
          <w:p w14:paraId="42C0EE18" w14:textId="77777777" w:rsidR="00D457A4" w:rsidRPr="00E71908" w:rsidRDefault="00D457A4" w:rsidP="00B03CC0">
            <w:pPr>
              <w:rPr>
                <w:rFonts w:ascii="Arial" w:hAnsi="Arial"/>
                <w:b/>
                <w:bCs/>
                <w:sz w:val="26"/>
                <w:szCs w:val="26"/>
                <w:rtl/>
              </w:rPr>
            </w:pPr>
          </w:p>
        </w:tc>
      </w:tr>
      <w:tr w:rsidR="00D457A4" w:rsidRPr="00E71908" w14:paraId="4D398FAF" w14:textId="77777777" w:rsidTr="00D457A4">
        <w:tc>
          <w:tcPr>
            <w:tcW w:w="2880" w:type="dxa"/>
            <w:shd w:val="clear" w:color="auto" w:fill="auto"/>
          </w:tcPr>
          <w:p w14:paraId="4C4CA6B7" w14:textId="77777777" w:rsidR="00D457A4" w:rsidRPr="00E71908" w:rsidRDefault="00D457A4" w:rsidP="00D457A4">
            <w:pPr>
              <w:ind w:left="26"/>
              <w:rPr>
                <w:b/>
                <w:bCs/>
                <w:sz w:val="26"/>
                <w:szCs w:val="26"/>
              </w:rPr>
            </w:pPr>
            <w:r w:rsidRPr="00E71908">
              <w:rPr>
                <w:rFonts w:hint="cs"/>
                <w:b/>
                <w:bCs/>
                <w:sz w:val="26"/>
                <w:szCs w:val="26"/>
                <w:rtl/>
              </w:rPr>
              <w:t>ה</w:t>
            </w:r>
            <w:r w:rsidRPr="00E71908">
              <w:rPr>
                <w:b/>
                <w:bCs/>
                <w:sz w:val="26"/>
                <w:szCs w:val="26"/>
                <w:rtl/>
              </w:rPr>
              <w:t>נאשם</w:t>
            </w:r>
          </w:p>
        </w:tc>
        <w:tc>
          <w:tcPr>
            <w:tcW w:w="5922" w:type="dxa"/>
            <w:gridSpan w:val="2"/>
            <w:shd w:val="clear" w:color="auto" w:fill="auto"/>
          </w:tcPr>
          <w:p w14:paraId="33A49D76" w14:textId="77777777" w:rsidR="00D457A4" w:rsidRPr="00E71908" w:rsidRDefault="00D457A4" w:rsidP="00B03CC0">
            <w:pPr>
              <w:rPr>
                <w:b/>
                <w:bCs/>
                <w:sz w:val="26"/>
                <w:szCs w:val="26"/>
                <w:rtl/>
              </w:rPr>
            </w:pPr>
            <w:r w:rsidRPr="00E71908">
              <w:rPr>
                <w:rtl/>
              </w:rPr>
              <w:t xml:space="preserve"> </w:t>
            </w:r>
            <w:r w:rsidRPr="00E71908">
              <w:rPr>
                <w:b/>
                <w:bCs/>
                <w:sz w:val="26"/>
                <w:szCs w:val="26"/>
                <w:rtl/>
              </w:rPr>
              <w:t>מהדי ריאן (עצור/אסיר בפיקוח)</w:t>
            </w:r>
            <w:r w:rsidRPr="00E71908">
              <w:rPr>
                <w:rFonts w:cs="Times New Roman"/>
                <w:rtl/>
              </w:rPr>
              <w:t xml:space="preserve"> </w:t>
            </w:r>
            <w:r w:rsidRPr="00E71908">
              <w:rPr>
                <w:b/>
                <w:bCs/>
                <w:sz w:val="26"/>
                <w:szCs w:val="26"/>
                <w:rtl/>
              </w:rPr>
              <w:t>ת"ז</w:t>
            </w:r>
            <w:r w:rsidRPr="00E71908">
              <w:rPr>
                <w:rFonts w:hint="cs"/>
                <w:b/>
                <w:bCs/>
                <w:sz w:val="26"/>
                <w:szCs w:val="26"/>
                <w:rtl/>
              </w:rPr>
              <w:t xml:space="preserve">  </w:t>
            </w:r>
            <w:r w:rsidR="00E71908">
              <w:rPr>
                <w:b/>
                <w:bCs/>
                <w:sz w:val="26"/>
                <w:szCs w:val="26"/>
              </w:rPr>
              <w:t>xxxxxxxxxx</w:t>
            </w:r>
          </w:p>
        </w:tc>
      </w:tr>
    </w:tbl>
    <w:p w14:paraId="344A01EB" w14:textId="77777777" w:rsidR="00D457A4" w:rsidRPr="00E71908" w:rsidRDefault="00D457A4" w:rsidP="00D457A4">
      <w:pPr>
        <w:spacing w:line="360" w:lineRule="auto"/>
        <w:jc w:val="both"/>
        <w:rPr>
          <w:sz w:val="6"/>
          <w:szCs w:val="6"/>
          <w:rtl/>
        </w:rPr>
      </w:pPr>
    </w:p>
    <w:p w14:paraId="163869F1" w14:textId="77777777" w:rsidR="00D457A4" w:rsidRPr="00E71908" w:rsidRDefault="00D457A4" w:rsidP="00D457A4">
      <w:pPr>
        <w:spacing w:line="360" w:lineRule="auto"/>
        <w:jc w:val="both"/>
        <w:rPr>
          <w:sz w:val="6"/>
          <w:szCs w:val="6"/>
          <w:rtl/>
        </w:rPr>
      </w:pPr>
    </w:p>
    <w:p w14:paraId="0D4506AA" w14:textId="77777777" w:rsidR="00D457A4" w:rsidRPr="00E71908" w:rsidRDefault="00D457A4" w:rsidP="00D457A4">
      <w:pPr>
        <w:spacing w:line="360" w:lineRule="auto"/>
        <w:jc w:val="both"/>
        <w:rPr>
          <w:sz w:val="6"/>
          <w:szCs w:val="6"/>
          <w:rtl/>
        </w:rPr>
      </w:pPr>
    </w:p>
    <w:p w14:paraId="2C1D5F82" w14:textId="77777777" w:rsidR="00D457A4" w:rsidRPr="00E71908" w:rsidRDefault="00D457A4" w:rsidP="00D457A4">
      <w:pPr>
        <w:spacing w:line="360" w:lineRule="auto"/>
        <w:jc w:val="both"/>
        <w:rPr>
          <w:sz w:val="6"/>
          <w:szCs w:val="6"/>
          <w:rtl/>
        </w:rPr>
      </w:pPr>
    </w:p>
    <w:p w14:paraId="7DE5B718" w14:textId="77777777" w:rsidR="00D457A4" w:rsidRPr="00E71908" w:rsidRDefault="00D457A4" w:rsidP="00D457A4">
      <w:pPr>
        <w:jc w:val="both"/>
        <w:rPr>
          <w:sz w:val="6"/>
          <w:szCs w:val="6"/>
          <w:rtl/>
        </w:rPr>
      </w:pPr>
    </w:p>
    <w:p w14:paraId="70AE0EC0" w14:textId="77777777" w:rsidR="00D457A4" w:rsidRPr="00E71908" w:rsidRDefault="00D457A4" w:rsidP="00D457A4">
      <w:pPr>
        <w:spacing w:line="360" w:lineRule="auto"/>
        <w:jc w:val="both"/>
        <w:rPr>
          <w:sz w:val="6"/>
          <w:szCs w:val="6"/>
          <w:rtl/>
        </w:rPr>
      </w:pPr>
    </w:p>
    <w:p w14:paraId="6078BF7A" w14:textId="77777777" w:rsidR="00D457A4" w:rsidRPr="00E71908" w:rsidRDefault="00D457A4" w:rsidP="00D457A4">
      <w:pPr>
        <w:spacing w:line="360" w:lineRule="auto"/>
        <w:jc w:val="both"/>
        <w:rPr>
          <w:rtl/>
        </w:rPr>
      </w:pPr>
      <w:bookmarkStart w:id="2" w:name="FirstLawyer"/>
      <w:r w:rsidRPr="00E71908">
        <w:rPr>
          <w:rFonts w:hint="cs"/>
          <w:rtl/>
        </w:rPr>
        <w:t>בשם</w:t>
      </w:r>
      <w:bookmarkEnd w:id="2"/>
      <w:r w:rsidRPr="00E71908">
        <w:rPr>
          <w:rtl/>
        </w:rPr>
        <w:t xml:space="preserve"> המאשימה: עו"ד בני פסקל</w:t>
      </w:r>
    </w:p>
    <w:p w14:paraId="1356A289" w14:textId="77777777" w:rsidR="00D457A4" w:rsidRPr="00E71908" w:rsidRDefault="00D457A4" w:rsidP="00D457A4">
      <w:pPr>
        <w:pStyle w:val="12"/>
        <w:rPr>
          <w:b w:val="0"/>
          <w:bCs w:val="0"/>
          <w:u w:val="none"/>
          <w:rtl/>
        </w:rPr>
      </w:pPr>
      <w:r w:rsidRPr="00E71908">
        <w:rPr>
          <w:rFonts w:hint="cs"/>
          <w:b w:val="0"/>
          <w:bCs w:val="0"/>
          <w:u w:val="none"/>
          <w:rtl/>
        </w:rPr>
        <w:t>בשם</w:t>
      </w:r>
      <w:r w:rsidRPr="00E71908">
        <w:rPr>
          <w:b w:val="0"/>
          <w:bCs w:val="0"/>
          <w:u w:val="none"/>
          <w:rtl/>
        </w:rPr>
        <w:t xml:space="preserve"> הנאשם: עו"ד מיכאל כרמל ועו"ד זיאד ריאן </w:t>
      </w:r>
    </w:p>
    <w:p w14:paraId="7DA614DE" w14:textId="77777777" w:rsidR="00D457A4" w:rsidRPr="00E71908" w:rsidRDefault="00D457A4" w:rsidP="00D457A4">
      <w:pPr>
        <w:rPr>
          <w:sz w:val="26"/>
          <w:szCs w:val="26"/>
          <w:rtl/>
        </w:rPr>
      </w:pPr>
    </w:p>
    <w:p w14:paraId="677B8434" w14:textId="77777777" w:rsidR="00BF2A20" w:rsidRDefault="00BF2A20" w:rsidP="00D457A4">
      <w:pPr>
        <w:rPr>
          <w:sz w:val="26"/>
          <w:szCs w:val="26"/>
          <w:rtl/>
        </w:rPr>
      </w:pPr>
    </w:p>
    <w:p w14:paraId="088BACF7" w14:textId="77777777" w:rsidR="00BF2A20" w:rsidRPr="00BF2A20" w:rsidRDefault="00BF2A20" w:rsidP="00BF2A20">
      <w:pPr>
        <w:spacing w:after="120" w:line="240" w:lineRule="exact"/>
        <w:ind w:left="283" w:hanging="283"/>
        <w:jc w:val="both"/>
        <w:rPr>
          <w:rFonts w:ascii="FrankRuehl" w:hAnsi="FrankRuehl" w:cs="FrankRuehl"/>
          <w:rtl/>
        </w:rPr>
      </w:pPr>
    </w:p>
    <w:p w14:paraId="71772CAF" w14:textId="77777777" w:rsidR="00410BF8" w:rsidRDefault="00410BF8" w:rsidP="00410BF8">
      <w:pPr>
        <w:spacing w:line="360" w:lineRule="auto"/>
        <w:jc w:val="both"/>
        <w:rPr>
          <w:rFonts w:ascii="David" w:hAnsi="David"/>
          <w:sz w:val="26"/>
          <w:szCs w:val="26"/>
          <w:rtl/>
        </w:rPr>
      </w:pPr>
      <w:bookmarkStart w:id="3" w:name="LawTable"/>
      <w:bookmarkEnd w:id="3"/>
    </w:p>
    <w:p w14:paraId="03FA352E" w14:textId="77777777" w:rsidR="00410BF8" w:rsidRPr="00410BF8" w:rsidRDefault="00410BF8" w:rsidP="00410BF8">
      <w:pPr>
        <w:spacing w:before="120" w:after="120" w:line="240" w:lineRule="exact"/>
        <w:ind w:left="283" w:hanging="283"/>
        <w:jc w:val="both"/>
        <w:rPr>
          <w:rFonts w:ascii="FrankRuehl" w:hAnsi="FrankRuehl" w:cs="FrankRuehl"/>
          <w:rtl/>
        </w:rPr>
      </w:pPr>
    </w:p>
    <w:p w14:paraId="30D6E613" w14:textId="77777777" w:rsidR="00410BF8" w:rsidRPr="00410BF8" w:rsidRDefault="00410BF8" w:rsidP="00410BF8">
      <w:pPr>
        <w:spacing w:before="120" w:after="120" w:line="240" w:lineRule="exact"/>
        <w:ind w:left="283" w:hanging="283"/>
        <w:jc w:val="both"/>
        <w:rPr>
          <w:rFonts w:ascii="FrankRuehl" w:hAnsi="FrankRuehl" w:cs="FrankRuehl"/>
          <w:rtl/>
        </w:rPr>
      </w:pPr>
    </w:p>
    <w:p w14:paraId="3F4541DE" w14:textId="77777777" w:rsidR="00410BF8" w:rsidRPr="00410BF8" w:rsidRDefault="00410BF8" w:rsidP="00410BF8">
      <w:pPr>
        <w:spacing w:before="120" w:after="120" w:line="240" w:lineRule="exact"/>
        <w:ind w:left="283" w:hanging="283"/>
        <w:jc w:val="both"/>
        <w:rPr>
          <w:rFonts w:ascii="FrankRuehl" w:hAnsi="FrankRuehl" w:cs="FrankRuehl"/>
          <w:rtl/>
        </w:rPr>
      </w:pPr>
      <w:r w:rsidRPr="00410BF8">
        <w:rPr>
          <w:rFonts w:ascii="FrankRuehl" w:hAnsi="FrankRuehl" w:cs="FrankRuehl"/>
          <w:rtl/>
        </w:rPr>
        <w:t xml:space="preserve">חקיקה שאוזכרה: </w:t>
      </w:r>
    </w:p>
    <w:p w14:paraId="5EFCA8C1" w14:textId="77777777" w:rsidR="00410BF8" w:rsidRPr="00410BF8" w:rsidRDefault="00410BF8" w:rsidP="00410BF8">
      <w:pPr>
        <w:spacing w:before="120" w:after="120" w:line="240" w:lineRule="exact"/>
        <w:ind w:left="283" w:hanging="283"/>
        <w:jc w:val="both"/>
        <w:rPr>
          <w:rFonts w:ascii="FrankRuehl" w:hAnsi="FrankRuehl" w:cs="FrankRuehl"/>
          <w:rtl/>
        </w:rPr>
      </w:pPr>
      <w:hyperlink r:id="rId6" w:history="1">
        <w:r w:rsidRPr="00410BF8">
          <w:rPr>
            <w:rFonts w:ascii="FrankRuehl" w:hAnsi="FrankRuehl" w:cs="FrankRuehl"/>
            <w:color w:val="0000FF"/>
            <w:rtl/>
          </w:rPr>
          <w:t>חוק העונשין, תשל"ז-1977</w:t>
        </w:r>
      </w:hyperlink>
      <w:r w:rsidRPr="00410BF8">
        <w:rPr>
          <w:rFonts w:ascii="FrankRuehl" w:hAnsi="FrankRuehl" w:cs="FrankRuehl"/>
          <w:rtl/>
        </w:rPr>
        <w:t xml:space="preserve">: סע'  </w:t>
      </w:r>
      <w:hyperlink r:id="rId7" w:history="1">
        <w:r w:rsidRPr="00410BF8">
          <w:rPr>
            <w:rFonts w:ascii="FrankRuehl" w:hAnsi="FrankRuehl" w:cs="FrankRuehl"/>
            <w:color w:val="0000FF"/>
            <w:rtl/>
          </w:rPr>
          <w:t>25</w:t>
        </w:r>
      </w:hyperlink>
      <w:r w:rsidRPr="00410BF8">
        <w:rPr>
          <w:rFonts w:ascii="FrankRuehl" w:hAnsi="FrankRuehl" w:cs="FrankRuehl"/>
          <w:rtl/>
        </w:rPr>
        <w:t xml:space="preserve">, </w:t>
      </w:r>
      <w:hyperlink r:id="rId8" w:history="1">
        <w:r w:rsidRPr="00410BF8">
          <w:rPr>
            <w:rFonts w:ascii="FrankRuehl" w:hAnsi="FrankRuehl" w:cs="FrankRuehl"/>
            <w:color w:val="0000FF"/>
            <w:rtl/>
          </w:rPr>
          <w:t>29</w:t>
        </w:r>
      </w:hyperlink>
      <w:r w:rsidRPr="00410BF8">
        <w:rPr>
          <w:rFonts w:ascii="FrankRuehl" w:hAnsi="FrankRuehl" w:cs="FrankRuehl"/>
          <w:rtl/>
        </w:rPr>
        <w:t xml:space="preserve">, </w:t>
      </w:r>
      <w:hyperlink r:id="rId9" w:history="1">
        <w:r w:rsidRPr="00410BF8">
          <w:rPr>
            <w:rFonts w:ascii="FrankRuehl" w:hAnsi="FrankRuehl" w:cs="FrankRuehl"/>
            <w:color w:val="0000FF"/>
            <w:rtl/>
          </w:rPr>
          <w:t>144(ב)</w:t>
        </w:r>
      </w:hyperlink>
      <w:r w:rsidRPr="00410BF8">
        <w:rPr>
          <w:rFonts w:ascii="FrankRuehl" w:hAnsi="FrankRuehl" w:cs="FrankRuehl"/>
          <w:rtl/>
        </w:rPr>
        <w:t xml:space="preserve">, </w:t>
      </w:r>
      <w:hyperlink r:id="rId10" w:history="1">
        <w:r w:rsidRPr="00410BF8">
          <w:rPr>
            <w:rFonts w:ascii="FrankRuehl" w:hAnsi="FrankRuehl" w:cs="FrankRuehl"/>
            <w:color w:val="0000FF"/>
            <w:rtl/>
          </w:rPr>
          <w:t>244</w:t>
        </w:r>
      </w:hyperlink>
      <w:r w:rsidRPr="00410BF8">
        <w:rPr>
          <w:rFonts w:ascii="FrankRuehl" w:hAnsi="FrankRuehl" w:cs="FrankRuehl"/>
          <w:rtl/>
        </w:rPr>
        <w:t xml:space="preserve">, </w:t>
      </w:r>
      <w:hyperlink r:id="rId11" w:history="1">
        <w:r w:rsidRPr="00410BF8">
          <w:rPr>
            <w:rFonts w:ascii="FrankRuehl" w:hAnsi="FrankRuehl" w:cs="FrankRuehl"/>
            <w:color w:val="0000FF"/>
            <w:rtl/>
          </w:rPr>
          <w:t>275</w:t>
        </w:r>
      </w:hyperlink>
      <w:r w:rsidRPr="00410BF8">
        <w:rPr>
          <w:rFonts w:ascii="FrankRuehl" w:hAnsi="FrankRuehl" w:cs="FrankRuehl"/>
          <w:rtl/>
        </w:rPr>
        <w:t xml:space="preserve">, </w:t>
      </w:r>
      <w:hyperlink r:id="rId12" w:history="1">
        <w:r w:rsidRPr="00410BF8">
          <w:rPr>
            <w:rFonts w:ascii="FrankRuehl" w:hAnsi="FrankRuehl" w:cs="FrankRuehl"/>
            <w:color w:val="0000FF"/>
            <w:rtl/>
          </w:rPr>
          <w:t>329(א)(1)</w:t>
        </w:r>
      </w:hyperlink>
      <w:r w:rsidRPr="00410BF8">
        <w:rPr>
          <w:rFonts w:ascii="FrankRuehl" w:hAnsi="FrankRuehl" w:cs="FrankRuehl"/>
          <w:rtl/>
        </w:rPr>
        <w:t xml:space="preserve">, </w:t>
      </w:r>
      <w:hyperlink r:id="rId13" w:history="1">
        <w:r w:rsidRPr="00410BF8">
          <w:rPr>
            <w:rFonts w:ascii="FrankRuehl" w:hAnsi="FrankRuehl" w:cs="FrankRuehl"/>
            <w:color w:val="0000FF"/>
            <w:rtl/>
          </w:rPr>
          <w:t>333</w:t>
        </w:r>
      </w:hyperlink>
      <w:r w:rsidRPr="00410BF8">
        <w:rPr>
          <w:rFonts w:ascii="FrankRuehl" w:hAnsi="FrankRuehl" w:cs="FrankRuehl"/>
          <w:rtl/>
        </w:rPr>
        <w:t xml:space="preserve">, </w:t>
      </w:r>
      <w:hyperlink r:id="rId14" w:history="1">
        <w:r w:rsidRPr="00410BF8">
          <w:rPr>
            <w:rFonts w:ascii="FrankRuehl" w:hAnsi="FrankRuehl" w:cs="FrankRuehl"/>
            <w:color w:val="0000FF"/>
            <w:rtl/>
          </w:rPr>
          <w:t>335(א)(1)</w:t>
        </w:r>
      </w:hyperlink>
    </w:p>
    <w:p w14:paraId="1DE2DC6A" w14:textId="77777777" w:rsidR="00410BF8" w:rsidRPr="00410BF8" w:rsidRDefault="00410BF8" w:rsidP="00410BF8">
      <w:pPr>
        <w:spacing w:line="360" w:lineRule="auto"/>
        <w:jc w:val="both"/>
        <w:rPr>
          <w:rFonts w:ascii="David" w:hAnsi="David"/>
          <w:sz w:val="26"/>
          <w:szCs w:val="26"/>
          <w:rtl/>
        </w:rPr>
      </w:pPr>
      <w:bookmarkStart w:id="4" w:name="LawTable_End"/>
      <w:bookmarkEnd w:id="4"/>
    </w:p>
    <w:p w14:paraId="232EA25B" w14:textId="77777777" w:rsidR="00D457A4" w:rsidRPr="00E71908" w:rsidRDefault="00D457A4" w:rsidP="00D457A4">
      <w:pPr>
        <w:spacing w:line="360" w:lineRule="auto"/>
        <w:jc w:val="both"/>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57A4" w14:paraId="5F1DFD1E" w14:textId="77777777" w:rsidTr="00D457A4">
        <w:trPr>
          <w:trHeight w:val="355"/>
          <w:jc w:val="center"/>
        </w:trPr>
        <w:tc>
          <w:tcPr>
            <w:tcW w:w="8820" w:type="dxa"/>
            <w:tcBorders>
              <w:top w:val="nil"/>
              <w:left w:val="nil"/>
              <w:bottom w:val="nil"/>
              <w:right w:val="nil"/>
            </w:tcBorders>
            <w:shd w:val="clear" w:color="auto" w:fill="auto"/>
          </w:tcPr>
          <w:p w14:paraId="4F173A59" w14:textId="77777777" w:rsidR="00E71908" w:rsidRPr="00E71908" w:rsidRDefault="00E71908" w:rsidP="00E71908">
            <w:pPr>
              <w:jc w:val="center"/>
              <w:rPr>
                <w:rFonts w:ascii="David" w:hAnsi="David"/>
                <w:b/>
                <w:bCs/>
                <w:sz w:val="32"/>
                <w:szCs w:val="32"/>
                <w:u w:val="single"/>
                <w:rtl/>
              </w:rPr>
            </w:pPr>
            <w:bookmarkStart w:id="5" w:name="PsakDin" w:colFirst="0" w:colLast="0"/>
            <w:bookmarkEnd w:id="0"/>
            <w:r w:rsidRPr="00E71908">
              <w:rPr>
                <w:rFonts w:ascii="David" w:hAnsi="David"/>
                <w:b/>
                <w:bCs/>
                <w:sz w:val="32"/>
                <w:szCs w:val="32"/>
                <w:u w:val="single"/>
                <w:rtl/>
              </w:rPr>
              <w:t>גזר דין</w:t>
            </w:r>
          </w:p>
          <w:p w14:paraId="49265880" w14:textId="77777777" w:rsidR="00D457A4" w:rsidRPr="00E71908" w:rsidRDefault="00D457A4" w:rsidP="00E71908">
            <w:pPr>
              <w:jc w:val="center"/>
              <w:rPr>
                <w:rFonts w:ascii="David" w:hAnsi="David"/>
                <w:bCs/>
                <w:sz w:val="32"/>
                <w:szCs w:val="32"/>
                <w:u w:val="single"/>
                <w:rtl/>
              </w:rPr>
            </w:pPr>
          </w:p>
        </w:tc>
      </w:tr>
      <w:bookmarkEnd w:id="5"/>
    </w:tbl>
    <w:p w14:paraId="1C8440D7" w14:textId="77777777" w:rsidR="00D457A4" w:rsidRDefault="00D457A4" w:rsidP="00D457A4">
      <w:pPr>
        <w:spacing w:line="360" w:lineRule="auto"/>
        <w:jc w:val="both"/>
        <w:rPr>
          <w:rFonts w:ascii="David" w:hAnsi="David"/>
          <w:sz w:val="26"/>
          <w:szCs w:val="26"/>
          <w:rtl/>
        </w:rPr>
      </w:pPr>
    </w:p>
    <w:p w14:paraId="18B842E3" w14:textId="77777777" w:rsidR="00D457A4" w:rsidRPr="00FE773B" w:rsidRDefault="00D457A4" w:rsidP="00D457A4">
      <w:pPr>
        <w:spacing w:line="360" w:lineRule="auto"/>
        <w:jc w:val="both"/>
        <w:rPr>
          <w:rFonts w:ascii="David" w:hAnsi="David"/>
          <w:sz w:val="26"/>
          <w:szCs w:val="26"/>
          <w:rtl/>
        </w:rPr>
      </w:pPr>
      <w:r>
        <w:rPr>
          <w:rFonts w:ascii="David" w:hAnsi="David" w:hint="cs"/>
          <w:sz w:val="26"/>
          <w:szCs w:val="26"/>
          <w:rtl/>
        </w:rPr>
        <w:t>1</w:t>
      </w:r>
      <w:r w:rsidRPr="00FE773B">
        <w:rPr>
          <w:rFonts w:ascii="David" w:hAnsi="David" w:hint="cs"/>
          <w:sz w:val="26"/>
          <w:szCs w:val="26"/>
          <w:rtl/>
        </w:rPr>
        <w:t>.</w:t>
      </w:r>
      <w:r>
        <w:rPr>
          <w:rFonts w:ascii="David" w:hAnsi="David" w:hint="cs"/>
          <w:sz w:val="26"/>
          <w:szCs w:val="26"/>
          <w:rtl/>
        </w:rPr>
        <w:tab/>
      </w:r>
      <w:bookmarkStart w:id="6" w:name="ABSTRACT_START"/>
      <w:bookmarkEnd w:id="6"/>
      <w:r w:rsidRPr="00FE773B">
        <w:rPr>
          <w:rFonts w:ascii="David" w:hAnsi="David" w:hint="cs"/>
          <w:sz w:val="26"/>
          <w:szCs w:val="26"/>
          <w:rtl/>
        </w:rPr>
        <w:t>הנאשם הודה במסגרת הסדר טיעון שלא כלל הסדר אודות העונש בעבירות הבאות:</w:t>
      </w:r>
    </w:p>
    <w:p w14:paraId="6FEABC94"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עבירות בנשק (נשיאה והובלה) לפי </w:t>
      </w:r>
      <w:hyperlink r:id="rId15"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144(ב)</w:t>
        </w:r>
      </w:hyperlink>
      <w:r>
        <w:rPr>
          <w:rFonts w:ascii="David" w:hAnsi="David" w:hint="cs"/>
          <w:sz w:val="26"/>
          <w:szCs w:val="26"/>
          <w:rtl/>
        </w:rPr>
        <w:t xml:space="preserve"> רישא + סיפא + סעיף </w:t>
      </w:r>
      <w:hyperlink r:id="rId16" w:history="1">
        <w:r w:rsidR="00BF2A20" w:rsidRPr="00BF2A20">
          <w:rPr>
            <w:rStyle w:val="Hyperlink"/>
            <w:rFonts w:ascii="David" w:hAnsi="David"/>
            <w:sz w:val="26"/>
            <w:szCs w:val="26"/>
            <w:rtl/>
          </w:rPr>
          <w:t>29</w:t>
        </w:r>
      </w:hyperlink>
      <w:r>
        <w:rPr>
          <w:rFonts w:ascii="David" w:hAnsi="David" w:hint="cs"/>
          <w:sz w:val="26"/>
          <w:szCs w:val="26"/>
          <w:rtl/>
        </w:rPr>
        <w:t xml:space="preserve"> ל</w:t>
      </w:r>
      <w:hyperlink r:id="rId17" w:history="1">
        <w:r w:rsidR="00E71908" w:rsidRPr="00E71908">
          <w:rPr>
            <w:rFonts w:ascii="David" w:hAnsi="David"/>
            <w:color w:val="0000FF"/>
            <w:sz w:val="26"/>
            <w:szCs w:val="26"/>
            <w:u w:val="single"/>
            <w:rtl/>
          </w:rPr>
          <w:t>חוק העונשין</w:t>
        </w:r>
      </w:hyperlink>
      <w:r>
        <w:rPr>
          <w:rFonts w:ascii="David" w:hAnsi="David" w:hint="cs"/>
          <w:sz w:val="26"/>
          <w:szCs w:val="26"/>
          <w:rtl/>
        </w:rPr>
        <w:t>, התשל"ז-1977 (להלן: "</w:t>
      </w:r>
      <w:r w:rsidRPr="00196BBA">
        <w:rPr>
          <w:rFonts w:ascii="David" w:hAnsi="David" w:hint="cs"/>
          <w:b/>
          <w:bCs/>
          <w:sz w:val="26"/>
          <w:szCs w:val="26"/>
          <w:rtl/>
        </w:rPr>
        <w:t>חוק</w:t>
      </w:r>
      <w:r>
        <w:rPr>
          <w:rFonts w:ascii="David" w:hAnsi="David" w:hint="cs"/>
          <w:b/>
          <w:bCs/>
          <w:sz w:val="26"/>
          <w:szCs w:val="26"/>
          <w:rtl/>
        </w:rPr>
        <w:t xml:space="preserve"> העונשין</w:t>
      </w:r>
      <w:r>
        <w:rPr>
          <w:rFonts w:ascii="David" w:hAnsi="David" w:hint="cs"/>
          <w:sz w:val="26"/>
          <w:szCs w:val="26"/>
          <w:rtl/>
        </w:rPr>
        <w:t xml:space="preserve">"); ניסיון לחבלה חמורה בנסיבות מחמירות לפי </w:t>
      </w:r>
      <w:hyperlink r:id="rId18" w:history="1">
        <w:r w:rsidR="00BF2A20" w:rsidRPr="00BF2A20">
          <w:rPr>
            <w:rStyle w:val="Hyperlink"/>
            <w:rFonts w:ascii="David" w:hAnsi="David" w:hint="eastAsia"/>
            <w:sz w:val="26"/>
            <w:szCs w:val="26"/>
            <w:rtl/>
          </w:rPr>
          <w:t>סעיפים</w:t>
        </w:r>
        <w:r w:rsidR="00BF2A20" w:rsidRPr="00BF2A20">
          <w:rPr>
            <w:rStyle w:val="Hyperlink"/>
            <w:rFonts w:ascii="David" w:hAnsi="David"/>
            <w:sz w:val="26"/>
            <w:szCs w:val="26"/>
            <w:rtl/>
          </w:rPr>
          <w:t xml:space="preserve"> 333</w:t>
        </w:r>
      </w:hyperlink>
      <w:r>
        <w:rPr>
          <w:rFonts w:ascii="David" w:hAnsi="David" w:hint="cs"/>
          <w:sz w:val="26"/>
          <w:szCs w:val="26"/>
          <w:rtl/>
        </w:rPr>
        <w:t xml:space="preserve"> + </w:t>
      </w:r>
      <w:hyperlink r:id="rId19" w:history="1">
        <w:r w:rsidR="00BF2A20" w:rsidRPr="00BF2A20">
          <w:rPr>
            <w:rStyle w:val="Hyperlink"/>
            <w:rFonts w:ascii="David" w:hAnsi="David"/>
            <w:sz w:val="26"/>
            <w:szCs w:val="26"/>
            <w:rtl/>
          </w:rPr>
          <w:t>335(א)(1)</w:t>
        </w:r>
      </w:hyperlink>
      <w:r>
        <w:rPr>
          <w:rFonts w:ascii="David" w:hAnsi="David" w:hint="cs"/>
          <w:sz w:val="26"/>
          <w:szCs w:val="26"/>
          <w:rtl/>
        </w:rPr>
        <w:t xml:space="preserve"> + סעיף </w:t>
      </w:r>
      <w:hyperlink r:id="rId20" w:history="1">
        <w:r w:rsidR="00BF2A20" w:rsidRPr="00BF2A20">
          <w:rPr>
            <w:rStyle w:val="Hyperlink"/>
            <w:rFonts w:ascii="David" w:hAnsi="David"/>
            <w:sz w:val="26"/>
            <w:szCs w:val="26"/>
            <w:rtl/>
          </w:rPr>
          <w:t>25</w:t>
        </w:r>
      </w:hyperlink>
      <w:r>
        <w:rPr>
          <w:rFonts w:ascii="David" w:hAnsi="David" w:hint="cs"/>
          <w:sz w:val="26"/>
          <w:szCs w:val="26"/>
          <w:rtl/>
        </w:rPr>
        <w:t xml:space="preserve"> לחוק העונשין; שיבוש מהלכי משפט לפי </w:t>
      </w:r>
      <w:hyperlink r:id="rId21"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244</w:t>
        </w:r>
      </w:hyperlink>
      <w:r>
        <w:rPr>
          <w:rFonts w:ascii="David" w:hAnsi="David" w:hint="cs"/>
          <w:sz w:val="26"/>
          <w:szCs w:val="26"/>
          <w:rtl/>
        </w:rPr>
        <w:t xml:space="preserve"> לחוק העונשין והפרעה לשוטר בשעת מילוי תפקידו לפי </w:t>
      </w:r>
      <w:hyperlink r:id="rId22"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275</w:t>
        </w:r>
      </w:hyperlink>
      <w:r>
        <w:rPr>
          <w:rFonts w:ascii="David" w:hAnsi="David" w:hint="cs"/>
          <w:sz w:val="26"/>
          <w:szCs w:val="26"/>
          <w:rtl/>
        </w:rPr>
        <w:t xml:space="preserve"> לחוק העונשין. </w:t>
      </w:r>
    </w:p>
    <w:p w14:paraId="1B5169DC" w14:textId="77777777" w:rsidR="00D457A4" w:rsidRPr="00FE773B" w:rsidRDefault="00D457A4" w:rsidP="00D457A4">
      <w:pPr>
        <w:jc w:val="both"/>
        <w:rPr>
          <w:rFonts w:ascii="David" w:hAnsi="David"/>
          <w:sz w:val="10"/>
          <w:szCs w:val="10"/>
          <w:rtl/>
        </w:rPr>
      </w:pPr>
      <w:bookmarkStart w:id="7" w:name="ABSTRACT_END"/>
      <w:bookmarkEnd w:id="7"/>
    </w:p>
    <w:p w14:paraId="1D56EC93"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ab/>
        <w:t>על פי כתב האישום המתוקן, העבירות בוצעו על רקע סכסוך בין משפחת הנאשם למשפחת עכרייה בכפר כאבול בתקופה הרלוונטית לכתב האישום.</w:t>
      </w:r>
    </w:p>
    <w:p w14:paraId="2ABE7A1A" w14:textId="77777777" w:rsidR="00D457A4" w:rsidRDefault="00D457A4" w:rsidP="00D457A4">
      <w:pPr>
        <w:jc w:val="both"/>
        <w:rPr>
          <w:rFonts w:ascii="David" w:hAnsi="David"/>
          <w:sz w:val="26"/>
          <w:szCs w:val="26"/>
          <w:rtl/>
        </w:rPr>
      </w:pPr>
    </w:p>
    <w:p w14:paraId="685F01D9" w14:textId="77777777" w:rsidR="00D457A4" w:rsidRPr="00C62C08" w:rsidRDefault="00D457A4" w:rsidP="00D457A4">
      <w:pPr>
        <w:spacing w:line="360" w:lineRule="auto"/>
        <w:ind w:left="720" w:hanging="720"/>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ביום 14.11.20 בסמוך לשעה 00:30 בזמן שהמתלונן - אחד מבני משפחת עכרייה - ישב עם בני משפחתו על גג ביתו בכאבול הגיעו הנאשם ואחר בסמוך לבניין כשהם נושאים אקדח חצי אוטומטי מסוג זיג-זאואר ובתוכו מחסנית טעונה בכדורים. הנאשם והאחר עמדו מול בניין המשפחה וירו לעברו 13 קליעים שחלקם פגעו בבית וקליע אחד חדר לתוך חדר השירותים בבית, בזמן שאשתו של המתלונן שהתה בו. לאחר הירי עזבו הנאשם והאחר את המקום כשהנאשם נושא על גופו את האקדח והלכו לכיוון ביתו של אנואר ריאן. בדרך נתקלו ברכב סיור של שני שוטרים שהגיעו לאזור בעקבות קולות הירי והבחינו בנאשם ובמספר אנשים נוספים שהיו ברחוב. הנאשם פתח בריצה ואחד השוטרים רדף אחריו. הנאשם השליך את האקדח על מנת למנוע את מציאתו ותפיסתו. האקדח נתפס זמן קצר לאחר מכן בתוך חצר בית בסמוך לנאשם על ידי אחד השוטרים. </w:t>
      </w:r>
    </w:p>
    <w:p w14:paraId="1FD6C9D6" w14:textId="77777777" w:rsidR="00D457A4" w:rsidRDefault="00D457A4" w:rsidP="00D457A4">
      <w:pPr>
        <w:spacing w:line="360" w:lineRule="auto"/>
        <w:jc w:val="both"/>
        <w:rPr>
          <w:rFonts w:ascii="David" w:hAnsi="David"/>
          <w:b/>
          <w:bCs/>
          <w:sz w:val="26"/>
          <w:szCs w:val="26"/>
          <w:u w:val="single"/>
          <w:rtl/>
        </w:rPr>
      </w:pPr>
    </w:p>
    <w:p w14:paraId="0E09CEB8" w14:textId="77777777" w:rsidR="00D457A4" w:rsidRDefault="00D457A4" w:rsidP="00D457A4">
      <w:pPr>
        <w:spacing w:line="360" w:lineRule="auto"/>
        <w:jc w:val="both"/>
        <w:rPr>
          <w:rFonts w:ascii="David" w:hAnsi="David"/>
          <w:sz w:val="26"/>
          <w:szCs w:val="26"/>
          <w:rtl/>
        </w:rPr>
      </w:pPr>
      <w:r>
        <w:rPr>
          <w:rFonts w:ascii="David" w:hAnsi="David" w:hint="cs"/>
          <w:b/>
          <w:bCs/>
          <w:sz w:val="26"/>
          <w:szCs w:val="26"/>
          <w:u w:val="single"/>
          <w:rtl/>
        </w:rPr>
        <w:t>טיעוני המדינה</w:t>
      </w:r>
    </w:p>
    <w:p w14:paraId="294C1042" w14:textId="77777777" w:rsidR="00D457A4" w:rsidRDefault="00D457A4" w:rsidP="00D457A4">
      <w:pPr>
        <w:jc w:val="both"/>
        <w:rPr>
          <w:rFonts w:ascii="David" w:hAnsi="David"/>
          <w:sz w:val="26"/>
          <w:szCs w:val="26"/>
          <w:rtl/>
        </w:rPr>
      </w:pPr>
    </w:p>
    <w:p w14:paraId="66187C48" w14:textId="77777777" w:rsidR="00D457A4" w:rsidRPr="00650344" w:rsidRDefault="00D457A4" w:rsidP="00D457A4">
      <w:pPr>
        <w:spacing w:line="360" w:lineRule="auto"/>
        <w:ind w:left="720" w:hanging="720"/>
        <w:jc w:val="both"/>
        <w:rPr>
          <w:rFonts w:ascii="David" w:hAnsi="David"/>
          <w:b/>
          <w:bCs/>
          <w:sz w:val="26"/>
          <w:szCs w:val="26"/>
          <w:rtl/>
        </w:rPr>
      </w:pPr>
      <w:r>
        <w:rPr>
          <w:rFonts w:ascii="David" w:hAnsi="David" w:hint="cs"/>
          <w:sz w:val="26"/>
          <w:szCs w:val="26"/>
          <w:rtl/>
        </w:rPr>
        <w:t>3.</w:t>
      </w:r>
      <w:r>
        <w:rPr>
          <w:rFonts w:ascii="David" w:hAnsi="David" w:hint="cs"/>
          <w:sz w:val="26"/>
          <w:szCs w:val="26"/>
          <w:rtl/>
        </w:rPr>
        <w:tab/>
        <w:t>המדינה הדגישה את חומרת עבירות הנשק והצורך להשית בגינן ענישה מחמירה (</w:t>
      </w:r>
      <w:hyperlink r:id="rId23" w:history="1">
        <w:r w:rsidR="00E71908" w:rsidRPr="00E71908">
          <w:rPr>
            <w:rFonts w:ascii="David" w:hAnsi="David"/>
            <w:color w:val="0000FF"/>
            <w:sz w:val="26"/>
            <w:szCs w:val="26"/>
            <w:u w:val="single"/>
            <w:rtl/>
          </w:rPr>
          <w:t>ע"פ 4038/14</w:t>
        </w:r>
      </w:hyperlink>
      <w:r>
        <w:rPr>
          <w:rFonts w:ascii="David" w:hAnsi="David" w:hint="cs"/>
          <w:sz w:val="26"/>
          <w:szCs w:val="26"/>
          <w:rtl/>
        </w:rPr>
        <w:t xml:space="preserve"> </w:t>
      </w:r>
      <w:r>
        <w:rPr>
          <w:rFonts w:ascii="David" w:hAnsi="David" w:hint="cs"/>
          <w:b/>
          <w:bCs/>
          <w:sz w:val="26"/>
          <w:szCs w:val="26"/>
          <w:rtl/>
        </w:rPr>
        <w:t xml:space="preserve">מהראן אבו עאבד נ' מ"י </w:t>
      </w:r>
      <w:r>
        <w:rPr>
          <w:rFonts w:ascii="David" w:hAnsi="David" w:hint="cs"/>
          <w:sz w:val="26"/>
          <w:szCs w:val="26"/>
          <w:rtl/>
        </w:rPr>
        <w:t>15.7.14; ו</w:t>
      </w:r>
      <w:hyperlink r:id="rId24" w:history="1">
        <w:r w:rsidR="00E71908" w:rsidRPr="00E71908">
          <w:rPr>
            <w:rFonts w:ascii="David" w:hAnsi="David"/>
            <w:color w:val="0000FF"/>
            <w:sz w:val="26"/>
            <w:szCs w:val="26"/>
            <w:u w:val="single"/>
            <w:rtl/>
          </w:rPr>
          <w:t>ע"פ 2368/11</w:t>
        </w:r>
      </w:hyperlink>
      <w:r>
        <w:rPr>
          <w:rFonts w:ascii="David" w:hAnsi="David" w:hint="cs"/>
          <w:sz w:val="26"/>
          <w:szCs w:val="26"/>
          <w:rtl/>
        </w:rPr>
        <w:t xml:space="preserve"> </w:t>
      </w:r>
      <w:r>
        <w:rPr>
          <w:rFonts w:ascii="David" w:hAnsi="David" w:hint="cs"/>
          <w:b/>
          <w:bCs/>
          <w:sz w:val="26"/>
          <w:szCs w:val="26"/>
          <w:rtl/>
        </w:rPr>
        <w:t>ג'מאל נפאע</w:t>
      </w:r>
      <w:r>
        <w:rPr>
          <w:rFonts w:ascii="David" w:hAnsi="David" w:hint="cs"/>
          <w:sz w:val="26"/>
          <w:szCs w:val="26"/>
          <w:rtl/>
        </w:rPr>
        <w:t xml:space="preserve"> </w:t>
      </w:r>
      <w:r w:rsidRPr="000E25BE">
        <w:rPr>
          <w:rFonts w:ascii="David" w:hAnsi="David" w:hint="cs"/>
          <w:b/>
          <w:bCs/>
          <w:sz w:val="26"/>
          <w:szCs w:val="26"/>
          <w:rtl/>
        </w:rPr>
        <w:t>נ' מ"י</w:t>
      </w:r>
      <w:r>
        <w:rPr>
          <w:rFonts w:ascii="David" w:hAnsi="David" w:hint="cs"/>
          <w:sz w:val="26"/>
          <w:szCs w:val="26"/>
          <w:rtl/>
        </w:rPr>
        <w:t xml:space="preserve"> (4.12.11)). </w:t>
      </w:r>
    </w:p>
    <w:p w14:paraId="5464BADC" w14:textId="77777777" w:rsidR="00D457A4" w:rsidRDefault="00D457A4" w:rsidP="00D457A4">
      <w:pPr>
        <w:jc w:val="both"/>
        <w:rPr>
          <w:rFonts w:ascii="David" w:hAnsi="David"/>
          <w:sz w:val="26"/>
          <w:szCs w:val="26"/>
          <w:rtl/>
        </w:rPr>
      </w:pPr>
    </w:p>
    <w:p w14:paraId="3761688F"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עוד שקיימת מגמת החמרה בענישה נוכח התפשטות תופעת החזקת הנשק הבלתי חוקי בחברה בכלל ובמגזר הערבי בפרט ונוכח העליה במקרי האלימות המבוצעים באמצעות נשק בלתי חוקי (</w:t>
      </w:r>
      <w:hyperlink r:id="rId25" w:history="1">
        <w:r w:rsidR="00E71908" w:rsidRPr="00E71908">
          <w:rPr>
            <w:rFonts w:ascii="David" w:hAnsi="David"/>
            <w:color w:val="0000FF"/>
            <w:sz w:val="26"/>
            <w:szCs w:val="26"/>
            <w:u w:val="single"/>
            <w:rtl/>
          </w:rPr>
          <w:t>ע"פ 4439/19</w:t>
        </w:r>
      </w:hyperlink>
      <w:r>
        <w:rPr>
          <w:rFonts w:ascii="David" w:hAnsi="David" w:hint="cs"/>
          <w:sz w:val="26"/>
          <w:szCs w:val="26"/>
          <w:rtl/>
        </w:rPr>
        <w:t xml:space="preserve"> </w:t>
      </w:r>
      <w:r>
        <w:rPr>
          <w:rFonts w:ascii="David" w:hAnsi="David" w:hint="cs"/>
          <w:b/>
          <w:bCs/>
          <w:sz w:val="26"/>
          <w:szCs w:val="26"/>
          <w:rtl/>
        </w:rPr>
        <w:t>מדינת ישראל נ' סובח</w:t>
      </w:r>
      <w:r>
        <w:rPr>
          <w:rFonts w:ascii="David" w:hAnsi="David" w:hint="cs"/>
          <w:sz w:val="26"/>
          <w:szCs w:val="26"/>
          <w:rtl/>
        </w:rPr>
        <w:t xml:space="preserve"> (5.11.19)). </w:t>
      </w:r>
    </w:p>
    <w:p w14:paraId="2EF4F93C" w14:textId="77777777" w:rsidR="00D457A4" w:rsidRDefault="00D457A4" w:rsidP="00D457A4">
      <w:pPr>
        <w:spacing w:line="360" w:lineRule="auto"/>
        <w:rPr>
          <w:rFonts w:ascii="David" w:hAnsi="David"/>
          <w:sz w:val="26"/>
          <w:szCs w:val="26"/>
          <w:rtl/>
        </w:rPr>
      </w:pPr>
    </w:p>
    <w:p w14:paraId="070A50FC" w14:textId="77777777" w:rsidR="00D457A4" w:rsidRDefault="00D457A4" w:rsidP="00D457A4">
      <w:pPr>
        <w:spacing w:line="360" w:lineRule="auto"/>
        <w:ind w:left="720"/>
        <w:rPr>
          <w:rFonts w:ascii="David" w:hAnsi="David"/>
          <w:sz w:val="26"/>
          <w:szCs w:val="26"/>
          <w:rtl/>
        </w:rPr>
      </w:pPr>
      <w:r>
        <w:rPr>
          <w:rFonts w:ascii="David" w:hAnsi="David" w:hint="cs"/>
          <w:sz w:val="26"/>
          <w:szCs w:val="26"/>
          <w:rtl/>
        </w:rPr>
        <w:t xml:space="preserve">נטען עוד שעיקרון ההלימה מחייב ענישה מכבידה של מאסר בפועל ורכיבי ענישה נוספים. </w:t>
      </w:r>
    </w:p>
    <w:p w14:paraId="31D19363" w14:textId="77777777" w:rsidR="00D457A4" w:rsidRDefault="00D457A4" w:rsidP="00D457A4">
      <w:pPr>
        <w:rPr>
          <w:rFonts w:ascii="David" w:hAnsi="David"/>
          <w:sz w:val="26"/>
          <w:szCs w:val="26"/>
          <w:rtl/>
        </w:rPr>
      </w:pPr>
    </w:p>
    <w:p w14:paraId="50100D83" w14:textId="77777777" w:rsidR="00D457A4" w:rsidRPr="00F71CA7" w:rsidRDefault="00D457A4" w:rsidP="00D457A4">
      <w:pPr>
        <w:spacing w:line="360" w:lineRule="auto"/>
        <w:ind w:left="720"/>
        <w:rPr>
          <w:rFonts w:ascii="David" w:hAnsi="David"/>
          <w:sz w:val="26"/>
          <w:szCs w:val="26"/>
          <w:rtl/>
        </w:rPr>
      </w:pPr>
      <w:r>
        <w:rPr>
          <w:rFonts w:ascii="David" w:hAnsi="David" w:hint="cs"/>
          <w:sz w:val="26"/>
          <w:szCs w:val="26"/>
          <w:rtl/>
        </w:rPr>
        <w:t xml:space="preserve">המדינה טענה שמדובר באירוע אחד וכי יש לקבוע בגינו מתחם ענישה שבין 5-7 שנות מאסר בפועל. </w:t>
      </w:r>
    </w:p>
    <w:p w14:paraId="12E33E8C" w14:textId="77777777" w:rsidR="00D457A4" w:rsidRDefault="00D457A4" w:rsidP="00D457A4">
      <w:pPr>
        <w:jc w:val="both"/>
        <w:rPr>
          <w:rFonts w:ascii="David" w:hAnsi="David"/>
          <w:sz w:val="26"/>
          <w:szCs w:val="26"/>
          <w:rtl/>
        </w:rPr>
      </w:pPr>
    </w:p>
    <w:p w14:paraId="32E3402D"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נטען שנפגעו הערכים החברתיים של שלום הציבור וביטחונו, הגנה על שלמות הגוף ועל ביטחון הציבור ושמירה על הסדר התקין במדינה. </w:t>
      </w:r>
    </w:p>
    <w:p w14:paraId="5321C47B" w14:textId="77777777" w:rsidR="00D457A4" w:rsidRDefault="00D457A4" w:rsidP="00D457A4">
      <w:pPr>
        <w:jc w:val="both"/>
        <w:rPr>
          <w:rFonts w:ascii="David" w:hAnsi="David"/>
          <w:sz w:val="26"/>
          <w:szCs w:val="26"/>
          <w:rtl/>
        </w:rPr>
      </w:pPr>
    </w:p>
    <w:p w14:paraId="517B7D1F"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נטען כי התופעה של אנשים ללא עבר פלילי נוטלים נשק לידיים הינה תופעה חמורה במיוחד ומצביעה על כך שהשימוש בנשק הפך לבעיה אקוטית במגזר הערבי. </w:t>
      </w:r>
    </w:p>
    <w:p w14:paraId="097BF152" w14:textId="77777777" w:rsidR="00D457A4" w:rsidRDefault="00D457A4" w:rsidP="00D457A4">
      <w:pPr>
        <w:spacing w:line="360" w:lineRule="auto"/>
        <w:jc w:val="both"/>
        <w:rPr>
          <w:rFonts w:ascii="David" w:hAnsi="David"/>
          <w:sz w:val="26"/>
          <w:szCs w:val="26"/>
          <w:rtl/>
        </w:rPr>
      </w:pPr>
    </w:p>
    <w:p w14:paraId="72E58F35" w14:textId="77777777" w:rsidR="00D457A4" w:rsidRDefault="00D457A4" w:rsidP="00D457A4">
      <w:pPr>
        <w:spacing w:line="360" w:lineRule="auto"/>
        <w:jc w:val="both"/>
        <w:rPr>
          <w:rFonts w:ascii="David" w:hAnsi="David"/>
          <w:sz w:val="26"/>
          <w:szCs w:val="26"/>
          <w:rtl/>
        </w:rPr>
      </w:pPr>
      <w:r w:rsidRPr="00FE773B">
        <w:rPr>
          <w:rFonts w:ascii="David" w:hAnsi="David" w:hint="cs"/>
          <w:sz w:val="26"/>
          <w:szCs w:val="26"/>
          <w:rtl/>
        </w:rPr>
        <w:t>4.</w:t>
      </w:r>
      <w:r w:rsidRPr="00FE773B">
        <w:rPr>
          <w:rFonts w:ascii="David" w:hAnsi="David" w:hint="cs"/>
          <w:sz w:val="26"/>
          <w:szCs w:val="26"/>
          <w:rtl/>
        </w:rPr>
        <w:tab/>
      </w:r>
      <w:r w:rsidRPr="00A10468">
        <w:rPr>
          <w:rFonts w:ascii="David" w:hAnsi="David" w:hint="cs"/>
          <w:sz w:val="26"/>
          <w:szCs w:val="26"/>
          <w:u w:val="single"/>
          <w:rtl/>
        </w:rPr>
        <w:t>אוזכרה הפסיקה הבאה</w:t>
      </w:r>
      <w:r>
        <w:rPr>
          <w:rFonts w:ascii="David" w:hAnsi="David" w:hint="cs"/>
          <w:sz w:val="26"/>
          <w:szCs w:val="26"/>
          <w:rtl/>
        </w:rPr>
        <w:t>:</w:t>
      </w:r>
    </w:p>
    <w:p w14:paraId="6BB3DBD6" w14:textId="77777777" w:rsidR="00D457A4" w:rsidRDefault="00D457A4" w:rsidP="00D457A4">
      <w:pPr>
        <w:jc w:val="both"/>
        <w:rPr>
          <w:rFonts w:ascii="David" w:hAnsi="David"/>
          <w:sz w:val="26"/>
          <w:szCs w:val="26"/>
          <w:rtl/>
        </w:rPr>
      </w:pPr>
    </w:p>
    <w:p w14:paraId="6E059D0C" w14:textId="77777777" w:rsidR="00D457A4" w:rsidRDefault="00E71908" w:rsidP="00D457A4">
      <w:pPr>
        <w:spacing w:line="360" w:lineRule="auto"/>
        <w:ind w:left="720"/>
        <w:jc w:val="both"/>
        <w:rPr>
          <w:rFonts w:ascii="David" w:hAnsi="David"/>
          <w:sz w:val="26"/>
          <w:szCs w:val="26"/>
          <w:rtl/>
        </w:rPr>
      </w:pPr>
      <w:hyperlink r:id="rId26" w:history="1">
        <w:r w:rsidRPr="00E71908">
          <w:rPr>
            <w:rFonts w:ascii="David" w:hAnsi="David"/>
            <w:color w:val="0000FF"/>
            <w:sz w:val="26"/>
            <w:szCs w:val="26"/>
            <w:u w:val="single"/>
            <w:rtl/>
          </w:rPr>
          <w:t>ע"פ 3877/16</w:t>
        </w:r>
      </w:hyperlink>
      <w:r w:rsidR="00D457A4">
        <w:rPr>
          <w:rFonts w:ascii="David" w:hAnsi="David" w:hint="cs"/>
          <w:sz w:val="26"/>
          <w:szCs w:val="26"/>
          <w:rtl/>
        </w:rPr>
        <w:t xml:space="preserve"> </w:t>
      </w:r>
      <w:r w:rsidR="00D457A4">
        <w:rPr>
          <w:rFonts w:ascii="David" w:hAnsi="David" w:hint="cs"/>
          <w:b/>
          <w:bCs/>
          <w:sz w:val="26"/>
          <w:szCs w:val="26"/>
          <w:rtl/>
        </w:rPr>
        <w:t>מדינת ישראל נ' ג'באלי</w:t>
      </w:r>
      <w:r w:rsidR="00D457A4">
        <w:rPr>
          <w:rFonts w:ascii="David" w:hAnsi="David" w:hint="cs"/>
          <w:sz w:val="26"/>
          <w:szCs w:val="26"/>
          <w:rtl/>
        </w:rPr>
        <w:t xml:space="preserve"> (17.11.16); שם קבעה הערכאה הדיונית מתחם ענישה שבין 2-4 שנים והטילה 34 חודשי מאסר בפועל בגין נשיאת אקדח טעון ומחסנית לשם יישוב סכסוך. הערעור נדחה.</w:t>
      </w:r>
    </w:p>
    <w:p w14:paraId="6866BC62" w14:textId="77777777" w:rsidR="00D457A4" w:rsidRDefault="00D457A4" w:rsidP="00D457A4">
      <w:pPr>
        <w:jc w:val="both"/>
        <w:rPr>
          <w:rFonts w:ascii="David" w:hAnsi="David"/>
          <w:sz w:val="26"/>
          <w:szCs w:val="26"/>
          <w:rtl/>
        </w:rPr>
      </w:pPr>
    </w:p>
    <w:p w14:paraId="4855F283" w14:textId="77777777" w:rsidR="00D457A4" w:rsidRDefault="00E71908" w:rsidP="00D457A4">
      <w:pPr>
        <w:spacing w:line="360" w:lineRule="auto"/>
        <w:ind w:left="720"/>
        <w:jc w:val="both"/>
        <w:rPr>
          <w:rFonts w:ascii="David" w:hAnsi="David"/>
          <w:sz w:val="26"/>
          <w:szCs w:val="26"/>
          <w:rtl/>
        </w:rPr>
      </w:pPr>
      <w:hyperlink r:id="rId27" w:history="1">
        <w:r w:rsidRPr="00E71908">
          <w:rPr>
            <w:rFonts w:ascii="David" w:hAnsi="David"/>
            <w:color w:val="0000FF"/>
            <w:sz w:val="26"/>
            <w:szCs w:val="26"/>
            <w:u w:val="single"/>
            <w:rtl/>
          </w:rPr>
          <w:t>ע"פ 1509/20</w:t>
        </w:r>
      </w:hyperlink>
      <w:r w:rsidR="00D457A4">
        <w:rPr>
          <w:rFonts w:ascii="David" w:hAnsi="David" w:hint="cs"/>
          <w:sz w:val="26"/>
          <w:szCs w:val="26"/>
          <w:rtl/>
        </w:rPr>
        <w:t xml:space="preserve"> </w:t>
      </w:r>
      <w:r w:rsidR="00D457A4">
        <w:rPr>
          <w:rFonts w:ascii="David" w:hAnsi="David" w:hint="cs"/>
          <w:b/>
          <w:bCs/>
          <w:sz w:val="26"/>
          <w:szCs w:val="26"/>
          <w:rtl/>
        </w:rPr>
        <w:t>מדינת ישראל נ' ראפאת נבארי</w:t>
      </w:r>
      <w:r w:rsidR="00D457A4">
        <w:rPr>
          <w:rFonts w:ascii="David" w:hAnsi="David" w:hint="cs"/>
          <w:sz w:val="26"/>
          <w:szCs w:val="26"/>
          <w:rtl/>
        </w:rPr>
        <w:t xml:space="preserve"> (2.7.20); התקבל ערעור מצד המדינה והוחמר עונשו של נאשם שבשעת לילה ירה שני כדורים מתת מקלע מאולתר באזור מגורים בעיר לוד. העונש הוחמר מ-27 חודשי מאסר ל-36 חודשי מאסר כאשר נקבע מתחם שבין 20-50 חודשי מאסר.</w:t>
      </w:r>
    </w:p>
    <w:p w14:paraId="24456F8C" w14:textId="77777777" w:rsidR="00D457A4" w:rsidRDefault="00D457A4" w:rsidP="00D457A4">
      <w:pPr>
        <w:spacing w:line="360" w:lineRule="auto"/>
        <w:jc w:val="both"/>
        <w:rPr>
          <w:rFonts w:ascii="David" w:hAnsi="David"/>
          <w:sz w:val="26"/>
          <w:szCs w:val="26"/>
          <w:rtl/>
        </w:rPr>
      </w:pPr>
    </w:p>
    <w:p w14:paraId="16D50D2D" w14:textId="77777777" w:rsidR="00D457A4" w:rsidRDefault="00E71908" w:rsidP="00D457A4">
      <w:pPr>
        <w:spacing w:line="360" w:lineRule="auto"/>
        <w:ind w:left="720"/>
        <w:jc w:val="both"/>
        <w:rPr>
          <w:rFonts w:ascii="David" w:hAnsi="David"/>
          <w:sz w:val="26"/>
          <w:szCs w:val="26"/>
          <w:rtl/>
        </w:rPr>
      </w:pPr>
      <w:hyperlink r:id="rId28" w:history="1">
        <w:r w:rsidRPr="00E71908">
          <w:rPr>
            <w:rFonts w:ascii="David" w:hAnsi="David"/>
            <w:color w:val="0000FF"/>
            <w:sz w:val="26"/>
            <w:szCs w:val="26"/>
            <w:u w:val="single"/>
            <w:rtl/>
          </w:rPr>
          <w:t>ע"פ 3596/20</w:t>
        </w:r>
      </w:hyperlink>
      <w:r w:rsidR="00D457A4">
        <w:rPr>
          <w:rFonts w:ascii="David" w:hAnsi="David" w:hint="cs"/>
          <w:sz w:val="26"/>
          <w:szCs w:val="26"/>
          <w:rtl/>
        </w:rPr>
        <w:t xml:space="preserve"> </w:t>
      </w:r>
      <w:r w:rsidR="00D457A4">
        <w:rPr>
          <w:rFonts w:ascii="David" w:hAnsi="David" w:hint="cs"/>
          <w:b/>
          <w:bCs/>
          <w:sz w:val="26"/>
          <w:szCs w:val="26"/>
          <w:rtl/>
        </w:rPr>
        <w:t>ג'יריס דחדל</w:t>
      </w:r>
      <w:r w:rsidR="00D457A4">
        <w:rPr>
          <w:rFonts w:ascii="David" w:hAnsi="David" w:hint="cs"/>
          <w:sz w:val="26"/>
          <w:szCs w:val="26"/>
          <w:rtl/>
        </w:rPr>
        <w:t xml:space="preserve"> </w:t>
      </w:r>
      <w:r w:rsidR="00D457A4" w:rsidRPr="00196BBA">
        <w:rPr>
          <w:rFonts w:ascii="David" w:hAnsi="David" w:hint="cs"/>
          <w:b/>
          <w:bCs/>
          <w:sz w:val="26"/>
          <w:szCs w:val="26"/>
          <w:rtl/>
        </w:rPr>
        <w:t>נ' מדינת ישראל</w:t>
      </w:r>
      <w:r w:rsidR="00D457A4">
        <w:rPr>
          <w:rFonts w:ascii="David" w:hAnsi="David" w:hint="cs"/>
          <w:sz w:val="26"/>
          <w:szCs w:val="26"/>
          <w:rtl/>
        </w:rPr>
        <w:t xml:space="preserve"> (16.8.20); נאשם הורשע על פי הודאתו בכתב אישום מתוקן בנשיאה והובלת נשק וירי באזור מגורים. הושת עליו עונש של 24 חודשי מאסר בפועל. הערעור נדחה.</w:t>
      </w:r>
    </w:p>
    <w:p w14:paraId="06673D7C" w14:textId="77777777" w:rsidR="00D457A4" w:rsidRDefault="00D457A4" w:rsidP="00D457A4">
      <w:pPr>
        <w:jc w:val="both"/>
        <w:rPr>
          <w:rFonts w:ascii="David" w:hAnsi="David"/>
          <w:sz w:val="26"/>
          <w:szCs w:val="26"/>
          <w:rtl/>
        </w:rPr>
      </w:pPr>
    </w:p>
    <w:p w14:paraId="41AE721F" w14:textId="77777777" w:rsidR="00D457A4" w:rsidRDefault="00E71908" w:rsidP="00D457A4">
      <w:pPr>
        <w:spacing w:line="360" w:lineRule="auto"/>
        <w:ind w:left="720"/>
        <w:jc w:val="both"/>
        <w:rPr>
          <w:rFonts w:ascii="David" w:hAnsi="David"/>
          <w:sz w:val="26"/>
          <w:szCs w:val="26"/>
          <w:rtl/>
        </w:rPr>
      </w:pPr>
      <w:hyperlink r:id="rId29" w:history="1">
        <w:r w:rsidRPr="00E71908">
          <w:rPr>
            <w:rFonts w:ascii="David" w:hAnsi="David"/>
            <w:color w:val="0000FF"/>
            <w:sz w:val="26"/>
            <w:szCs w:val="26"/>
            <w:u w:val="single"/>
            <w:rtl/>
          </w:rPr>
          <w:t>ת"פ 19642-04-18</w:t>
        </w:r>
      </w:hyperlink>
      <w:r w:rsidR="00D457A4">
        <w:rPr>
          <w:rFonts w:ascii="David" w:hAnsi="David" w:hint="cs"/>
          <w:sz w:val="26"/>
          <w:szCs w:val="26"/>
          <w:rtl/>
        </w:rPr>
        <w:t xml:space="preserve"> </w:t>
      </w:r>
      <w:r w:rsidR="00D457A4">
        <w:rPr>
          <w:rFonts w:ascii="David" w:hAnsi="David" w:hint="cs"/>
          <w:b/>
          <w:bCs/>
          <w:sz w:val="26"/>
          <w:szCs w:val="26"/>
          <w:rtl/>
        </w:rPr>
        <w:t xml:space="preserve">מדינת ישראל נ' אמין כלש </w:t>
      </w:r>
      <w:r w:rsidR="00D457A4" w:rsidRPr="00196BBA">
        <w:rPr>
          <w:rFonts w:ascii="David" w:hAnsi="David" w:hint="cs"/>
          <w:sz w:val="26"/>
          <w:szCs w:val="26"/>
          <w:rtl/>
        </w:rPr>
        <w:t xml:space="preserve">(24.12.18); </w:t>
      </w:r>
      <w:r w:rsidR="00D457A4">
        <w:rPr>
          <w:rFonts w:ascii="David" w:hAnsi="David" w:hint="cs"/>
          <w:sz w:val="26"/>
          <w:szCs w:val="26"/>
          <w:rtl/>
        </w:rPr>
        <w:t>הנאשם הורשע על פי הודאתו בהסדר טיעון בנשיאת והובלת נשק ומעשי פזיזות ורשלנות. הנאשם ירה באוויר לפחות 11 יריות. נקבע מתחם ענישה בין 20-48 חודשי מאסר בפועל והושתו עליו 24 חודשי מאסר.</w:t>
      </w:r>
    </w:p>
    <w:p w14:paraId="5C5CF251" w14:textId="77777777" w:rsidR="00D457A4" w:rsidRDefault="00D457A4" w:rsidP="00D457A4">
      <w:pPr>
        <w:jc w:val="both"/>
        <w:rPr>
          <w:rFonts w:ascii="David" w:hAnsi="David"/>
          <w:sz w:val="26"/>
          <w:szCs w:val="26"/>
          <w:rtl/>
        </w:rPr>
      </w:pPr>
    </w:p>
    <w:p w14:paraId="74C8EC35" w14:textId="77777777" w:rsidR="00D457A4" w:rsidRDefault="00E71908" w:rsidP="00D457A4">
      <w:pPr>
        <w:spacing w:line="360" w:lineRule="auto"/>
        <w:ind w:left="720"/>
        <w:jc w:val="both"/>
        <w:rPr>
          <w:rFonts w:ascii="David" w:hAnsi="David"/>
          <w:sz w:val="26"/>
          <w:szCs w:val="26"/>
          <w:rtl/>
        </w:rPr>
      </w:pPr>
      <w:hyperlink r:id="rId30" w:history="1">
        <w:r w:rsidRPr="00E71908">
          <w:rPr>
            <w:rFonts w:ascii="David" w:hAnsi="David"/>
            <w:color w:val="0000FF"/>
            <w:sz w:val="26"/>
            <w:szCs w:val="26"/>
            <w:u w:val="single"/>
            <w:rtl/>
          </w:rPr>
          <w:t>ת"פ 54308-12-18</w:t>
        </w:r>
      </w:hyperlink>
      <w:r w:rsidR="00D457A4">
        <w:rPr>
          <w:rFonts w:ascii="David" w:hAnsi="David" w:hint="cs"/>
          <w:sz w:val="26"/>
          <w:szCs w:val="26"/>
          <w:rtl/>
        </w:rPr>
        <w:t xml:space="preserve"> </w:t>
      </w:r>
      <w:r w:rsidR="00D457A4">
        <w:rPr>
          <w:rFonts w:ascii="David" w:hAnsi="David" w:hint="cs"/>
          <w:b/>
          <w:bCs/>
          <w:sz w:val="26"/>
          <w:szCs w:val="26"/>
          <w:rtl/>
        </w:rPr>
        <w:t>מדינת ישראל נ' אחמד סואעד</w:t>
      </w:r>
      <w:r w:rsidR="00D457A4">
        <w:rPr>
          <w:rFonts w:ascii="David" w:hAnsi="David" w:hint="cs"/>
          <w:sz w:val="26"/>
          <w:szCs w:val="26"/>
          <w:rtl/>
        </w:rPr>
        <w:t xml:space="preserve"> (21.10.20); נאשם הורשע בניסיון לחבלה חמורה בנסיבות מחמירות וביצוע ירי לעבר בית שלא פגע באדם ובעבירות נלוות, ביניהן הצתה וניסיון הצתה. נקבע מתחם ענישה של 3-7 שנות מאסר והושתו עליו 36 חודשי מאסר בפועל. </w:t>
      </w:r>
    </w:p>
    <w:p w14:paraId="5B1AA4D7" w14:textId="77777777" w:rsidR="00D457A4" w:rsidRPr="00CD5127"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(למען הסדר יצוין שאומנם הנאשם שם ביצע עבירות נוספות על עבירות הנשק, אולם המדינה טענה שגם במקרה דנן בוצעו שתי עבירות חמורות נוספות). </w:t>
      </w:r>
    </w:p>
    <w:p w14:paraId="2832A20D" w14:textId="77777777" w:rsidR="00D457A4" w:rsidRPr="00B720E0" w:rsidRDefault="00D457A4" w:rsidP="00D457A4">
      <w:pPr>
        <w:jc w:val="both"/>
        <w:rPr>
          <w:rFonts w:ascii="David" w:hAnsi="David"/>
          <w:sz w:val="26"/>
          <w:szCs w:val="26"/>
          <w:rtl/>
        </w:rPr>
      </w:pPr>
    </w:p>
    <w:p w14:paraId="397F8D50" w14:textId="77777777" w:rsidR="00D457A4" w:rsidRDefault="00E71908" w:rsidP="00D457A4">
      <w:pPr>
        <w:spacing w:line="360" w:lineRule="auto"/>
        <w:ind w:left="720"/>
        <w:jc w:val="both"/>
        <w:rPr>
          <w:rFonts w:ascii="David" w:hAnsi="David"/>
          <w:sz w:val="26"/>
          <w:szCs w:val="26"/>
          <w:rtl/>
        </w:rPr>
      </w:pPr>
      <w:hyperlink r:id="rId31" w:history="1">
        <w:r w:rsidRPr="00E71908">
          <w:rPr>
            <w:rFonts w:ascii="David" w:hAnsi="David"/>
            <w:color w:val="0000FF"/>
            <w:sz w:val="26"/>
            <w:szCs w:val="26"/>
            <w:u w:val="single"/>
            <w:rtl/>
          </w:rPr>
          <w:t>ת"פ 12480-04-16</w:t>
        </w:r>
      </w:hyperlink>
      <w:r w:rsidR="00D457A4">
        <w:rPr>
          <w:rFonts w:ascii="David" w:hAnsi="David" w:hint="cs"/>
          <w:sz w:val="26"/>
          <w:szCs w:val="26"/>
          <w:rtl/>
        </w:rPr>
        <w:t xml:space="preserve"> </w:t>
      </w:r>
      <w:r w:rsidR="00D457A4">
        <w:rPr>
          <w:rFonts w:ascii="David" w:hAnsi="David" w:hint="cs"/>
          <w:b/>
          <w:bCs/>
          <w:sz w:val="26"/>
          <w:szCs w:val="26"/>
          <w:rtl/>
        </w:rPr>
        <w:t xml:space="preserve">מדינת ישראל נ' </w:t>
      </w:r>
      <w:r w:rsidR="00D457A4" w:rsidRPr="00C1284E">
        <w:rPr>
          <w:rFonts w:ascii="David" w:hAnsi="David" w:hint="cs"/>
          <w:b/>
          <w:bCs/>
          <w:sz w:val="26"/>
          <w:szCs w:val="26"/>
          <w:rtl/>
        </w:rPr>
        <w:t>עקאב קאסם</w:t>
      </w:r>
      <w:r w:rsidR="00D457A4">
        <w:rPr>
          <w:rFonts w:ascii="David" w:hAnsi="David" w:hint="cs"/>
          <w:b/>
          <w:bCs/>
          <w:sz w:val="26"/>
          <w:szCs w:val="26"/>
          <w:rtl/>
        </w:rPr>
        <w:t xml:space="preserve"> </w:t>
      </w:r>
      <w:r w:rsidR="00D457A4">
        <w:rPr>
          <w:rFonts w:ascii="David" w:hAnsi="David" w:hint="cs"/>
          <w:sz w:val="26"/>
          <w:szCs w:val="26"/>
          <w:rtl/>
        </w:rPr>
        <w:t xml:space="preserve">(14.3.17); הנאשם הורשע בשלושה אישומים של ניסיון לחבלה חמורה בנסיבות מחמירות וכן בעבירת נשק. נטען שבשלושת האישומים מדובר בירי שלא פגע באדם כאשר באישום השני נורו 12 קליעים לעבר בית בו שהתה משפחתו של המתלונן. בגין אישום זה נקבע מתחם ענישה של 12-36 חודשי מאסר בפועל. בגין שלושת האישומים יחד הושת על הנאשם 36 חודשי מאסר בפועל. </w:t>
      </w:r>
    </w:p>
    <w:p w14:paraId="6D5CFF91" w14:textId="77777777" w:rsidR="00D457A4" w:rsidRDefault="00D457A4" w:rsidP="00D457A4">
      <w:pPr>
        <w:jc w:val="both"/>
        <w:rPr>
          <w:rFonts w:ascii="David" w:hAnsi="David"/>
          <w:sz w:val="26"/>
          <w:szCs w:val="26"/>
          <w:rtl/>
        </w:rPr>
      </w:pPr>
    </w:p>
    <w:p w14:paraId="23C53EC9" w14:textId="77777777" w:rsidR="00D457A4" w:rsidRDefault="00E71908" w:rsidP="00D457A4">
      <w:pPr>
        <w:spacing w:line="360" w:lineRule="auto"/>
        <w:ind w:left="720"/>
        <w:jc w:val="both"/>
        <w:rPr>
          <w:rFonts w:ascii="David" w:hAnsi="David"/>
          <w:sz w:val="26"/>
          <w:szCs w:val="26"/>
          <w:rtl/>
        </w:rPr>
      </w:pPr>
      <w:hyperlink r:id="rId32" w:history="1">
        <w:r w:rsidRPr="00E71908">
          <w:rPr>
            <w:rFonts w:ascii="David" w:hAnsi="David"/>
            <w:color w:val="0000FF"/>
            <w:sz w:val="26"/>
            <w:szCs w:val="26"/>
            <w:u w:val="single"/>
            <w:rtl/>
          </w:rPr>
          <w:t>ת"פ 28139-10-13</w:t>
        </w:r>
      </w:hyperlink>
      <w:r w:rsidR="00D457A4" w:rsidRPr="00190745">
        <w:rPr>
          <w:rFonts w:ascii="David" w:hAnsi="David" w:hint="cs"/>
          <w:b/>
          <w:bCs/>
          <w:sz w:val="26"/>
          <w:szCs w:val="26"/>
          <w:rtl/>
        </w:rPr>
        <w:t xml:space="preserve"> </w:t>
      </w:r>
      <w:r w:rsidR="00D457A4">
        <w:rPr>
          <w:rFonts w:ascii="David" w:hAnsi="David" w:hint="cs"/>
          <w:b/>
          <w:bCs/>
          <w:sz w:val="26"/>
          <w:szCs w:val="26"/>
          <w:rtl/>
        </w:rPr>
        <w:t xml:space="preserve">מדינת ישראל נ' באסל אבו </w:t>
      </w:r>
      <w:r w:rsidR="00D457A4" w:rsidRPr="007A6C6E">
        <w:rPr>
          <w:rFonts w:ascii="David" w:hAnsi="David" w:hint="cs"/>
          <w:b/>
          <w:bCs/>
          <w:sz w:val="26"/>
          <w:szCs w:val="26"/>
          <w:rtl/>
        </w:rPr>
        <w:t>א</w:t>
      </w:r>
      <w:r w:rsidR="00D457A4">
        <w:rPr>
          <w:rFonts w:ascii="David" w:hAnsi="David" w:hint="cs"/>
          <w:b/>
          <w:bCs/>
          <w:sz w:val="26"/>
          <w:szCs w:val="26"/>
          <w:rtl/>
        </w:rPr>
        <w:t>ע</w:t>
      </w:r>
      <w:r w:rsidR="00D457A4" w:rsidRPr="007A6C6E">
        <w:rPr>
          <w:rFonts w:ascii="David" w:hAnsi="David" w:hint="cs"/>
          <w:b/>
          <w:bCs/>
          <w:sz w:val="26"/>
          <w:szCs w:val="26"/>
          <w:rtl/>
        </w:rPr>
        <w:t>מר</w:t>
      </w:r>
      <w:r w:rsidR="00D457A4">
        <w:rPr>
          <w:rFonts w:ascii="David" w:hAnsi="David" w:hint="cs"/>
          <w:b/>
          <w:bCs/>
          <w:sz w:val="26"/>
          <w:szCs w:val="26"/>
          <w:rtl/>
        </w:rPr>
        <w:t xml:space="preserve"> </w:t>
      </w:r>
      <w:r w:rsidR="00D457A4" w:rsidRPr="00C6476F">
        <w:rPr>
          <w:rFonts w:ascii="David" w:hAnsi="David" w:hint="cs"/>
          <w:sz w:val="26"/>
          <w:szCs w:val="26"/>
          <w:rtl/>
        </w:rPr>
        <w:t xml:space="preserve">(18.1.15); </w:t>
      </w:r>
      <w:r w:rsidR="00D457A4">
        <w:rPr>
          <w:rFonts w:ascii="David" w:hAnsi="David" w:hint="cs"/>
          <w:sz w:val="26"/>
          <w:szCs w:val="26"/>
          <w:rtl/>
        </w:rPr>
        <w:t>נאשם בן 19</w:t>
      </w:r>
      <w:r w:rsidR="00D457A4" w:rsidRPr="00190745">
        <w:rPr>
          <w:rFonts w:ascii="David" w:hAnsi="David" w:hint="cs"/>
          <w:sz w:val="26"/>
          <w:szCs w:val="26"/>
          <w:rtl/>
        </w:rPr>
        <w:t xml:space="preserve"> הורשע בעבירות של החזקת נשק וניסיון לחב</w:t>
      </w:r>
      <w:r w:rsidR="00D457A4">
        <w:rPr>
          <w:rFonts w:ascii="David" w:hAnsi="David" w:hint="cs"/>
          <w:sz w:val="26"/>
          <w:szCs w:val="26"/>
          <w:rtl/>
        </w:rPr>
        <w:t>לה חמורה בנסיבות מחמירות בגין ביצוע</w:t>
      </w:r>
      <w:r w:rsidR="00D457A4" w:rsidRPr="00190745">
        <w:rPr>
          <w:rFonts w:ascii="David" w:hAnsi="David" w:hint="cs"/>
          <w:sz w:val="26"/>
          <w:szCs w:val="26"/>
          <w:rtl/>
        </w:rPr>
        <w:t xml:space="preserve"> </w:t>
      </w:r>
      <w:r w:rsidR="00D457A4">
        <w:rPr>
          <w:rFonts w:ascii="David" w:hAnsi="David" w:hint="cs"/>
          <w:sz w:val="26"/>
          <w:szCs w:val="26"/>
          <w:rtl/>
        </w:rPr>
        <w:t>ירי של מספר</w:t>
      </w:r>
      <w:r w:rsidR="00D457A4" w:rsidRPr="00190745">
        <w:rPr>
          <w:rFonts w:ascii="David" w:hAnsi="David" w:hint="cs"/>
          <w:sz w:val="26"/>
          <w:szCs w:val="26"/>
          <w:rtl/>
        </w:rPr>
        <w:t xml:space="preserve"> יריות </w:t>
      </w:r>
      <w:r w:rsidR="00D457A4">
        <w:rPr>
          <w:rFonts w:ascii="David" w:hAnsi="David" w:hint="cs"/>
          <w:sz w:val="26"/>
          <w:szCs w:val="26"/>
          <w:rtl/>
        </w:rPr>
        <w:t>אל עבר רכב בו ישבו אנשים</w:t>
      </w:r>
      <w:r w:rsidR="00D457A4" w:rsidRPr="00190745">
        <w:rPr>
          <w:rFonts w:ascii="David" w:hAnsi="David" w:hint="cs"/>
          <w:sz w:val="26"/>
          <w:szCs w:val="26"/>
          <w:rtl/>
        </w:rPr>
        <w:t xml:space="preserve">, על רקע סכסוך. </w:t>
      </w:r>
      <w:r w:rsidR="00D457A4">
        <w:rPr>
          <w:rFonts w:ascii="David" w:hAnsi="David" w:hint="cs"/>
          <w:sz w:val="26"/>
          <w:szCs w:val="26"/>
          <w:rtl/>
        </w:rPr>
        <w:t xml:space="preserve">הומלץ על ענישה בעבודות שירות, ולמרות זאת נגזרו על הנאשם 4 שנות מאסר בפועל. </w:t>
      </w:r>
    </w:p>
    <w:p w14:paraId="61066814" w14:textId="77777777" w:rsidR="00D457A4" w:rsidRDefault="00D457A4" w:rsidP="00D457A4">
      <w:pPr>
        <w:jc w:val="both"/>
        <w:rPr>
          <w:rFonts w:ascii="David" w:hAnsi="David"/>
          <w:sz w:val="26"/>
          <w:szCs w:val="26"/>
          <w:rtl/>
        </w:rPr>
      </w:pPr>
    </w:p>
    <w:p w14:paraId="4DD3B6E9" w14:textId="77777777" w:rsidR="00D457A4" w:rsidRDefault="00E71908" w:rsidP="00D457A4">
      <w:pPr>
        <w:spacing w:line="360" w:lineRule="auto"/>
        <w:ind w:left="720"/>
        <w:jc w:val="both"/>
        <w:rPr>
          <w:rFonts w:ascii="David" w:hAnsi="David"/>
          <w:sz w:val="26"/>
          <w:szCs w:val="26"/>
          <w:rtl/>
        </w:rPr>
      </w:pPr>
      <w:hyperlink r:id="rId33" w:history="1">
        <w:r w:rsidRPr="00E71908">
          <w:rPr>
            <w:rFonts w:ascii="David" w:hAnsi="David"/>
            <w:color w:val="0000FF"/>
            <w:sz w:val="26"/>
            <w:szCs w:val="26"/>
            <w:u w:val="single"/>
            <w:rtl/>
          </w:rPr>
          <w:t>ת"פ 24163-04-15</w:t>
        </w:r>
      </w:hyperlink>
      <w:r w:rsidR="00D457A4">
        <w:rPr>
          <w:rFonts w:ascii="David" w:hAnsi="David" w:hint="cs"/>
          <w:sz w:val="26"/>
          <w:szCs w:val="26"/>
          <w:rtl/>
        </w:rPr>
        <w:t xml:space="preserve"> </w:t>
      </w:r>
      <w:r w:rsidR="00D457A4" w:rsidRPr="00C6476F">
        <w:rPr>
          <w:rFonts w:ascii="David" w:hAnsi="David" w:hint="cs"/>
          <w:b/>
          <w:bCs/>
          <w:sz w:val="26"/>
          <w:szCs w:val="26"/>
          <w:rtl/>
        </w:rPr>
        <w:t>מדינת ישראל נ' שיבלי מוראד</w:t>
      </w:r>
      <w:r w:rsidR="00D457A4">
        <w:rPr>
          <w:rFonts w:ascii="David" w:hAnsi="David" w:hint="cs"/>
          <w:sz w:val="26"/>
          <w:szCs w:val="26"/>
          <w:rtl/>
        </w:rPr>
        <w:t xml:space="preserve"> (27.6.16); נאשם שהורשע בעבירות של ניסיון לחבלה חמורה בנסיבות מחמירות, החזקת ונשיאת נשק, איומים, היזק בזדון, פציעה בנסיבות מחמירות ונהיגה ללא רישיון. לאחר שירה שלוש יריות לעבר המתלונן ובהמשך התפתח בניהם עימות במהלכו היכה ונשך אותו. נגזרו 4 שנות מאסר בפועל. </w:t>
      </w:r>
    </w:p>
    <w:p w14:paraId="4E1CD4D9" w14:textId="77777777" w:rsidR="00D457A4" w:rsidRDefault="00D457A4" w:rsidP="00D457A4">
      <w:pPr>
        <w:spacing w:line="360" w:lineRule="auto"/>
        <w:jc w:val="both"/>
        <w:rPr>
          <w:rFonts w:ascii="David" w:hAnsi="David"/>
          <w:sz w:val="26"/>
          <w:szCs w:val="26"/>
          <w:rtl/>
        </w:rPr>
      </w:pPr>
    </w:p>
    <w:p w14:paraId="431E5842"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5.</w:t>
      </w:r>
      <w:r>
        <w:rPr>
          <w:rFonts w:ascii="David" w:hAnsi="David" w:hint="cs"/>
          <w:sz w:val="26"/>
          <w:szCs w:val="26"/>
          <w:rtl/>
        </w:rPr>
        <w:tab/>
        <w:t xml:space="preserve">נטען שבמקרה הנוכחי התקיים תכנון מוקדם שהתבטא הן בהצטיידות בצוותא עם אחר באקדח ותחמושת והן בהגעה למתחם בו בוצע הירי. נטען שהיה צפוי להיגרם נזק כבד, במיוחד לאור השימוש בנשק חם וההיקף הגדול של הירי שבוצע. </w:t>
      </w:r>
    </w:p>
    <w:p w14:paraId="7E2CA421" w14:textId="77777777" w:rsidR="00D457A4" w:rsidRDefault="00D457A4" w:rsidP="00D457A4">
      <w:pPr>
        <w:jc w:val="both"/>
        <w:rPr>
          <w:rFonts w:ascii="David" w:hAnsi="David"/>
          <w:sz w:val="26"/>
          <w:szCs w:val="26"/>
          <w:rtl/>
        </w:rPr>
      </w:pPr>
    </w:p>
    <w:p w14:paraId="11A1831F"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שחלקו היחסי של הנאשם בביצוע העבירה משמעותי. נטען שהגם שלא הנאשם נשא את הנשק וביצע את הירי בפועל, נוכח תחולת דיני השותפות אין לייחס משקל של ממש לשאלה מי מהשותפים ביצע איזו פעולה, כאשר הכל נועד למטרה משותפת. כמו כן, נטען שהנאשם הוא אשר נשא את הנשק לאחר עזיבת בית המתלונן.</w:t>
      </w:r>
    </w:p>
    <w:p w14:paraId="7C2FFCEC" w14:textId="77777777" w:rsidR="00D457A4" w:rsidRDefault="00D457A4" w:rsidP="00D457A4">
      <w:pPr>
        <w:spacing w:line="360" w:lineRule="auto"/>
        <w:jc w:val="both"/>
        <w:rPr>
          <w:rFonts w:ascii="David" w:hAnsi="David"/>
          <w:sz w:val="26"/>
          <w:szCs w:val="26"/>
          <w:rtl/>
        </w:rPr>
      </w:pPr>
    </w:p>
    <w:p w14:paraId="5806E092"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6.</w:t>
      </w:r>
      <w:r>
        <w:rPr>
          <w:rFonts w:ascii="David" w:hAnsi="David" w:hint="cs"/>
          <w:sz w:val="26"/>
          <w:szCs w:val="26"/>
          <w:rtl/>
        </w:rPr>
        <w:tab/>
        <w:t xml:space="preserve">באשר לקביעת העונש בתוך המתחם, נטען שיש לקבוע עונש ברף האמצעי, לאור הצורך בהרתעת הנאשם והרתעת הרבים. </w:t>
      </w:r>
    </w:p>
    <w:p w14:paraId="1AE21E2D" w14:textId="77777777" w:rsidR="00D457A4" w:rsidRDefault="00D457A4" w:rsidP="00D457A4">
      <w:pPr>
        <w:jc w:val="both"/>
        <w:rPr>
          <w:rFonts w:ascii="David" w:hAnsi="David"/>
          <w:sz w:val="26"/>
          <w:szCs w:val="26"/>
          <w:rtl/>
        </w:rPr>
      </w:pPr>
    </w:p>
    <w:p w14:paraId="6FAC75B8"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שהתסקיר לא היה חיובי ועלה ממנו שהנאשם אינו מקבל אחריות לביצוע העבירות. נטען שבתסקיר המשלים חל שינוי קטן בלבד בעמדה זו.</w:t>
      </w:r>
    </w:p>
    <w:p w14:paraId="462CF7B9" w14:textId="77777777" w:rsidR="00D457A4" w:rsidRDefault="00D457A4" w:rsidP="00D457A4">
      <w:pPr>
        <w:jc w:val="both"/>
        <w:rPr>
          <w:rFonts w:ascii="David" w:hAnsi="David"/>
          <w:sz w:val="26"/>
          <w:szCs w:val="26"/>
          <w:rtl/>
        </w:rPr>
      </w:pPr>
    </w:p>
    <w:p w14:paraId="462852FE"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 xml:space="preserve">התבקש בנוסף להטיל על הנאשם מאסר מותנה מרתיע וכן פיצוי הולם למתלונן. </w:t>
      </w:r>
    </w:p>
    <w:p w14:paraId="1404AB80" w14:textId="77777777" w:rsidR="00D457A4" w:rsidRPr="00C1284E" w:rsidRDefault="00D457A4" w:rsidP="00D457A4">
      <w:pPr>
        <w:spacing w:line="360" w:lineRule="auto"/>
        <w:jc w:val="both"/>
        <w:rPr>
          <w:rFonts w:ascii="David" w:hAnsi="David"/>
          <w:sz w:val="26"/>
          <w:szCs w:val="26"/>
          <w:rtl/>
        </w:rPr>
      </w:pPr>
    </w:p>
    <w:p w14:paraId="1233FD15" w14:textId="77777777" w:rsidR="00D457A4" w:rsidRDefault="00D457A4" w:rsidP="00D457A4">
      <w:pPr>
        <w:spacing w:line="360" w:lineRule="auto"/>
        <w:jc w:val="both"/>
        <w:rPr>
          <w:rFonts w:ascii="David" w:hAnsi="David"/>
          <w:b/>
          <w:bCs/>
          <w:sz w:val="26"/>
          <w:szCs w:val="26"/>
          <w:u w:val="single"/>
          <w:rtl/>
        </w:rPr>
      </w:pPr>
      <w:r>
        <w:rPr>
          <w:rFonts w:ascii="David" w:hAnsi="David" w:hint="cs"/>
          <w:b/>
          <w:bCs/>
          <w:sz w:val="26"/>
          <w:szCs w:val="26"/>
          <w:u w:val="single"/>
          <w:rtl/>
        </w:rPr>
        <w:t>טיעוני הנאשם</w:t>
      </w:r>
    </w:p>
    <w:p w14:paraId="6F80CF37" w14:textId="77777777" w:rsidR="00D457A4" w:rsidRPr="005F18DA" w:rsidRDefault="00D457A4" w:rsidP="00D457A4">
      <w:pPr>
        <w:jc w:val="both"/>
        <w:rPr>
          <w:rFonts w:ascii="David" w:hAnsi="David"/>
          <w:sz w:val="26"/>
          <w:szCs w:val="26"/>
          <w:rtl/>
        </w:rPr>
      </w:pPr>
    </w:p>
    <w:p w14:paraId="3B9A60D9"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7.</w:t>
      </w:r>
      <w:r>
        <w:rPr>
          <w:rFonts w:ascii="David" w:hAnsi="David" w:hint="cs"/>
          <w:sz w:val="26"/>
          <w:szCs w:val="26"/>
          <w:rtl/>
        </w:rPr>
        <w:tab/>
      </w:r>
      <w:r w:rsidRPr="005F18DA">
        <w:rPr>
          <w:rFonts w:ascii="David" w:hAnsi="David" w:hint="cs"/>
          <w:sz w:val="26"/>
          <w:szCs w:val="26"/>
          <w:rtl/>
        </w:rPr>
        <w:t>הסנגור צ</w:t>
      </w:r>
      <w:r>
        <w:rPr>
          <w:rFonts w:ascii="David" w:hAnsi="David" w:hint="cs"/>
          <w:sz w:val="26"/>
          <w:szCs w:val="26"/>
          <w:rtl/>
        </w:rPr>
        <w:t xml:space="preserve">יין את גילו הצעיר של הנאשם. נטען שהעבירה לא בוצעה על רקע עברייני רגיל אלא על רקע סכסוך שהיה קיים בין שתי משפחות. נטען שהנאשם מעולם לא נחקר ולא היה מעורב בעבירות פליליות קודם לכן. </w:t>
      </w:r>
    </w:p>
    <w:p w14:paraId="2C824604" w14:textId="77777777" w:rsidR="00D457A4" w:rsidRDefault="00D457A4" w:rsidP="00D457A4">
      <w:pPr>
        <w:jc w:val="both"/>
        <w:rPr>
          <w:rFonts w:ascii="David" w:hAnsi="David"/>
          <w:sz w:val="26"/>
          <w:szCs w:val="26"/>
          <w:rtl/>
        </w:rPr>
      </w:pPr>
    </w:p>
    <w:p w14:paraId="1CC4D17C"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נטען שעמדת המדינה אינה משתקפת בפסיקה שהיא עצמה הביאה, כאשר ברוב פסקי הדין הענישה המרבית שהוטלה הייתה 3 שנות מאסר. נטען שאין זה מידתי לטעון לעונש כמעט כפול מזה. </w:t>
      </w:r>
    </w:p>
    <w:p w14:paraId="45A54735" w14:textId="77777777" w:rsidR="00D457A4" w:rsidRDefault="00D457A4" w:rsidP="00D457A4">
      <w:pPr>
        <w:jc w:val="both"/>
        <w:rPr>
          <w:rFonts w:ascii="David" w:hAnsi="David"/>
          <w:sz w:val="26"/>
          <w:szCs w:val="26"/>
          <w:rtl/>
        </w:rPr>
      </w:pPr>
    </w:p>
    <w:p w14:paraId="70A988D4"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הסנגור טען שלא בכדי הותר לו במסגרת הסדר הטיעון לטעון שלא הנאשם ביצע את הירי אלא האחר ונטען שטיעון זה מתבסס על חומר ראיות אובייקטיבי שבתיק (האירוע צולם). </w:t>
      </w:r>
    </w:p>
    <w:p w14:paraId="32F31F48" w14:textId="77777777" w:rsidR="00D457A4" w:rsidRDefault="00D457A4" w:rsidP="00D457A4">
      <w:pPr>
        <w:ind w:left="720"/>
        <w:jc w:val="both"/>
        <w:rPr>
          <w:rFonts w:ascii="David" w:hAnsi="David"/>
          <w:sz w:val="26"/>
          <w:szCs w:val="26"/>
          <w:rtl/>
        </w:rPr>
      </w:pPr>
    </w:p>
    <w:p w14:paraId="3403E725"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נטען שאין מחלוקת שהתקיימה שותפות מלאה, אך לזהות היורה חשיבות ועוד נטען שהאחר</w:t>
      </w:r>
      <w:r>
        <w:rPr>
          <w:rFonts w:ascii="David" w:hAnsi="David"/>
          <w:sz w:val="26"/>
          <w:szCs w:val="26"/>
          <w:rtl/>
        </w:rPr>
        <w:tab/>
      </w:r>
      <w:r>
        <w:rPr>
          <w:rFonts w:ascii="David" w:hAnsi="David" w:hint="cs"/>
          <w:sz w:val="26"/>
          <w:szCs w:val="26"/>
          <w:rtl/>
        </w:rPr>
        <w:t xml:space="preserve"> היה המבצע הדומיננטי. </w:t>
      </w:r>
    </w:p>
    <w:p w14:paraId="14C7560E" w14:textId="77777777" w:rsidR="00D457A4" w:rsidRDefault="00D457A4" w:rsidP="00D457A4">
      <w:pPr>
        <w:spacing w:line="360" w:lineRule="auto"/>
        <w:jc w:val="both"/>
        <w:rPr>
          <w:rFonts w:ascii="David" w:hAnsi="David"/>
          <w:sz w:val="26"/>
          <w:szCs w:val="26"/>
          <w:rtl/>
        </w:rPr>
      </w:pPr>
    </w:p>
    <w:p w14:paraId="3E3D01DF"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הסנגור טען למתחם ענישה שנע בין 12 </w:t>
      </w:r>
      <w:r>
        <w:rPr>
          <w:rFonts w:ascii="David" w:hAnsi="David"/>
          <w:sz w:val="26"/>
          <w:szCs w:val="26"/>
          <w:rtl/>
        </w:rPr>
        <w:t>–</w:t>
      </w:r>
      <w:r>
        <w:rPr>
          <w:rFonts w:ascii="David" w:hAnsi="David" w:hint="cs"/>
          <w:sz w:val="26"/>
          <w:szCs w:val="26"/>
          <w:rtl/>
        </w:rPr>
        <w:t xml:space="preserve"> 36 חודשי מאסר. נטען עוד שהנאשם נטל אחריות מלאה על מעשיו ושכתב האישום תוקן באופן משמעותי. </w:t>
      </w:r>
    </w:p>
    <w:p w14:paraId="457D96FC" w14:textId="77777777" w:rsidR="00D457A4" w:rsidRDefault="00D457A4" w:rsidP="00D457A4">
      <w:pPr>
        <w:jc w:val="both"/>
        <w:rPr>
          <w:rFonts w:ascii="David" w:hAnsi="David"/>
          <w:sz w:val="26"/>
          <w:szCs w:val="26"/>
          <w:rtl/>
        </w:rPr>
      </w:pPr>
    </w:p>
    <w:p w14:paraId="7E162C9E" w14:textId="77777777" w:rsidR="00D457A4" w:rsidRDefault="00D457A4" w:rsidP="00D457A4">
      <w:pPr>
        <w:spacing w:line="360" w:lineRule="auto"/>
        <w:ind w:left="720"/>
        <w:jc w:val="both"/>
        <w:rPr>
          <w:rFonts w:ascii="David" w:hAnsi="David"/>
          <w:sz w:val="26"/>
          <w:szCs w:val="26"/>
          <w:rtl/>
        </w:rPr>
      </w:pPr>
      <w:r w:rsidRPr="00F84297">
        <w:rPr>
          <w:rFonts w:ascii="David" w:hAnsi="David" w:hint="cs"/>
          <w:sz w:val="26"/>
          <w:szCs w:val="26"/>
          <w:rtl/>
        </w:rPr>
        <w:t>נטען ש</w:t>
      </w:r>
      <w:r>
        <w:rPr>
          <w:rFonts w:ascii="David" w:hAnsi="David" w:hint="cs"/>
          <w:sz w:val="26"/>
          <w:szCs w:val="26"/>
          <w:rtl/>
        </w:rPr>
        <w:t xml:space="preserve">עמדת שירות המבחן אינה מובנת, כאשר לטענת הסנגור, הנאשם ביטא צורך טיפולי באופן ברור. הוזכר עוד שהנשק נתפס והסנגור גם הפנה למכתב שהוגש מטעם המתלוננים בו ביקשו להקל עם הנאשם וציינו שהסכסוך הסתיים בעקבות סולחה. </w:t>
      </w:r>
    </w:p>
    <w:p w14:paraId="33BA98E5" w14:textId="77777777" w:rsidR="00D457A4" w:rsidRDefault="00D457A4" w:rsidP="00D457A4">
      <w:pPr>
        <w:jc w:val="both"/>
        <w:rPr>
          <w:rFonts w:ascii="David" w:hAnsi="David"/>
          <w:sz w:val="26"/>
          <w:szCs w:val="26"/>
          <w:rtl/>
        </w:rPr>
      </w:pPr>
    </w:p>
    <w:p w14:paraId="18884776"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נוכח הנסיבות נטען שיש למקם את עונשו של הנאשם בתחתית המתחם.</w:t>
      </w:r>
    </w:p>
    <w:p w14:paraId="3F2A2B2C" w14:textId="77777777" w:rsidR="00D457A4" w:rsidRDefault="00D457A4" w:rsidP="00D457A4">
      <w:pPr>
        <w:jc w:val="both"/>
        <w:rPr>
          <w:rFonts w:ascii="David" w:hAnsi="David"/>
          <w:sz w:val="26"/>
          <w:szCs w:val="26"/>
          <w:rtl/>
        </w:rPr>
      </w:pPr>
    </w:p>
    <w:p w14:paraId="4FC6FE64"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הסנגור טען שהטלת פיצוי כבד על הנאשם יביא לכך שלא הוא ישלם אותו ונטען שיש להתחשב בגילו וביכולותיו. </w:t>
      </w:r>
    </w:p>
    <w:p w14:paraId="201A2024" w14:textId="77777777" w:rsidR="00D457A4" w:rsidRDefault="00D457A4" w:rsidP="00D457A4">
      <w:pPr>
        <w:spacing w:line="360" w:lineRule="auto"/>
        <w:jc w:val="both"/>
        <w:rPr>
          <w:rFonts w:ascii="David" w:hAnsi="David"/>
          <w:sz w:val="26"/>
          <w:szCs w:val="26"/>
          <w:u w:val="single"/>
          <w:rtl/>
        </w:rPr>
      </w:pPr>
    </w:p>
    <w:p w14:paraId="254FC871" w14:textId="77777777" w:rsidR="00D457A4" w:rsidRDefault="00D457A4" w:rsidP="00D457A4">
      <w:pPr>
        <w:spacing w:line="360" w:lineRule="auto"/>
        <w:jc w:val="both"/>
        <w:rPr>
          <w:rFonts w:ascii="David" w:hAnsi="David"/>
          <w:sz w:val="26"/>
          <w:szCs w:val="26"/>
        </w:rPr>
      </w:pPr>
      <w:r w:rsidRPr="00FE773B">
        <w:rPr>
          <w:rFonts w:ascii="David" w:hAnsi="David" w:hint="cs"/>
          <w:sz w:val="26"/>
          <w:szCs w:val="26"/>
          <w:rtl/>
        </w:rPr>
        <w:t>8.</w:t>
      </w:r>
      <w:r w:rsidRPr="00FE773B">
        <w:rPr>
          <w:rFonts w:ascii="David" w:hAnsi="David" w:hint="cs"/>
          <w:sz w:val="26"/>
          <w:szCs w:val="26"/>
          <w:rtl/>
        </w:rPr>
        <w:tab/>
      </w:r>
      <w:r w:rsidRPr="001E41AB">
        <w:rPr>
          <w:rFonts w:ascii="David" w:hAnsi="David"/>
          <w:sz w:val="26"/>
          <w:szCs w:val="26"/>
          <w:u w:val="single"/>
          <w:rtl/>
        </w:rPr>
        <w:t>אוזכרה בין היתר הפסיקה הבאה</w:t>
      </w:r>
      <w:r>
        <w:rPr>
          <w:rFonts w:ascii="David" w:hAnsi="David"/>
          <w:sz w:val="26"/>
          <w:szCs w:val="26"/>
          <w:rtl/>
        </w:rPr>
        <w:t>:</w:t>
      </w:r>
    </w:p>
    <w:p w14:paraId="00C955D8" w14:textId="77777777" w:rsidR="00D457A4" w:rsidRDefault="00D457A4" w:rsidP="00D457A4">
      <w:pPr>
        <w:spacing w:line="360" w:lineRule="auto"/>
        <w:jc w:val="both"/>
        <w:rPr>
          <w:rFonts w:ascii="David" w:hAnsi="David"/>
          <w:sz w:val="26"/>
          <w:szCs w:val="26"/>
          <w:rtl/>
        </w:rPr>
      </w:pPr>
    </w:p>
    <w:p w14:paraId="46EEFB30" w14:textId="77777777" w:rsidR="00D457A4" w:rsidRDefault="00E71908" w:rsidP="00D457A4">
      <w:pPr>
        <w:spacing w:line="360" w:lineRule="auto"/>
        <w:ind w:left="720"/>
        <w:jc w:val="both"/>
        <w:rPr>
          <w:rFonts w:ascii="David" w:hAnsi="David"/>
          <w:sz w:val="26"/>
          <w:szCs w:val="26"/>
          <w:rtl/>
        </w:rPr>
      </w:pPr>
      <w:hyperlink r:id="rId34" w:history="1">
        <w:r w:rsidRPr="00E71908">
          <w:rPr>
            <w:rFonts w:ascii="David" w:hAnsi="David"/>
            <w:color w:val="0000FF"/>
            <w:sz w:val="26"/>
            <w:szCs w:val="26"/>
            <w:u w:val="single"/>
            <w:rtl/>
          </w:rPr>
          <w:t>ת"פ 17941-11-18</w:t>
        </w:r>
      </w:hyperlink>
      <w:r w:rsidR="00D457A4">
        <w:rPr>
          <w:rFonts w:ascii="David" w:hAnsi="David" w:hint="cs"/>
          <w:sz w:val="26"/>
          <w:szCs w:val="26"/>
          <w:rtl/>
        </w:rPr>
        <w:t xml:space="preserve"> </w:t>
      </w:r>
      <w:r w:rsidR="00D457A4">
        <w:rPr>
          <w:rFonts w:ascii="David" w:hAnsi="David" w:hint="cs"/>
          <w:b/>
          <w:bCs/>
          <w:sz w:val="26"/>
          <w:szCs w:val="26"/>
          <w:rtl/>
        </w:rPr>
        <w:t xml:space="preserve">מדינת ישראל נ' קוסאי נג'אר </w:t>
      </w:r>
      <w:r w:rsidR="00D457A4" w:rsidRPr="001C1F95">
        <w:rPr>
          <w:rFonts w:ascii="David" w:hAnsi="David" w:hint="cs"/>
          <w:sz w:val="26"/>
          <w:szCs w:val="26"/>
          <w:rtl/>
        </w:rPr>
        <w:t>(6.7.20)</w:t>
      </w:r>
      <w:r w:rsidR="00D457A4">
        <w:rPr>
          <w:rFonts w:ascii="David" w:hAnsi="David" w:hint="cs"/>
          <w:sz w:val="26"/>
          <w:szCs w:val="26"/>
          <w:rtl/>
        </w:rPr>
        <w:t xml:space="preserve">; </w:t>
      </w:r>
      <w:r w:rsidR="00D457A4" w:rsidRPr="00B604C2">
        <w:rPr>
          <w:rFonts w:ascii="David" w:hAnsi="David" w:hint="cs"/>
          <w:sz w:val="26"/>
          <w:szCs w:val="26"/>
          <w:rtl/>
        </w:rPr>
        <w:t xml:space="preserve">נאשם הורשע בעבירות </w:t>
      </w:r>
      <w:r w:rsidR="00D457A4">
        <w:rPr>
          <w:rFonts w:ascii="David" w:hAnsi="David" w:hint="cs"/>
          <w:sz w:val="26"/>
          <w:szCs w:val="26"/>
          <w:rtl/>
        </w:rPr>
        <w:t xml:space="preserve">של נשיאת נשק, תחמושת וחבלה חמורה בכך שירה באקדח כדור אחד לעבר המתלונן מטווח קצר שפגע בירכו. הוטלו שנתיים וחצי מאסר בפועל. נטען שהמקרה דנן קל בהרבה כאשר לא נגרמו פציעות בפועל. </w:t>
      </w:r>
    </w:p>
    <w:p w14:paraId="5927315C" w14:textId="77777777" w:rsidR="00D457A4" w:rsidRDefault="00D457A4" w:rsidP="00D457A4">
      <w:pPr>
        <w:jc w:val="both"/>
        <w:rPr>
          <w:rFonts w:ascii="David" w:hAnsi="David"/>
          <w:sz w:val="26"/>
          <w:szCs w:val="26"/>
          <w:rtl/>
        </w:rPr>
      </w:pPr>
    </w:p>
    <w:p w14:paraId="4F9D8251" w14:textId="77777777" w:rsidR="00D457A4" w:rsidRPr="00327BEA" w:rsidRDefault="00E71908" w:rsidP="00D457A4">
      <w:pPr>
        <w:spacing w:line="360" w:lineRule="auto"/>
        <w:ind w:left="720"/>
        <w:jc w:val="both"/>
        <w:rPr>
          <w:rFonts w:ascii="David" w:hAnsi="David"/>
          <w:sz w:val="26"/>
          <w:szCs w:val="26"/>
          <w:rtl/>
        </w:rPr>
      </w:pPr>
      <w:hyperlink r:id="rId35" w:history="1">
        <w:r w:rsidRPr="00E71908">
          <w:rPr>
            <w:rFonts w:ascii="David" w:hAnsi="David"/>
            <w:color w:val="0000FF"/>
            <w:sz w:val="26"/>
            <w:szCs w:val="26"/>
            <w:u w:val="single"/>
            <w:rtl/>
          </w:rPr>
          <w:t>ע"פ 4038/14</w:t>
        </w:r>
      </w:hyperlink>
      <w:r w:rsidR="00D457A4" w:rsidRPr="00327BEA">
        <w:rPr>
          <w:rFonts w:ascii="David" w:hAnsi="David"/>
          <w:sz w:val="26"/>
          <w:szCs w:val="26"/>
          <w:rtl/>
        </w:rPr>
        <w:t xml:space="preserve"> </w:t>
      </w:r>
      <w:r w:rsidR="00D457A4" w:rsidRPr="00327BEA">
        <w:rPr>
          <w:rFonts w:ascii="David" w:hAnsi="David"/>
          <w:b/>
          <w:bCs/>
          <w:sz w:val="26"/>
          <w:szCs w:val="26"/>
          <w:rtl/>
        </w:rPr>
        <w:t>מדינת ישראל נ' מהראן אבו עבד</w:t>
      </w:r>
      <w:r w:rsidR="00D457A4" w:rsidRPr="00327BEA">
        <w:rPr>
          <w:rFonts w:ascii="David" w:hAnsi="David"/>
          <w:sz w:val="26"/>
          <w:szCs w:val="26"/>
          <w:rtl/>
        </w:rPr>
        <w:t xml:space="preserve"> (15.7.14); הערכאה הדיונית הטילה על שני אחים 4 חודשי מאסר בפועל ו-9 חודשי מאסר בפועל בהתאמה. על פי כתב האישום, יוחס למשיבים ביצוע עבירות של החזקה ונשיאת נשק שלא כדין, ירי באזור מגורים וחבלה </w:t>
      </w:r>
      <w:r w:rsidR="00D457A4">
        <w:rPr>
          <w:rFonts w:ascii="David" w:hAnsi="David" w:hint="cs"/>
          <w:sz w:val="26"/>
          <w:szCs w:val="26"/>
          <w:rtl/>
        </w:rPr>
        <w:t xml:space="preserve">חמורה </w:t>
      </w:r>
      <w:r w:rsidR="00D457A4" w:rsidRPr="00327BEA">
        <w:rPr>
          <w:rFonts w:ascii="David" w:hAnsi="David"/>
          <w:sz w:val="26"/>
          <w:szCs w:val="26"/>
          <w:rtl/>
        </w:rPr>
        <w:t xml:space="preserve">בנסיבות מחמירות. בליל האירוע בתו של אחד </w:t>
      </w:r>
      <w:r w:rsidR="00D457A4" w:rsidRPr="00327BEA">
        <w:rPr>
          <w:rFonts w:ascii="David" w:hAnsi="David" w:hint="cs"/>
          <w:sz w:val="26"/>
          <w:szCs w:val="26"/>
          <w:rtl/>
        </w:rPr>
        <w:t xml:space="preserve">הנאשמים </w:t>
      </w:r>
      <w:r w:rsidR="00D457A4" w:rsidRPr="00327BEA">
        <w:rPr>
          <w:rFonts w:ascii="David" w:hAnsi="David"/>
          <w:sz w:val="26"/>
          <w:szCs w:val="26"/>
          <w:rtl/>
        </w:rPr>
        <w:t>התקשרה אליו ודיווחה לו שבני משפחתם מותקפים על ידי בני משפחה אחרת בכפר המצוידים בנשק קר. לאחר כ-10 דקות הגיע למקום ה</w:t>
      </w:r>
      <w:r w:rsidR="00D457A4" w:rsidRPr="00327BEA">
        <w:rPr>
          <w:rFonts w:ascii="David" w:hAnsi="David" w:hint="cs"/>
          <w:sz w:val="26"/>
          <w:szCs w:val="26"/>
          <w:rtl/>
        </w:rPr>
        <w:t>מ</w:t>
      </w:r>
      <w:r w:rsidR="00D457A4" w:rsidRPr="00327BEA">
        <w:rPr>
          <w:rFonts w:ascii="David" w:hAnsi="David"/>
          <w:sz w:val="26"/>
          <w:szCs w:val="26"/>
          <w:rtl/>
        </w:rPr>
        <w:t xml:space="preserve">ערער יחד עם אחיו כשהם נושאים נשק חם והחלו לירות לעבר המשפחה האחרת ופצעו 9 אנשים. הם הורשעו על פי הודאתם בכתב אישום מתוקן. נקבע מתחם </w:t>
      </w:r>
      <w:r w:rsidR="00D457A4">
        <w:rPr>
          <w:rFonts w:ascii="David" w:hAnsi="David" w:hint="cs"/>
          <w:sz w:val="26"/>
          <w:szCs w:val="26"/>
          <w:rtl/>
        </w:rPr>
        <w:t xml:space="preserve">ענישה </w:t>
      </w:r>
      <w:r w:rsidR="00D457A4" w:rsidRPr="00327BEA">
        <w:rPr>
          <w:rFonts w:ascii="David" w:hAnsi="David"/>
          <w:sz w:val="26"/>
          <w:szCs w:val="26"/>
          <w:rtl/>
        </w:rPr>
        <w:t xml:space="preserve">שבין 6-24 חודשי מאסר. יוחס משקל רב לנסיבות החריגות של ביצוע העבירות שבוצעו כתגובה לסיכון ואיום שנשקפו להם ולמשפחתם. הערעור התקבל. על משיב 1 נגזרו 13 חודשי מאסר בפועל ועל משיב 2 </w:t>
      </w:r>
      <w:r w:rsidR="00D457A4">
        <w:rPr>
          <w:rFonts w:ascii="David" w:hAnsi="David" w:hint="cs"/>
          <w:sz w:val="26"/>
          <w:szCs w:val="26"/>
          <w:rtl/>
        </w:rPr>
        <w:t xml:space="preserve"> נגזרו </w:t>
      </w:r>
      <w:r w:rsidR="00D457A4" w:rsidRPr="00327BEA">
        <w:rPr>
          <w:rFonts w:ascii="David" w:hAnsi="David"/>
          <w:sz w:val="26"/>
          <w:szCs w:val="26"/>
          <w:rtl/>
        </w:rPr>
        <w:t>24 חודשי מאסר בפועל. נקבע כי האינטרס הציבורי מצדיק העלאת רף הענישה וקביעת עונשי מאסר בפועל ממשיים ולא לתקופה של חודשים ספורים בלבד.</w:t>
      </w:r>
    </w:p>
    <w:p w14:paraId="689D4CD8" w14:textId="77777777" w:rsidR="00D457A4" w:rsidRDefault="00D457A4" w:rsidP="00D457A4">
      <w:pPr>
        <w:spacing w:line="360" w:lineRule="auto"/>
        <w:jc w:val="both"/>
        <w:rPr>
          <w:rFonts w:ascii="David" w:hAnsi="David"/>
          <w:sz w:val="26"/>
          <w:szCs w:val="26"/>
          <w:rtl/>
        </w:rPr>
      </w:pPr>
    </w:p>
    <w:p w14:paraId="7599D820" w14:textId="77777777" w:rsidR="00D457A4" w:rsidRDefault="00E71908" w:rsidP="00D457A4">
      <w:pPr>
        <w:spacing w:line="360" w:lineRule="auto"/>
        <w:ind w:left="720"/>
        <w:jc w:val="both"/>
        <w:rPr>
          <w:rFonts w:ascii="David" w:hAnsi="David"/>
          <w:sz w:val="26"/>
          <w:szCs w:val="26"/>
          <w:rtl/>
        </w:rPr>
      </w:pPr>
      <w:hyperlink r:id="rId36" w:history="1">
        <w:r w:rsidRPr="00E71908">
          <w:rPr>
            <w:rFonts w:ascii="David" w:hAnsi="David"/>
            <w:color w:val="0000FF"/>
            <w:sz w:val="26"/>
            <w:szCs w:val="26"/>
            <w:u w:val="single"/>
            <w:rtl/>
          </w:rPr>
          <w:t>ת"פ 3639-11-14</w:t>
        </w:r>
      </w:hyperlink>
      <w:r w:rsidR="00D457A4">
        <w:rPr>
          <w:rFonts w:ascii="David" w:hAnsi="David" w:hint="cs"/>
          <w:sz w:val="26"/>
          <w:szCs w:val="26"/>
          <w:rtl/>
        </w:rPr>
        <w:t xml:space="preserve"> </w:t>
      </w:r>
      <w:r w:rsidR="00D457A4">
        <w:rPr>
          <w:rFonts w:ascii="David" w:hAnsi="David" w:hint="cs"/>
          <w:b/>
          <w:bCs/>
          <w:sz w:val="26"/>
          <w:szCs w:val="26"/>
          <w:rtl/>
        </w:rPr>
        <w:t>מדינת ישראל נ' עלאא חסאמרה</w:t>
      </w:r>
      <w:r w:rsidR="00D457A4">
        <w:rPr>
          <w:rFonts w:ascii="David" w:hAnsi="David" w:hint="cs"/>
          <w:sz w:val="26"/>
          <w:szCs w:val="26"/>
          <w:rtl/>
        </w:rPr>
        <w:t xml:space="preserve"> (19.5.15); באותו מקרה ירה הנאשם מספר יריות לעבר המתלוננים ונגרמו פגיעות בקיר. נקבע מתחם ענישה בין 2 </w:t>
      </w:r>
      <w:r w:rsidR="00D457A4">
        <w:rPr>
          <w:rFonts w:ascii="David" w:hAnsi="David"/>
          <w:sz w:val="26"/>
          <w:szCs w:val="26"/>
          <w:rtl/>
        </w:rPr>
        <w:t>–</w:t>
      </w:r>
      <w:r w:rsidR="00D457A4">
        <w:rPr>
          <w:rFonts w:ascii="David" w:hAnsi="David" w:hint="cs"/>
          <w:sz w:val="26"/>
          <w:szCs w:val="26"/>
          <w:rtl/>
        </w:rPr>
        <w:t xml:space="preserve"> 5 שנות מאסר ונגזרו 3 שנות מאסר בפועל. </w:t>
      </w:r>
    </w:p>
    <w:p w14:paraId="2A0545C7" w14:textId="77777777" w:rsidR="00D457A4" w:rsidRDefault="00D457A4" w:rsidP="00D457A4">
      <w:pPr>
        <w:jc w:val="both"/>
        <w:rPr>
          <w:rFonts w:ascii="David" w:hAnsi="David"/>
          <w:sz w:val="26"/>
          <w:szCs w:val="26"/>
          <w:rtl/>
        </w:rPr>
      </w:pPr>
    </w:p>
    <w:p w14:paraId="2752AA67" w14:textId="77777777" w:rsidR="00D457A4" w:rsidRPr="00C62C08" w:rsidRDefault="00E71908" w:rsidP="00D457A4">
      <w:pPr>
        <w:spacing w:line="360" w:lineRule="auto"/>
        <w:ind w:left="720"/>
        <w:jc w:val="both"/>
        <w:rPr>
          <w:rFonts w:ascii="David" w:hAnsi="David"/>
          <w:sz w:val="26"/>
          <w:szCs w:val="26"/>
          <w:rtl/>
        </w:rPr>
      </w:pPr>
      <w:hyperlink r:id="rId37" w:history="1">
        <w:r w:rsidRPr="00E71908">
          <w:rPr>
            <w:rFonts w:ascii="David" w:hAnsi="David"/>
            <w:color w:val="0000FF"/>
            <w:sz w:val="26"/>
            <w:szCs w:val="26"/>
            <w:u w:val="single"/>
            <w:rtl/>
          </w:rPr>
          <w:t>ע"פ 3120/04</w:t>
        </w:r>
      </w:hyperlink>
      <w:r w:rsidR="00D457A4">
        <w:rPr>
          <w:rFonts w:ascii="David" w:hAnsi="David" w:hint="cs"/>
          <w:sz w:val="26"/>
          <w:szCs w:val="26"/>
          <w:rtl/>
        </w:rPr>
        <w:t xml:space="preserve"> </w:t>
      </w:r>
      <w:r w:rsidR="00D457A4">
        <w:rPr>
          <w:rFonts w:ascii="David" w:hAnsi="David" w:hint="cs"/>
          <w:b/>
          <w:bCs/>
          <w:sz w:val="26"/>
          <w:szCs w:val="26"/>
          <w:rtl/>
        </w:rPr>
        <w:t>מדינת ישראל נ' ניר חזיזה</w:t>
      </w:r>
      <w:r w:rsidR="00D457A4">
        <w:rPr>
          <w:rFonts w:ascii="David" w:hAnsi="David" w:hint="cs"/>
          <w:sz w:val="26"/>
          <w:szCs w:val="26"/>
          <w:rtl/>
        </w:rPr>
        <w:t xml:space="preserve"> (13.9.04); המערער הזמין את המתלונן לפגוש אותו. המערער הגיע למפגש כשהוא נושא נשק על גופו ובעקבות קטטה שפרצה עם המתלונן הוא שלף את האקדח וירה מספר יריות לעבר המתלונן שאחת מהן פגעה בברכו השמאלית. יוחסה לנאשם עבירה לפי </w:t>
      </w:r>
      <w:hyperlink r:id="rId38" w:history="1">
        <w:r w:rsidR="00BF2A20" w:rsidRPr="00BF2A20">
          <w:rPr>
            <w:rStyle w:val="Hyperlink"/>
            <w:rFonts w:ascii="David" w:hAnsi="David" w:hint="eastAsia"/>
            <w:sz w:val="26"/>
            <w:szCs w:val="26"/>
            <w:rtl/>
          </w:rPr>
          <w:t>סעיף</w:t>
        </w:r>
        <w:r w:rsidR="00BF2A20" w:rsidRPr="00BF2A20">
          <w:rPr>
            <w:rStyle w:val="Hyperlink"/>
            <w:rFonts w:ascii="David" w:hAnsi="David"/>
            <w:sz w:val="26"/>
            <w:szCs w:val="26"/>
            <w:rtl/>
          </w:rPr>
          <w:t xml:space="preserve"> 329(א)(1)</w:t>
        </w:r>
      </w:hyperlink>
      <w:r w:rsidR="00D457A4">
        <w:rPr>
          <w:rFonts w:ascii="David" w:hAnsi="David" w:hint="cs"/>
          <w:sz w:val="26"/>
          <w:szCs w:val="26"/>
          <w:rtl/>
        </w:rPr>
        <w:t xml:space="preserve"> לחוק והוא הורשע לאחר שמיעת ראיות. נגזרו 6 חודשי מאסר לריצוי בעבודות שירות. ערעור המדינה על קולת העונש נדחה.</w:t>
      </w:r>
    </w:p>
    <w:p w14:paraId="295FF35B" w14:textId="77777777" w:rsidR="00D457A4" w:rsidRDefault="00D457A4" w:rsidP="00D457A4">
      <w:pPr>
        <w:spacing w:line="360" w:lineRule="auto"/>
        <w:rPr>
          <w:rFonts w:ascii="David" w:hAnsi="David"/>
          <w:sz w:val="26"/>
          <w:szCs w:val="26"/>
          <w:rtl/>
        </w:rPr>
      </w:pPr>
    </w:p>
    <w:p w14:paraId="6107BDE7" w14:textId="77777777" w:rsidR="00D457A4" w:rsidRPr="00CC2483" w:rsidRDefault="00D457A4" w:rsidP="00D457A4">
      <w:pPr>
        <w:jc w:val="both"/>
        <w:rPr>
          <w:rFonts w:ascii="David" w:hAnsi="David"/>
          <w:b/>
          <w:bCs/>
          <w:sz w:val="26"/>
          <w:szCs w:val="26"/>
          <w:u w:val="single"/>
          <w:rtl/>
        </w:rPr>
      </w:pPr>
      <w:r w:rsidRPr="00CC2483">
        <w:rPr>
          <w:rFonts w:ascii="David" w:hAnsi="David" w:hint="cs"/>
          <w:b/>
          <w:bCs/>
          <w:sz w:val="26"/>
          <w:szCs w:val="26"/>
          <w:u w:val="single"/>
          <w:rtl/>
        </w:rPr>
        <w:t>עמדת הנאשם</w:t>
      </w:r>
    </w:p>
    <w:p w14:paraId="010D2A94" w14:textId="77777777" w:rsidR="00D457A4" w:rsidRDefault="00D457A4" w:rsidP="00D457A4">
      <w:pPr>
        <w:jc w:val="both"/>
        <w:rPr>
          <w:rFonts w:ascii="David" w:hAnsi="David"/>
          <w:sz w:val="26"/>
          <w:szCs w:val="26"/>
          <w:rtl/>
        </w:rPr>
      </w:pPr>
    </w:p>
    <w:p w14:paraId="71271334"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9.</w:t>
      </w:r>
      <w:r>
        <w:rPr>
          <w:rFonts w:ascii="David" w:hAnsi="David" w:hint="cs"/>
          <w:sz w:val="26"/>
          <w:szCs w:val="26"/>
          <w:rtl/>
        </w:rPr>
        <w:tab/>
        <w:t xml:space="preserve">הנאשם התנצל על מה שקרה, הודה לה' שאף אחד לא נפגע וביקש רחמנות והקלה בעונשו. </w:t>
      </w:r>
    </w:p>
    <w:p w14:paraId="0318AEE0" w14:textId="77777777" w:rsidR="00D457A4" w:rsidRDefault="00D457A4" w:rsidP="00D457A4">
      <w:pPr>
        <w:spacing w:line="360" w:lineRule="auto"/>
        <w:jc w:val="both"/>
        <w:rPr>
          <w:rFonts w:ascii="David" w:hAnsi="David"/>
          <w:sz w:val="26"/>
          <w:szCs w:val="26"/>
          <w:rtl/>
        </w:rPr>
      </w:pPr>
    </w:p>
    <w:p w14:paraId="64F9857D" w14:textId="77777777" w:rsidR="00D457A4" w:rsidRDefault="00D457A4" w:rsidP="00D457A4">
      <w:pPr>
        <w:spacing w:line="360" w:lineRule="auto"/>
        <w:jc w:val="both"/>
        <w:rPr>
          <w:rFonts w:ascii="David" w:hAnsi="David"/>
          <w:sz w:val="26"/>
          <w:szCs w:val="26"/>
          <w:rtl/>
        </w:rPr>
      </w:pPr>
    </w:p>
    <w:p w14:paraId="5382FC81" w14:textId="77777777" w:rsidR="00D457A4" w:rsidRDefault="00D457A4" w:rsidP="00D457A4">
      <w:pPr>
        <w:spacing w:line="360" w:lineRule="auto"/>
        <w:jc w:val="both"/>
        <w:rPr>
          <w:rFonts w:ascii="David" w:hAnsi="David"/>
          <w:sz w:val="26"/>
          <w:szCs w:val="26"/>
          <w:rtl/>
        </w:rPr>
      </w:pPr>
      <w:r>
        <w:rPr>
          <w:rFonts w:ascii="David" w:hAnsi="David" w:hint="cs"/>
          <w:b/>
          <w:bCs/>
          <w:sz w:val="26"/>
          <w:szCs w:val="26"/>
          <w:u w:val="single"/>
          <w:rtl/>
        </w:rPr>
        <w:t>תסקיר שירות המבחן</w:t>
      </w:r>
    </w:p>
    <w:p w14:paraId="631DC783" w14:textId="77777777" w:rsidR="00D457A4" w:rsidRDefault="00D457A4" w:rsidP="00D457A4">
      <w:pPr>
        <w:jc w:val="both"/>
        <w:rPr>
          <w:rFonts w:ascii="David" w:hAnsi="David"/>
          <w:sz w:val="26"/>
          <w:szCs w:val="26"/>
          <w:rtl/>
        </w:rPr>
      </w:pPr>
    </w:p>
    <w:p w14:paraId="087BE6F4" w14:textId="77777777" w:rsidR="00D457A4" w:rsidRDefault="00D457A4" w:rsidP="00D457A4">
      <w:pPr>
        <w:spacing w:line="360" w:lineRule="auto"/>
        <w:ind w:left="720" w:hanging="720"/>
        <w:jc w:val="both"/>
        <w:rPr>
          <w:rFonts w:ascii="David" w:hAnsi="David"/>
          <w:sz w:val="26"/>
          <w:szCs w:val="26"/>
          <w:rtl/>
        </w:rPr>
      </w:pPr>
      <w:r>
        <w:rPr>
          <w:rFonts w:ascii="David" w:hAnsi="David" w:hint="cs"/>
          <w:sz w:val="26"/>
          <w:szCs w:val="26"/>
          <w:rtl/>
        </w:rPr>
        <w:t>10.</w:t>
      </w:r>
      <w:r>
        <w:rPr>
          <w:rFonts w:ascii="David" w:hAnsi="David" w:hint="cs"/>
          <w:sz w:val="26"/>
          <w:szCs w:val="26"/>
          <w:rtl/>
        </w:rPr>
        <w:tab/>
        <w:t>תואר שמדובר באדם בן 19, רווק, שטרם מעצרו עבד עם אביו בעבודות ריצוף ותכנן להתחיל לימודים אקדמאיים. הוא בעל תעודת בגרות מלאה. משפחת מוצאו נורמטיבית ואביו סובל מבעיות בריאותיות.</w:t>
      </w:r>
    </w:p>
    <w:p w14:paraId="1457C382" w14:textId="77777777" w:rsidR="00D457A4" w:rsidRDefault="00D457A4" w:rsidP="00D457A4">
      <w:pPr>
        <w:jc w:val="both"/>
        <w:rPr>
          <w:rFonts w:ascii="David" w:hAnsi="David"/>
          <w:sz w:val="26"/>
          <w:szCs w:val="26"/>
          <w:rtl/>
        </w:rPr>
      </w:pPr>
    </w:p>
    <w:p w14:paraId="05F413CB"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בתסקיר הראשון נרשמה התרשמות שהנאשם אינו מודה בביצוע העבירות וטען שרק הצטרף לאחר מבלי שידע על כוונתו. יחד עם זאת הביע צער וחרטה על מעורבותו. נמנו שורה של גורמי סיכון והוערך שקיים סיכון להישנות עבירות דומות בעתיד. בסופו של דבר לא הומלץ על חלופה שיקומית או עונשית כאפשרות העשויה להביא להפחתת הסיכון להישנות עבירות דומות. תחת זאת הומלץ על שילובו בהליך טיפולי במסגרת בית הכלא אם יוטל מאסר בפועל. </w:t>
      </w:r>
    </w:p>
    <w:p w14:paraId="7FA803BF" w14:textId="77777777" w:rsidR="00D457A4" w:rsidRDefault="00D457A4" w:rsidP="00D457A4">
      <w:pPr>
        <w:jc w:val="both"/>
        <w:rPr>
          <w:rFonts w:ascii="David" w:hAnsi="David"/>
          <w:sz w:val="26"/>
          <w:szCs w:val="26"/>
          <w:rtl/>
        </w:rPr>
      </w:pPr>
    </w:p>
    <w:p w14:paraId="6BA4AEA5"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בתסקיר המשלים נרשם שינוי בעמדתו והנאשם הודה שהצטרף לאחר בעת ביצוע הירי אך המשיך להדגיש שלא הוא הפעיל את כלי הנשק. לא שונתה ההמלצה הסופית. </w:t>
      </w:r>
    </w:p>
    <w:p w14:paraId="27CCDE50" w14:textId="77777777" w:rsidR="00D457A4" w:rsidRPr="00672CBB" w:rsidRDefault="00D457A4" w:rsidP="00D457A4">
      <w:pPr>
        <w:spacing w:line="360" w:lineRule="auto"/>
        <w:rPr>
          <w:rFonts w:ascii="David" w:hAnsi="David"/>
          <w:sz w:val="26"/>
          <w:szCs w:val="26"/>
          <w:rtl/>
        </w:rPr>
      </w:pPr>
    </w:p>
    <w:p w14:paraId="79796BF7" w14:textId="77777777" w:rsidR="00D457A4" w:rsidRDefault="00D457A4" w:rsidP="00D457A4">
      <w:pPr>
        <w:rPr>
          <w:rFonts w:ascii="David" w:hAnsi="David"/>
          <w:b/>
          <w:bCs/>
          <w:sz w:val="26"/>
          <w:szCs w:val="26"/>
          <w:u w:val="single"/>
          <w:rtl/>
        </w:rPr>
      </w:pPr>
      <w:r>
        <w:rPr>
          <w:rFonts w:ascii="David" w:hAnsi="David" w:hint="cs"/>
          <w:b/>
          <w:bCs/>
          <w:sz w:val="26"/>
          <w:szCs w:val="26"/>
          <w:u w:val="single"/>
          <w:rtl/>
        </w:rPr>
        <w:t>דיון</w:t>
      </w:r>
    </w:p>
    <w:p w14:paraId="422FD8D1" w14:textId="77777777" w:rsidR="00D457A4" w:rsidRDefault="00D457A4" w:rsidP="00D457A4">
      <w:pPr>
        <w:spacing w:line="360" w:lineRule="auto"/>
        <w:rPr>
          <w:rFonts w:ascii="David" w:hAnsi="David"/>
          <w:b/>
          <w:bCs/>
          <w:sz w:val="26"/>
          <w:szCs w:val="26"/>
          <w:u w:val="single"/>
          <w:rtl/>
        </w:rPr>
      </w:pPr>
    </w:p>
    <w:p w14:paraId="409DADF5" w14:textId="77777777" w:rsidR="00D457A4" w:rsidRPr="004E1549" w:rsidRDefault="00D457A4" w:rsidP="00D457A4">
      <w:pPr>
        <w:spacing w:line="360" w:lineRule="auto"/>
        <w:ind w:left="720" w:hanging="720"/>
        <w:jc w:val="both"/>
        <w:rPr>
          <w:rFonts w:ascii="David" w:hAnsi="David"/>
          <w:sz w:val="26"/>
          <w:szCs w:val="26"/>
          <w:rtl/>
        </w:rPr>
      </w:pPr>
      <w:r>
        <w:rPr>
          <w:rFonts w:ascii="David" w:hAnsi="David" w:hint="cs"/>
          <w:sz w:val="26"/>
          <w:szCs w:val="26"/>
          <w:rtl/>
        </w:rPr>
        <w:t>11.</w:t>
      </w:r>
      <w:r>
        <w:rPr>
          <w:rFonts w:ascii="David" w:hAnsi="David" w:hint="cs"/>
          <w:sz w:val="26"/>
          <w:szCs w:val="26"/>
          <w:rtl/>
        </w:rPr>
        <w:tab/>
      </w:r>
      <w:r w:rsidRPr="004E1549">
        <w:rPr>
          <w:rFonts w:ascii="David" w:hAnsi="David" w:hint="cs"/>
          <w:sz w:val="26"/>
          <w:szCs w:val="26"/>
          <w:rtl/>
        </w:rPr>
        <w:t>הנאשם הינו בן 19</w:t>
      </w:r>
      <w:r>
        <w:rPr>
          <w:rFonts w:ascii="David" w:hAnsi="David" w:hint="cs"/>
          <w:sz w:val="26"/>
          <w:szCs w:val="26"/>
          <w:rtl/>
        </w:rPr>
        <w:t xml:space="preserve"> וללא עבר פלילי קודם. הוא היה עצור מיום 14.11.20 ועד ליום 31.1.21 ואז הועבר לתנאי מעצר בפיקוח אלקטרוני. </w:t>
      </w:r>
    </w:p>
    <w:p w14:paraId="7C275649" w14:textId="77777777" w:rsidR="00D457A4" w:rsidRDefault="00D457A4" w:rsidP="00D457A4">
      <w:pPr>
        <w:spacing w:line="360" w:lineRule="auto"/>
        <w:jc w:val="both"/>
        <w:rPr>
          <w:rFonts w:ascii="David" w:hAnsi="David"/>
          <w:sz w:val="26"/>
          <w:szCs w:val="26"/>
          <w:rtl/>
        </w:rPr>
      </w:pPr>
    </w:p>
    <w:p w14:paraId="0C2616E6"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בטיעונים לעונש העיד אחד מחברי ועדת הסולחה ותיאר שהסולחה הביאה לסיום הסכסוך בין שתי המשפחות ושמאז חלפו מספר חודשים היחסים ביניהן תקינים וטובים. כמו כן הוגש הסכם הסולחה בין המשפחות ומכתב בחתימת המתלונן בו צוין שהסכסוך בין הצדדים יושב. </w:t>
      </w:r>
    </w:p>
    <w:p w14:paraId="2C492A15" w14:textId="77777777" w:rsidR="00D457A4" w:rsidRDefault="00D457A4" w:rsidP="00D457A4">
      <w:pPr>
        <w:spacing w:line="360" w:lineRule="auto"/>
        <w:rPr>
          <w:rFonts w:ascii="David" w:hAnsi="David"/>
          <w:sz w:val="26"/>
          <w:szCs w:val="26"/>
          <w:rtl/>
        </w:rPr>
      </w:pPr>
    </w:p>
    <w:p w14:paraId="0DE027C5"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הערכים החברתיים שנפגעו הם שמירה על שלום הציבור ורכושו ואף שמירה על שלמות הגוף. רמת הפגיעה בערכים הראשונים הייתה בינונית ויותר, כאשר יוזכר שאומנם לא נפגע איש אך בוצע ירי במקום מגורים בקרבה רבה לאנשים. כמו כן, בוצע ירי בהיקף גדול יחסית. מדובר בעבירה שתוכננה מראש אך לא דרשה תכנון רב. כמו כן, נראה שחלקו של הנאשם היה משני ביחס לחלקו של האחר ולמעשה נגרר אחריו.  </w:t>
      </w:r>
    </w:p>
    <w:p w14:paraId="6B62769F" w14:textId="77777777" w:rsidR="00D457A4" w:rsidRDefault="00D457A4" w:rsidP="00D457A4">
      <w:pPr>
        <w:spacing w:line="360" w:lineRule="auto"/>
        <w:rPr>
          <w:rFonts w:ascii="David" w:hAnsi="David"/>
          <w:sz w:val="26"/>
          <w:szCs w:val="26"/>
          <w:rtl/>
        </w:rPr>
      </w:pPr>
    </w:p>
    <w:p w14:paraId="3B6DAB99" w14:textId="77777777" w:rsidR="00D457A4" w:rsidRDefault="00D457A4" w:rsidP="00D457A4">
      <w:pPr>
        <w:spacing w:line="360" w:lineRule="auto"/>
        <w:ind w:left="720"/>
        <w:rPr>
          <w:rFonts w:ascii="David" w:hAnsi="David"/>
          <w:sz w:val="26"/>
          <w:szCs w:val="26"/>
          <w:rtl/>
        </w:rPr>
      </w:pPr>
      <w:r>
        <w:rPr>
          <w:rFonts w:ascii="David" w:hAnsi="David" w:hint="cs"/>
          <w:sz w:val="26"/>
          <w:szCs w:val="26"/>
          <w:rtl/>
        </w:rPr>
        <w:t xml:space="preserve">מתוך מדיניות הענישה והצורך להחמיר בעבירות נשק הגעתי למסקנה שמתחם הענישה ההולם במקרה זה נבע בין 3 </w:t>
      </w:r>
      <w:r>
        <w:rPr>
          <w:rFonts w:ascii="David" w:hAnsi="David"/>
          <w:sz w:val="26"/>
          <w:szCs w:val="26"/>
          <w:rtl/>
        </w:rPr>
        <w:t>–</w:t>
      </w:r>
      <w:r>
        <w:rPr>
          <w:rFonts w:ascii="David" w:hAnsi="David" w:hint="cs"/>
          <w:sz w:val="26"/>
          <w:szCs w:val="26"/>
          <w:rtl/>
        </w:rPr>
        <w:t xml:space="preserve"> 5 שנות מאסר בפועל. </w:t>
      </w:r>
    </w:p>
    <w:p w14:paraId="795CCD8B" w14:textId="77777777" w:rsidR="00D457A4" w:rsidRDefault="00D457A4" w:rsidP="00D457A4">
      <w:pPr>
        <w:spacing w:line="360" w:lineRule="auto"/>
        <w:rPr>
          <w:rFonts w:ascii="David" w:hAnsi="David"/>
          <w:sz w:val="26"/>
          <w:szCs w:val="26"/>
          <w:rtl/>
        </w:rPr>
      </w:pPr>
    </w:p>
    <w:p w14:paraId="784639D7"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 xml:space="preserve">באשר לעונש בתוך המתחם, לחומרא יש לשקול את הסיכון להישנות ביצוע עבירות דומות בעתיד ולקולא את העובדה שהנאשם הודה בביצוע העבירות בשלב מוקדם של ההליך וקיבל אחריות על מעשיו. כמו כן, נתתי משקל לגילו הצעיר של הנאשם ולעובדה שאין לחובתו הרשעות קודמות. </w:t>
      </w:r>
    </w:p>
    <w:p w14:paraId="3925E01F" w14:textId="77777777" w:rsidR="00D457A4" w:rsidRDefault="00D457A4" w:rsidP="00D457A4">
      <w:pPr>
        <w:rPr>
          <w:rFonts w:ascii="David" w:hAnsi="David"/>
          <w:sz w:val="26"/>
          <w:szCs w:val="26"/>
          <w:rtl/>
        </w:rPr>
      </w:pPr>
    </w:p>
    <w:p w14:paraId="7D13D834" w14:textId="77777777" w:rsidR="00D457A4" w:rsidRDefault="00D457A4" w:rsidP="00D457A4">
      <w:pPr>
        <w:spacing w:line="360" w:lineRule="auto"/>
        <w:rPr>
          <w:rFonts w:ascii="David" w:hAnsi="David"/>
          <w:sz w:val="26"/>
          <w:szCs w:val="26"/>
          <w:rtl/>
        </w:rPr>
      </w:pPr>
    </w:p>
    <w:p w14:paraId="7D5A4603" w14:textId="77777777" w:rsidR="00D457A4" w:rsidRDefault="00D457A4" w:rsidP="00D457A4">
      <w:pPr>
        <w:spacing w:line="360" w:lineRule="auto"/>
        <w:rPr>
          <w:rFonts w:ascii="David" w:hAnsi="David"/>
          <w:sz w:val="26"/>
          <w:szCs w:val="26"/>
          <w:rtl/>
        </w:rPr>
      </w:pPr>
      <w:r>
        <w:rPr>
          <w:rFonts w:ascii="David" w:hAnsi="David" w:hint="cs"/>
          <w:sz w:val="26"/>
          <w:szCs w:val="26"/>
          <w:rtl/>
        </w:rPr>
        <w:t>12.</w:t>
      </w:r>
      <w:r>
        <w:rPr>
          <w:rFonts w:ascii="David" w:hAnsi="David" w:hint="cs"/>
          <w:sz w:val="26"/>
          <w:szCs w:val="26"/>
          <w:rtl/>
        </w:rPr>
        <w:tab/>
        <w:t>נוכח כל האמור הגעתי מצאתי להטיל ענישה כדלקמן:</w:t>
      </w:r>
    </w:p>
    <w:p w14:paraId="0B3CDC80" w14:textId="77777777" w:rsidR="00D457A4" w:rsidRDefault="00D457A4" w:rsidP="00D457A4">
      <w:pPr>
        <w:spacing w:line="360" w:lineRule="auto"/>
        <w:rPr>
          <w:rFonts w:ascii="David" w:hAnsi="David"/>
          <w:sz w:val="26"/>
          <w:szCs w:val="26"/>
          <w:rtl/>
        </w:rPr>
      </w:pPr>
    </w:p>
    <w:p w14:paraId="38E3D445"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3.5 שנות מאסר בפועל, שמתקופה זו תנוכה תקופת מעצרו מיום 14.11.20 ועד ליום 31.1.21;</w:t>
      </w:r>
    </w:p>
    <w:p w14:paraId="175336A2" w14:textId="77777777" w:rsidR="00D457A4" w:rsidRDefault="00D457A4" w:rsidP="00D457A4">
      <w:pPr>
        <w:spacing w:line="360" w:lineRule="auto"/>
        <w:jc w:val="both"/>
        <w:rPr>
          <w:rFonts w:ascii="David" w:hAnsi="David"/>
          <w:sz w:val="26"/>
          <w:szCs w:val="26"/>
          <w:rtl/>
        </w:rPr>
      </w:pPr>
    </w:p>
    <w:p w14:paraId="6E6396FA" w14:textId="77777777" w:rsidR="00D457A4" w:rsidRDefault="00D457A4" w:rsidP="00D457A4">
      <w:pPr>
        <w:spacing w:line="360" w:lineRule="auto"/>
        <w:ind w:left="720"/>
        <w:jc w:val="both"/>
        <w:rPr>
          <w:rFonts w:ascii="David" w:hAnsi="David"/>
          <w:sz w:val="26"/>
          <w:szCs w:val="26"/>
          <w:rtl/>
        </w:rPr>
      </w:pPr>
    </w:p>
    <w:p w14:paraId="7DA3E283" w14:textId="77777777" w:rsidR="00D457A4" w:rsidRDefault="00D457A4" w:rsidP="00D457A4">
      <w:pPr>
        <w:spacing w:line="360" w:lineRule="auto"/>
        <w:ind w:left="720"/>
        <w:jc w:val="both"/>
        <w:rPr>
          <w:rFonts w:ascii="David" w:hAnsi="David"/>
          <w:sz w:val="26"/>
          <w:szCs w:val="26"/>
          <w:rtl/>
        </w:rPr>
      </w:pPr>
    </w:p>
    <w:p w14:paraId="1335B8CC" w14:textId="77777777" w:rsidR="00D457A4" w:rsidRDefault="00D457A4" w:rsidP="00D457A4">
      <w:pPr>
        <w:spacing w:line="360" w:lineRule="auto"/>
        <w:ind w:left="720"/>
        <w:jc w:val="both"/>
        <w:rPr>
          <w:rFonts w:ascii="David" w:hAnsi="David"/>
          <w:sz w:val="26"/>
          <w:szCs w:val="26"/>
          <w:rtl/>
        </w:rPr>
      </w:pPr>
    </w:p>
    <w:p w14:paraId="0EFF31AB" w14:textId="77777777" w:rsidR="00D457A4" w:rsidRDefault="00D457A4" w:rsidP="00D457A4">
      <w:pPr>
        <w:spacing w:line="360" w:lineRule="auto"/>
        <w:ind w:left="720"/>
        <w:jc w:val="both"/>
        <w:rPr>
          <w:rFonts w:ascii="David" w:hAnsi="David"/>
          <w:sz w:val="26"/>
          <w:szCs w:val="26"/>
          <w:rtl/>
        </w:rPr>
      </w:pPr>
      <w:r>
        <w:rPr>
          <w:rFonts w:ascii="David" w:hAnsi="David" w:hint="cs"/>
          <w:sz w:val="26"/>
          <w:szCs w:val="26"/>
          <w:rtl/>
        </w:rPr>
        <w:t>מאסר על תנאי בן 12 חודשים למשך 3 שנים שהתנאי יופעל במידה והנאשם יבצע עבירות אלימות או נשק מסוג פשע;</w:t>
      </w:r>
    </w:p>
    <w:p w14:paraId="6F213281" w14:textId="77777777" w:rsidR="00D457A4" w:rsidRDefault="00D457A4" w:rsidP="00D457A4">
      <w:pPr>
        <w:spacing w:line="360" w:lineRule="auto"/>
        <w:jc w:val="both"/>
        <w:rPr>
          <w:rFonts w:ascii="David" w:hAnsi="David"/>
          <w:sz w:val="26"/>
          <w:szCs w:val="26"/>
          <w:rtl/>
        </w:rPr>
      </w:pPr>
    </w:p>
    <w:p w14:paraId="679B6058"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 xml:space="preserve">פיצוי למתלונן בסך 3,000 ₪ לתשלום עד ליום 1.10.21. </w:t>
      </w:r>
    </w:p>
    <w:p w14:paraId="4ECBF5F2" w14:textId="77777777" w:rsidR="00D457A4" w:rsidRDefault="00D457A4" w:rsidP="00D457A4">
      <w:pPr>
        <w:spacing w:line="360" w:lineRule="auto"/>
        <w:ind w:firstLine="720"/>
        <w:jc w:val="both"/>
        <w:rPr>
          <w:rFonts w:ascii="David" w:hAnsi="David"/>
          <w:sz w:val="26"/>
          <w:szCs w:val="26"/>
          <w:rtl/>
        </w:rPr>
      </w:pPr>
    </w:p>
    <w:p w14:paraId="01A726ED" w14:textId="77777777" w:rsidR="00D457A4" w:rsidRDefault="00D457A4" w:rsidP="00D457A4">
      <w:pPr>
        <w:spacing w:line="360" w:lineRule="auto"/>
        <w:ind w:firstLine="720"/>
        <w:jc w:val="both"/>
        <w:rPr>
          <w:rFonts w:ascii="David" w:hAnsi="David"/>
          <w:sz w:val="26"/>
          <w:szCs w:val="26"/>
          <w:rtl/>
        </w:rPr>
      </w:pPr>
      <w:r>
        <w:rPr>
          <w:rFonts w:ascii="David" w:hAnsi="David" w:hint="cs"/>
          <w:sz w:val="26"/>
          <w:szCs w:val="26"/>
          <w:rtl/>
        </w:rPr>
        <w:t>הנאשם יתייצב לתחילת ריצוי עונשו ביום 26/7/21, שעה 10:00.</w:t>
      </w:r>
    </w:p>
    <w:p w14:paraId="048CF5B1" w14:textId="77777777" w:rsidR="00D457A4" w:rsidRDefault="00D457A4" w:rsidP="00D457A4">
      <w:pPr>
        <w:spacing w:line="360" w:lineRule="auto"/>
        <w:rPr>
          <w:rFonts w:ascii="David" w:hAnsi="David"/>
          <w:sz w:val="26"/>
          <w:szCs w:val="26"/>
          <w:rtl/>
        </w:rPr>
      </w:pPr>
    </w:p>
    <w:p w14:paraId="2EBA457E" w14:textId="77777777" w:rsidR="00D457A4" w:rsidRDefault="00D457A4" w:rsidP="00D457A4">
      <w:pPr>
        <w:spacing w:line="360" w:lineRule="auto"/>
        <w:rPr>
          <w:rFonts w:ascii="David" w:hAnsi="David"/>
          <w:sz w:val="26"/>
          <w:szCs w:val="26"/>
          <w:rtl/>
        </w:rPr>
      </w:pPr>
    </w:p>
    <w:p w14:paraId="3B08CEF8" w14:textId="77777777" w:rsidR="00D457A4" w:rsidRDefault="00D457A4" w:rsidP="00D457A4">
      <w:pPr>
        <w:spacing w:line="360" w:lineRule="auto"/>
        <w:rPr>
          <w:rFonts w:ascii="David" w:hAnsi="David"/>
          <w:sz w:val="26"/>
          <w:szCs w:val="26"/>
          <w:rtl/>
        </w:rPr>
      </w:pPr>
      <w:r>
        <w:rPr>
          <w:rFonts w:ascii="David" w:hAnsi="David" w:hint="cs"/>
          <w:b/>
          <w:bCs/>
          <w:sz w:val="26"/>
          <w:szCs w:val="26"/>
          <w:u w:val="single"/>
          <w:rtl/>
        </w:rPr>
        <w:t>זכות ערעור תוך 45 יום</w:t>
      </w:r>
      <w:r>
        <w:rPr>
          <w:rFonts w:ascii="David" w:hAnsi="David" w:hint="cs"/>
          <w:sz w:val="26"/>
          <w:szCs w:val="26"/>
          <w:rtl/>
        </w:rPr>
        <w:t>.</w:t>
      </w:r>
    </w:p>
    <w:p w14:paraId="5BF8D2A0" w14:textId="77777777" w:rsidR="00D457A4" w:rsidRDefault="00D457A4" w:rsidP="00D457A4">
      <w:pPr>
        <w:spacing w:line="360" w:lineRule="auto"/>
        <w:rPr>
          <w:rFonts w:ascii="David" w:hAnsi="David"/>
          <w:sz w:val="26"/>
          <w:szCs w:val="26"/>
          <w:rtl/>
        </w:rPr>
      </w:pPr>
    </w:p>
    <w:p w14:paraId="73B53411" w14:textId="77777777" w:rsidR="00D457A4" w:rsidRDefault="00D457A4" w:rsidP="00D457A4">
      <w:pPr>
        <w:rPr>
          <w:rFonts w:ascii="David" w:hAnsi="David"/>
          <w:sz w:val="26"/>
          <w:szCs w:val="26"/>
          <w:rtl/>
        </w:rPr>
      </w:pPr>
    </w:p>
    <w:p w14:paraId="099B5841" w14:textId="77777777" w:rsidR="00D457A4" w:rsidRPr="002B7D23" w:rsidRDefault="00D457A4" w:rsidP="00D457A4">
      <w:pPr>
        <w:rPr>
          <w:rFonts w:ascii="David" w:hAnsi="David"/>
          <w:sz w:val="26"/>
          <w:szCs w:val="26"/>
          <w:rtl/>
        </w:rPr>
      </w:pPr>
    </w:p>
    <w:p w14:paraId="279574A1" w14:textId="77777777" w:rsidR="00D457A4" w:rsidRDefault="00E71908" w:rsidP="00D457A4">
      <w:pPr>
        <w:spacing w:line="360" w:lineRule="auto"/>
        <w:jc w:val="both"/>
        <w:rPr>
          <w:rFonts w:ascii="David" w:hAnsi="David"/>
          <w:sz w:val="26"/>
          <w:szCs w:val="26"/>
        </w:rPr>
      </w:pPr>
      <w:bookmarkStart w:id="8" w:name="Nitan"/>
      <w:r w:rsidRPr="00E71908">
        <w:rPr>
          <w:rFonts w:ascii="David" w:hAnsi="David"/>
          <w:b/>
          <w:bCs/>
          <w:color w:val="FFFFFF"/>
          <w:sz w:val="2"/>
          <w:szCs w:val="2"/>
          <w:rtl/>
        </w:rPr>
        <w:t>5129371</w:t>
      </w:r>
      <w:r>
        <w:rPr>
          <w:rFonts w:ascii="David" w:hAnsi="David"/>
          <w:b/>
          <w:bCs/>
          <w:sz w:val="26"/>
          <w:szCs w:val="26"/>
          <w:rtl/>
        </w:rPr>
        <w:t xml:space="preserve">ניתן היום,  י' אב תשפ"א, 19 יולי 2021, במעמד הנאשם ובאי-כח הצדדים. </w:t>
      </w:r>
      <w:bookmarkEnd w:id="8"/>
    </w:p>
    <w:tbl>
      <w:tblPr>
        <w:tblpPr w:leftFromText="180" w:rightFromText="180" w:vertAnchor="text" w:horzAnchor="margin" w:tblpY="7"/>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D457A4" w14:paraId="040F8048" w14:textId="77777777" w:rsidTr="00D457A4">
        <w:trPr>
          <w:trHeight w:val="316"/>
        </w:trPr>
        <w:tc>
          <w:tcPr>
            <w:tcW w:w="3936" w:type="dxa"/>
            <w:tcBorders>
              <w:top w:val="nil"/>
              <w:left w:val="nil"/>
              <w:bottom w:val="single" w:sz="4" w:space="0" w:color="auto"/>
              <w:right w:val="nil"/>
            </w:tcBorders>
            <w:shd w:val="clear" w:color="auto" w:fill="auto"/>
          </w:tcPr>
          <w:p w14:paraId="2BA8151D" w14:textId="77777777" w:rsidR="00D457A4" w:rsidRPr="00E71908" w:rsidRDefault="00E71908" w:rsidP="00D457A4">
            <w:pPr>
              <w:jc w:val="center"/>
              <w:rPr>
                <w:color w:val="FFFFFF"/>
                <w:sz w:val="2"/>
                <w:szCs w:val="2"/>
                <w:rtl/>
              </w:rPr>
            </w:pPr>
            <w:r w:rsidRPr="00E71908">
              <w:rPr>
                <w:color w:val="FFFFFF"/>
                <w:sz w:val="2"/>
                <w:szCs w:val="2"/>
                <w:rtl/>
              </w:rPr>
              <w:t>54678313</w:t>
            </w:r>
          </w:p>
          <w:p w14:paraId="6A3EBE18" w14:textId="77777777" w:rsidR="00D457A4" w:rsidRDefault="00D457A4" w:rsidP="00D457A4">
            <w:pPr>
              <w:jc w:val="center"/>
            </w:pPr>
          </w:p>
        </w:tc>
      </w:tr>
      <w:tr w:rsidR="00D457A4" w14:paraId="0E0162E5" w14:textId="77777777" w:rsidTr="00D457A4">
        <w:trPr>
          <w:trHeight w:val="361"/>
        </w:trPr>
        <w:tc>
          <w:tcPr>
            <w:tcW w:w="3936" w:type="dxa"/>
            <w:tcBorders>
              <w:top w:val="single" w:sz="4" w:space="0" w:color="auto"/>
              <w:left w:val="nil"/>
              <w:bottom w:val="nil"/>
              <w:right w:val="nil"/>
            </w:tcBorders>
            <w:shd w:val="clear" w:color="auto" w:fill="auto"/>
          </w:tcPr>
          <w:p w14:paraId="61B8EA4C" w14:textId="77777777" w:rsidR="00D457A4" w:rsidRPr="00D457A4" w:rsidRDefault="00D457A4" w:rsidP="00D457A4">
            <w:pPr>
              <w:jc w:val="center"/>
              <w:rPr>
                <w:b/>
                <w:bCs/>
              </w:rPr>
            </w:pPr>
            <w:r w:rsidRPr="00D457A4">
              <w:rPr>
                <w:rFonts w:hint="cs"/>
                <w:b/>
                <w:bCs/>
                <w:rtl/>
              </w:rPr>
              <w:t xml:space="preserve">דניאל פיש , שופט </w:t>
            </w:r>
          </w:p>
        </w:tc>
      </w:tr>
    </w:tbl>
    <w:p w14:paraId="663B9347" w14:textId="77777777" w:rsidR="00D457A4" w:rsidRPr="00BF2A20" w:rsidRDefault="00BF2A20" w:rsidP="00D457A4">
      <w:pPr>
        <w:rPr>
          <w:color w:val="FFFFFF"/>
          <w:sz w:val="2"/>
          <w:szCs w:val="2"/>
        </w:rPr>
      </w:pPr>
      <w:r w:rsidRPr="00BF2A20">
        <w:rPr>
          <w:color w:val="FFFFFF"/>
          <w:sz w:val="2"/>
          <w:szCs w:val="2"/>
          <w:rtl/>
        </w:rPr>
        <w:t>5129371</w:t>
      </w:r>
    </w:p>
    <w:p w14:paraId="168DEB74" w14:textId="77777777" w:rsidR="00006687" w:rsidRPr="00BF2A20" w:rsidRDefault="00BF2A20" w:rsidP="00E71908">
      <w:pPr>
        <w:keepNext/>
        <w:rPr>
          <w:rFonts w:ascii="David" w:hAnsi="David"/>
          <w:color w:val="FFFFFF"/>
          <w:sz w:val="2"/>
          <w:szCs w:val="2"/>
          <w:rtl/>
        </w:rPr>
      </w:pPr>
      <w:r w:rsidRPr="00BF2A20">
        <w:rPr>
          <w:rFonts w:ascii="David" w:hAnsi="David"/>
          <w:color w:val="FFFFFF"/>
          <w:sz w:val="2"/>
          <w:szCs w:val="2"/>
          <w:rtl/>
        </w:rPr>
        <w:t>54678313</w:t>
      </w:r>
    </w:p>
    <w:p w14:paraId="5D8E80C1" w14:textId="77777777" w:rsidR="00E71908" w:rsidRDefault="00E71908" w:rsidP="00E71908">
      <w:pPr>
        <w:rPr>
          <w:rtl/>
        </w:rPr>
      </w:pPr>
    </w:p>
    <w:p w14:paraId="3EEE4E1F" w14:textId="77777777" w:rsidR="00E71908" w:rsidRDefault="00E71908" w:rsidP="00E71908">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737C537" w14:textId="77777777" w:rsidR="00BF2A20" w:rsidRPr="00BF2A20" w:rsidRDefault="00BF2A20" w:rsidP="00BF2A20">
      <w:pPr>
        <w:keepNext/>
        <w:rPr>
          <w:rFonts w:ascii="David" w:hAnsi="David"/>
          <w:color w:val="000000"/>
          <w:sz w:val="22"/>
          <w:szCs w:val="22"/>
          <w:rtl/>
        </w:rPr>
      </w:pPr>
    </w:p>
    <w:p w14:paraId="1195B38A" w14:textId="77777777" w:rsidR="00BF2A20" w:rsidRPr="00BF2A20" w:rsidRDefault="00BF2A20" w:rsidP="00BF2A20">
      <w:pPr>
        <w:keepNext/>
        <w:rPr>
          <w:rFonts w:ascii="David" w:hAnsi="David"/>
          <w:color w:val="000000"/>
          <w:sz w:val="22"/>
          <w:szCs w:val="22"/>
          <w:rtl/>
        </w:rPr>
      </w:pPr>
      <w:r w:rsidRPr="00BF2A20">
        <w:rPr>
          <w:rFonts w:ascii="David" w:hAnsi="David"/>
          <w:color w:val="000000"/>
          <w:sz w:val="22"/>
          <w:szCs w:val="22"/>
          <w:rtl/>
        </w:rPr>
        <w:t>דניאל פיש 54678313-/</w:t>
      </w:r>
    </w:p>
    <w:p w14:paraId="37155F78" w14:textId="77777777" w:rsidR="00E71908" w:rsidRPr="00E71908" w:rsidRDefault="00BF2A20" w:rsidP="00BF2A20">
      <w:pPr>
        <w:rPr>
          <w:rFonts w:hint="cs"/>
          <w:color w:val="0000FF"/>
          <w:u w:val="single"/>
        </w:rPr>
      </w:pPr>
      <w:r w:rsidRPr="00BF2A20">
        <w:rPr>
          <w:color w:val="000000"/>
          <w:u w:val="single"/>
          <w:rtl/>
        </w:rPr>
        <w:t>נוסח מסמך זה כפוף לשינויי ניסוח ועריכה</w:t>
      </w:r>
      <w:r w:rsidR="00EE7045">
        <w:rPr>
          <w:rFonts w:hint="cs"/>
          <w:color w:val="0000FF"/>
          <w:u w:val="single"/>
          <w:rtl/>
        </w:rPr>
        <w:t xml:space="preserve">  </w:t>
      </w:r>
    </w:p>
    <w:sectPr w:rsidR="00E71908" w:rsidRPr="00E71908" w:rsidSect="00BF2A20">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406B" w14:textId="77777777" w:rsidR="00E50FD6" w:rsidRDefault="00E50FD6" w:rsidP="00A47295">
      <w:r>
        <w:separator/>
      </w:r>
    </w:p>
  </w:endnote>
  <w:endnote w:type="continuationSeparator" w:id="0">
    <w:p w14:paraId="55FD59EF" w14:textId="77777777" w:rsidR="00E50FD6" w:rsidRDefault="00E50FD6" w:rsidP="00A4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F262" w14:textId="77777777" w:rsidR="00BF2A20" w:rsidRDefault="00BF2A20" w:rsidP="00BF2A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CE72FD" w14:textId="77777777" w:rsidR="00B03CC0" w:rsidRPr="00BF2A20" w:rsidRDefault="00BF2A20" w:rsidP="00BF2A20">
    <w:pPr>
      <w:pStyle w:val="a5"/>
      <w:pBdr>
        <w:top w:val="single" w:sz="4" w:space="1" w:color="auto"/>
        <w:between w:val="single" w:sz="4" w:space="0" w:color="auto"/>
      </w:pBdr>
      <w:spacing w:after="60"/>
      <w:jc w:val="center"/>
      <w:rPr>
        <w:rFonts w:ascii="FrankRuehl" w:hAnsi="FrankRuehl" w:cs="FrankRuehl"/>
        <w:color w:val="000000"/>
      </w:rPr>
    </w:pPr>
    <w:r w:rsidRPr="00BF2A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2240" w14:textId="77777777" w:rsidR="00BF2A20" w:rsidRDefault="00BF2A20" w:rsidP="00BF2A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2F26">
      <w:rPr>
        <w:rFonts w:ascii="FrankRuehl" w:hAnsi="FrankRuehl" w:cs="FrankRuehl"/>
        <w:noProof/>
        <w:rtl/>
      </w:rPr>
      <w:t>1</w:t>
    </w:r>
    <w:r>
      <w:rPr>
        <w:rFonts w:ascii="FrankRuehl" w:hAnsi="FrankRuehl" w:cs="FrankRuehl"/>
        <w:rtl/>
      </w:rPr>
      <w:fldChar w:fldCharType="end"/>
    </w:r>
  </w:p>
  <w:p w14:paraId="21BEE398" w14:textId="77777777" w:rsidR="00B03CC0" w:rsidRPr="00BF2A20" w:rsidRDefault="00BF2A20" w:rsidP="00BF2A20">
    <w:pPr>
      <w:pStyle w:val="a5"/>
      <w:pBdr>
        <w:top w:val="single" w:sz="4" w:space="1" w:color="auto"/>
        <w:between w:val="single" w:sz="4" w:space="0" w:color="auto"/>
      </w:pBdr>
      <w:spacing w:after="60"/>
      <w:jc w:val="center"/>
      <w:rPr>
        <w:rFonts w:ascii="FrankRuehl" w:hAnsi="FrankRuehl" w:cs="FrankRuehl"/>
        <w:color w:val="000000"/>
      </w:rPr>
    </w:pPr>
    <w:r w:rsidRPr="00BF2A20">
      <w:rPr>
        <w:rFonts w:ascii="FrankRuehl" w:hAnsi="FrankRuehl" w:cs="FrankRuehl"/>
        <w:color w:val="000000"/>
      </w:rPr>
      <w:pict w14:anchorId="3C009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464B2" w14:textId="77777777" w:rsidR="00E50FD6" w:rsidRDefault="00E50FD6" w:rsidP="00A47295">
      <w:r>
        <w:separator/>
      </w:r>
    </w:p>
  </w:footnote>
  <w:footnote w:type="continuationSeparator" w:id="0">
    <w:p w14:paraId="0EBED731" w14:textId="77777777" w:rsidR="00E50FD6" w:rsidRDefault="00E50FD6" w:rsidP="00A47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5C62" w14:textId="77777777" w:rsidR="00E71908" w:rsidRPr="00BF2A20" w:rsidRDefault="00BF2A20" w:rsidP="00BF2A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72146-11-20</w:t>
    </w:r>
    <w:r>
      <w:rPr>
        <w:rFonts w:ascii="David" w:hAnsi="David"/>
        <w:color w:val="000000"/>
        <w:sz w:val="22"/>
        <w:szCs w:val="22"/>
        <w:rtl/>
      </w:rPr>
      <w:tab/>
      <w:t xml:space="preserve"> מדינת ישראל נ' מהדי 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2843" w14:textId="77777777" w:rsidR="00E71908" w:rsidRPr="00BF2A20" w:rsidRDefault="00BF2A20" w:rsidP="00BF2A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72146-11-20</w:t>
    </w:r>
    <w:r>
      <w:rPr>
        <w:rFonts w:ascii="David" w:hAnsi="David"/>
        <w:color w:val="000000"/>
        <w:sz w:val="22"/>
        <w:szCs w:val="22"/>
        <w:rtl/>
      </w:rPr>
      <w:tab/>
      <w:t xml:space="preserve"> מדינת ישראל נ' מהדי ריאן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57A4"/>
    <w:rsid w:val="00006687"/>
    <w:rsid w:val="001B5A3B"/>
    <w:rsid w:val="003119CC"/>
    <w:rsid w:val="003C7CDD"/>
    <w:rsid w:val="003D2F26"/>
    <w:rsid w:val="00410BF8"/>
    <w:rsid w:val="005D5E96"/>
    <w:rsid w:val="00A47295"/>
    <w:rsid w:val="00B03CC0"/>
    <w:rsid w:val="00B107BE"/>
    <w:rsid w:val="00BB778E"/>
    <w:rsid w:val="00BF2A20"/>
    <w:rsid w:val="00D457A4"/>
    <w:rsid w:val="00E50FD6"/>
    <w:rsid w:val="00E627F6"/>
    <w:rsid w:val="00E71908"/>
    <w:rsid w:val="00EE7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6453B5"/>
  <w15:chartTrackingRefBased/>
  <w15:docId w15:val="{1C4A6EAA-A6A8-460A-9D0A-22FC53A8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57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57A4"/>
    <w:pPr>
      <w:tabs>
        <w:tab w:val="center" w:pos="4153"/>
        <w:tab w:val="right" w:pos="8306"/>
      </w:tabs>
    </w:pPr>
  </w:style>
  <w:style w:type="character" w:customStyle="1" w:styleId="a4">
    <w:name w:val="כותרת עליונה תו"/>
    <w:link w:val="a3"/>
    <w:rsid w:val="00D457A4"/>
    <w:rPr>
      <w:rFonts w:ascii="Times New Roman" w:eastAsia="Times New Roman" w:hAnsi="Times New Roman" w:cs="David"/>
      <w:sz w:val="24"/>
      <w:szCs w:val="24"/>
    </w:rPr>
  </w:style>
  <w:style w:type="paragraph" w:styleId="a5">
    <w:name w:val="footer"/>
    <w:basedOn w:val="a"/>
    <w:link w:val="a6"/>
    <w:rsid w:val="00D457A4"/>
    <w:pPr>
      <w:tabs>
        <w:tab w:val="center" w:pos="4153"/>
        <w:tab w:val="right" w:pos="8306"/>
      </w:tabs>
    </w:pPr>
  </w:style>
  <w:style w:type="character" w:customStyle="1" w:styleId="a6">
    <w:name w:val="כותרת תחתונה תו"/>
    <w:link w:val="a5"/>
    <w:rsid w:val="00D457A4"/>
    <w:rPr>
      <w:rFonts w:ascii="Times New Roman" w:eastAsia="Times New Roman" w:hAnsi="Times New Roman" w:cs="David"/>
      <w:sz w:val="24"/>
      <w:szCs w:val="24"/>
    </w:rPr>
  </w:style>
  <w:style w:type="table" w:styleId="a7">
    <w:name w:val="Table Grid"/>
    <w:basedOn w:val="a1"/>
    <w:rsid w:val="00D457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57A4"/>
  </w:style>
  <w:style w:type="paragraph" w:customStyle="1" w:styleId="12">
    <w:name w:val="רגיל + ‏12 נק'"/>
    <w:aliases w:val="מיושר לשני הצדדים,מרווח בין שורות:  שורה וחצי"/>
    <w:basedOn w:val="a"/>
    <w:rsid w:val="00D457A4"/>
    <w:rPr>
      <w:b/>
      <w:bCs/>
      <w:u w:val="single"/>
    </w:rPr>
  </w:style>
  <w:style w:type="character" w:customStyle="1" w:styleId="TimesNewRomanTimesNewRoman">
    <w:name w:val="סגנון (לטיני) Times New Roman (עברית ושפות אחרות) Times New Roman..."/>
    <w:rsid w:val="00D457A4"/>
    <w:rPr>
      <w:rFonts w:ascii="Times New Roman" w:hAnsi="Times New Roman" w:cs="David" w:hint="default"/>
      <w:b/>
      <w:bCs/>
      <w:sz w:val="26"/>
      <w:szCs w:val="26"/>
    </w:rPr>
  </w:style>
  <w:style w:type="character" w:styleId="Hyperlink">
    <w:name w:val="Hyperlink"/>
    <w:rsid w:val="00E71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333" TargetMode="External"/><Relationship Id="rId26" Type="http://schemas.openxmlformats.org/officeDocument/2006/relationships/hyperlink" Target="http://www.nevo.co.il/case/2147416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244" TargetMode="External"/><Relationship Id="rId34" Type="http://schemas.openxmlformats.org/officeDocument/2006/relationships/hyperlink" Target="http://www.nevo.co.il/case/25126873" TargetMode="External"/><Relationship Id="rId42"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9" Type="http://schemas.openxmlformats.org/officeDocument/2006/relationships/hyperlink" Target="http://www.nevo.co.il/case/2385957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5821328" TargetMode="External"/><Relationship Id="rId32" Type="http://schemas.openxmlformats.org/officeDocument/2006/relationships/hyperlink" Target="http://www.nevo.co.il/case/8437593" TargetMode="External"/><Relationship Id="rId37" Type="http://schemas.openxmlformats.org/officeDocument/2006/relationships/hyperlink" Target="http://www.nevo.co.il/case/587750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16980206" TargetMode="External"/><Relationship Id="rId28" Type="http://schemas.openxmlformats.org/officeDocument/2006/relationships/hyperlink" Target="http://www.nevo.co.il/case/26731682" TargetMode="External"/><Relationship Id="rId36" Type="http://schemas.openxmlformats.org/officeDocument/2006/relationships/hyperlink" Target="http://www.nevo.co.il/case/18124293" TargetMode="External"/><Relationship Id="rId10" Type="http://schemas.openxmlformats.org/officeDocument/2006/relationships/hyperlink" Target="http://www.nevo.co.il/law/70301/244" TargetMode="External"/><Relationship Id="rId19" Type="http://schemas.openxmlformats.org/officeDocument/2006/relationships/hyperlink" Target="http://www.nevo.co.il/law/70301/335.a.1" TargetMode="External"/><Relationship Id="rId31" Type="http://schemas.openxmlformats.org/officeDocument/2006/relationships/hyperlink" Target="http://www.nevo.co.il/case/21282242"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26492590" TargetMode="External"/><Relationship Id="rId30" Type="http://schemas.openxmlformats.org/officeDocument/2006/relationships/hyperlink" Target="http://www.nevo.co.il/case/25255773" TargetMode="External"/><Relationship Id="rId35" Type="http://schemas.openxmlformats.org/officeDocument/2006/relationships/hyperlink" Target="http://www.nevo.co.il/case/16980206" TargetMode="External"/><Relationship Id="rId43"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webSettings" Target="webSettings.xml"/><Relationship Id="rId12" Type="http://schemas.openxmlformats.org/officeDocument/2006/relationships/hyperlink" Target="http://www.nevo.co.il/law/70301/329.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824897" TargetMode="External"/><Relationship Id="rId33" Type="http://schemas.openxmlformats.org/officeDocument/2006/relationships/hyperlink" Target="http://www.nevo.co.il/case/20214074" TargetMode="External"/><Relationship Id="rId38" Type="http://schemas.openxmlformats.org/officeDocument/2006/relationships/hyperlink" Target="http://www.nevo.co.il/law/70301/329.a.1" TargetMode="External"/><Relationship Id="rId20" Type="http://schemas.openxmlformats.org/officeDocument/2006/relationships/hyperlink" Target="http://www.nevo.co.il/law/70301/25"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2097</Words>
  <Characters>10489</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12561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6750270</vt:i4>
      </vt:variant>
      <vt:variant>
        <vt:i4>96</vt:i4>
      </vt:variant>
      <vt:variant>
        <vt:i4>0</vt:i4>
      </vt:variant>
      <vt:variant>
        <vt:i4>5</vt:i4>
      </vt:variant>
      <vt:variant>
        <vt:lpwstr>http://www.nevo.co.il/law/70301/329.a.1</vt:lpwstr>
      </vt:variant>
      <vt:variant>
        <vt:lpwstr/>
      </vt:variant>
      <vt:variant>
        <vt:i4>3342459</vt:i4>
      </vt:variant>
      <vt:variant>
        <vt:i4>93</vt:i4>
      </vt:variant>
      <vt:variant>
        <vt:i4>0</vt:i4>
      </vt:variant>
      <vt:variant>
        <vt:i4>5</vt:i4>
      </vt:variant>
      <vt:variant>
        <vt:lpwstr>http://www.nevo.co.il/case/5877504</vt:lpwstr>
      </vt:variant>
      <vt:variant>
        <vt:lpwstr/>
      </vt:variant>
      <vt:variant>
        <vt:i4>3997820</vt:i4>
      </vt:variant>
      <vt:variant>
        <vt:i4>90</vt:i4>
      </vt:variant>
      <vt:variant>
        <vt:i4>0</vt:i4>
      </vt:variant>
      <vt:variant>
        <vt:i4>5</vt:i4>
      </vt:variant>
      <vt:variant>
        <vt:lpwstr>http://www.nevo.co.il/case/18124293</vt:lpwstr>
      </vt:variant>
      <vt:variant>
        <vt:lpwstr/>
      </vt:variant>
      <vt:variant>
        <vt:i4>3670136</vt:i4>
      </vt:variant>
      <vt:variant>
        <vt:i4>87</vt:i4>
      </vt:variant>
      <vt:variant>
        <vt:i4>0</vt:i4>
      </vt:variant>
      <vt:variant>
        <vt:i4>5</vt:i4>
      </vt:variant>
      <vt:variant>
        <vt:lpwstr>http://www.nevo.co.il/case/16980206</vt:lpwstr>
      </vt:variant>
      <vt:variant>
        <vt:lpwstr/>
      </vt:variant>
      <vt:variant>
        <vt:i4>3276923</vt:i4>
      </vt:variant>
      <vt:variant>
        <vt:i4>84</vt:i4>
      </vt:variant>
      <vt:variant>
        <vt:i4>0</vt:i4>
      </vt:variant>
      <vt:variant>
        <vt:i4>5</vt:i4>
      </vt:variant>
      <vt:variant>
        <vt:lpwstr>http://www.nevo.co.il/case/25126873</vt:lpwstr>
      </vt:variant>
      <vt:variant>
        <vt:lpwstr/>
      </vt:variant>
      <vt:variant>
        <vt:i4>3342453</vt:i4>
      </vt:variant>
      <vt:variant>
        <vt:i4>81</vt:i4>
      </vt:variant>
      <vt:variant>
        <vt:i4>0</vt:i4>
      </vt:variant>
      <vt:variant>
        <vt:i4>5</vt:i4>
      </vt:variant>
      <vt:variant>
        <vt:lpwstr>http://www.nevo.co.il/case/20214074</vt:lpwstr>
      </vt:variant>
      <vt:variant>
        <vt:lpwstr/>
      </vt:variant>
      <vt:variant>
        <vt:i4>3997822</vt:i4>
      </vt:variant>
      <vt:variant>
        <vt:i4>78</vt:i4>
      </vt:variant>
      <vt:variant>
        <vt:i4>0</vt:i4>
      </vt:variant>
      <vt:variant>
        <vt:i4>5</vt:i4>
      </vt:variant>
      <vt:variant>
        <vt:lpwstr>http://www.nevo.co.il/case/8437593</vt:lpwstr>
      </vt:variant>
      <vt:variant>
        <vt:lpwstr/>
      </vt:variant>
      <vt:variant>
        <vt:i4>3539071</vt:i4>
      </vt:variant>
      <vt:variant>
        <vt:i4>75</vt:i4>
      </vt:variant>
      <vt:variant>
        <vt:i4>0</vt:i4>
      </vt:variant>
      <vt:variant>
        <vt:i4>5</vt:i4>
      </vt:variant>
      <vt:variant>
        <vt:lpwstr>http://www.nevo.co.il/case/21282242</vt:lpwstr>
      </vt:variant>
      <vt:variant>
        <vt:lpwstr/>
      </vt:variant>
      <vt:variant>
        <vt:i4>3276915</vt:i4>
      </vt:variant>
      <vt:variant>
        <vt:i4>72</vt:i4>
      </vt:variant>
      <vt:variant>
        <vt:i4>0</vt:i4>
      </vt:variant>
      <vt:variant>
        <vt:i4>5</vt:i4>
      </vt:variant>
      <vt:variant>
        <vt:lpwstr>http://www.nevo.co.il/case/25255773</vt:lpwstr>
      </vt:variant>
      <vt:variant>
        <vt:lpwstr/>
      </vt:variant>
      <vt:variant>
        <vt:i4>3407991</vt:i4>
      </vt:variant>
      <vt:variant>
        <vt:i4>69</vt:i4>
      </vt:variant>
      <vt:variant>
        <vt:i4>0</vt:i4>
      </vt:variant>
      <vt:variant>
        <vt:i4>5</vt:i4>
      </vt:variant>
      <vt:variant>
        <vt:lpwstr>http://www.nevo.co.il/case/23859579</vt:lpwstr>
      </vt:variant>
      <vt:variant>
        <vt:lpwstr/>
      </vt:variant>
      <vt:variant>
        <vt:i4>3932279</vt:i4>
      </vt:variant>
      <vt:variant>
        <vt:i4>66</vt:i4>
      </vt:variant>
      <vt:variant>
        <vt:i4>0</vt:i4>
      </vt:variant>
      <vt:variant>
        <vt:i4>5</vt:i4>
      </vt:variant>
      <vt:variant>
        <vt:lpwstr>http://www.nevo.co.il/case/26731682</vt:lpwstr>
      </vt:variant>
      <vt:variant>
        <vt:lpwstr/>
      </vt:variant>
      <vt:variant>
        <vt:i4>3997822</vt:i4>
      </vt:variant>
      <vt:variant>
        <vt:i4>63</vt:i4>
      </vt:variant>
      <vt:variant>
        <vt:i4>0</vt:i4>
      </vt:variant>
      <vt:variant>
        <vt:i4>5</vt:i4>
      </vt:variant>
      <vt:variant>
        <vt:lpwstr>http://www.nevo.co.il/case/26492590</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3604603</vt:i4>
      </vt:variant>
      <vt:variant>
        <vt:i4>57</vt:i4>
      </vt:variant>
      <vt:variant>
        <vt:i4>0</vt:i4>
      </vt:variant>
      <vt:variant>
        <vt:i4>5</vt:i4>
      </vt:variant>
      <vt:variant>
        <vt:lpwstr>http://www.nevo.co.il/case/25824897</vt:lpwstr>
      </vt:variant>
      <vt:variant>
        <vt:lpwstr/>
      </vt:variant>
      <vt:variant>
        <vt:i4>3932287</vt:i4>
      </vt:variant>
      <vt:variant>
        <vt:i4>54</vt:i4>
      </vt:variant>
      <vt:variant>
        <vt:i4>0</vt:i4>
      </vt:variant>
      <vt:variant>
        <vt:i4>5</vt:i4>
      </vt:variant>
      <vt:variant>
        <vt:lpwstr>http://www.nevo.co.il/case/5821328</vt:lpwstr>
      </vt:variant>
      <vt:variant>
        <vt:lpwstr/>
      </vt:variant>
      <vt:variant>
        <vt:i4>3670136</vt:i4>
      </vt:variant>
      <vt:variant>
        <vt:i4>51</vt:i4>
      </vt:variant>
      <vt:variant>
        <vt:i4>0</vt:i4>
      </vt:variant>
      <vt:variant>
        <vt:i4>5</vt:i4>
      </vt:variant>
      <vt:variant>
        <vt:lpwstr>http://www.nevo.co.il/case/16980206</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72146</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מהדי ריאן</vt:lpwstr>
  </property>
  <property fmtid="{D5CDD505-2E9C-101B-9397-08002B2CF9AE}" pid="10" name="LAWYER">
    <vt:lpwstr>בני פסקל;מיכאל כרמל;זיאד ריאן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20210719</vt:lpwstr>
  </property>
  <property fmtid="{D5CDD505-2E9C-101B-9397-08002B2CF9AE}" pid="14" name="TYPE_N_DATE">
    <vt:lpwstr>39020210719</vt:lpwstr>
  </property>
  <property fmtid="{D5CDD505-2E9C-101B-9397-08002B2CF9AE}" pid="15" name="WORDNUMPAGES">
    <vt:lpwstr>8</vt:lpwstr>
  </property>
  <property fmtid="{D5CDD505-2E9C-101B-9397-08002B2CF9AE}" pid="16" name="TYPE_ABS_DATE">
    <vt:lpwstr>390020210719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16980206:2;5821328;25824897;21474168;26492590;26731682;23859579;25255773;21282242;8437593;20214074;25126873;18124293;5877504</vt:lpwstr>
  </property>
  <property fmtid="{D5CDD505-2E9C-101B-9397-08002B2CF9AE}" pid="36" name="LAWLISTTMP1">
    <vt:lpwstr>70301/144.b;029;333;335.a.1;025;244;275;329.a.1</vt:lpwstr>
  </property>
</Properties>
</file>