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39"/>
        <w:gridCol w:w="3708"/>
      </w:tblGrid>
      <w:tr w:rsidR="006E1CF6" w:rsidRPr="00A129B4" w14:paraId="50823A7E" w14:textId="77777777">
        <w:trPr>
          <w:trHeight w:hRule="exact" w:val="418"/>
          <w:jc w:val="center"/>
        </w:trPr>
        <w:tc>
          <w:tcPr>
            <w:tcW w:w="8720" w:type="dxa"/>
            <w:gridSpan w:val="3"/>
          </w:tcPr>
          <w:p w14:paraId="32ED311F" w14:textId="77777777" w:rsidR="006E1CF6" w:rsidRPr="00A129B4" w:rsidRDefault="00A129B4">
            <w:pPr>
              <w:pStyle w:val="a4"/>
              <w:tabs>
                <w:tab w:val="clear" w:pos="8306"/>
              </w:tabs>
              <w:jc w:val="center"/>
              <w:rPr>
                <w:rFonts w:ascii="Tahoma" w:hAnsi="Tahoma" w:cs="Tahoma"/>
                <w:b/>
                <w:bCs/>
                <w:color w:val="000080"/>
                <w:rtl/>
              </w:rPr>
            </w:pPr>
            <w:bookmarkStart w:id="0" w:name="LastJudge"/>
            <w:r w:rsidRPr="00A129B4">
              <w:rPr>
                <w:rFonts w:ascii="Tahoma" w:hAnsi="Tahoma" w:cs="Tahoma"/>
                <w:b/>
                <w:bCs/>
                <w:color w:val="000080"/>
                <w:rtl/>
              </w:rPr>
              <w:t>בית משפט השלום בצפת</w:t>
            </w:r>
          </w:p>
        </w:tc>
      </w:tr>
      <w:tr w:rsidR="006E1CF6" w:rsidRPr="00A129B4" w14:paraId="31ED3236" w14:textId="77777777">
        <w:trPr>
          <w:trHeight w:val="337"/>
          <w:jc w:val="center"/>
        </w:trPr>
        <w:tc>
          <w:tcPr>
            <w:tcW w:w="3973" w:type="dxa"/>
          </w:tcPr>
          <w:p w14:paraId="2F0AD183" w14:textId="77777777" w:rsidR="006E1CF6" w:rsidRPr="00A129B4" w:rsidRDefault="00A129B4">
            <w:pPr>
              <w:rPr>
                <w:b/>
                <w:bCs/>
                <w:rtl/>
              </w:rPr>
            </w:pPr>
            <w:r w:rsidRPr="00A129B4">
              <w:rPr>
                <w:rFonts w:hint="cs"/>
                <w:b/>
                <w:bCs/>
                <w:rtl/>
              </w:rPr>
              <w:t xml:space="preserve">בפני כב' סגן הנשיא </w:t>
            </w:r>
            <w:smartTag w:uri="urn:schemas-microsoft-com:office:smarttags" w:element="metricconverter">
              <w:r w:rsidRPr="00A129B4">
                <w:rPr>
                  <w:rFonts w:hint="cs"/>
                  <w:b/>
                  <w:bCs/>
                  <w:rtl/>
                </w:rPr>
                <w:t>סאאב דבור</w:t>
              </w:r>
            </w:smartTag>
          </w:p>
        </w:tc>
        <w:tc>
          <w:tcPr>
            <w:tcW w:w="1039" w:type="dxa"/>
          </w:tcPr>
          <w:p w14:paraId="4D144AFB" w14:textId="77777777" w:rsidR="006E1CF6" w:rsidRPr="00A129B4" w:rsidRDefault="006E1CF6">
            <w:pPr>
              <w:pStyle w:val="a4"/>
              <w:jc w:val="right"/>
              <w:rPr>
                <w:rtl/>
              </w:rPr>
            </w:pPr>
          </w:p>
        </w:tc>
        <w:tc>
          <w:tcPr>
            <w:tcW w:w="3708" w:type="dxa"/>
          </w:tcPr>
          <w:p w14:paraId="1E8D6876" w14:textId="77777777" w:rsidR="006E1CF6" w:rsidRPr="00A129B4" w:rsidRDefault="00A129B4">
            <w:pPr>
              <w:jc w:val="right"/>
              <w:rPr>
                <w:rtl/>
              </w:rPr>
            </w:pPr>
            <w:r w:rsidRPr="00A129B4">
              <w:rPr>
                <w:rtl/>
              </w:rPr>
              <w:t>ת"פ</w:t>
            </w:r>
            <w:r w:rsidRPr="00A129B4">
              <w:rPr>
                <w:rFonts w:hint="cs"/>
                <w:rtl/>
              </w:rPr>
              <w:t xml:space="preserve"> </w:t>
            </w:r>
            <w:r w:rsidRPr="00A129B4">
              <w:rPr>
                <w:rtl/>
              </w:rPr>
              <w:t>25802-02-10</w:t>
            </w:r>
            <w:r w:rsidRPr="00A129B4">
              <w:rPr>
                <w:rFonts w:hint="cs"/>
                <w:rtl/>
              </w:rPr>
              <w:t xml:space="preserve"> </w:t>
            </w:r>
          </w:p>
        </w:tc>
      </w:tr>
      <w:tr w:rsidR="006E1CF6" w:rsidRPr="00A129B4" w14:paraId="3DFB5E07" w14:textId="77777777">
        <w:trPr>
          <w:trHeight w:val="337"/>
          <w:jc w:val="center"/>
        </w:trPr>
        <w:tc>
          <w:tcPr>
            <w:tcW w:w="3973" w:type="dxa"/>
          </w:tcPr>
          <w:p w14:paraId="73AC160F" w14:textId="77777777" w:rsidR="006E1CF6" w:rsidRPr="00A129B4" w:rsidRDefault="006E1CF6">
            <w:pPr>
              <w:rPr>
                <w:rtl/>
              </w:rPr>
            </w:pPr>
          </w:p>
        </w:tc>
        <w:tc>
          <w:tcPr>
            <w:tcW w:w="1039" w:type="dxa"/>
          </w:tcPr>
          <w:p w14:paraId="2BD7327D" w14:textId="77777777" w:rsidR="006E1CF6" w:rsidRPr="00A129B4" w:rsidRDefault="006E1CF6">
            <w:pPr>
              <w:pStyle w:val="a4"/>
              <w:jc w:val="right"/>
              <w:rPr>
                <w:rtl/>
              </w:rPr>
            </w:pPr>
          </w:p>
        </w:tc>
        <w:tc>
          <w:tcPr>
            <w:tcW w:w="3708" w:type="dxa"/>
          </w:tcPr>
          <w:p w14:paraId="79B8B4C2" w14:textId="77777777" w:rsidR="006E1CF6" w:rsidRPr="00A129B4" w:rsidRDefault="00A129B4">
            <w:pPr>
              <w:jc w:val="right"/>
              <w:rPr>
                <w:rtl/>
              </w:rPr>
            </w:pPr>
            <w:r w:rsidRPr="00A129B4">
              <w:rPr>
                <w:rtl/>
              </w:rPr>
              <w:t>06 פברואר 2011</w:t>
            </w:r>
          </w:p>
        </w:tc>
      </w:tr>
    </w:tbl>
    <w:p w14:paraId="6F530D94" w14:textId="77777777" w:rsidR="006E1CF6" w:rsidRPr="00A129B4" w:rsidRDefault="006E1CF6">
      <w:pPr>
        <w:pStyle w:val="a4"/>
        <w:jc w:val="center"/>
        <w:rPr>
          <w:rFonts w:ascii="Tahoma" w:hAnsi="Tahoma" w:cs="Tahoma"/>
          <w:b/>
          <w:bCs/>
          <w:color w:val="000080"/>
          <w:rtl/>
        </w:rPr>
      </w:pPr>
    </w:p>
    <w:p w14:paraId="603CDB34" w14:textId="77777777" w:rsidR="006E1CF6" w:rsidRPr="00A129B4" w:rsidRDefault="006E1CF6">
      <w:pPr>
        <w:rPr>
          <w:rtl/>
        </w:rPr>
      </w:pPr>
    </w:p>
    <w:tbl>
      <w:tblPr>
        <w:bidiVisual/>
        <w:tblW w:w="8574" w:type="dxa"/>
        <w:tblInd w:w="-28" w:type="dxa"/>
        <w:tblLayout w:type="fixed"/>
        <w:tblLook w:val="01E0" w:firstRow="1" w:lastRow="1" w:firstColumn="1" w:lastColumn="1" w:noHBand="0" w:noVBand="0"/>
      </w:tblPr>
      <w:tblGrid>
        <w:gridCol w:w="5040"/>
        <w:gridCol w:w="3534"/>
      </w:tblGrid>
      <w:tr w:rsidR="006E1CF6" w:rsidRPr="00A129B4" w14:paraId="43EF32A4" w14:textId="77777777">
        <w:tc>
          <w:tcPr>
            <w:tcW w:w="5040" w:type="dxa"/>
            <w:shd w:val="clear" w:color="auto" w:fill="auto"/>
          </w:tcPr>
          <w:p w14:paraId="19B23E39" w14:textId="77777777" w:rsidR="006E1CF6" w:rsidRPr="00A129B4" w:rsidRDefault="00A129B4">
            <w:bookmarkStart w:id="1" w:name="FirstAppellant"/>
            <w:r w:rsidRPr="00687D43">
              <w:rPr>
                <w:b/>
                <w:bCs/>
                <w:rtl/>
              </w:rPr>
              <w:t>מדינת ישראל</w:t>
            </w:r>
          </w:p>
          <w:p w14:paraId="6609CC7F" w14:textId="77777777" w:rsidR="006E1CF6" w:rsidRPr="00687D43" w:rsidRDefault="006E1CF6">
            <w:pPr>
              <w:rPr>
                <w:b/>
                <w:bCs/>
                <w:rtl/>
              </w:rPr>
            </w:pPr>
          </w:p>
        </w:tc>
        <w:tc>
          <w:tcPr>
            <w:tcW w:w="3534" w:type="dxa"/>
            <w:shd w:val="clear" w:color="auto" w:fill="auto"/>
          </w:tcPr>
          <w:p w14:paraId="20F72265" w14:textId="77777777" w:rsidR="006E1CF6" w:rsidRPr="00687D43" w:rsidRDefault="00A129B4" w:rsidP="00687D43">
            <w:pPr>
              <w:jc w:val="right"/>
              <w:rPr>
                <w:b/>
                <w:bCs/>
                <w:rtl/>
              </w:rPr>
            </w:pPr>
            <w:r w:rsidRPr="00687D43">
              <w:rPr>
                <w:rFonts w:hint="cs"/>
                <w:b/>
                <w:bCs/>
                <w:rtl/>
              </w:rPr>
              <w:t>ה</w:t>
            </w:r>
            <w:r w:rsidRPr="00687D43">
              <w:rPr>
                <w:b/>
                <w:bCs/>
                <w:rtl/>
              </w:rPr>
              <w:t>מאשימה</w:t>
            </w:r>
          </w:p>
        </w:tc>
      </w:tr>
      <w:bookmarkEnd w:id="1"/>
      <w:tr w:rsidR="006E1CF6" w:rsidRPr="00A129B4" w14:paraId="4159C407" w14:textId="77777777">
        <w:tc>
          <w:tcPr>
            <w:tcW w:w="8574" w:type="dxa"/>
            <w:gridSpan w:val="2"/>
            <w:shd w:val="clear" w:color="auto" w:fill="auto"/>
          </w:tcPr>
          <w:p w14:paraId="4A768F06" w14:textId="77777777" w:rsidR="006E1CF6" w:rsidRPr="00687D43" w:rsidRDefault="00A129B4" w:rsidP="00687D43">
            <w:pPr>
              <w:jc w:val="center"/>
              <w:rPr>
                <w:rFonts w:ascii="Arial" w:hAnsi="Arial"/>
                <w:b/>
                <w:bCs/>
              </w:rPr>
            </w:pPr>
            <w:r w:rsidRPr="00687D43">
              <w:rPr>
                <w:rFonts w:ascii="Arial" w:hAnsi="Arial" w:hint="cs"/>
                <w:b/>
                <w:bCs/>
                <w:rtl/>
              </w:rPr>
              <w:t xml:space="preserve">- </w:t>
            </w:r>
            <w:r w:rsidRPr="00687D43">
              <w:rPr>
                <w:rFonts w:ascii="Arial" w:hAnsi="Arial"/>
                <w:b/>
                <w:bCs/>
                <w:rtl/>
              </w:rPr>
              <w:t>נ</w:t>
            </w:r>
            <w:r w:rsidRPr="00687D43">
              <w:rPr>
                <w:rFonts w:ascii="Arial" w:hAnsi="Arial" w:hint="cs"/>
                <w:b/>
                <w:bCs/>
                <w:rtl/>
              </w:rPr>
              <w:t xml:space="preserve"> </w:t>
            </w:r>
            <w:r w:rsidRPr="00687D43">
              <w:rPr>
                <w:rFonts w:ascii="Arial" w:hAnsi="Arial"/>
                <w:b/>
                <w:bCs/>
                <w:rtl/>
              </w:rPr>
              <w:t>ג</w:t>
            </w:r>
            <w:r w:rsidRPr="00687D43">
              <w:rPr>
                <w:rFonts w:ascii="Arial" w:hAnsi="Arial" w:hint="cs"/>
                <w:b/>
                <w:bCs/>
                <w:rtl/>
              </w:rPr>
              <w:t xml:space="preserve"> </w:t>
            </w:r>
            <w:r w:rsidRPr="00687D43">
              <w:rPr>
                <w:rFonts w:ascii="Arial" w:hAnsi="Arial"/>
                <w:b/>
                <w:bCs/>
                <w:rtl/>
              </w:rPr>
              <w:t>ד</w:t>
            </w:r>
            <w:r w:rsidRPr="00687D43">
              <w:rPr>
                <w:rFonts w:ascii="Arial" w:hAnsi="Arial" w:hint="cs"/>
                <w:b/>
                <w:bCs/>
                <w:rtl/>
              </w:rPr>
              <w:t xml:space="preserve"> -</w:t>
            </w:r>
          </w:p>
        </w:tc>
      </w:tr>
      <w:tr w:rsidR="006E1CF6" w:rsidRPr="00A129B4" w14:paraId="4D55718B" w14:textId="77777777">
        <w:tc>
          <w:tcPr>
            <w:tcW w:w="5040" w:type="dxa"/>
            <w:shd w:val="clear" w:color="auto" w:fill="auto"/>
          </w:tcPr>
          <w:p w14:paraId="2BC21B22" w14:textId="77777777" w:rsidR="006E1CF6" w:rsidRPr="00A129B4" w:rsidRDefault="00A129B4">
            <w:r w:rsidRPr="00687D43">
              <w:rPr>
                <w:b/>
                <w:bCs/>
                <w:rtl/>
              </w:rPr>
              <w:t>אמל אבראהים</w:t>
            </w:r>
          </w:p>
          <w:p w14:paraId="5097B1FB" w14:textId="77777777" w:rsidR="006E1CF6" w:rsidRPr="00687D43" w:rsidRDefault="006E1CF6" w:rsidP="00687D43">
            <w:pPr>
              <w:ind w:left="26"/>
              <w:rPr>
                <w:b/>
                <w:bCs/>
                <w:rtl/>
              </w:rPr>
            </w:pPr>
          </w:p>
        </w:tc>
        <w:tc>
          <w:tcPr>
            <w:tcW w:w="3534" w:type="dxa"/>
            <w:shd w:val="clear" w:color="auto" w:fill="auto"/>
          </w:tcPr>
          <w:p w14:paraId="6693C0B9" w14:textId="77777777" w:rsidR="006E1CF6" w:rsidRPr="00687D43" w:rsidRDefault="00A129B4" w:rsidP="00687D43">
            <w:pPr>
              <w:jc w:val="right"/>
              <w:rPr>
                <w:b/>
                <w:bCs/>
                <w:rtl/>
              </w:rPr>
            </w:pPr>
            <w:r w:rsidRPr="00687D43">
              <w:rPr>
                <w:rFonts w:hint="cs"/>
                <w:b/>
                <w:bCs/>
                <w:rtl/>
              </w:rPr>
              <w:t>הנאשם</w:t>
            </w:r>
          </w:p>
        </w:tc>
      </w:tr>
    </w:tbl>
    <w:p w14:paraId="61F1B065" w14:textId="77777777" w:rsidR="006E1CF6" w:rsidRPr="00A129B4" w:rsidRDefault="006E1CF6">
      <w:pPr>
        <w:rPr>
          <w:rtl/>
        </w:rPr>
      </w:pPr>
    </w:p>
    <w:p w14:paraId="1008F6CD" w14:textId="77777777" w:rsidR="006E1CF6" w:rsidRPr="00A129B4" w:rsidRDefault="00A129B4">
      <w:pPr>
        <w:suppressLineNumbers/>
        <w:spacing w:line="360" w:lineRule="auto"/>
        <w:jc w:val="both"/>
        <w:rPr>
          <w:sz w:val="6"/>
          <w:szCs w:val="6"/>
          <w:rtl/>
        </w:rPr>
      </w:pPr>
      <w:r w:rsidRPr="00A129B4">
        <w:rPr>
          <w:sz w:val="6"/>
          <w:szCs w:val="6"/>
          <w:rtl/>
        </w:rPr>
        <w:t>&lt;#2#&gt;</w:t>
      </w:r>
    </w:p>
    <w:p w14:paraId="42F0BD5C" w14:textId="77777777" w:rsidR="006E1CF6" w:rsidRPr="00A129B4" w:rsidRDefault="00A129B4">
      <w:pPr>
        <w:pStyle w:val="12"/>
        <w:rPr>
          <w:u w:val="none"/>
          <w:rtl/>
        </w:rPr>
      </w:pPr>
      <w:r w:rsidRPr="00A129B4">
        <w:rPr>
          <w:rFonts w:hint="cs"/>
          <w:u w:val="none"/>
          <w:rtl/>
        </w:rPr>
        <w:t>נוכחים:</w:t>
      </w:r>
    </w:p>
    <w:p w14:paraId="289D56AD" w14:textId="77777777" w:rsidR="006E1CF6" w:rsidRPr="00A129B4" w:rsidRDefault="00A129B4">
      <w:pPr>
        <w:pStyle w:val="12"/>
        <w:rPr>
          <w:u w:val="none"/>
          <w:rtl/>
        </w:rPr>
      </w:pPr>
      <w:bookmarkStart w:id="2" w:name="FirstLawyer"/>
      <w:r w:rsidRPr="00A129B4">
        <w:rPr>
          <w:rFonts w:hint="cs"/>
          <w:u w:val="none"/>
          <w:rtl/>
        </w:rPr>
        <w:t>ב"כ</w:t>
      </w:r>
      <w:bookmarkEnd w:id="2"/>
      <w:r w:rsidRPr="00A129B4">
        <w:rPr>
          <w:rFonts w:hint="cs"/>
          <w:u w:val="none"/>
          <w:rtl/>
        </w:rPr>
        <w:t xml:space="preserve"> המאשימה:  רס"ב רומיאו חורי</w:t>
      </w:r>
    </w:p>
    <w:p w14:paraId="37130609" w14:textId="77777777" w:rsidR="00AA52BB" w:rsidRDefault="00A129B4">
      <w:pPr>
        <w:pStyle w:val="12"/>
        <w:rPr>
          <w:b w:val="0"/>
          <w:bCs w:val="0"/>
          <w:u w:val="none"/>
          <w:rtl/>
        </w:rPr>
      </w:pPr>
      <w:r w:rsidRPr="00A129B4">
        <w:rPr>
          <w:rFonts w:hint="cs"/>
          <w:u w:val="none"/>
          <w:rtl/>
        </w:rPr>
        <w:t xml:space="preserve">הנאשם: בעצמו ועל ידי ב"כ עו"ד </w:t>
      </w:r>
      <w:r w:rsidRPr="00A129B4">
        <w:rPr>
          <w:u w:val="none"/>
          <w:rtl/>
        </w:rPr>
        <w:t>נביה</w:t>
      </w:r>
      <w:r w:rsidRPr="00A129B4">
        <w:rPr>
          <w:rFonts w:hint="cs"/>
          <w:u w:val="none"/>
          <w:rtl/>
        </w:rPr>
        <w:t xml:space="preserve"> </w:t>
      </w:r>
      <w:r w:rsidRPr="00A129B4">
        <w:rPr>
          <w:u w:val="none"/>
          <w:rtl/>
        </w:rPr>
        <w:t>חנג'אר</w:t>
      </w:r>
      <w:r w:rsidRPr="00A129B4">
        <w:rPr>
          <w:rFonts w:hint="cs"/>
          <w:u w:val="none"/>
          <w:rtl/>
        </w:rPr>
        <w:t xml:space="preserve">  </w:t>
      </w:r>
      <w:bookmarkStart w:id="3" w:name="LawTable"/>
      <w:bookmarkEnd w:id="3"/>
    </w:p>
    <w:p w14:paraId="6FDB6347" w14:textId="77777777" w:rsidR="00AA52BB" w:rsidRPr="00AA52BB" w:rsidRDefault="00AA52BB" w:rsidP="00AA52BB">
      <w:pPr>
        <w:pStyle w:val="12"/>
        <w:spacing w:after="120" w:line="240" w:lineRule="exact"/>
        <w:ind w:left="283" w:hanging="283"/>
        <w:jc w:val="both"/>
        <w:rPr>
          <w:rFonts w:ascii="FrankRuehl" w:hAnsi="FrankRuehl" w:cs="FrankRuehl"/>
          <w:b w:val="0"/>
          <w:bCs w:val="0"/>
          <w:u w:val="none"/>
          <w:rtl/>
        </w:rPr>
      </w:pPr>
    </w:p>
    <w:p w14:paraId="4E7C9D18" w14:textId="77777777" w:rsidR="00AA52BB" w:rsidRPr="00AA52BB" w:rsidRDefault="00AA52BB" w:rsidP="00AA52BB">
      <w:pPr>
        <w:pStyle w:val="12"/>
        <w:spacing w:after="120" w:line="240" w:lineRule="exact"/>
        <w:ind w:left="283" w:hanging="283"/>
        <w:jc w:val="both"/>
        <w:rPr>
          <w:rFonts w:ascii="FrankRuehl" w:hAnsi="FrankRuehl" w:cs="FrankRuehl"/>
          <w:b w:val="0"/>
          <w:bCs w:val="0"/>
          <w:u w:val="none"/>
          <w:rtl/>
        </w:rPr>
      </w:pPr>
      <w:r w:rsidRPr="00AA52BB">
        <w:rPr>
          <w:rFonts w:ascii="FrankRuehl" w:hAnsi="FrankRuehl" w:cs="FrankRuehl"/>
          <w:b w:val="0"/>
          <w:bCs w:val="0"/>
          <w:u w:val="none"/>
          <w:rtl/>
        </w:rPr>
        <w:t xml:space="preserve">חקיקה שאוזכרה: </w:t>
      </w:r>
    </w:p>
    <w:p w14:paraId="1DA376C4" w14:textId="77777777" w:rsidR="00AA52BB" w:rsidRPr="00AA52BB" w:rsidRDefault="00AA52BB" w:rsidP="00AA52BB">
      <w:pPr>
        <w:pStyle w:val="12"/>
        <w:spacing w:after="120" w:line="240" w:lineRule="exact"/>
        <w:ind w:left="283" w:hanging="283"/>
        <w:jc w:val="both"/>
        <w:rPr>
          <w:rFonts w:ascii="FrankRuehl" w:hAnsi="FrankRuehl" w:cs="FrankRuehl"/>
          <w:b w:val="0"/>
          <w:bCs w:val="0"/>
          <w:u w:val="none"/>
          <w:rtl/>
        </w:rPr>
      </w:pPr>
      <w:hyperlink r:id="rId6" w:history="1">
        <w:r w:rsidRPr="00AA52BB">
          <w:rPr>
            <w:rFonts w:ascii="FrankRuehl" w:hAnsi="FrankRuehl" w:cs="FrankRuehl"/>
            <w:b w:val="0"/>
            <w:bCs w:val="0"/>
            <w:color w:val="0000FF"/>
            <w:rtl/>
          </w:rPr>
          <w:t>חוק העונשין, תשל"ז-1977</w:t>
        </w:r>
      </w:hyperlink>
      <w:r w:rsidRPr="00AA52BB">
        <w:rPr>
          <w:rFonts w:ascii="FrankRuehl" w:hAnsi="FrankRuehl" w:cs="FrankRuehl"/>
          <w:b w:val="0"/>
          <w:bCs w:val="0"/>
          <w:u w:val="none"/>
          <w:rtl/>
        </w:rPr>
        <w:t xml:space="preserve">: סע'  </w:t>
      </w:r>
      <w:hyperlink r:id="rId7" w:history="1">
        <w:r w:rsidRPr="00AA52BB">
          <w:rPr>
            <w:rFonts w:ascii="FrankRuehl" w:hAnsi="FrankRuehl" w:cs="FrankRuehl"/>
            <w:b w:val="0"/>
            <w:bCs w:val="0"/>
            <w:color w:val="0000FF"/>
            <w:rtl/>
          </w:rPr>
          <w:t>144</w:t>
        </w:r>
      </w:hyperlink>
      <w:r w:rsidRPr="00AA52BB">
        <w:rPr>
          <w:rFonts w:ascii="FrankRuehl" w:hAnsi="FrankRuehl" w:cs="FrankRuehl"/>
          <w:b w:val="0"/>
          <w:bCs w:val="0"/>
          <w:u w:val="none"/>
          <w:rtl/>
        </w:rPr>
        <w:t xml:space="preserve">, </w:t>
      </w:r>
      <w:hyperlink r:id="rId8" w:history="1">
        <w:r w:rsidRPr="00AA52BB">
          <w:rPr>
            <w:rFonts w:ascii="FrankRuehl" w:hAnsi="FrankRuehl" w:cs="FrankRuehl"/>
            <w:b w:val="0"/>
            <w:bCs w:val="0"/>
            <w:color w:val="0000FF"/>
            <w:rtl/>
          </w:rPr>
          <w:t>144 (א)</w:t>
        </w:r>
      </w:hyperlink>
      <w:r w:rsidRPr="00AA52BB">
        <w:rPr>
          <w:rFonts w:ascii="FrankRuehl" w:hAnsi="FrankRuehl" w:cs="FrankRuehl"/>
          <w:b w:val="0"/>
          <w:bCs w:val="0"/>
          <w:u w:val="none"/>
          <w:rtl/>
        </w:rPr>
        <w:t xml:space="preserve">, </w:t>
      </w:r>
      <w:hyperlink r:id="rId9" w:history="1">
        <w:r w:rsidRPr="00AA52BB">
          <w:rPr>
            <w:rFonts w:ascii="FrankRuehl" w:hAnsi="FrankRuehl" w:cs="FrankRuehl"/>
            <w:b w:val="0"/>
            <w:bCs w:val="0"/>
            <w:color w:val="0000FF"/>
            <w:rtl/>
          </w:rPr>
          <w:t>144(א)(1)</w:t>
        </w:r>
      </w:hyperlink>
    </w:p>
    <w:p w14:paraId="230FF6E6" w14:textId="77777777" w:rsidR="00AA52BB" w:rsidRPr="00AA52BB" w:rsidRDefault="00AA52BB" w:rsidP="00AA52BB">
      <w:pPr>
        <w:pStyle w:val="12"/>
        <w:spacing w:after="120" w:line="240" w:lineRule="exact"/>
        <w:ind w:left="283" w:hanging="283"/>
        <w:jc w:val="both"/>
        <w:rPr>
          <w:rFonts w:ascii="FrankRuehl" w:hAnsi="FrankRuehl" w:cs="FrankRuehl"/>
          <w:b w:val="0"/>
          <w:bCs w:val="0"/>
          <w:u w:val="none"/>
          <w:rtl/>
        </w:rPr>
      </w:pPr>
    </w:p>
    <w:p w14:paraId="367FAA26" w14:textId="77777777" w:rsidR="00AA52BB" w:rsidRPr="00AA52BB" w:rsidRDefault="00AA52BB">
      <w:pPr>
        <w:pStyle w:val="12"/>
        <w:rPr>
          <w:b w:val="0"/>
          <w:bCs w:val="0"/>
          <w:u w:val="none"/>
          <w:rtl/>
        </w:rPr>
      </w:pPr>
      <w:bookmarkStart w:id="4" w:name="LawTable_End"/>
      <w:bookmarkEnd w:id="4"/>
    </w:p>
    <w:p w14:paraId="5AAF506A" w14:textId="77777777" w:rsidR="00AA52BB" w:rsidRPr="00AA52BB" w:rsidRDefault="00AA52BB">
      <w:pPr>
        <w:pStyle w:val="12"/>
        <w:rPr>
          <w:u w:val="none"/>
          <w:rtl/>
        </w:rPr>
      </w:pPr>
    </w:p>
    <w:p w14:paraId="12ACDFD5" w14:textId="77777777" w:rsidR="006E1CF6" w:rsidRPr="00AA52BB" w:rsidRDefault="006E1CF6">
      <w:pPr>
        <w:pStyle w:val="12"/>
        <w:rPr>
          <w:u w:val="none"/>
          <w:rtl/>
        </w:rPr>
      </w:pPr>
    </w:p>
    <w:p w14:paraId="0D13A262" w14:textId="77777777" w:rsidR="00572D92" w:rsidRPr="00572D92" w:rsidRDefault="00572D92">
      <w:pPr>
        <w:pStyle w:val="12"/>
        <w:rPr>
          <w:b w:val="0"/>
          <w:bCs w:val="0"/>
          <w:u w:val="none"/>
          <w:rtl/>
        </w:rPr>
      </w:pPr>
    </w:p>
    <w:p w14:paraId="45493F53" w14:textId="77777777" w:rsidR="00572D92" w:rsidRPr="00572D92" w:rsidRDefault="00572D92">
      <w:pPr>
        <w:pStyle w:val="12"/>
        <w:rPr>
          <w:b w:val="0"/>
          <w:bCs w:val="0"/>
          <w:u w:val="none"/>
          <w:rtl/>
        </w:rPr>
      </w:pPr>
    </w:p>
    <w:p w14:paraId="260F360F" w14:textId="77777777" w:rsidR="006E1CF6" w:rsidRPr="00572D92" w:rsidRDefault="006E1CF6">
      <w:pPr>
        <w:pStyle w:val="12"/>
        <w:rPr>
          <w:b w:val="0"/>
          <w:bCs w:val="0"/>
          <w:u w:val="none"/>
          <w:rtl/>
        </w:rPr>
      </w:pPr>
    </w:p>
    <w:p w14:paraId="3099AE4C" w14:textId="77777777" w:rsidR="00772E4C" w:rsidRPr="00772E4C" w:rsidRDefault="00772E4C">
      <w:pPr>
        <w:pStyle w:val="David"/>
        <w:jc w:val="center"/>
        <w:rPr>
          <w:rFonts w:ascii="Arial" w:eastAsia="David" w:hAnsi="Arial"/>
          <w:sz w:val="28"/>
          <w:szCs w:val="28"/>
          <w:rtl/>
        </w:rPr>
      </w:pPr>
    </w:p>
    <w:p w14:paraId="12C07314" w14:textId="77777777" w:rsidR="00772E4C" w:rsidRPr="00772E4C" w:rsidRDefault="00772E4C">
      <w:pPr>
        <w:pStyle w:val="David"/>
        <w:jc w:val="center"/>
        <w:rPr>
          <w:rFonts w:ascii="Arial" w:eastAsia="David" w:hAnsi="Arial"/>
          <w:b/>
          <w:bCs/>
          <w:sz w:val="28"/>
          <w:szCs w:val="28"/>
          <w:rtl/>
        </w:rPr>
      </w:pPr>
    </w:p>
    <w:p w14:paraId="7C0B7518" w14:textId="77777777" w:rsidR="00A129B4" w:rsidRPr="00772E4C" w:rsidRDefault="00A129B4">
      <w:pPr>
        <w:pStyle w:val="David"/>
        <w:jc w:val="center"/>
        <w:rPr>
          <w:rFonts w:ascii="Arial" w:eastAsia="David" w:hAnsi="Arial"/>
          <w:b/>
          <w:bCs/>
          <w:sz w:val="28"/>
          <w:szCs w:val="28"/>
          <w:rtl/>
        </w:rPr>
      </w:pPr>
    </w:p>
    <w:p w14:paraId="5E9807B6" w14:textId="77777777" w:rsidR="00A129B4" w:rsidRPr="00A129B4" w:rsidRDefault="00A129B4" w:rsidP="00A129B4">
      <w:pPr>
        <w:pStyle w:val="David"/>
        <w:jc w:val="center"/>
        <w:rPr>
          <w:rFonts w:ascii="Arial" w:eastAsia="David" w:hAnsi="Arial"/>
          <w:b/>
          <w:bCs/>
          <w:sz w:val="28"/>
          <w:szCs w:val="28"/>
          <w:u w:val="single"/>
          <w:rtl/>
        </w:rPr>
      </w:pPr>
      <w:bookmarkStart w:id="5" w:name="PsakDin"/>
      <w:bookmarkEnd w:id="0"/>
      <w:r w:rsidRPr="00A129B4">
        <w:rPr>
          <w:rFonts w:ascii="Arial" w:eastAsia="David" w:hAnsi="Arial"/>
          <w:b/>
          <w:bCs/>
          <w:sz w:val="28"/>
          <w:szCs w:val="28"/>
          <w:u w:val="single"/>
          <w:rtl/>
        </w:rPr>
        <w:t>גזר דין</w:t>
      </w:r>
    </w:p>
    <w:bookmarkEnd w:id="5"/>
    <w:p w14:paraId="096CC3D6" w14:textId="77777777" w:rsidR="006E1CF6" w:rsidRDefault="006E1CF6">
      <w:pPr>
        <w:pStyle w:val="David"/>
        <w:rPr>
          <w:rFonts w:ascii="David" w:hAnsi="David"/>
          <w:rtl/>
        </w:rPr>
      </w:pPr>
    </w:p>
    <w:p w14:paraId="2CA19FBE" w14:textId="77777777" w:rsidR="006E1CF6" w:rsidRDefault="00A129B4">
      <w:pPr>
        <w:pStyle w:val="a8"/>
        <w:spacing w:line="360" w:lineRule="auto"/>
        <w:jc w:val="both"/>
        <w:rPr>
          <w:rFonts w:cs="David"/>
          <w:b/>
          <w:bCs/>
          <w:sz w:val="24"/>
          <w:szCs w:val="24"/>
          <w:u w:val="single"/>
        </w:rPr>
      </w:pPr>
      <w:r>
        <w:rPr>
          <w:rFonts w:cs="David" w:hint="cs"/>
          <w:b/>
          <w:bCs/>
          <w:sz w:val="24"/>
          <w:szCs w:val="24"/>
          <w:u w:val="single"/>
          <w:rtl/>
        </w:rPr>
        <w:t>הקדמה</w:t>
      </w:r>
    </w:p>
    <w:p w14:paraId="4F79FBF0" w14:textId="77777777" w:rsidR="006E1CF6" w:rsidRDefault="006E1CF6">
      <w:pPr>
        <w:pStyle w:val="a8"/>
        <w:spacing w:line="360" w:lineRule="auto"/>
        <w:jc w:val="both"/>
        <w:rPr>
          <w:rFonts w:cs="David"/>
          <w:sz w:val="24"/>
          <w:szCs w:val="24"/>
          <w:rtl/>
        </w:rPr>
      </w:pPr>
    </w:p>
    <w:p w14:paraId="15C2FDB5" w14:textId="77777777" w:rsidR="006E1CF6" w:rsidRDefault="00A129B4">
      <w:pPr>
        <w:pStyle w:val="a8"/>
        <w:spacing w:line="360" w:lineRule="auto"/>
        <w:jc w:val="both"/>
        <w:rPr>
          <w:rFonts w:cs="David"/>
          <w:sz w:val="24"/>
          <w:szCs w:val="24"/>
          <w:rtl/>
        </w:rPr>
      </w:pPr>
      <w:bookmarkStart w:id="6" w:name="ABSTRACT_START"/>
      <w:bookmarkEnd w:id="6"/>
      <w:r>
        <w:rPr>
          <w:rFonts w:cs="David" w:hint="cs"/>
          <w:sz w:val="24"/>
          <w:szCs w:val="24"/>
          <w:rtl/>
        </w:rPr>
        <w:t xml:space="preserve">הנאשם הורשע על פי הודאתו בכתב האישום, בעבירות שעניינן, החזקת נשק שלא כדין, עבירה לפי </w:t>
      </w:r>
      <w:hyperlink r:id="rId10" w:history="1">
        <w:r w:rsidR="00572D92" w:rsidRPr="00572D92">
          <w:rPr>
            <w:rStyle w:val="Hyperlink"/>
            <w:rFonts w:cs="David" w:hint="eastAsia"/>
            <w:sz w:val="24"/>
            <w:szCs w:val="24"/>
            <w:rtl/>
          </w:rPr>
          <w:t>סעיף</w:t>
        </w:r>
        <w:r w:rsidR="00572D92" w:rsidRPr="00572D92">
          <w:rPr>
            <w:rStyle w:val="Hyperlink"/>
            <w:rFonts w:cs="David"/>
            <w:sz w:val="24"/>
            <w:szCs w:val="24"/>
            <w:rtl/>
          </w:rPr>
          <w:t xml:space="preserve"> 144 (א)</w:t>
        </w:r>
      </w:hyperlink>
      <w:r>
        <w:rPr>
          <w:rFonts w:cs="David" w:hint="cs"/>
          <w:sz w:val="24"/>
          <w:szCs w:val="24"/>
          <w:rtl/>
        </w:rPr>
        <w:t xml:space="preserve"> ל</w:t>
      </w:r>
      <w:r w:rsidR="00772E4C" w:rsidRPr="00572D92">
        <w:rPr>
          <w:rFonts w:cs="David" w:hint="eastAsia"/>
          <w:sz w:val="24"/>
          <w:szCs w:val="24"/>
          <w:rtl/>
        </w:rPr>
        <w:t>חוק</w:t>
      </w:r>
      <w:r w:rsidR="00772E4C" w:rsidRPr="00572D92">
        <w:rPr>
          <w:rFonts w:cs="David"/>
          <w:sz w:val="24"/>
          <w:szCs w:val="24"/>
          <w:rtl/>
        </w:rPr>
        <w:t xml:space="preserve"> העונשין</w:t>
      </w:r>
      <w:r>
        <w:rPr>
          <w:rFonts w:cs="David" w:hint="cs"/>
          <w:sz w:val="24"/>
          <w:szCs w:val="24"/>
          <w:rtl/>
        </w:rPr>
        <w:t>, התשל"ז-1977 (להלן: "</w:t>
      </w:r>
      <w:r>
        <w:rPr>
          <w:rFonts w:cs="David" w:hint="cs"/>
          <w:b/>
          <w:bCs/>
          <w:sz w:val="24"/>
          <w:szCs w:val="24"/>
          <w:rtl/>
        </w:rPr>
        <w:t>חוק העונשין</w:t>
      </w:r>
      <w:r>
        <w:rPr>
          <w:rFonts w:cs="David" w:hint="cs"/>
          <w:sz w:val="24"/>
          <w:szCs w:val="24"/>
          <w:rtl/>
        </w:rPr>
        <w:t xml:space="preserve">") וכן, עבירה של החזקת חלק-אבזר תחמושת של כלי נשק, עבירה לפי </w:t>
      </w:r>
      <w:hyperlink r:id="rId11" w:history="1">
        <w:r w:rsidR="00572D92" w:rsidRPr="00572D92">
          <w:rPr>
            <w:rStyle w:val="Hyperlink"/>
            <w:rFonts w:cs="David" w:hint="eastAsia"/>
            <w:sz w:val="24"/>
            <w:szCs w:val="24"/>
            <w:rtl/>
          </w:rPr>
          <w:t>סעיף</w:t>
        </w:r>
        <w:r w:rsidR="00572D92" w:rsidRPr="00572D92">
          <w:rPr>
            <w:rStyle w:val="Hyperlink"/>
            <w:rFonts w:cs="David"/>
            <w:sz w:val="24"/>
            <w:szCs w:val="24"/>
            <w:rtl/>
          </w:rPr>
          <w:t xml:space="preserve"> 144(א)(1)</w:t>
        </w:r>
      </w:hyperlink>
      <w:r>
        <w:rPr>
          <w:rFonts w:cs="David" w:hint="cs"/>
          <w:sz w:val="24"/>
          <w:szCs w:val="24"/>
          <w:rtl/>
        </w:rPr>
        <w:t xml:space="preserve"> לאותו חוק.</w:t>
      </w:r>
    </w:p>
    <w:p w14:paraId="748BC239" w14:textId="77777777" w:rsidR="006E1CF6" w:rsidRDefault="006E1CF6">
      <w:pPr>
        <w:pStyle w:val="a8"/>
        <w:spacing w:line="360" w:lineRule="auto"/>
        <w:jc w:val="both"/>
        <w:rPr>
          <w:rFonts w:cs="David"/>
          <w:sz w:val="24"/>
          <w:szCs w:val="24"/>
          <w:rtl/>
        </w:rPr>
      </w:pPr>
      <w:bookmarkStart w:id="7" w:name="ABSTRACT_END"/>
      <w:bookmarkEnd w:id="7"/>
    </w:p>
    <w:p w14:paraId="30A6EAC3" w14:textId="77777777" w:rsidR="006E1CF6" w:rsidRDefault="00A129B4">
      <w:pPr>
        <w:pStyle w:val="a8"/>
        <w:spacing w:line="360" w:lineRule="auto"/>
        <w:jc w:val="both"/>
        <w:rPr>
          <w:rFonts w:cs="David"/>
          <w:b/>
          <w:bCs/>
          <w:sz w:val="24"/>
          <w:szCs w:val="24"/>
          <w:u w:val="single"/>
          <w:rtl/>
        </w:rPr>
      </w:pPr>
      <w:r>
        <w:rPr>
          <w:rFonts w:cs="David" w:hint="cs"/>
          <w:b/>
          <w:bCs/>
          <w:sz w:val="24"/>
          <w:szCs w:val="24"/>
          <w:u w:val="single"/>
          <w:rtl/>
        </w:rPr>
        <w:t>העובדות</w:t>
      </w:r>
    </w:p>
    <w:p w14:paraId="0E88FD9B" w14:textId="77777777" w:rsidR="006E1CF6" w:rsidRDefault="006E1CF6">
      <w:pPr>
        <w:pStyle w:val="a8"/>
        <w:spacing w:line="360" w:lineRule="auto"/>
        <w:jc w:val="both"/>
        <w:rPr>
          <w:rFonts w:cs="David"/>
          <w:sz w:val="24"/>
          <w:szCs w:val="24"/>
          <w:rtl/>
        </w:rPr>
      </w:pPr>
    </w:p>
    <w:p w14:paraId="3875D0B7" w14:textId="77777777" w:rsidR="006E1CF6" w:rsidRDefault="00A129B4">
      <w:pPr>
        <w:pStyle w:val="a8"/>
        <w:spacing w:line="360" w:lineRule="auto"/>
        <w:jc w:val="both"/>
        <w:rPr>
          <w:rFonts w:cs="David"/>
          <w:sz w:val="24"/>
          <w:szCs w:val="24"/>
          <w:rtl/>
        </w:rPr>
      </w:pPr>
      <w:r>
        <w:rPr>
          <w:rFonts w:cs="David" w:hint="cs"/>
          <w:sz w:val="24"/>
          <w:szCs w:val="24"/>
          <w:rtl/>
        </w:rPr>
        <w:t>מכתב האישום עולה, כי ביום 16/07/09 בשעה 11:00 או בסמוך לכך בכפר מגדל שמס, החזיק הנאשם בביתו נשק מסוג רובה צייד שמסוגל לירות כדור ובכוחו להמית אדם וזאת ללא רשות על פי דין. באותן הנסיבות, החזיק הנאשם באבזר ותחמושת של כלי נשק שבכוחם להמית אדם וזאת ללא רשות על פי דין.</w:t>
      </w:r>
    </w:p>
    <w:p w14:paraId="1AD4D92B" w14:textId="77777777" w:rsidR="006E1CF6" w:rsidRDefault="006E1CF6">
      <w:pPr>
        <w:pStyle w:val="a8"/>
        <w:spacing w:line="360" w:lineRule="auto"/>
        <w:jc w:val="both"/>
        <w:rPr>
          <w:rFonts w:cs="David"/>
          <w:sz w:val="24"/>
          <w:szCs w:val="24"/>
          <w:rtl/>
        </w:rPr>
      </w:pPr>
    </w:p>
    <w:p w14:paraId="729C148B" w14:textId="77777777" w:rsidR="006E1CF6" w:rsidRDefault="00A129B4">
      <w:pPr>
        <w:pStyle w:val="a8"/>
        <w:spacing w:line="360" w:lineRule="auto"/>
        <w:jc w:val="both"/>
        <w:rPr>
          <w:rFonts w:cs="David"/>
          <w:b/>
          <w:bCs/>
          <w:sz w:val="24"/>
          <w:szCs w:val="24"/>
          <w:u w:val="single"/>
          <w:rtl/>
        </w:rPr>
      </w:pPr>
      <w:r>
        <w:rPr>
          <w:rFonts w:cs="David" w:hint="cs"/>
          <w:b/>
          <w:bCs/>
          <w:sz w:val="24"/>
          <w:szCs w:val="24"/>
          <w:u w:val="single"/>
          <w:rtl/>
        </w:rPr>
        <w:lastRenderedPageBreak/>
        <w:t>תסקיר שירות המבחן</w:t>
      </w:r>
    </w:p>
    <w:p w14:paraId="68CD151A" w14:textId="77777777" w:rsidR="006E1CF6" w:rsidRDefault="006E1CF6">
      <w:pPr>
        <w:pStyle w:val="a8"/>
        <w:spacing w:line="360" w:lineRule="auto"/>
        <w:jc w:val="both"/>
        <w:rPr>
          <w:rFonts w:cs="David"/>
          <w:spacing w:val="-4"/>
          <w:sz w:val="24"/>
          <w:szCs w:val="24"/>
          <w:rtl/>
        </w:rPr>
      </w:pPr>
    </w:p>
    <w:p w14:paraId="1EAF62FC" w14:textId="77777777" w:rsidR="006E1CF6" w:rsidRDefault="00A129B4">
      <w:pPr>
        <w:pStyle w:val="a8"/>
        <w:spacing w:line="360" w:lineRule="auto"/>
        <w:jc w:val="both"/>
        <w:rPr>
          <w:rFonts w:cs="David"/>
          <w:spacing w:val="-4"/>
          <w:sz w:val="24"/>
          <w:szCs w:val="24"/>
          <w:rtl/>
        </w:rPr>
      </w:pPr>
      <w:r>
        <w:rPr>
          <w:rFonts w:cs="David" w:hint="cs"/>
          <w:spacing w:val="-4"/>
          <w:sz w:val="24"/>
          <w:szCs w:val="24"/>
          <w:rtl/>
        </w:rPr>
        <w:t>מן התסקיר עולה שהנאשם, בן 38, נשוי ואב לשני ילדים בני 5 ו- 10. הנאשם בוגר 12 שנות לימוד, קיבל פטור משירות צבאי, עובד כפועל במפעל שיש בכפרו.</w:t>
      </w:r>
    </w:p>
    <w:p w14:paraId="49751D89" w14:textId="77777777" w:rsidR="006E1CF6" w:rsidRDefault="006E1CF6">
      <w:pPr>
        <w:pStyle w:val="a8"/>
        <w:spacing w:line="360" w:lineRule="auto"/>
        <w:jc w:val="both"/>
        <w:rPr>
          <w:rFonts w:cs="David"/>
          <w:sz w:val="24"/>
          <w:szCs w:val="24"/>
          <w:rtl/>
        </w:rPr>
      </w:pPr>
    </w:p>
    <w:p w14:paraId="2CFAEF41" w14:textId="77777777" w:rsidR="006E1CF6" w:rsidRDefault="00A129B4">
      <w:pPr>
        <w:pStyle w:val="a8"/>
        <w:spacing w:line="360" w:lineRule="auto"/>
        <w:jc w:val="both"/>
        <w:rPr>
          <w:rFonts w:cs="David"/>
          <w:sz w:val="24"/>
          <w:szCs w:val="24"/>
          <w:rtl/>
        </w:rPr>
      </w:pPr>
      <w:r>
        <w:rPr>
          <w:rFonts w:cs="David" w:hint="cs"/>
          <w:sz w:val="24"/>
          <w:szCs w:val="24"/>
          <w:rtl/>
        </w:rPr>
        <w:t>בהתייחס לעבירה נשוא הליך זה, הנאשם לקח אחריות מלאה על ביצועה והביע חרטה כנה על ביצועה. הנאשם חש כעס ובושה על התנהגותו והבין את חומרת מעשיו. לטענתו, הוא מצא את הרובה בבית סבו, שנפטר לפני שנים רבות. הוא החליט לקחת ולבדוק אם זה תקין בשטח פתוח. לדבריו הרובה לא ירה לכן, החליט להשאירו בביתו כקישוט על הקיר. אשתו התנגדה לכך, הורידה את הרובה מהקיר והניחה אותו באחד מחדרי הבית. לדבריו, גם התחמושת שנמצאה בביתו, הייתה למטרת אוסף ולא התאימה לאף אחד מהרובים שהיו ברשותו.</w:t>
      </w:r>
    </w:p>
    <w:p w14:paraId="31B96C54" w14:textId="77777777" w:rsidR="006E1CF6" w:rsidRDefault="006E1CF6">
      <w:pPr>
        <w:pStyle w:val="a8"/>
        <w:spacing w:line="360" w:lineRule="auto"/>
        <w:jc w:val="both"/>
        <w:rPr>
          <w:rFonts w:cs="David"/>
          <w:sz w:val="24"/>
          <w:szCs w:val="24"/>
          <w:rtl/>
        </w:rPr>
      </w:pPr>
    </w:p>
    <w:p w14:paraId="317D9295" w14:textId="77777777" w:rsidR="006E1CF6" w:rsidRDefault="00A129B4">
      <w:pPr>
        <w:pStyle w:val="a8"/>
        <w:spacing w:line="360" w:lineRule="auto"/>
        <w:jc w:val="both"/>
        <w:rPr>
          <w:rFonts w:cs="David"/>
          <w:sz w:val="24"/>
          <w:szCs w:val="24"/>
          <w:rtl/>
        </w:rPr>
      </w:pPr>
      <w:r>
        <w:rPr>
          <w:rFonts w:cs="David" w:hint="cs"/>
          <w:sz w:val="24"/>
          <w:szCs w:val="24"/>
          <w:rtl/>
        </w:rPr>
        <w:t xml:space="preserve">שירות המבחן התרשם כי מדובר באדם בעל יכולת הסתגלות ויציבות במסגרות ומגלה מידת אחריות לתפקידים אותם לקח בחייו. באשר לעבירה הנדונה, הנאשם התקשה להפעיל שיקול דעת בוגר על אף זאת; התרשמות שירות המבחן כי לנאשם יש יכולת לוויסות דחפיו וכי הוא מבטא עמדות ותפיסות פרו חברתיות וערכיות. לפיכך, המליץ שירות המבחן להסתפק בענישה מותנית. </w:t>
      </w:r>
    </w:p>
    <w:p w14:paraId="396D1D38" w14:textId="77777777" w:rsidR="006E1CF6" w:rsidRDefault="006E1CF6">
      <w:pPr>
        <w:pStyle w:val="a8"/>
        <w:spacing w:line="360" w:lineRule="auto"/>
        <w:jc w:val="both"/>
        <w:rPr>
          <w:rFonts w:cs="David"/>
          <w:sz w:val="24"/>
          <w:szCs w:val="24"/>
          <w:rtl/>
        </w:rPr>
      </w:pPr>
    </w:p>
    <w:p w14:paraId="2A06C4F0" w14:textId="77777777" w:rsidR="006E1CF6" w:rsidRDefault="00A129B4">
      <w:pPr>
        <w:pStyle w:val="a8"/>
        <w:spacing w:line="360" w:lineRule="auto"/>
        <w:jc w:val="both"/>
        <w:rPr>
          <w:rFonts w:cs="David"/>
          <w:sz w:val="24"/>
          <w:szCs w:val="24"/>
          <w:rtl/>
        </w:rPr>
      </w:pPr>
      <w:r>
        <w:rPr>
          <w:rFonts w:cs="David" w:hint="cs"/>
          <w:sz w:val="24"/>
          <w:szCs w:val="24"/>
          <w:rtl/>
        </w:rPr>
        <w:t>שירות המבחן התבקש גם להתייחס לשאלת הרשעתו של הנאשם בדין. מהתסקיר עולה כי אין חשש לכך שההרשעה  תביא לפגיעה כלשהי בפרנסתו.</w:t>
      </w:r>
    </w:p>
    <w:p w14:paraId="60BDEBA0" w14:textId="77777777" w:rsidR="006E1CF6" w:rsidRDefault="006E1CF6">
      <w:pPr>
        <w:pStyle w:val="a8"/>
        <w:spacing w:line="360" w:lineRule="auto"/>
        <w:jc w:val="both"/>
        <w:rPr>
          <w:rFonts w:cs="David"/>
          <w:sz w:val="24"/>
          <w:szCs w:val="24"/>
          <w:rtl/>
        </w:rPr>
      </w:pPr>
    </w:p>
    <w:p w14:paraId="71053B0E" w14:textId="77777777" w:rsidR="006E1CF6" w:rsidRDefault="00A129B4">
      <w:pPr>
        <w:pStyle w:val="a8"/>
        <w:spacing w:line="360" w:lineRule="auto"/>
        <w:jc w:val="both"/>
        <w:rPr>
          <w:rFonts w:cs="David"/>
          <w:b/>
          <w:bCs/>
          <w:sz w:val="24"/>
          <w:szCs w:val="24"/>
          <w:u w:val="single"/>
          <w:rtl/>
        </w:rPr>
      </w:pPr>
      <w:r>
        <w:rPr>
          <w:rFonts w:cs="David" w:hint="cs"/>
          <w:b/>
          <w:bCs/>
          <w:sz w:val="24"/>
          <w:szCs w:val="24"/>
          <w:u w:val="single"/>
          <w:rtl/>
        </w:rPr>
        <w:t>טענות הצדדים</w:t>
      </w:r>
    </w:p>
    <w:p w14:paraId="70B7716F" w14:textId="77777777" w:rsidR="006E1CF6" w:rsidRDefault="006E1CF6">
      <w:pPr>
        <w:pStyle w:val="a8"/>
        <w:spacing w:line="360" w:lineRule="auto"/>
        <w:jc w:val="both"/>
        <w:rPr>
          <w:rFonts w:cs="David"/>
          <w:sz w:val="24"/>
          <w:szCs w:val="24"/>
          <w:rtl/>
        </w:rPr>
      </w:pPr>
    </w:p>
    <w:p w14:paraId="48879826" w14:textId="77777777" w:rsidR="006E1CF6" w:rsidRDefault="00A129B4">
      <w:pPr>
        <w:pStyle w:val="a8"/>
        <w:spacing w:line="360" w:lineRule="auto"/>
        <w:jc w:val="both"/>
        <w:rPr>
          <w:rFonts w:cs="David"/>
          <w:sz w:val="24"/>
          <w:szCs w:val="24"/>
          <w:rtl/>
        </w:rPr>
      </w:pPr>
      <w:r>
        <w:rPr>
          <w:rFonts w:cs="David" w:hint="cs"/>
          <w:sz w:val="24"/>
          <w:szCs w:val="24"/>
          <w:rtl/>
        </w:rPr>
        <w:t>המאשימה מבקשת להטיל על הנאשם ענישה שיש בה כדי לשקף את חומרת העבירות וזאת על ידי הטלת ענש של מאסר בפועל שלא תתנגד שירוצה בעבודות שרות. המאשימה הפנתה בטיעוניה לפסיקה נשוא ת/1.</w:t>
      </w:r>
    </w:p>
    <w:p w14:paraId="14E4C824" w14:textId="77777777" w:rsidR="006E1CF6" w:rsidRDefault="006E1CF6">
      <w:pPr>
        <w:pStyle w:val="a8"/>
        <w:spacing w:line="360" w:lineRule="auto"/>
        <w:jc w:val="both"/>
        <w:rPr>
          <w:rFonts w:cs="David"/>
          <w:sz w:val="24"/>
          <w:szCs w:val="24"/>
          <w:rtl/>
        </w:rPr>
      </w:pPr>
    </w:p>
    <w:p w14:paraId="27DEDADB" w14:textId="77777777" w:rsidR="006E1CF6" w:rsidRDefault="00A129B4">
      <w:pPr>
        <w:pStyle w:val="a8"/>
        <w:spacing w:line="360" w:lineRule="auto"/>
        <w:jc w:val="both"/>
        <w:rPr>
          <w:rFonts w:cs="David"/>
          <w:sz w:val="24"/>
          <w:szCs w:val="24"/>
          <w:rtl/>
        </w:rPr>
      </w:pPr>
      <w:r>
        <w:rPr>
          <w:rFonts w:cs="David" w:hint="cs"/>
          <w:sz w:val="24"/>
          <w:szCs w:val="24"/>
          <w:rtl/>
        </w:rPr>
        <w:t>מנגד, הסנגור ביקש ללמדנו כי אין כל הצדקה להטלת ענישה הרתעתית הכוללת מאסר בדרך של עבודות שרות לתקופה ארוכה. המדובר באדם נורמטיבי המשולל כל עבר פלילי ואינו בעל אישיות עבריינית. שליחתו למאסר בעבודות שרות לתקופה ארוכה עלולה להביא לרגרסיה בניהול חייו.</w:t>
      </w:r>
    </w:p>
    <w:p w14:paraId="2B7ECBDE" w14:textId="77777777" w:rsidR="006E1CF6" w:rsidRDefault="006E1CF6">
      <w:pPr>
        <w:pStyle w:val="a8"/>
        <w:spacing w:line="360" w:lineRule="auto"/>
        <w:jc w:val="both"/>
        <w:rPr>
          <w:rFonts w:cs="David"/>
          <w:sz w:val="24"/>
          <w:szCs w:val="24"/>
          <w:rtl/>
        </w:rPr>
      </w:pPr>
    </w:p>
    <w:p w14:paraId="3A5FC1FD" w14:textId="77777777" w:rsidR="006E1CF6" w:rsidRDefault="00A129B4">
      <w:pPr>
        <w:pStyle w:val="a8"/>
        <w:spacing w:line="360" w:lineRule="auto"/>
        <w:jc w:val="both"/>
        <w:rPr>
          <w:rFonts w:cs="David"/>
          <w:b/>
          <w:bCs/>
          <w:sz w:val="24"/>
          <w:szCs w:val="24"/>
          <w:u w:val="single"/>
          <w:rtl/>
        </w:rPr>
      </w:pPr>
      <w:r>
        <w:rPr>
          <w:rFonts w:cs="David" w:hint="cs"/>
          <w:b/>
          <w:bCs/>
          <w:sz w:val="24"/>
          <w:szCs w:val="24"/>
          <w:u w:val="single"/>
          <w:rtl/>
        </w:rPr>
        <w:t>דיון והכרעה</w:t>
      </w:r>
    </w:p>
    <w:p w14:paraId="06A1E58C" w14:textId="77777777" w:rsidR="006E1CF6" w:rsidRDefault="006E1CF6">
      <w:pPr>
        <w:pStyle w:val="a8"/>
        <w:spacing w:line="360" w:lineRule="auto"/>
        <w:jc w:val="both"/>
        <w:rPr>
          <w:rFonts w:cs="David"/>
          <w:sz w:val="24"/>
          <w:szCs w:val="24"/>
          <w:rtl/>
        </w:rPr>
      </w:pPr>
    </w:p>
    <w:p w14:paraId="0BEFEF26" w14:textId="77777777" w:rsidR="006E1CF6" w:rsidRDefault="00A129B4">
      <w:pPr>
        <w:pStyle w:val="a8"/>
        <w:spacing w:line="360" w:lineRule="auto"/>
        <w:jc w:val="both"/>
        <w:rPr>
          <w:rFonts w:cs="David"/>
          <w:sz w:val="24"/>
          <w:szCs w:val="24"/>
          <w:rtl/>
        </w:rPr>
      </w:pPr>
      <w:r>
        <w:rPr>
          <w:rFonts w:cs="David" w:hint="cs"/>
          <w:sz w:val="24"/>
          <w:szCs w:val="24"/>
          <w:rtl/>
        </w:rPr>
        <w:t>אין חולק, כי עבירת החזקת הנשק המצוינת ב</w:t>
      </w:r>
      <w:hyperlink r:id="rId12" w:history="1">
        <w:r w:rsidR="00572D92" w:rsidRPr="00572D92">
          <w:rPr>
            <w:rStyle w:val="Hyperlink"/>
            <w:rFonts w:cs="David" w:hint="eastAsia"/>
            <w:sz w:val="24"/>
            <w:szCs w:val="24"/>
            <w:rtl/>
          </w:rPr>
          <w:t>סעיף</w:t>
        </w:r>
        <w:r w:rsidR="00572D92" w:rsidRPr="00572D92">
          <w:rPr>
            <w:rStyle w:val="Hyperlink"/>
            <w:rFonts w:cs="David"/>
            <w:sz w:val="24"/>
            <w:szCs w:val="24"/>
            <w:rtl/>
          </w:rPr>
          <w:t xml:space="preserve"> 144(א)</w:t>
        </w:r>
      </w:hyperlink>
      <w:r>
        <w:rPr>
          <w:rFonts w:cs="David" w:hint="cs"/>
          <w:sz w:val="24"/>
          <w:szCs w:val="24"/>
          <w:rtl/>
        </w:rPr>
        <w:t xml:space="preserve"> רישא ל</w:t>
      </w:r>
      <w:r w:rsidR="00772E4C" w:rsidRPr="00572D92">
        <w:rPr>
          <w:rFonts w:cs="David" w:hint="eastAsia"/>
          <w:sz w:val="24"/>
          <w:szCs w:val="24"/>
          <w:rtl/>
        </w:rPr>
        <w:t>חוק</w:t>
      </w:r>
      <w:r w:rsidR="00772E4C" w:rsidRPr="00572D92">
        <w:rPr>
          <w:rFonts w:cs="David"/>
          <w:sz w:val="24"/>
          <w:szCs w:val="24"/>
          <w:rtl/>
        </w:rPr>
        <w:t xml:space="preserve"> העונשין</w:t>
      </w:r>
      <w:r>
        <w:rPr>
          <w:rFonts w:cs="David" w:hint="cs"/>
          <w:sz w:val="24"/>
          <w:szCs w:val="24"/>
          <w:rtl/>
        </w:rPr>
        <w:t>, הינה ממין העבירות שאין להקל ראש בחומרתן. עבירה זו יש בה משום סיכון שלום הציבור וביטחונו, סיכון הגלום בכך שכלי בעל פוטנציאל קטלני מוחזק שלא כדין בידי אדם ללא פיקוח של רשויות המדינה. הדברים אמורים גם ביחס למקרים בהם אין בכוונת המחזיק לעשות שימוש בנשק לצורך ביצוע עבירה כלשהי, כפי המקרה העומד בפתחנו.</w:t>
      </w:r>
    </w:p>
    <w:p w14:paraId="0EB63CA1" w14:textId="77777777" w:rsidR="006E1CF6" w:rsidRDefault="006E1CF6">
      <w:pPr>
        <w:pStyle w:val="a8"/>
        <w:spacing w:line="360" w:lineRule="auto"/>
        <w:jc w:val="both"/>
        <w:rPr>
          <w:rFonts w:cs="David"/>
          <w:sz w:val="24"/>
          <w:szCs w:val="24"/>
          <w:rtl/>
        </w:rPr>
      </w:pPr>
    </w:p>
    <w:p w14:paraId="0040AC55" w14:textId="77777777" w:rsidR="006E1CF6" w:rsidRDefault="00A129B4">
      <w:pPr>
        <w:pStyle w:val="a8"/>
        <w:spacing w:line="360" w:lineRule="auto"/>
        <w:jc w:val="both"/>
        <w:rPr>
          <w:rFonts w:cs="David"/>
          <w:sz w:val="24"/>
          <w:szCs w:val="24"/>
          <w:rtl/>
        </w:rPr>
      </w:pPr>
      <w:r>
        <w:rPr>
          <w:rFonts w:cs="David" w:hint="cs"/>
          <w:spacing w:val="-4"/>
          <w:sz w:val="24"/>
          <w:szCs w:val="24"/>
          <w:rtl/>
        </w:rPr>
        <w:t xml:space="preserve">בהקשר זה קבעה כב' השופטת ארבל </w:t>
      </w:r>
      <w:r>
        <w:rPr>
          <w:rFonts w:cs="David" w:hint="cs"/>
          <w:sz w:val="24"/>
          <w:szCs w:val="24"/>
          <w:rtl/>
        </w:rPr>
        <w:t>ב</w:t>
      </w:r>
      <w:hyperlink r:id="rId13" w:history="1">
        <w:r w:rsidR="00572D92" w:rsidRPr="00572D92">
          <w:rPr>
            <w:rStyle w:val="Hyperlink"/>
            <w:rFonts w:cs="David" w:hint="eastAsia"/>
            <w:b/>
            <w:bCs/>
            <w:sz w:val="24"/>
            <w:szCs w:val="24"/>
            <w:rtl/>
          </w:rPr>
          <w:t>ע</w:t>
        </w:r>
        <w:r w:rsidR="00572D92" w:rsidRPr="00572D92">
          <w:rPr>
            <w:rStyle w:val="Hyperlink"/>
            <w:rFonts w:cs="David"/>
            <w:b/>
            <w:bCs/>
            <w:sz w:val="24"/>
            <w:szCs w:val="24"/>
            <w:rtl/>
          </w:rPr>
          <w:t>"פ 3300</w:t>
        </w:r>
        <w:r w:rsidR="00572D92" w:rsidRPr="00572D92">
          <w:rPr>
            <w:rStyle w:val="Hyperlink"/>
            <w:rFonts w:cs="David"/>
            <w:b/>
            <w:bCs/>
            <w:sz w:val="24"/>
            <w:szCs w:val="24"/>
            <w:rtl/>
          </w:rPr>
          <w:t>/</w:t>
        </w:r>
        <w:r w:rsidR="00572D92" w:rsidRPr="00572D92">
          <w:rPr>
            <w:rStyle w:val="Hyperlink"/>
            <w:rFonts w:cs="David"/>
            <w:b/>
            <w:bCs/>
            <w:sz w:val="24"/>
            <w:szCs w:val="24"/>
            <w:rtl/>
          </w:rPr>
          <w:t>06 סולטאן אבו סנינה נ' מדינת ישראל</w:t>
        </w:r>
      </w:hyperlink>
      <w:r>
        <w:rPr>
          <w:rFonts w:cs="David" w:hint="cs"/>
          <w:sz w:val="24"/>
          <w:szCs w:val="24"/>
          <w:rtl/>
        </w:rPr>
        <w:t>, תק-על 2006(3) 2494 , עמ' 2496 (2006) כלהלן:</w:t>
      </w:r>
    </w:p>
    <w:p w14:paraId="4C1FE310" w14:textId="77777777" w:rsidR="006E1CF6" w:rsidRDefault="006E1CF6">
      <w:pPr>
        <w:pStyle w:val="a8"/>
        <w:spacing w:line="360" w:lineRule="auto"/>
        <w:jc w:val="both"/>
        <w:rPr>
          <w:rFonts w:cs="David"/>
          <w:sz w:val="24"/>
          <w:szCs w:val="24"/>
          <w:rtl/>
        </w:rPr>
      </w:pPr>
    </w:p>
    <w:p w14:paraId="7E56C0C4" w14:textId="77777777" w:rsidR="006E1CF6" w:rsidRDefault="00A129B4">
      <w:pPr>
        <w:pStyle w:val="a8"/>
        <w:spacing w:line="360" w:lineRule="auto"/>
        <w:ind w:left="1664" w:right="1680"/>
        <w:jc w:val="both"/>
        <w:rPr>
          <w:rFonts w:cs="David"/>
          <w:spacing w:val="-4"/>
          <w:sz w:val="24"/>
          <w:szCs w:val="24"/>
          <w:rtl/>
        </w:rPr>
      </w:pPr>
      <w:r>
        <w:rPr>
          <w:rFonts w:cs="David" w:hint="cs"/>
          <w:spacing w:val="-4"/>
          <w:sz w:val="24"/>
          <w:szCs w:val="24"/>
          <w:rtl/>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 לא הוכשר לשימוש בנשק וממילא גם מוחזק כמי שאינו מיומן בו... לטעמי 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w:t>
      </w:r>
    </w:p>
    <w:p w14:paraId="612E1344" w14:textId="77777777" w:rsidR="006E1CF6" w:rsidRDefault="006E1CF6">
      <w:pPr>
        <w:pStyle w:val="a8"/>
        <w:spacing w:line="360" w:lineRule="auto"/>
        <w:jc w:val="both"/>
        <w:rPr>
          <w:rFonts w:cs="David"/>
          <w:sz w:val="24"/>
          <w:szCs w:val="24"/>
          <w:rtl/>
        </w:rPr>
      </w:pPr>
    </w:p>
    <w:p w14:paraId="3FA5FF7B" w14:textId="77777777" w:rsidR="006E1CF6" w:rsidRDefault="00A129B4">
      <w:pPr>
        <w:pStyle w:val="a8"/>
        <w:spacing w:line="360" w:lineRule="auto"/>
        <w:jc w:val="both"/>
        <w:rPr>
          <w:rFonts w:cs="David"/>
          <w:sz w:val="24"/>
          <w:szCs w:val="24"/>
          <w:rtl/>
        </w:rPr>
      </w:pPr>
      <w:r>
        <w:rPr>
          <w:rFonts w:cs="David" w:hint="cs"/>
          <w:sz w:val="24"/>
          <w:szCs w:val="24"/>
          <w:rtl/>
        </w:rPr>
        <w:t>לא אחת עמדו בתי המשפט על הצורך להחמיר את הענישה ביחס לעבירה זו. בפסק דינו של כב' השופט בך ב</w:t>
      </w:r>
      <w:r>
        <w:rPr>
          <w:rFonts w:cs="David" w:hint="cs"/>
          <w:b/>
          <w:bCs/>
          <w:sz w:val="24"/>
          <w:szCs w:val="24"/>
          <w:u w:val="single"/>
          <w:rtl/>
        </w:rPr>
        <w:t>ע"פ 972, 910/85 אברהים קונדוס ואח' נ' מדינת ישראל</w:t>
      </w:r>
      <w:r>
        <w:rPr>
          <w:rFonts w:cs="David" w:hint="cs"/>
          <w:sz w:val="24"/>
          <w:szCs w:val="24"/>
          <w:rtl/>
        </w:rPr>
        <w:t>, תק-על 86(2), 670 (1986):</w:t>
      </w:r>
    </w:p>
    <w:p w14:paraId="5E46DB1D" w14:textId="77777777" w:rsidR="006E1CF6" w:rsidRDefault="006E1CF6">
      <w:pPr>
        <w:pStyle w:val="a8"/>
        <w:spacing w:line="360" w:lineRule="auto"/>
        <w:jc w:val="both"/>
        <w:rPr>
          <w:rFonts w:cs="David"/>
          <w:sz w:val="24"/>
          <w:szCs w:val="24"/>
          <w:rtl/>
        </w:rPr>
      </w:pPr>
    </w:p>
    <w:p w14:paraId="5F50C1AC" w14:textId="77777777" w:rsidR="006E1CF6" w:rsidRDefault="00A129B4">
      <w:pPr>
        <w:pStyle w:val="a8"/>
        <w:spacing w:line="360" w:lineRule="auto"/>
        <w:ind w:left="1664" w:right="1680"/>
        <w:jc w:val="both"/>
        <w:rPr>
          <w:rFonts w:cs="David"/>
          <w:sz w:val="24"/>
          <w:szCs w:val="24"/>
          <w:rtl/>
        </w:rPr>
      </w:pPr>
      <w:r>
        <w:rPr>
          <w:rFonts w:cs="David" w:hint="cs"/>
          <w:sz w:val="24"/>
          <w:szCs w:val="24"/>
          <w:rtl/>
        </w:rPr>
        <w:t>"אין אנו יכולים להתעלם מהעובדה, שהחזקת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ומוגדר בעזרת הנשק האמור".</w:t>
      </w:r>
    </w:p>
    <w:p w14:paraId="3822D108" w14:textId="77777777" w:rsidR="006E1CF6" w:rsidRDefault="006E1CF6">
      <w:pPr>
        <w:pStyle w:val="a8"/>
        <w:spacing w:line="360" w:lineRule="auto"/>
        <w:jc w:val="both"/>
        <w:rPr>
          <w:rFonts w:cs="David"/>
          <w:sz w:val="24"/>
          <w:szCs w:val="24"/>
          <w:rtl/>
        </w:rPr>
      </w:pPr>
    </w:p>
    <w:p w14:paraId="2AB9E8D0" w14:textId="77777777" w:rsidR="006E1CF6" w:rsidRDefault="00A129B4">
      <w:pPr>
        <w:pStyle w:val="a8"/>
        <w:spacing w:line="360" w:lineRule="auto"/>
        <w:jc w:val="both"/>
        <w:rPr>
          <w:rFonts w:cs="David"/>
          <w:sz w:val="24"/>
          <w:szCs w:val="24"/>
          <w:rtl/>
        </w:rPr>
      </w:pPr>
      <w:r>
        <w:rPr>
          <w:rFonts w:cs="David" w:hint="cs"/>
          <w:sz w:val="24"/>
          <w:szCs w:val="24"/>
          <w:rtl/>
        </w:rPr>
        <w:t>וביחס לרמת הענישה הראויה, ראה פסק דינה של כב' הנשיאה בייניש ב</w:t>
      </w:r>
      <w:hyperlink r:id="rId14" w:history="1">
        <w:r w:rsidR="00572D92" w:rsidRPr="00572D92">
          <w:rPr>
            <w:rStyle w:val="Hyperlink"/>
            <w:rFonts w:cs="David" w:hint="eastAsia"/>
            <w:b/>
            <w:bCs/>
            <w:sz w:val="24"/>
            <w:szCs w:val="24"/>
            <w:rtl/>
          </w:rPr>
          <w:t>ע</w:t>
        </w:r>
        <w:r w:rsidR="00572D92" w:rsidRPr="00572D92">
          <w:rPr>
            <w:rStyle w:val="Hyperlink"/>
            <w:rFonts w:cs="David"/>
            <w:b/>
            <w:bCs/>
            <w:sz w:val="24"/>
            <w:szCs w:val="24"/>
            <w:rtl/>
          </w:rPr>
          <w:t>"פ 1332/04 מדינת ישראל נ' יצח</w:t>
        </w:r>
        <w:r w:rsidR="00572D92" w:rsidRPr="00572D92">
          <w:rPr>
            <w:rStyle w:val="Hyperlink"/>
            <w:rFonts w:cs="David"/>
            <w:b/>
            <w:bCs/>
            <w:sz w:val="24"/>
            <w:szCs w:val="24"/>
            <w:rtl/>
          </w:rPr>
          <w:t>ק</w:t>
        </w:r>
        <w:r w:rsidR="00572D92" w:rsidRPr="00572D92">
          <w:rPr>
            <w:rStyle w:val="Hyperlink"/>
            <w:rFonts w:cs="David"/>
            <w:b/>
            <w:bCs/>
            <w:sz w:val="24"/>
            <w:szCs w:val="24"/>
            <w:rtl/>
          </w:rPr>
          <w:t xml:space="preserve"> רפאל פס ואח'</w:t>
        </w:r>
      </w:hyperlink>
      <w:r w:rsidRPr="00C60837">
        <w:rPr>
          <w:rFonts w:cs="David" w:hint="cs"/>
          <w:b/>
          <w:bCs/>
          <w:color w:val="000000"/>
          <w:sz w:val="24"/>
          <w:szCs w:val="24"/>
          <w:rtl/>
        </w:rPr>
        <w:t>, פ"ד נח</w:t>
      </w:r>
      <w:r>
        <w:rPr>
          <w:rFonts w:cs="David" w:hint="cs"/>
          <w:sz w:val="24"/>
          <w:szCs w:val="24"/>
          <w:rtl/>
        </w:rPr>
        <w:t>(5), 541, עמ' 545-546 (2004):</w:t>
      </w:r>
    </w:p>
    <w:p w14:paraId="39254349" w14:textId="77777777" w:rsidR="006E1CF6" w:rsidRDefault="006E1CF6">
      <w:pPr>
        <w:pStyle w:val="a8"/>
        <w:spacing w:line="360" w:lineRule="auto"/>
        <w:jc w:val="both"/>
        <w:rPr>
          <w:rFonts w:cs="David"/>
          <w:spacing w:val="-6"/>
          <w:sz w:val="24"/>
          <w:szCs w:val="24"/>
          <w:rtl/>
        </w:rPr>
      </w:pPr>
    </w:p>
    <w:p w14:paraId="65932B8C" w14:textId="77777777" w:rsidR="006E1CF6" w:rsidRDefault="00A129B4">
      <w:pPr>
        <w:pStyle w:val="a8"/>
        <w:spacing w:line="360" w:lineRule="auto"/>
        <w:ind w:left="1664" w:right="1680"/>
        <w:jc w:val="both"/>
        <w:rPr>
          <w:rFonts w:cs="David"/>
          <w:sz w:val="24"/>
          <w:szCs w:val="24"/>
          <w:rtl/>
        </w:rPr>
      </w:pPr>
      <w:r>
        <w:rPr>
          <w:rFonts w:cs="David" w:hint="cs"/>
          <w:sz w:val="24"/>
          <w:szCs w:val="24"/>
          <w:rtl/>
        </w:rPr>
        <w:t>"גם אם נכון הדבר כי עד כה רמת הענישה בעבירות של החזקת נשק אינה גבוהה, הרי שהמציאות השוררת היום בארץ - זמינותו של נשק חם ורב עוצמה שיש עמו פוטנציאל להסלמה באלימות העבריינית והאידיאולוגית כאחד - מחייבים מתן ביטוי עונשי הולם והחמרה ברמת הענישה".</w:t>
      </w:r>
    </w:p>
    <w:p w14:paraId="59FA8681" w14:textId="77777777" w:rsidR="006E1CF6" w:rsidRDefault="006E1CF6">
      <w:pPr>
        <w:pStyle w:val="a8"/>
        <w:spacing w:line="360" w:lineRule="auto"/>
        <w:jc w:val="both"/>
        <w:rPr>
          <w:rFonts w:cs="David"/>
          <w:sz w:val="24"/>
          <w:szCs w:val="24"/>
          <w:rtl/>
        </w:rPr>
      </w:pPr>
    </w:p>
    <w:p w14:paraId="7B06EB3C" w14:textId="77777777" w:rsidR="006E1CF6" w:rsidRDefault="00A129B4">
      <w:pPr>
        <w:pStyle w:val="a8"/>
        <w:spacing w:line="360" w:lineRule="auto"/>
        <w:jc w:val="both"/>
        <w:rPr>
          <w:rFonts w:cs="David"/>
          <w:sz w:val="24"/>
          <w:szCs w:val="24"/>
          <w:rtl/>
        </w:rPr>
      </w:pPr>
      <w:r>
        <w:rPr>
          <w:rFonts w:cs="David" w:hint="cs"/>
          <w:sz w:val="24"/>
          <w:szCs w:val="24"/>
          <w:rtl/>
        </w:rPr>
        <w:t>ראה לעניין זה גם ב</w:t>
      </w:r>
      <w:hyperlink r:id="rId15" w:history="1">
        <w:r w:rsidR="00572D92" w:rsidRPr="00572D92">
          <w:rPr>
            <w:rStyle w:val="Hyperlink"/>
            <w:rFonts w:cs="David" w:hint="eastAsia"/>
            <w:b/>
            <w:bCs/>
            <w:sz w:val="24"/>
            <w:szCs w:val="24"/>
            <w:rtl/>
          </w:rPr>
          <w:t>רע</w:t>
        </w:r>
        <w:r w:rsidR="00572D92" w:rsidRPr="00572D92">
          <w:rPr>
            <w:rStyle w:val="Hyperlink"/>
            <w:rFonts w:cs="David"/>
            <w:b/>
            <w:bCs/>
            <w:sz w:val="24"/>
            <w:szCs w:val="24"/>
            <w:rtl/>
          </w:rPr>
          <w:t>"פ 2718</w:t>
        </w:r>
        <w:r w:rsidR="00572D92" w:rsidRPr="00572D92">
          <w:rPr>
            <w:rStyle w:val="Hyperlink"/>
            <w:rFonts w:cs="David"/>
            <w:b/>
            <w:bCs/>
            <w:sz w:val="24"/>
            <w:szCs w:val="24"/>
            <w:rtl/>
          </w:rPr>
          <w:t>/</w:t>
        </w:r>
        <w:r w:rsidR="00572D92" w:rsidRPr="00572D92">
          <w:rPr>
            <w:rStyle w:val="Hyperlink"/>
            <w:rFonts w:cs="David"/>
            <w:b/>
            <w:bCs/>
            <w:sz w:val="24"/>
            <w:szCs w:val="24"/>
            <w:rtl/>
          </w:rPr>
          <w:t>04 פואד אבו דאחל נ' מדינת ישראל</w:t>
        </w:r>
      </w:hyperlink>
      <w:r>
        <w:rPr>
          <w:rFonts w:cs="David" w:hint="cs"/>
          <w:sz w:val="24"/>
          <w:szCs w:val="24"/>
          <w:rtl/>
        </w:rPr>
        <w:t>, תק-על 2004(1) 3401 (2004):</w:t>
      </w:r>
    </w:p>
    <w:p w14:paraId="537B5DF9" w14:textId="77777777" w:rsidR="006E1CF6" w:rsidRDefault="006E1CF6">
      <w:pPr>
        <w:pStyle w:val="a8"/>
        <w:spacing w:line="360" w:lineRule="auto"/>
        <w:jc w:val="both"/>
        <w:rPr>
          <w:rFonts w:cs="David"/>
          <w:sz w:val="24"/>
          <w:szCs w:val="24"/>
          <w:rtl/>
        </w:rPr>
      </w:pPr>
    </w:p>
    <w:p w14:paraId="3ED0F8FE" w14:textId="77777777" w:rsidR="006E1CF6" w:rsidRDefault="00A129B4">
      <w:pPr>
        <w:pStyle w:val="a8"/>
        <w:spacing w:line="360" w:lineRule="auto"/>
        <w:ind w:left="1664" w:right="1800"/>
        <w:jc w:val="both"/>
        <w:rPr>
          <w:rFonts w:cs="David"/>
          <w:sz w:val="24"/>
          <w:szCs w:val="24"/>
          <w:rtl/>
        </w:rPr>
      </w:pPr>
      <w:r>
        <w:rPr>
          <w:rFonts w:cs="David" w:hint="cs"/>
          <w:sz w:val="24"/>
          <w:szCs w:val="24"/>
          <w:rtl/>
        </w:rPr>
        <w:t>"יוער כי הסכנה הטמונה בעבירה החמורה של החזקת נשק מצדיקה הטלת עונשי מאסר לריצוי בפועל גם על מי שזו עבירתו הראשונה.".</w:t>
      </w:r>
    </w:p>
    <w:p w14:paraId="71ECF273" w14:textId="77777777" w:rsidR="006E1CF6" w:rsidRDefault="006E1CF6">
      <w:pPr>
        <w:pStyle w:val="a8"/>
        <w:spacing w:line="360" w:lineRule="auto"/>
        <w:ind w:left="1664" w:right="1800"/>
        <w:jc w:val="both"/>
        <w:rPr>
          <w:rFonts w:cs="David"/>
          <w:sz w:val="24"/>
          <w:szCs w:val="24"/>
          <w:rtl/>
        </w:rPr>
      </w:pPr>
    </w:p>
    <w:p w14:paraId="2A1E1F3D" w14:textId="77777777" w:rsidR="006E1CF6" w:rsidRDefault="00A129B4">
      <w:pPr>
        <w:pStyle w:val="a8"/>
        <w:spacing w:line="360" w:lineRule="auto"/>
        <w:jc w:val="both"/>
        <w:rPr>
          <w:rFonts w:cs="David"/>
          <w:sz w:val="24"/>
          <w:szCs w:val="24"/>
          <w:rtl/>
        </w:rPr>
      </w:pPr>
      <w:r>
        <w:rPr>
          <w:rFonts w:cs="David" w:hint="cs"/>
          <w:sz w:val="24"/>
          <w:szCs w:val="24"/>
          <w:rtl/>
        </w:rPr>
        <w:t xml:space="preserve">הפסיקה אף התייחסה למקרים בהם הנאשם נעדר עבר פלילי ונקבע לא אחת כי יש להטיל עונש מאסר גם על מי שזו עבירתו הראשונה, ראה </w:t>
      </w:r>
      <w:hyperlink r:id="rId16" w:history="1">
        <w:r w:rsidR="00572D92" w:rsidRPr="00572D92">
          <w:rPr>
            <w:rStyle w:val="Hyperlink"/>
            <w:rFonts w:cs="David" w:hint="eastAsia"/>
            <w:b/>
            <w:bCs/>
            <w:sz w:val="24"/>
            <w:szCs w:val="24"/>
            <w:rtl/>
          </w:rPr>
          <w:t>ע</w:t>
        </w:r>
        <w:r w:rsidR="00572D92" w:rsidRPr="00572D92">
          <w:rPr>
            <w:rStyle w:val="Hyperlink"/>
            <w:rFonts w:cs="David"/>
            <w:b/>
            <w:bCs/>
            <w:sz w:val="24"/>
            <w:szCs w:val="24"/>
            <w:rtl/>
          </w:rPr>
          <w:t>"פ 6583</w:t>
        </w:r>
        <w:r w:rsidR="00572D92" w:rsidRPr="00572D92">
          <w:rPr>
            <w:rStyle w:val="Hyperlink"/>
            <w:rFonts w:cs="David"/>
            <w:b/>
            <w:bCs/>
            <w:sz w:val="24"/>
            <w:szCs w:val="24"/>
            <w:rtl/>
          </w:rPr>
          <w:t>/</w:t>
        </w:r>
        <w:r w:rsidR="00572D92" w:rsidRPr="00572D92">
          <w:rPr>
            <w:rStyle w:val="Hyperlink"/>
            <w:rFonts w:cs="David"/>
            <w:b/>
            <w:bCs/>
            <w:sz w:val="24"/>
            <w:szCs w:val="24"/>
            <w:rtl/>
          </w:rPr>
          <w:t>06 אגא אדהאם נ' מדינת ישראל</w:t>
        </w:r>
      </w:hyperlink>
      <w:r>
        <w:rPr>
          <w:rFonts w:cs="David" w:hint="cs"/>
          <w:sz w:val="24"/>
          <w:szCs w:val="24"/>
          <w:rtl/>
        </w:rPr>
        <w:t>, תק-על 2006(4) 3619 (2006)).</w:t>
      </w:r>
    </w:p>
    <w:p w14:paraId="60A12B91" w14:textId="77777777" w:rsidR="006E1CF6" w:rsidRDefault="006E1CF6">
      <w:pPr>
        <w:pStyle w:val="a8"/>
        <w:spacing w:line="360" w:lineRule="auto"/>
        <w:jc w:val="both"/>
        <w:rPr>
          <w:rFonts w:cs="David"/>
          <w:sz w:val="24"/>
          <w:szCs w:val="24"/>
          <w:rtl/>
        </w:rPr>
      </w:pPr>
    </w:p>
    <w:p w14:paraId="221153A9" w14:textId="77777777" w:rsidR="006E1CF6" w:rsidRDefault="00A129B4">
      <w:pPr>
        <w:pStyle w:val="a8"/>
        <w:spacing w:line="360" w:lineRule="auto"/>
        <w:jc w:val="both"/>
        <w:rPr>
          <w:rFonts w:cs="David"/>
          <w:sz w:val="24"/>
          <w:szCs w:val="24"/>
          <w:rtl/>
        </w:rPr>
      </w:pPr>
      <w:r>
        <w:rPr>
          <w:rFonts w:cs="David" w:hint="cs"/>
          <w:sz w:val="24"/>
          <w:szCs w:val="24"/>
          <w:rtl/>
        </w:rPr>
        <w:t xml:space="preserve">ברור שלצד מדיניות ההחמרה בענישה הנוגעת לביצוען של עבירות נשק; הרי כי מדיניות ענישה בעבירות הנשק השונות, כדוגמת יתר העבירות, טומנת בחובה מגוון רחב של ענישה, באופן המאפשר לבית המשפט לבור לעצמו את העונש הראוי וההולם, בהתאם לנסיבות המיוחדות המאפיינות את המקרה שלפניו. </w:t>
      </w:r>
    </w:p>
    <w:p w14:paraId="0DC34926" w14:textId="77777777" w:rsidR="006E1CF6" w:rsidRDefault="006E1CF6">
      <w:pPr>
        <w:pStyle w:val="a8"/>
        <w:spacing w:line="360" w:lineRule="auto"/>
        <w:jc w:val="both"/>
        <w:rPr>
          <w:rFonts w:cs="David"/>
          <w:sz w:val="24"/>
          <w:szCs w:val="24"/>
          <w:rtl/>
        </w:rPr>
      </w:pPr>
    </w:p>
    <w:p w14:paraId="17D9E69D" w14:textId="77777777" w:rsidR="006E1CF6" w:rsidRDefault="00A129B4">
      <w:pPr>
        <w:pStyle w:val="a8"/>
        <w:spacing w:line="360" w:lineRule="auto"/>
        <w:jc w:val="both"/>
        <w:rPr>
          <w:rFonts w:cs="David"/>
          <w:sz w:val="24"/>
          <w:szCs w:val="24"/>
          <w:rtl/>
        </w:rPr>
      </w:pPr>
      <w:r>
        <w:rPr>
          <w:rFonts w:cs="David" w:hint="cs"/>
          <w:sz w:val="24"/>
          <w:szCs w:val="24"/>
          <w:rtl/>
        </w:rPr>
        <w:t>בבוא בית המשפט לגזור את דינו של נאשם זה או אחר, שם הוא לנגד עיניו את מגוון השיקולים (לקולא ולחומרא) על כפות המאזניים ותר הוא אחר נקודת האיזון הראויה באותו מקרה המונח בפניו.</w:t>
      </w:r>
    </w:p>
    <w:p w14:paraId="1D70C42B" w14:textId="77777777" w:rsidR="006E1CF6" w:rsidRDefault="006E1CF6">
      <w:pPr>
        <w:pStyle w:val="a8"/>
        <w:spacing w:line="360" w:lineRule="auto"/>
        <w:jc w:val="both"/>
        <w:rPr>
          <w:rFonts w:cs="David"/>
          <w:sz w:val="24"/>
          <w:szCs w:val="24"/>
          <w:rtl/>
        </w:rPr>
      </w:pPr>
    </w:p>
    <w:p w14:paraId="0A2262C4" w14:textId="77777777" w:rsidR="006E1CF6" w:rsidRDefault="00A129B4">
      <w:pPr>
        <w:pStyle w:val="a8"/>
        <w:spacing w:line="360" w:lineRule="auto"/>
        <w:jc w:val="both"/>
        <w:rPr>
          <w:rFonts w:cs="David"/>
          <w:sz w:val="24"/>
          <w:szCs w:val="24"/>
          <w:rtl/>
        </w:rPr>
      </w:pPr>
      <w:r>
        <w:rPr>
          <w:rFonts w:cs="David" w:hint="cs"/>
          <w:sz w:val="24"/>
          <w:szCs w:val="24"/>
          <w:rtl/>
        </w:rPr>
        <w:t>כפי המובא לעיל, במסגרת השיקולים לחומרא יש לקחת בחשבון את חומרת המעשים המיוחסים לנאשם וכן את התייחסות הפסיקה לרמת הענישה הראויה במקרים כגון דא.</w:t>
      </w:r>
    </w:p>
    <w:p w14:paraId="6433B512" w14:textId="77777777" w:rsidR="006E1CF6" w:rsidRDefault="006E1CF6">
      <w:pPr>
        <w:pStyle w:val="a8"/>
        <w:spacing w:line="360" w:lineRule="auto"/>
        <w:jc w:val="both"/>
        <w:rPr>
          <w:rFonts w:cs="David"/>
          <w:sz w:val="24"/>
          <w:szCs w:val="24"/>
          <w:rtl/>
        </w:rPr>
      </w:pPr>
    </w:p>
    <w:p w14:paraId="2EB65266" w14:textId="77777777" w:rsidR="006E1CF6" w:rsidRDefault="00A129B4">
      <w:pPr>
        <w:pStyle w:val="a8"/>
        <w:spacing w:line="360" w:lineRule="auto"/>
        <w:jc w:val="both"/>
        <w:rPr>
          <w:rFonts w:cs="David"/>
          <w:spacing w:val="-2"/>
          <w:sz w:val="24"/>
          <w:szCs w:val="24"/>
          <w:rtl/>
        </w:rPr>
      </w:pPr>
      <w:r>
        <w:rPr>
          <w:rFonts w:cs="David" w:hint="cs"/>
          <w:spacing w:val="-2"/>
          <w:sz w:val="24"/>
          <w:szCs w:val="24"/>
          <w:rtl/>
        </w:rPr>
        <w:t xml:space="preserve">במסגרת השיקולים לקולא, יש לקחת בחשבון כי מדובר בנאשם נעדר עבר פלילי וזה הוא מפגשו הראשון עם החוק, אשר ניהל עובר למקרה דנא אורח חיים נורמטיבי. בנוסף, יש לקחת בחשבון, את העובדה כי </w:t>
      </w:r>
      <w:r>
        <w:rPr>
          <w:rFonts w:cs="David" w:hint="cs"/>
          <w:sz w:val="24"/>
          <w:szCs w:val="24"/>
          <w:rtl/>
        </w:rPr>
        <w:t>הנשק אינו תקין. לכך יש להוסיף כי עבירת החזקת הנשק במקרה דנא, עומדת לבדה ולא בוצעו לצידה עבירות נוספות תוך שימוש בנשק ולא היתה כל כוונה לשימוש פלילי –בטחוני בנשק זה.</w:t>
      </w:r>
    </w:p>
    <w:p w14:paraId="2383EB3F" w14:textId="77777777" w:rsidR="006E1CF6" w:rsidRDefault="006E1CF6">
      <w:pPr>
        <w:pStyle w:val="a8"/>
        <w:spacing w:line="360" w:lineRule="auto"/>
        <w:jc w:val="both"/>
        <w:rPr>
          <w:rFonts w:cs="David"/>
          <w:sz w:val="24"/>
          <w:szCs w:val="24"/>
          <w:rtl/>
        </w:rPr>
      </w:pPr>
    </w:p>
    <w:p w14:paraId="16E4A1B6" w14:textId="77777777" w:rsidR="006E1CF6" w:rsidRDefault="00A129B4">
      <w:pPr>
        <w:pStyle w:val="a8"/>
        <w:spacing w:line="360" w:lineRule="auto"/>
        <w:jc w:val="both"/>
        <w:rPr>
          <w:rFonts w:cs="David"/>
          <w:sz w:val="24"/>
          <w:szCs w:val="24"/>
          <w:rtl/>
        </w:rPr>
      </w:pPr>
      <w:r>
        <w:rPr>
          <w:rFonts w:cs="David" w:hint="cs"/>
          <w:sz w:val="24"/>
          <w:szCs w:val="24"/>
          <w:rtl/>
        </w:rPr>
        <w:t>עוד יש להתחשב לקולא בהודאתו של הנאשם בהזדמנות הראשונה, אשר חסכה זמן שיפוטי יקר, וכן את הרושם החיובי אשר הותיר עת הביע החרטה ונטילת אחריות מצדו. חרטתו והודאתו הינן כנות ואמיתיות. הנאשם שיתף פעולה עם רשויות החוק ועם שירות המבחן ובסוף התקבלה המלצה חיובית בעניינו לפיה ניתן להסתפק בהטלת ענישה מותנית.</w:t>
      </w:r>
    </w:p>
    <w:p w14:paraId="5C1C8414" w14:textId="77777777" w:rsidR="006E1CF6" w:rsidRDefault="006E1CF6">
      <w:pPr>
        <w:pStyle w:val="a8"/>
        <w:spacing w:line="360" w:lineRule="auto"/>
        <w:jc w:val="both"/>
        <w:rPr>
          <w:rFonts w:cs="David"/>
          <w:spacing w:val="-2"/>
          <w:sz w:val="24"/>
          <w:szCs w:val="24"/>
          <w:rtl/>
        </w:rPr>
      </w:pPr>
    </w:p>
    <w:p w14:paraId="4D03DF9D" w14:textId="77777777" w:rsidR="006E1CF6" w:rsidRDefault="00A129B4">
      <w:pPr>
        <w:pStyle w:val="a8"/>
        <w:spacing w:line="360" w:lineRule="auto"/>
        <w:jc w:val="both"/>
        <w:rPr>
          <w:rFonts w:cs="David"/>
          <w:spacing w:val="-2"/>
          <w:sz w:val="24"/>
          <w:szCs w:val="24"/>
          <w:rtl/>
        </w:rPr>
      </w:pPr>
      <w:r>
        <w:rPr>
          <w:rFonts w:cs="David" w:hint="cs"/>
          <w:spacing w:val="-2"/>
          <w:sz w:val="24"/>
          <w:szCs w:val="24"/>
          <w:rtl/>
        </w:rPr>
        <w:t>כאן המקום לחזור ולהדגיש, כי בית המשפט אינו כפוף להמלצת שירות המבחן. חובה על בית המשפט להשקיף אל עבר כל הכיוונים והמישורים הרלוונטיים מסביבו. המלצת שירות המבחן, הינה בבחינת מישור אחד בלבד ממכלול מישורים אלה. המדובר הוא בהמלצה ותו לא. ברצותו יוכל בית המשפט לאמצה, לאמץ חלקים ממנה ו/או לדחותה כליל (</w:t>
      </w:r>
      <w:hyperlink r:id="rId17" w:history="1">
        <w:r w:rsidR="00572D92" w:rsidRPr="00572D92">
          <w:rPr>
            <w:rStyle w:val="Hyperlink"/>
            <w:rFonts w:cs="David"/>
            <w:b/>
            <w:bCs/>
            <w:spacing w:val="-2"/>
            <w:sz w:val="24"/>
            <w:szCs w:val="24"/>
            <w:rtl/>
          </w:rPr>
          <w:t>ע"פ 433/81 מדי</w:t>
        </w:r>
        <w:r w:rsidR="00572D92" w:rsidRPr="00572D92">
          <w:rPr>
            <w:rStyle w:val="Hyperlink"/>
            <w:rFonts w:cs="David"/>
            <w:b/>
            <w:bCs/>
            <w:spacing w:val="-2"/>
            <w:sz w:val="24"/>
            <w:szCs w:val="24"/>
            <w:rtl/>
          </w:rPr>
          <w:t>נ</w:t>
        </w:r>
        <w:r w:rsidR="00572D92" w:rsidRPr="00572D92">
          <w:rPr>
            <w:rStyle w:val="Hyperlink"/>
            <w:rFonts w:cs="David"/>
            <w:b/>
            <w:bCs/>
            <w:spacing w:val="-2"/>
            <w:sz w:val="24"/>
            <w:szCs w:val="24"/>
            <w:rtl/>
          </w:rPr>
          <w:t xml:space="preserve">ת ישראל נ. סגל </w:t>
        </w:r>
      </w:hyperlink>
      <w:r w:rsidRPr="00C60837">
        <w:rPr>
          <w:rFonts w:cs="David"/>
          <w:b/>
          <w:bCs/>
          <w:color w:val="000000"/>
          <w:spacing w:val="-2"/>
          <w:sz w:val="24"/>
          <w:szCs w:val="24"/>
          <w:rtl/>
        </w:rPr>
        <w:t xml:space="preserve"> פ"ד לה</w:t>
      </w:r>
      <w:r>
        <w:rPr>
          <w:rFonts w:cs="David" w:hint="cs"/>
          <w:spacing w:val="-2"/>
          <w:sz w:val="24"/>
          <w:szCs w:val="24"/>
          <w:rtl/>
        </w:rPr>
        <w:t xml:space="preserve">(4) 313 עמ' 318). בין היתר על בית המשפט לייחס משקל לחוות דעתו של הממונה על עבודות שירות אשר הונחה על שולחנו של בית המשפט לקראת הדיון היעוד להיום. </w:t>
      </w:r>
    </w:p>
    <w:p w14:paraId="28A6568A" w14:textId="77777777" w:rsidR="006E1CF6" w:rsidRDefault="006E1CF6">
      <w:pPr>
        <w:pStyle w:val="a8"/>
        <w:spacing w:line="360" w:lineRule="auto"/>
        <w:jc w:val="both"/>
        <w:rPr>
          <w:rFonts w:cs="David"/>
          <w:spacing w:val="-2"/>
          <w:sz w:val="24"/>
          <w:szCs w:val="24"/>
          <w:rtl/>
        </w:rPr>
      </w:pPr>
    </w:p>
    <w:p w14:paraId="1052B112" w14:textId="77777777" w:rsidR="006E1CF6" w:rsidRDefault="00A129B4">
      <w:pPr>
        <w:pStyle w:val="a8"/>
        <w:spacing w:line="360" w:lineRule="auto"/>
        <w:jc w:val="both"/>
        <w:rPr>
          <w:rFonts w:cs="David"/>
          <w:b/>
          <w:bCs/>
          <w:sz w:val="24"/>
          <w:szCs w:val="24"/>
          <w:rtl/>
        </w:rPr>
      </w:pPr>
      <w:r>
        <w:rPr>
          <w:rFonts w:cs="David" w:hint="cs"/>
          <w:b/>
          <w:bCs/>
          <w:sz w:val="24"/>
          <w:szCs w:val="24"/>
          <w:rtl/>
        </w:rPr>
        <w:t>לאור כל האמור לעיל, ולאחר ששקלתי את מכלול טענות הצדדים, לחומרא ולקולא, הרי שבאיזון הכולל בין מגוון השיקולים, אני מטיל על הנאשם את העונשים הבאים:</w:t>
      </w:r>
    </w:p>
    <w:p w14:paraId="4F5FB736" w14:textId="77777777" w:rsidR="006E1CF6" w:rsidRDefault="006E1CF6">
      <w:pPr>
        <w:pStyle w:val="a8"/>
        <w:spacing w:line="360" w:lineRule="auto"/>
        <w:jc w:val="both"/>
        <w:rPr>
          <w:rFonts w:cs="David"/>
          <w:sz w:val="24"/>
          <w:szCs w:val="24"/>
          <w:rtl/>
        </w:rPr>
      </w:pPr>
    </w:p>
    <w:p w14:paraId="26046AE2" w14:textId="77777777" w:rsidR="006E1CF6" w:rsidRDefault="00A129B4">
      <w:pPr>
        <w:spacing w:line="360" w:lineRule="auto"/>
        <w:jc w:val="both"/>
        <w:rPr>
          <w:rtl/>
        </w:rPr>
      </w:pPr>
      <w:r>
        <w:rPr>
          <w:rFonts w:hint="cs"/>
          <w:rtl/>
        </w:rPr>
        <w:t xml:space="preserve">אני גוזר על הנאשם מאסר בפועל לתקופה של 3 חודשים אשר ירוצה בעבודות שירות בהתאם לחוות הדעת שהוגשה מאת הממונה על עבודות השירות. </w:t>
      </w:r>
    </w:p>
    <w:p w14:paraId="128538E5" w14:textId="77777777" w:rsidR="006E1CF6" w:rsidRDefault="006E1CF6">
      <w:pPr>
        <w:spacing w:line="360" w:lineRule="auto"/>
        <w:jc w:val="both"/>
        <w:rPr>
          <w:rtl/>
        </w:rPr>
      </w:pPr>
    </w:p>
    <w:p w14:paraId="1BE46609" w14:textId="77777777" w:rsidR="006E1CF6" w:rsidRDefault="00A129B4">
      <w:pPr>
        <w:spacing w:line="360" w:lineRule="auto"/>
        <w:jc w:val="both"/>
        <w:rPr>
          <w:rtl/>
        </w:rPr>
      </w:pPr>
      <w:r>
        <w:rPr>
          <w:rFonts w:hint="cs"/>
          <w:rtl/>
        </w:rPr>
        <w:t xml:space="preserve">עבודות השירות ירוצו במעון יום לקשיש </w:t>
      </w:r>
      <w:r>
        <w:rPr>
          <w:rtl/>
        </w:rPr>
        <w:t>–</w:t>
      </w:r>
      <w:r>
        <w:rPr>
          <w:rFonts w:hint="cs"/>
          <w:rtl/>
        </w:rPr>
        <w:t xml:space="preserve">קרית שמונה  החל מיום 1.3.11 בימים ובשעות אשר צויינו בחוות הדעת. </w:t>
      </w:r>
    </w:p>
    <w:p w14:paraId="242B2DA1" w14:textId="77777777" w:rsidR="006E1CF6" w:rsidRDefault="006E1CF6">
      <w:pPr>
        <w:spacing w:line="360" w:lineRule="auto"/>
        <w:jc w:val="both"/>
        <w:rPr>
          <w:rtl/>
        </w:rPr>
      </w:pPr>
    </w:p>
    <w:p w14:paraId="27824278" w14:textId="77777777" w:rsidR="006E1CF6" w:rsidRDefault="00A129B4">
      <w:pPr>
        <w:spacing w:line="360" w:lineRule="auto"/>
        <w:jc w:val="both"/>
        <w:rPr>
          <w:rtl/>
        </w:rPr>
      </w:pPr>
      <w:r>
        <w:rPr>
          <w:rFonts w:hint="cs"/>
          <w:rtl/>
        </w:rPr>
        <w:t>הנאשם יתייצב בפני המפקח על עבודות השירות לצורך קליטה והצבה בתאריך תחילת העבודה בבית סוהר חרמון.</w:t>
      </w:r>
    </w:p>
    <w:p w14:paraId="4B3CCC49" w14:textId="77777777" w:rsidR="006E1CF6" w:rsidRDefault="006E1CF6">
      <w:pPr>
        <w:spacing w:line="360" w:lineRule="auto"/>
        <w:jc w:val="both"/>
        <w:rPr>
          <w:rtl/>
        </w:rPr>
      </w:pPr>
    </w:p>
    <w:p w14:paraId="7675EC6D" w14:textId="77777777" w:rsidR="006E1CF6" w:rsidRDefault="00A129B4">
      <w:pPr>
        <w:spacing w:line="360" w:lineRule="auto"/>
        <w:jc w:val="both"/>
        <w:rPr>
          <w:rtl/>
        </w:rPr>
      </w:pPr>
      <w:r>
        <w:rPr>
          <w:rFonts w:hint="cs"/>
          <w:rtl/>
        </w:rPr>
        <w:t xml:space="preserve">הוסבר לנאשם , כי במידה ולא יתייצב לתחילת ריצוי עבודות השירות או במידה ולא יעמוד בתנאי הפיקוח וביקורת הפתע הדבר יביא להפסקה מנהלית של עבודות השירות וריצוי העונש במאסר של ממש. </w:t>
      </w:r>
    </w:p>
    <w:p w14:paraId="24FBFE9F" w14:textId="77777777" w:rsidR="006E1CF6" w:rsidRDefault="006E1CF6">
      <w:pPr>
        <w:pStyle w:val="David"/>
        <w:rPr>
          <w:rFonts w:ascii="David" w:hAnsi="David"/>
          <w:rtl/>
        </w:rPr>
      </w:pPr>
    </w:p>
    <w:p w14:paraId="7263D853" w14:textId="77777777" w:rsidR="006E1CF6" w:rsidRDefault="00A129B4">
      <w:pPr>
        <w:pStyle w:val="a8"/>
        <w:spacing w:line="360" w:lineRule="auto"/>
        <w:jc w:val="both"/>
        <w:rPr>
          <w:rFonts w:cs="David"/>
          <w:sz w:val="24"/>
          <w:szCs w:val="24"/>
          <w:rtl/>
        </w:rPr>
      </w:pPr>
      <w:r>
        <w:rPr>
          <w:rFonts w:cs="David" w:hint="cs"/>
          <w:sz w:val="24"/>
          <w:szCs w:val="24"/>
          <w:rtl/>
        </w:rPr>
        <w:t xml:space="preserve">מאסר על תנאי למשך תקופה של 6 חודשים ואולם הנאשם לא ישא בעונש זה אלא אם כי יעבור תוך תקופה של  3 שנים מהיום כל עבירה מסוג פשע ו/או עבירה בניגוד להוראת סעיף </w:t>
      </w:r>
      <w:hyperlink r:id="rId18" w:history="1">
        <w:r w:rsidR="00572D92" w:rsidRPr="00572D92">
          <w:rPr>
            <w:rStyle w:val="Hyperlink"/>
            <w:rFonts w:cs="David" w:hint="eastAsia"/>
            <w:sz w:val="24"/>
            <w:szCs w:val="24"/>
            <w:rtl/>
          </w:rPr>
          <w:t>סעיף</w:t>
        </w:r>
        <w:r w:rsidR="00572D92" w:rsidRPr="00572D92">
          <w:rPr>
            <w:rStyle w:val="Hyperlink"/>
            <w:rFonts w:cs="David"/>
            <w:sz w:val="24"/>
            <w:szCs w:val="24"/>
            <w:rtl/>
          </w:rPr>
          <w:t xml:space="preserve"> 144</w:t>
        </w:r>
      </w:hyperlink>
      <w:r>
        <w:rPr>
          <w:rFonts w:cs="David" w:hint="cs"/>
          <w:sz w:val="24"/>
          <w:szCs w:val="24"/>
          <w:rtl/>
        </w:rPr>
        <w:t xml:space="preserve"> ל</w:t>
      </w:r>
      <w:r w:rsidR="00772E4C" w:rsidRPr="00572D92">
        <w:rPr>
          <w:rFonts w:cs="David"/>
          <w:sz w:val="24"/>
          <w:szCs w:val="24"/>
          <w:rtl/>
        </w:rPr>
        <w:t>חוק העונשין</w:t>
      </w:r>
      <w:r>
        <w:rPr>
          <w:rFonts w:cs="David" w:hint="cs"/>
          <w:sz w:val="24"/>
          <w:szCs w:val="24"/>
          <w:rtl/>
        </w:rPr>
        <w:t xml:space="preserve"> התשל"ז- 1977 ויורשע בה בתקופת התנאי או לאחריה.</w:t>
      </w:r>
    </w:p>
    <w:p w14:paraId="7B6EDBB0" w14:textId="77777777" w:rsidR="006E1CF6" w:rsidRDefault="00A129B4">
      <w:pPr>
        <w:pStyle w:val="David"/>
        <w:rPr>
          <w:rFonts w:ascii="David" w:hAnsi="David"/>
          <w:b/>
          <w:bCs/>
          <w:rtl/>
        </w:rPr>
      </w:pPr>
      <w:r>
        <w:rPr>
          <w:rFonts w:ascii="David" w:hAnsi="David" w:hint="cs"/>
          <w:b/>
          <w:bCs/>
          <w:rtl/>
        </w:rPr>
        <w:t xml:space="preserve">מוצגים </w:t>
      </w:r>
      <w:r>
        <w:rPr>
          <w:rFonts w:ascii="David" w:hAnsi="David"/>
          <w:b/>
          <w:bCs/>
          <w:rtl/>
        </w:rPr>
        <w:t>–</w:t>
      </w:r>
      <w:r>
        <w:rPr>
          <w:rFonts w:ascii="David" w:hAnsi="David" w:hint="cs"/>
          <w:b/>
          <w:bCs/>
          <w:rtl/>
        </w:rPr>
        <w:t xml:space="preserve"> לחילוט. </w:t>
      </w:r>
    </w:p>
    <w:p w14:paraId="66EEF2BC" w14:textId="77777777" w:rsidR="006E1CF6" w:rsidRDefault="00A129B4">
      <w:pPr>
        <w:pStyle w:val="a8"/>
        <w:spacing w:line="360" w:lineRule="auto"/>
        <w:jc w:val="both"/>
        <w:rPr>
          <w:rFonts w:cs="David"/>
          <w:sz w:val="24"/>
          <w:szCs w:val="24"/>
          <w:rtl/>
        </w:rPr>
      </w:pPr>
      <w:r>
        <w:rPr>
          <w:rFonts w:cs="David" w:hint="cs"/>
          <w:b/>
          <w:bCs/>
          <w:sz w:val="24"/>
          <w:szCs w:val="24"/>
          <w:u w:val="single"/>
          <w:rtl/>
        </w:rPr>
        <w:t>זכות ערעור תוך 45 יום מהיום לבית המשפט המחוזי בנצרת</w:t>
      </w:r>
      <w:r>
        <w:rPr>
          <w:rFonts w:cs="David" w:hint="cs"/>
          <w:sz w:val="24"/>
          <w:szCs w:val="24"/>
          <w:rtl/>
        </w:rPr>
        <w:t>.</w:t>
      </w:r>
    </w:p>
    <w:p w14:paraId="77E3039D" w14:textId="77777777" w:rsidR="006E1CF6" w:rsidRDefault="00A129B4">
      <w:pPr>
        <w:pStyle w:val="David"/>
        <w:rPr>
          <w:rFonts w:ascii="David" w:hAnsi="David"/>
          <w:sz w:val="6"/>
          <w:szCs w:val="6"/>
          <w:rtl/>
        </w:rPr>
      </w:pPr>
      <w:r>
        <w:rPr>
          <w:rFonts w:ascii="David" w:hAnsi="David"/>
          <w:sz w:val="6"/>
          <w:szCs w:val="6"/>
          <w:rtl/>
        </w:rPr>
        <w:t>&lt;#4#&gt;</w:t>
      </w:r>
    </w:p>
    <w:p w14:paraId="5B0E9EC3" w14:textId="77777777" w:rsidR="006E1CF6" w:rsidRDefault="006E1CF6">
      <w:pPr>
        <w:jc w:val="right"/>
        <w:rPr>
          <w:rtl/>
        </w:rPr>
      </w:pPr>
    </w:p>
    <w:p w14:paraId="5AED7B13" w14:textId="77777777" w:rsidR="006E1CF6" w:rsidRDefault="00A129B4">
      <w:pPr>
        <w:jc w:val="both"/>
        <w:rPr>
          <w:rtl/>
        </w:rPr>
      </w:pPr>
      <w:r>
        <w:rPr>
          <w:b/>
          <w:bCs/>
          <w:rtl/>
        </w:rPr>
        <w:t xml:space="preserve">ניתן והודע היום ב'  אדר א תשע"א, 06/02/2011 במעמד הנוכחים.  </w:t>
      </w:r>
      <w:r>
        <w:rPr>
          <w:rtl/>
        </w:rPr>
        <w:t xml:space="preserve"> </w:t>
      </w:r>
    </w:p>
    <w:p w14:paraId="639778BE" w14:textId="77777777" w:rsidR="00A129B4" w:rsidRPr="00A129B4" w:rsidRDefault="00A129B4">
      <w:pPr>
        <w:jc w:val="center"/>
        <w:rPr>
          <w:color w:val="FFFFFF"/>
          <w:sz w:val="2"/>
          <w:szCs w:val="2"/>
          <w:rtl/>
        </w:rPr>
      </w:pPr>
    </w:p>
    <w:p w14:paraId="44FFFFFE" w14:textId="77777777" w:rsidR="00A129B4" w:rsidRPr="00A129B4" w:rsidRDefault="00A129B4">
      <w:pPr>
        <w:jc w:val="center"/>
        <w:rPr>
          <w:color w:val="FFFFFF"/>
          <w:sz w:val="2"/>
          <w:szCs w:val="2"/>
          <w:rtl/>
        </w:rPr>
      </w:pPr>
      <w:r w:rsidRPr="00A129B4">
        <w:rPr>
          <w:color w:val="FFFFFF"/>
          <w:sz w:val="2"/>
          <w:szCs w:val="2"/>
          <w:rtl/>
        </w:rPr>
        <w:t>5129371</w:t>
      </w:r>
    </w:p>
    <w:p w14:paraId="2C0C8D7D" w14:textId="77777777" w:rsidR="00A129B4" w:rsidRPr="00A129B4" w:rsidRDefault="00A129B4" w:rsidP="00A129B4">
      <w:pPr>
        <w:keepNext/>
        <w:rPr>
          <w:color w:val="000000"/>
          <w:sz w:val="22"/>
          <w:szCs w:val="22"/>
          <w:rtl/>
        </w:rPr>
      </w:pPr>
    </w:p>
    <w:p w14:paraId="789CC28F" w14:textId="77777777" w:rsidR="00A129B4" w:rsidRPr="00A129B4" w:rsidRDefault="00A129B4" w:rsidP="00A129B4">
      <w:pPr>
        <w:keepNext/>
        <w:rPr>
          <w:color w:val="000000"/>
          <w:sz w:val="22"/>
          <w:szCs w:val="22"/>
          <w:rtl/>
        </w:rPr>
      </w:pPr>
      <w:r w:rsidRPr="00A129B4">
        <w:rPr>
          <w:color w:val="000000"/>
          <w:sz w:val="22"/>
          <w:szCs w:val="22"/>
          <w:rtl/>
        </w:rPr>
        <w:t>סאאב דבור 54678313</w:t>
      </w:r>
    </w:p>
    <w:p w14:paraId="30E0D319" w14:textId="77777777" w:rsidR="006E1CF6" w:rsidRDefault="00A129B4">
      <w:pPr>
        <w:jc w:val="center"/>
        <w:rPr>
          <w:rtl/>
        </w:rPr>
      </w:pPr>
      <w:r w:rsidRPr="00A129B4">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6E1CF6" w14:paraId="2EA422F6" w14:textId="77777777">
        <w:trPr>
          <w:trHeight w:val="364"/>
          <w:jc w:val="right"/>
        </w:trPr>
        <w:tc>
          <w:tcPr>
            <w:tcW w:w="3708" w:type="dxa"/>
            <w:shd w:val="clear" w:color="auto" w:fill="auto"/>
          </w:tcPr>
          <w:p w14:paraId="3C0F3655" w14:textId="77777777" w:rsidR="006E1CF6" w:rsidRDefault="006E1CF6" w:rsidP="00687D43">
            <w:pPr>
              <w:jc w:val="center"/>
              <w:rPr>
                <w:rtl/>
              </w:rPr>
            </w:pPr>
          </w:p>
        </w:tc>
      </w:tr>
      <w:tr w:rsidR="006E1CF6" w14:paraId="05C5C142" w14:textId="77777777">
        <w:trPr>
          <w:trHeight w:val="415"/>
          <w:jc w:val="right"/>
        </w:trPr>
        <w:tc>
          <w:tcPr>
            <w:tcW w:w="3708" w:type="dxa"/>
            <w:shd w:val="clear" w:color="auto" w:fill="auto"/>
          </w:tcPr>
          <w:p w14:paraId="69DE072A" w14:textId="77777777" w:rsidR="006E1CF6" w:rsidRPr="00687D43" w:rsidRDefault="00A129B4" w:rsidP="00687D43">
            <w:pPr>
              <w:jc w:val="center"/>
              <w:rPr>
                <w:b/>
                <w:bCs/>
                <w:rtl/>
              </w:rPr>
            </w:pPr>
            <w:r w:rsidRPr="00687D43">
              <w:rPr>
                <w:b/>
                <w:bCs/>
                <w:rtl/>
              </w:rPr>
              <w:t>סאאב</w:t>
            </w:r>
            <w:r w:rsidRPr="00687D43">
              <w:rPr>
                <w:rFonts w:hint="cs"/>
                <w:b/>
                <w:bCs/>
                <w:rtl/>
              </w:rPr>
              <w:t xml:space="preserve"> </w:t>
            </w:r>
            <w:r w:rsidRPr="00687D43">
              <w:rPr>
                <w:b/>
                <w:bCs/>
                <w:rtl/>
              </w:rPr>
              <w:t>דבור</w:t>
            </w:r>
            <w:r w:rsidRPr="00687D43">
              <w:rPr>
                <w:rFonts w:hint="cs"/>
                <w:b/>
                <w:bCs/>
                <w:rtl/>
              </w:rPr>
              <w:t xml:space="preserve">, </w:t>
            </w:r>
            <w:r w:rsidRPr="00687D43">
              <w:rPr>
                <w:b/>
                <w:bCs/>
                <w:rtl/>
              </w:rPr>
              <w:t>סגן נשיא</w:t>
            </w:r>
          </w:p>
        </w:tc>
      </w:tr>
    </w:tbl>
    <w:p w14:paraId="0E93C324" w14:textId="77777777" w:rsidR="006E1CF6" w:rsidRDefault="006E1CF6">
      <w:pPr>
        <w:jc w:val="right"/>
        <w:rPr>
          <w:rtl/>
        </w:rPr>
      </w:pPr>
    </w:p>
    <w:p w14:paraId="55B1FE77" w14:textId="77777777" w:rsidR="006E1CF6" w:rsidRDefault="00A129B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שרית כהן</w:t>
      </w:r>
    </w:p>
    <w:p w14:paraId="287BF286" w14:textId="77777777" w:rsidR="00A129B4" w:rsidRDefault="00A129B4" w:rsidP="00A129B4">
      <w:r w:rsidRPr="00A129B4">
        <w:rPr>
          <w:color w:val="000000"/>
          <w:rtl/>
        </w:rPr>
        <w:t>נוסח מסמך זה כפוף לשינויי ניסוח ועריכה</w:t>
      </w:r>
    </w:p>
    <w:p w14:paraId="3613C99C" w14:textId="77777777" w:rsidR="00A129B4" w:rsidRDefault="00A129B4" w:rsidP="00A129B4">
      <w:pPr>
        <w:rPr>
          <w:rtl/>
        </w:rPr>
      </w:pPr>
    </w:p>
    <w:p w14:paraId="302A31BA" w14:textId="77777777" w:rsidR="00A129B4" w:rsidRDefault="00A129B4" w:rsidP="00A129B4">
      <w:pPr>
        <w:jc w:val="center"/>
        <w:rPr>
          <w:color w:val="0000FF"/>
          <w:u w:val="single"/>
        </w:rPr>
      </w:pPr>
      <w:r w:rsidRPr="00C60837">
        <w:rPr>
          <w:color w:val="000000"/>
          <w:rtl/>
        </w:rPr>
        <w:t>בעניין עריכה ושינויים במסמכי פסיקה, חקיקה ועוד באתר נבו – הקש כאן</w:t>
      </w:r>
    </w:p>
    <w:p w14:paraId="5DC26E0E" w14:textId="77777777" w:rsidR="006E1CF6" w:rsidRPr="00A129B4" w:rsidRDefault="006E1CF6" w:rsidP="00A129B4">
      <w:pPr>
        <w:jc w:val="center"/>
        <w:rPr>
          <w:color w:val="0000FF"/>
          <w:u w:val="single"/>
        </w:rPr>
      </w:pPr>
    </w:p>
    <w:sectPr w:rsidR="006E1CF6" w:rsidRPr="00A129B4" w:rsidSect="00A129B4">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864E" w14:textId="77777777" w:rsidR="00B700E7" w:rsidRPr="00ED158D" w:rsidRDefault="00B700E7">
      <w:pPr>
        <w:rPr>
          <w:rFonts w:cs="Arial"/>
          <w:szCs w:val="20"/>
        </w:rPr>
      </w:pPr>
      <w:r>
        <w:separator/>
      </w:r>
    </w:p>
  </w:endnote>
  <w:endnote w:type="continuationSeparator" w:id="0">
    <w:p w14:paraId="0A5B282B" w14:textId="77777777" w:rsidR="00B700E7" w:rsidRPr="00ED158D" w:rsidRDefault="00B700E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A24F" w14:textId="77777777" w:rsidR="00B700E7" w:rsidRDefault="00B700E7" w:rsidP="00A12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4D7B4DF" w14:textId="77777777" w:rsidR="00B700E7" w:rsidRPr="00A129B4" w:rsidRDefault="00B700E7" w:rsidP="00A129B4">
    <w:pPr>
      <w:pStyle w:val="a5"/>
      <w:pBdr>
        <w:top w:val="single" w:sz="4" w:space="1" w:color="auto"/>
        <w:between w:val="single" w:sz="4" w:space="0" w:color="auto"/>
      </w:pBdr>
      <w:spacing w:after="60"/>
      <w:jc w:val="center"/>
      <w:rPr>
        <w:rFonts w:ascii="FrankRuehl" w:hAnsi="FrankRuehl" w:cs="FrankRuehl"/>
        <w:color w:val="000000"/>
      </w:rPr>
    </w:pPr>
    <w:r w:rsidRPr="00A129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E974" w14:textId="77777777" w:rsidR="00B700E7" w:rsidRDefault="00B700E7" w:rsidP="00A129B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2E1E">
      <w:rPr>
        <w:rFonts w:ascii="FrankRuehl" w:hAnsi="FrankRuehl" w:cs="FrankRuehl"/>
        <w:noProof/>
        <w:rtl/>
      </w:rPr>
      <w:t>1</w:t>
    </w:r>
    <w:r>
      <w:rPr>
        <w:rFonts w:ascii="FrankRuehl" w:hAnsi="FrankRuehl" w:cs="FrankRuehl"/>
        <w:rtl/>
      </w:rPr>
      <w:fldChar w:fldCharType="end"/>
    </w:r>
  </w:p>
  <w:p w14:paraId="21C9C2DC" w14:textId="77777777" w:rsidR="00B700E7" w:rsidRPr="00A129B4" w:rsidRDefault="00B700E7" w:rsidP="00A129B4">
    <w:pPr>
      <w:pStyle w:val="a5"/>
      <w:pBdr>
        <w:top w:val="single" w:sz="4" w:space="1" w:color="auto"/>
        <w:between w:val="single" w:sz="4" w:space="0" w:color="auto"/>
      </w:pBdr>
      <w:spacing w:after="60"/>
      <w:jc w:val="center"/>
      <w:rPr>
        <w:rFonts w:ascii="FrankRuehl" w:hAnsi="FrankRuehl" w:cs="FrankRuehl"/>
        <w:color w:val="000000"/>
      </w:rPr>
    </w:pPr>
    <w:r w:rsidRPr="00A129B4">
      <w:rPr>
        <w:rFonts w:ascii="FrankRuehl" w:hAnsi="FrankRuehl" w:cs="FrankRuehl"/>
        <w:color w:val="000000"/>
      </w:rPr>
      <w:pict w14:anchorId="3BEDC6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2BD9" w14:textId="77777777" w:rsidR="00B700E7" w:rsidRPr="00ED158D" w:rsidRDefault="00B700E7">
      <w:pPr>
        <w:rPr>
          <w:rFonts w:cs="Arial"/>
          <w:szCs w:val="20"/>
        </w:rPr>
      </w:pPr>
      <w:r>
        <w:separator/>
      </w:r>
    </w:p>
  </w:footnote>
  <w:footnote w:type="continuationSeparator" w:id="0">
    <w:p w14:paraId="5FA6DE7F" w14:textId="77777777" w:rsidR="00B700E7" w:rsidRPr="00ED158D" w:rsidRDefault="00B700E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A17E9" w14:textId="77777777" w:rsidR="00B700E7" w:rsidRPr="00A129B4" w:rsidRDefault="00B700E7" w:rsidP="00A129B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25802-02-10</w:t>
    </w:r>
    <w:r>
      <w:rPr>
        <w:color w:val="000000"/>
        <w:sz w:val="22"/>
        <w:szCs w:val="22"/>
        <w:rtl/>
      </w:rPr>
      <w:tab/>
      <w:t xml:space="preserve"> מדינת ישראל נ' אמל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6111" w14:textId="77777777" w:rsidR="00B700E7" w:rsidRPr="00A129B4" w:rsidRDefault="00B700E7" w:rsidP="00A129B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(צפת) 25802-02-10</w:t>
    </w:r>
    <w:r>
      <w:rPr>
        <w:color w:val="000000"/>
        <w:sz w:val="22"/>
        <w:szCs w:val="22"/>
        <w:rtl/>
      </w:rPr>
      <w:tab/>
      <w:t xml:space="preserve"> מדינת ישראל נ' אמל אבראהים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E1CF6"/>
    <w:rsid w:val="00052E1E"/>
    <w:rsid w:val="00417023"/>
    <w:rsid w:val="0052223B"/>
    <w:rsid w:val="00572D92"/>
    <w:rsid w:val="00687D43"/>
    <w:rsid w:val="006E1CF6"/>
    <w:rsid w:val="00772E4C"/>
    <w:rsid w:val="00A129B4"/>
    <w:rsid w:val="00AA52BB"/>
    <w:rsid w:val="00B700E7"/>
    <w:rsid w:val="00BC5C91"/>
    <w:rsid w:val="00BF6DF9"/>
    <w:rsid w:val="00C60837"/>
    <w:rsid w:val="00C628D2"/>
    <w:rsid w:val="00C975FE"/>
    <w:rsid w:val="00E13008"/>
    <w:rsid w:val="00E265E6"/>
    <w:rsid w:val="00F512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B7E8F5F"/>
  <w15:chartTrackingRefBased/>
  <w15:docId w15:val="{41BB4AA5-3086-4039-9231-0F6BA642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1CF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E1CF6"/>
  </w:style>
  <w:style w:type="paragraph" w:styleId="a4">
    <w:name w:val="header"/>
    <w:basedOn w:val="a"/>
    <w:rsid w:val="006E1CF6"/>
    <w:pPr>
      <w:tabs>
        <w:tab w:val="center" w:pos="4153"/>
        <w:tab w:val="right" w:pos="8306"/>
      </w:tabs>
    </w:pPr>
  </w:style>
  <w:style w:type="paragraph" w:styleId="a5">
    <w:name w:val="footer"/>
    <w:basedOn w:val="a"/>
    <w:rsid w:val="006E1CF6"/>
    <w:pPr>
      <w:tabs>
        <w:tab w:val="center" w:pos="4153"/>
        <w:tab w:val="right" w:pos="8306"/>
      </w:tabs>
    </w:pPr>
  </w:style>
  <w:style w:type="table" w:styleId="a6">
    <w:name w:val="Table Grid"/>
    <w:basedOn w:val="a1"/>
    <w:rsid w:val="006E1CF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rsid w:val="006E1CF6"/>
  </w:style>
  <w:style w:type="paragraph" w:customStyle="1" w:styleId="12">
    <w:name w:val="רגיל + ‏12 נק'"/>
    <w:aliases w:val="מיושר לשני הצדדים,מרווח בין שורות:  שורה וחצי"/>
    <w:basedOn w:val="a"/>
    <w:rsid w:val="006E1CF6"/>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6E1CF6"/>
    <w:pPr>
      <w:spacing w:line="360" w:lineRule="auto"/>
      <w:jc w:val="both"/>
    </w:pPr>
    <w:rPr>
      <w:rFonts w:ascii="Times New Roman" w:eastAsia="Times New Roman" w:hAnsi="Times New Roman"/>
    </w:rPr>
  </w:style>
  <w:style w:type="character" w:styleId="Hyperlink">
    <w:name w:val="Hyperlink"/>
    <w:rsid w:val="006E1CF6"/>
    <w:rPr>
      <w:color w:val="0000FF"/>
      <w:u w:val="single"/>
    </w:rPr>
  </w:style>
  <w:style w:type="paragraph" w:styleId="a8">
    <w:name w:val="Plain Text"/>
    <w:basedOn w:val="a"/>
    <w:rsid w:val="006E1CF6"/>
    <w:rPr>
      <w:rFonts w:ascii="Courier New" w:hAnsi="Courier New" w:cs="Courier New"/>
      <w:sz w:val="20"/>
      <w:szCs w:val="20"/>
    </w:rPr>
  </w:style>
  <w:style w:type="character" w:styleId="FollowedHyperlink">
    <w:name w:val="FollowedHyperlink"/>
    <w:rsid w:val="00572D92"/>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5887664" TargetMode="External"/><Relationship Id="rId18" Type="http://schemas.openxmlformats.org/officeDocument/2006/relationships/hyperlink" Target="http://www.nevo.co.il/law/70301/144"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44"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7939098" TargetMode="External"/><Relationship Id="rId2" Type="http://schemas.openxmlformats.org/officeDocument/2006/relationships/settings" Target="settings.xml"/><Relationship Id="rId16" Type="http://schemas.openxmlformats.org/officeDocument/2006/relationships/hyperlink" Target="http://www.nevo.co.il/case/6072945"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a.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5852404" TargetMode="External"/><Relationship Id="rId23"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1" TargetMode="External"/><Relationship Id="rId14" Type="http://schemas.openxmlformats.org/officeDocument/2006/relationships/hyperlink" Target="http://www.nevo.co.il/case/5762686"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1377</Words>
  <Characters>6885</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8246</CharactersWithSpaces>
  <SharedDoc>false</SharedDoc>
  <HLinks>
    <vt:vector size="78" baseType="variant">
      <vt:variant>
        <vt:i4>6357092</vt:i4>
      </vt:variant>
      <vt:variant>
        <vt:i4>36</vt:i4>
      </vt:variant>
      <vt:variant>
        <vt:i4>0</vt:i4>
      </vt:variant>
      <vt:variant>
        <vt:i4>5</vt:i4>
      </vt:variant>
      <vt:variant>
        <vt:lpwstr>http://www.nevo.co.il/law/70301/144</vt:lpwstr>
      </vt:variant>
      <vt:variant>
        <vt:lpwstr/>
      </vt:variant>
      <vt:variant>
        <vt:i4>3670128</vt:i4>
      </vt:variant>
      <vt:variant>
        <vt:i4>33</vt:i4>
      </vt:variant>
      <vt:variant>
        <vt:i4>0</vt:i4>
      </vt:variant>
      <vt:variant>
        <vt:i4>5</vt:i4>
      </vt:variant>
      <vt:variant>
        <vt:lpwstr>http://www.nevo.co.il/case/17939098</vt:lpwstr>
      </vt:variant>
      <vt:variant>
        <vt:lpwstr/>
      </vt:variant>
      <vt:variant>
        <vt:i4>3997810</vt:i4>
      </vt:variant>
      <vt:variant>
        <vt:i4>30</vt:i4>
      </vt:variant>
      <vt:variant>
        <vt:i4>0</vt:i4>
      </vt:variant>
      <vt:variant>
        <vt:i4>5</vt:i4>
      </vt:variant>
      <vt:variant>
        <vt:lpwstr>http://www.nevo.co.il/case/6072945</vt:lpwstr>
      </vt:variant>
      <vt:variant>
        <vt:lpwstr/>
      </vt:variant>
      <vt:variant>
        <vt:i4>3145854</vt:i4>
      </vt:variant>
      <vt:variant>
        <vt:i4>27</vt:i4>
      </vt:variant>
      <vt:variant>
        <vt:i4>0</vt:i4>
      </vt:variant>
      <vt:variant>
        <vt:i4>5</vt:i4>
      </vt:variant>
      <vt:variant>
        <vt:lpwstr>http://www.nevo.co.il/case/5852404</vt:lpwstr>
      </vt:variant>
      <vt:variant>
        <vt:lpwstr/>
      </vt:variant>
      <vt:variant>
        <vt:i4>3342457</vt:i4>
      </vt:variant>
      <vt:variant>
        <vt:i4>24</vt:i4>
      </vt:variant>
      <vt:variant>
        <vt:i4>0</vt:i4>
      </vt:variant>
      <vt:variant>
        <vt:i4>5</vt:i4>
      </vt:variant>
      <vt:variant>
        <vt:lpwstr>http://www.nevo.co.il/case/5762686</vt:lpwstr>
      </vt:variant>
      <vt:variant>
        <vt:lpwstr/>
      </vt:variant>
      <vt:variant>
        <vt:i4>4128893</vt:i4>
      </vt:variant>
      <vt:variant>
        <vt:i4>21</vt:i4>
      </vt:variant>
      <vt:variant>
        <vt:i4>0</vt:i4>
      </vt:variant>
      <vt:variant>
        <vt:i4>5</vt:i4>
      </vt:variant>
      <vt:variant>
        <vt:lpwstr>http://www.nevo.co.il/case/5887664</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6357041</vt:i4>
      </vt:variant>
      <vt:variant>
        <vt:i4>15</vt:i4>
      </vt:variant>
      <vt:variant>
        <vt:i4>0</vt:i4>
      </vt:variant>
      <vt:variant>
        <vt:i4>5</vt:i4>
      </vt:variant>
      <vt:variant>
        <vt:lpwstr>http://www.nevo.co.il/law/70301/144.a.1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6357041</vt:i4>
      </vt:variant>
      <vt:variant>
        <vt:i4>9</vt:i4>
      </vt:variant>
      <vt:variant>
        <vt:i4>0</vt:i4>
      </vt:variant>
      <vt:variant>
        <vt:i4>5</vt:i4>
      </vt:variant>
      <vt:variant>
        <vt:lpwstr>http://www.nevo.co.il/law/70301/144.a.1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2024-01-07T12:12:00Z</dcterms:created>
  <dcterms:modified xsi:type="dcterms:W3CDTF">2024-01-07T12:12:00Z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25802</vt:lpwstr>
  </property>
  <property fmtid="{D5CDD505-2E9C-101B-9397-08002B2CF9AE}" pid="6" name="NEWPARTB">
    <vt:lpwstr>02</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אמל אבראהים</vt:lpwstr>
  </property>
  <property fmtid="{D5CDD505-2E9C-101B-9397-08002B2CF9AE}" pid="10" name="LAWYER">
    <vt:lpwstr>רס"ב רומיאו חורי;נביה חנג'אר</vt:lpwstr>
  </property>
  <property fmtid="{D5CDD505-2E9C-101B-9397-08002B2CF9AE}" pid="11" name="JUDGE">
    <vt:lpwstr>סאאב דבור</vt:lpwstr>
  </property>
  <property fmtid="{D5CDD505-2E9C-101B-9397-08002B2CF9AE}" pid="12" name="CITY">
    <vt:lpwstr>צפת</vt:lpwstr>
  </property>
  <property fmtid="{D5CDD505-2E9C-101B-9397-08002B2CF9AE}" pid="13" name="DATE">
    <vt:lpwstr>20110206</vt:lpwstr>
  </property>
  <property fmtid="{D5CDD505-2E9C-101B-9397-08002B2CF9AE}" pid="14" name="TYPE_N_DATE">
    <vt:lpwstr>38020110206</vt:lpwstr>
  </property>
  <property fmtid="{D5CDD505-2E9C-101B-9397-08002B2CF9AE}" pid="15" name="ISABSTRACT">
    <vt:lpwstr>Y</vt:lpwstr>
  </property>
  <property fmtid="{D5CDD505-2E9C-101B-9397-08002B2CF9AE}" pid="16" name="WORDNUMPAGES">
    <vt:lpwstr>3</vt:lpwstr>
  </property>
  <property fmtid="{D5CDD505-2E9C-101B-9397-08002B2CF9AE}" pid="17" name="TYPE_ABS_DATE">
    <vt:lpwstr>380020110206</vt:lpwstr>
  </property>
  <property fmtid="{D5CDD505-2E9C-101B-9397-08002B2CF9AE}" pid="18" name="RemarkFileName">
    <vt:lpwstr>shalom sh 10 02 25802 731 htm</vt:lpwstr>
  </property>
  <property fmtid="{D5CDD505-2E9C-101B-9397-08002B2CF9AE}" pid="19" name="CASESLISTTMP1">
    <vt:lpwstr>5887664;5762686;5852404;6072945;17939098</vt:lpwstr>
  </property>
  <property fmtid="{D5CDD505-2E9C-101B-9397-08002B2CF9AE}" pid="20" name="LAWLISTTMP1">
    <vt:lpwstr>70301/144.a:2;144.a.1;144</vt:lpwstr>
  </property>
</Properties>
</file>