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6"/>
        <w:gridCol w:w="3665"/>
      </w:tblGrid>
      <w:tr w:rsidR="008732C8" w:rsidRPr="00FF00CD" w14:paraId="0FD72FD8" w14:textId="77777777">
        <w:trPr>
          <w:trHeight w:hRule="exact" w:val="418"/>
          <w:jc w:val="center"/>
        </w:trPr>
        <w:tc>
          <w:tcPr>
            <w:tcW w:w="8721" w:type="dxa"/>
            <w:gridSpan w:val="2"/>
          </w:tcPr>
          <w:p w14:paraId="066FF358" w14:textId="77777777" w:rsidR="008732C8" w:rsidRPr="00FF00CD" w:rsidRDefault="00FF00CD">
            <w:pPr>
              <w:pStyle w:val="a3"/>
              <w:jc w:val="center"/>
              <w:rPr>
                <w:rFonts w:ascii="Tahoma" w:hAnsi="Tahoma" w:cs="Tahoma"/>
                <w:color w:val="000080"/>
                <w:rtl/>
              </w:rPr>
            </w:pPr>
            <w:bookmarkStart w:id="0" w:name="LastJudge"/>
            <w:r w:rsidRPr="00FF00CD">
              <w:rPr>
                <w:rFonts w:ascii="Tahoma" w:hAnsi="Tahoma" w:cs="Tahoma"/>
                <w:b/>
                <w:bCs/>
                <w:color w:val="000080"/>
                <w:rtl/>
              </w:rPr>
              <w:t>בית משפט השלום בירושלים</w:t>
            </w:r>
          </w:p>
        </w:tc>
      </w:tr>
      <w:tr w:rsidR="008732C8" w:rsidRPr="00FF00CD" w14:paraId="358E6656" w14:textId="77777777">
        <w:trPr>
          <w:trHeight w:val="337"/>
          <w:jc w:val="center"/>
        </w:trPr>
        <w:tc>
          <w:tcPr>
            <w:tcW w:w="5056" w:type="dxa"/>
          </w:tcPr>
          <w:p w14:paraId="4D531FC6" w14:textId="77777777" w:rsidR="008732C8" w:rsidRPr="00FF00CD" w:rsidRDefault="00FF00CD">
            <w:pPr>
              <w:rPr>
                <w:rFonts w:cs="FrankRuehl"/>
                <w:sz w:val="28"/>
                <w:szCs w:val="28"/>
                <w:rtl/>
              </w:rPr>
            </w:pPr>
            <w:r w:rsidRPr="00FF00CD">
              <w:rPr>
                <w:rFonts w:cs="FrankRuehl"/>
                <w:sz w:val="28"/>
                <w:szCs w:val="28"/>
                <w:rtl/>
              </w:rPr>
              <w:t>ת"פ</w:t>
            </w:r>
            <w:r w:rsidRPr="00FF00CD">
              <w:rPr>
                <w:rFonts w:cs="FrankRuehl" w:hint="cs"/>
                <w:sz w:val="28"/>
                <w:szCs w:val="28"/>
                <w:rtl/>
              </w:rPr>
              <w:t xml:space="preserve"> </w:t>
            </w:r>
            <w:r w:rsidRPr="00FF00CD">
              <w:rPr>
                <w:rFonts w:cs="FrankRuehl"/>
                <w:sz w:val="28"/>
                <w:szCs w:val="28"/>
                <w:rtl/>
              </w:rPr>
              <w:t>24791-05-11</w:t>
            </w:r>
            <w:r w:rsidRPr="00FF00CD">
              <w:rPr>
                <w:rFonts w:cs="FrankRuehl" w:hint="cs"/>
                <w:sz w:val="28"/>
                <w:szCs w:val="28"/>
                <w:rtl/>
              </w:rPr>
              <w:t xml:space="preserve"> </w:t>
            </w:r>
            <w:r w:rsidRPr="00FF00CD">
              <w:rPr>
                <w:rFonts w:cs="FrankRuehl"/>
                <w:sz w:val="28"/>
                <w:szCs w:val="28"/>
                <w:rtl/>
              </w:rPr>
              <w:t>מדינת ישראל נ' אחמד עבדאללה</w:t>
            </w:r>
          </w:p>
          <w:p w14:paraId="08F6D283" w14:textId="77777777" w:rsidR="008732C8" w:rsidRPr="00FF00CD" w:rsidRDefault="008732C8">
            <w:pPr>
              <w:pStyle w:val="a3"/>
              <w:rPr>
                <w:rFonts w:cs="FrankRuehl"/>
                <w:sz w:val="28"/>
                <w:szCs w:val="28"/>
                <w:rtl/>
              </w:rPr>
            </w:pPr>
          </w:p>
        </w:tc>
        <w:tc>
          <w:tcPr>
            <w:tcW w:w="3665" w:type="dxa"/>
          </w:tcPr>
          <w:p w14:paraId="7FF6AE6C" w14:textId="77777777" w:rsidR="008732C8" w:rsidRPr="00FF00CD" w:rsidRDefault="008732C8">
            <w:pPr>
              <w:pStyle w:val="a3"/>
              <w:jc w:val="right"/>
              <w:rPr>
                <w:rFonts w:cs="FrankRuehl"/>
                <w:sz w:val="28"/>
                <w:szCs w:val="28"/>
                <w:rtl/>
              </w:rPr>
            </w:pPr>
          </w:p>
        </w:tc>
      </w:tr>
    </w:tbl>
    <w:p w14:paraId="32F8C9E2" w14:textId="77777777" w:rsidR="008732C8" w:rsidRPr="00FF00CD" w:rsidRDefault="00FF00CD">
      <w:pPr>
        <w:pStyle w:val="a3"/>
        <w:rPr>
          <w:rtl/>
        </w:rPr>
      </w:pPr>
      <w:r w:rsidRPr="00FF00CD">
        <w:rPr>
          <w:rFonts w:hint="cs"/>
          <w:rtl/>
        </w:rPr>
        <w:t xml:space="preserve"> </w:t>
      </w:r>
    </w:p>
    <w:p w14:paraId="0D65B860" w14:textId="77777777" w:rsidR="008732C8" w:rsidRPr="00FF00CD" w:rsidRDefault="008732C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8732C8" w:rsidRPr="00FF00CD" w14:paraId="57BCEAD3" w14:textId="77777777">
        <w:trPr>
          <w:trHeight w:val="295"/>
          <w:jc w:val="center"/>
        </w:trPr>
        <w:tc>
          <w:tcPr>
            <w:tcW w:w="923" w:type="dxa"/>
            <w:tcBorders>
              <w:top w:val="nil"/>
              <w:left w:val="nil"/>
              <w:bottom w:val="nil"/>
              <w:right w:val="nil"/>
            </w:tcBorders>
            <w:shd w:val="clear" w:color="auto" w:fill="auto"/>
          </w:tcPr>
          <w:p w14:paraId="125EE31D" w14:textId="77777777" w:rsidR="008732C8" w:rsidRPr="00FF00CD" w:rsidRDefault="00FF00CD">
            <w:pPr>
              <w:jc w:val="both"/>
              <w:rPr>
                <w:rFonts w:ascii="Arial" w:hAnsi="Arial" w:cs="FrankRuehl"/>
                <w:sz w:val="28"/>
                <w:szCs w:val="28"/>
              </w:rPr>
            </w:pPr>
            <w:r w:rsidRPr="00FF00CD">
              <w:rPr>
                <w:rFonts w:ascii="Arial" w:hAnsi="Arial" w:cs="FrankRuehl" w:hint="cs"/>
                <w:sz w:val="28"/>
                <w:szCs w:val="28"/>
                <w:rtl/>
              </w:rPr>
              <w:t>ב</w:t>
            </w:r>
            <w:r w:rsidRPr="00FF00CD">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5D3B97C4" w14:textId="77777777" w:rsidR="008732C8" w:rsidRPr="00FF00CD" w:rsidRDefault="00FF00CD">
            <w:pPr>
              <w:rPr>
                <w:rFonts w:ascii="Arial" w:hAnsi="Arial"/>
                <w:b/>
                <w:bCs/>
                <w:rtl/>
              </w:rPr>
            </w:pPr>
            <w:r w:rsidRPr="00FF00CD">
              <w:rPr>
                <w:rFonts w:ascii="Arial" w:hAnsi="Arial" w:hint="cs"/>
                <w:b/>
                <w:bCs/>
                <w:rtl/>
              </w:rPr>
              <w:t>כב' ה</w:t>
            </w:r>
            <w:r w:rsidRPr="00FF00CD">
              <w:rPr>
                <w:rFonts w:hint="cs"/>
                <w:rtl/>
              </w:rPr>
              <w:t>נשיאה</w:t>
            </w:r>
            <w:r w:rsidRPr="00FF00CD">
              <w:rPr>
                <w:rFonts w:ascii="Arial" w:hAnsi="Arial" w:hint="cs"/>
                <w:b/>
                <w:bCs/>
                <w:rtl/>
              </w:rPr>
              <w:t xml:space="preserve">  </w:t>
            </w:r>
            <w:r w:rsidRPr="00FF00CD">
              <w:rPr>
                <w:rFonts w:hint="cs"/>
                <w:rtl/>
              </w:rPr>
              <w:t>שולמית דותן</w:t>
            </w:r>
          </w:p>
          <w:p w14:paraId="523A17F0" w14:textId="77777777" w:rsidR="008732C8" w:rsidRPr="00FF00CD" w:rsidRDefault="008732C8">
            <w:pPr>
              <w:rPr>
                <w:rtl/>
              </w:rPr>
            </w:pPr>
          </w:p>
          <w:p w14:paraId="19B534F2" w14:textId="77777777" w:rsidR="008732C8" w:rsidRPr="00FF00CD" w:rsidRDefault="008732C8">
            <w:pPr>
              <w:jc w:val="both"/>
              <w:rPr>
                <w:rFonts w:ascii="Arial" w:hAnsi="Arial" w:cs="FrankRuehl"/>
                <w:sz w:val="28"/>
                <w:szCs w:val="28"/>
              </w:rPr>
            </w:pPr>
          </w:p>
        </w:tc>
      </w:tr>
      <w:tr w:rsidR="008732C8" w:rsidRPr="00FF00CD" w14:paraId="11B5F55B" w14:textId="77777777">
        <w:trPr>
          <w:trHeight w:val="355"/>
          <w:jc w:val="center"/>
        </w:trPr>
        <w:tc>
          <w:tcPr>
            <w:tcW w:w="923" w:type="dxa"/>
            <w:tcBorders>
              <w:top w:val="nil"/>
              <w:left w:val="nil"/>
              <w:bottom w:val="nil"/>
              <w:right w:val="nil"/>
            </w:tcBorders>
            <w:shd w:val="clear" w:color="auto" w:fill="auto"/>
          </w:tcPr>
          <w:p w14:paraId="0589825D" w14:textId="77777777" w:rsidR="008732C8" w:rsidRPr="00FF00CD" w:rsidRDefault="00FF00CD">
            <w:pPr>
              <w:jc w:val="both"/>
              <w:rPr>
                <w:rFonts w:ascii="Arial" w:hAnsi="Arial" w:cs="FrankRuehl"/>
                <w:sz w:val="28"/>
                <w:szCs w:val="28"/>
              </w:rPr>
            </w:pPr>
            <w:bookmarkStart w:id="1" w:name="FirstAppellant"/>
            <w:r w:rsidRPr="00FF00CD">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075AD7DF" w14:textId="77777777" w:rsidR="008732C8" w:rsidRPr="00FF00CD" w:rsidRDefault="00FF00CD">
            <w:r w:rsidRPr="00FF00CD">
              <w:rPr>
                <w:rFonts w:hint="cs"/>
                <w:rtl/>
              </w:rPr>
              <w:t>מדינת ישראל</w:t>
            </w:r>
          </w:p>
        </w:tc>
        <w:tc>
          <w:tcPr>
            <w:tcW w:w="3771" w:type="dxa"/>
            <w:tcBorders>
              <w:top w:val="nil"/>
              <w:left w:val="nil"/>
              <w:bottom w:val="nil"/>
              <w:right w:val="nil"/>
            </w:tcBorders>
            <w:shd w:val="clear" w:color="auto" w:fill="auto"/>
          </w:tcPr>
          <w:p w14:paraId="43182E53" w14:textId="77777777" w:rsidR="008732C8" w:rsidRPr="00FF00CD" w:rsidRDefault="008732C8">
            <w:pPr>
              <w:jc w:val="both"/>
              <w:rPr>
                <w:rFonts w:ascii="Arial" w:hAnsi="Arial" w:cs="FrankRuehl"/>
                <w:sz w:val="28"/>
                <w:szCs w:val="28"/>
              </w:rPr>
            </w:pPr>
          </w:p>
        </w:tc>
      </w:tr>
      <w:bookmarkEnd w:id="1"/>
      <w:tr w:rsidR="008732C8" w:rsidRPr="00FF00CD" w14:paraId="717208AA" w14:textId="77777777">
        <w:trPr>
          <w:trHeight w:val="355"/>
          <w:jc w:val="center"/>
        </w:trPr>
        <w:tc>
          <w:tcPr>
            <w:tcW w:w="923" w:type="dxa"/>
            <w:tcBorders>
              <w:top w:val="nil"/>
              <w:left w:val="nil"/>
              <w:bottom w:val="nil"/>
              <w:right w:val="nil"/>
            </w:tcBorders>
            <w:shd w:val="clear" w:color="auto" w:fill="auto"/>
          </w:tcPr>
          <w:p w14:paraId="0C925750" w14:textId="77777777" w:rsidR="008732C8" w:rsidRPr="00FF00CD" w:rsidRDefault="008732C8">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52C54D4" w14:textId="77777777" w:rsidR="008732C8" w:rsidRPr="00FF00CD" w:rsidRDefault="008732C8">
            <w:pPr>
              <w:jc w:val="both"/>
              <w:rPr>
                <w:rtl/>
              </w:rPr>
            </w:pPr>
          </w:p>
        </w:tc>
        <w:tc>
          <w:tcPr>
            <w:tcW w:w="3771" w:type="dxa"/>
            <w:tcBorders>
              <w:top w:val="nil"/>
              <w:left w:val="nil"/>
              <w:bottom w:val="nil"/>
              <w:right w:val="nil"/>
            </w:tcBorders>
            <w:shd w:val="clear" w:color="auto" w:fill="auto"/>
          </w:tcPr>
          <w:p w14:paraId="70BF2EC4" w14:textId="77777777" w:rsidR="008732C8" w:rsidRPr="00FF00CD" w:rsidRDefault="00FF00CD">
            <w:pPr>
              <w:jc w:val="right"/>
              <w:rPr>
                <w:rFonts w:ascii="Arial" w:hAnsi="Arial" w:cs="FrankRuehl"/>
                <w:sz w:val="28"/>
                <w:szCs w:val="28"/>
                <w:rtl/>
              </w:rPr>
            </w:pPr>
            <w:r w:rsidRPr="00FF00CD">
              <w:rPr>
                <w:rFonts w:ascii="Arial" w:hAnsi="Arial" w:cs="FrankRuehl" w:hint="cs"/>
                <w:sz w:val="28"/>
                <w:szCs w:val="28"/>
                <w:rtl/>
              </w:rPr>
              <w:t>ה</w:t>
            </w:r>
            <w:r w:rsidRPr="00FF00CD">
              <w:rPr>
                <w:rFonts w:hint="cs"/>
                <w:rtl/>
              </w:rPr>
              <w:t>מאשימה</w:t>
            </w:r>
          </w:p>
        </w:tc>
      </w:tr>
      <w:tr w:rsidR="008732C8" w:rsidRPr="00FF00CD" w14:paraId="1666DFD7" w14:textId="77777777">
        <w:trPr>
          <w:trHeight w:val="355"/>
          <w:jc w:val="center"/>
        </w:trPr>
        <w:tc>
          <w:tcPr>
            <w:tcW w:w="923" w:type="dxa"/>
            <w:tcBorders>
              <w:top w:val="nil"/>
              <w:left w:val="nil"/>
              <w:bottom w:val="nil"/>
              <w:right w:val="nil"/>
            </w:tcBorders>
            <w:shd w:val="clear" w:color="auto" w:fill="auto"/>
          </w:tcPr>
          <w:p w14:paraId="3EC35E84" w14:textId="77777777" w:rsidR="008732C8" w:rsidRPr="00FF00CD" w:rsidRDefault="008732C8">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680DB210" w14:textId="77777777" w:rsidR="008732C8" w:rsidRPr="00FF00CD" w:rsidRDefault="008732C8">
            <w:pPr>
              <w:jc w:val="center"/>
              <w:rPr>
                <w:rFonts w:ascii="Arial" w:hAnsi="Arial" w:cs="FrankRuehl"/>
                <w:b/>
                <w:bCs/>
                <w:sz w:val="28"/>
                <w:szCs w:val="28"/>
                <w:rtl/>
              </w:rPr>
            </w:pPr>
          </w:p>
          <w:p w14:paraId="7074EDEB" w14:textId="77777777" w:rsidR="008732C8" w:rsidRPr="00FF00CD" w:rsidRDefault="00FF00CD">
            <w:pPr>
              <w:jc w:val="center"/>
              <w:rPr>
                <w:rFonts w:ascii="Arial" w:hAnsi="Arial" w:cs="FrankRuehl"/>
                <w:b/>
                <w:bCs/>
                <w:sz w:val="28"/>
                <w:szCs w:val="28"/>
                <w:rtl/>
              </w:rPr>
            </w:pPr>
            <w:r w:rsidRPr="00FF00CD">
              <w:rPr>
                <w:rFonts w:ascii="Arial" w:hAnsi="Arial" w:cs="FrankRuehl"/>
                <w:b/>
                <w:bCs/>
                <w:sz w:val="28"/>
                <w:szCs w:val="28"/>
                <w:rtl/>
              </w:rPr>
              <w:t>נגד</w:t>
            </w:r>
          </w:p>
          <w:p w14:paraId="50D855F8" w14:textId="77777777" w:rsidR="008732C8" w:rsidRPr="00FF00CD" w:rsidRDefault="008732C8">
            <w:pPr>
              <w:jc w:val="both"/>
              <w:rPr>
                <w:rFonts w:ascii="Arial" w:hAnsi="Arial" w:cs="FrankRuehl"/>
                <w:sz w:val="28"/>
                <w:szCs w:val="28"/>
              </w:rPr>
            </w:pPr>
          </w:p>
        </w:tc>
      </w:tr>
      <w:tr w:rsidR="008732C8" w:rsidRPr="00FF00CD" w14:paraId="0B1829BB" w14:textId="77777777">
        <w:trPr>
          <w:trHeight w:val="355"/>
          <w:jc w:val="center"/>
        </w:trPr>
        <w:tc>
          <w:tcPr>
            <w:tcW w:w="923" w:type="dxa"/>
            <w:tcBorders>
              <w:top w:val="nil"/>
              <w:left w:val="nil"/>
              <w:bottom w:val="nil"/>
              <w:right w:val="nil"/>
            </w:tcBorders>
            <w:shd w:val="clear" w:color="auto" w:fill="auto"/>
          </w:tcPr>
          <w:p w14:paraId="03A5FF4B" w14:textId="77777777" w:rsidR="008732C8" w:rsidRPr="00FF00CD" w:rsidRDefault="008732C8">
            <w:pPr>
              <w:rPr>
                <w:rFonts w:ascii="Arial" w:hAnsi="Arial" w:cs="FrankRuehl"/>
                <w:sz w:val="28"/>
                <w:szCs w:val="28"/>
                <w:rtl/>
              </w:rPr>
            </w:pPr>
          </w:p>
        </w:tc>
        <w:tc>
          <w:tcPr>
            <w:tcW w:w="4126" w:type="dxa"/>
            <w:tcBorders>
              <w:top w:val="nil"/>
              <w:left w:val="nil"/>
              <w:bottom w:val="nil"/>
              <w:right w:val="nil"/>
            </w:tcBorders>
            <w:shd w:val="clear" w:color="auto" w:fill="auto"/>
          </w:tcPr>
          <w:p w14:paraId="123F9EF7" w14:textId="77777777" w:rsidR="008732C8" w:rsidRPr="00FF00CD" w:rsidRDefault="00FF00CD">
            <w:pPr>
              <w:rPr>
                <w:rtl/>
              </w:rPr>
            </w:pPr>
            <w:r w:rsidRPr="00FF00CD">
              <w:rPr>
                <w:rFonts w:hint="cs"/>
                <w:rtl/>
              </w:rPr>
              <w:t>לביבה אחמד עבדאללה</w:t>
            </w:r>
          </w:p>
        </w:tc>
        <w:tc>
          <w:tcPr>
            <w:tcW w:w="3771" w:type="dxa"/>
            <w:tcBorders>
              <w:top w:val="nil"/>
              <w:left w:val="nil"/>
              <w:bottom w:val="nil"/>
              <w:right w:val="nil"/>
            </w:tcBorders>
            <w:shd w:val="clear" w:color="auto" w:fill="auto"/>
          </w:tcPr>
          <w:p w14:paraId="2DC21E7B" w14:textId="77777777" w:rsidR="008732C8" w:rsidRPr="00FF00CD" w:rsidRDefault="008732C8">
            <w:pPr>
              <w:jc w:val="right"/>
              <w:rPr>
                <w:rFonts w:ascii="Arial" w:hAnsi="Arial" w:cs="FrankRuehl"/>
                <w:sz w:val="28"/>
                <w:szCs w:val="28"/>
              </w:rPr>
            </w:pPr>
          </w:p>
        </w:tc>
      </w:tr>
      <w:tr w:rsidR="008732C8" w:rsidRPr="00FF00CD" w14:paraId="65545C7B" w14:textId="77777777">
        <w:trPr>
          <w:trHeight w:val="355"/>
          <w:jc w:val="center"/>
        </w:trPr>
        <w:tc>
          <w:tcPr>
            <w:tcW w:w="923" w:type="dxa"/>
            <w:tcBorders>
              <w:top w:val="nil"/>
              <w:left w:val="nil"/>
              <w:bottom w:val="nil"/>
              <w:right w:val="nil"/>
            </w:tcBorders>
            <w:shd w:val="clear" w:color="auto" w:fill="auto"/>
          </w:tcPr>
          <w:p w14:paraId="3905A4A1" w14:textId="77777777" w:rsidR="008732C8" w:rsidRPr="00FF00CD" w:rsidRDefault="008732C8">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8898916" w14:textId="77777777" w:rsidR="008732C8" w:rsidRPr="00FF00CD" w:rsidRDefault="008732C8">
            <w:pPr>
              <w:jc w:val="both"/>
              <w:rPr>
                <w:rtl/>
              </w:rPr>
            </w:pPr>
          </w:p>
        </w:tc>
        <w:tc>
          <w:tcPr>
            <w:tcW w:w="3771" w:type="dxa"/>
            <w:tcBorders>
              <w:top w:val="nil"/>
              <w:left w:val="nil"/>
              <w:bottom w:val="nil"/>
              <w:right w:val="nil"/>
            </w:tcBorders>
            <w:shd w:val="clear" w:color="auto" w:fill="auto"/>
          </w:tcPr>
          <w:p w14:paraId="3F5CC73E" w14:textId="77777777" w:rsidR="008732C8" w:rsidRPr="00FF00CD" w:rsidRDefault="00FF00CD">
            <w:pPr>
              <w:jc w:val="right"/>
              <w:rPr>
                <w:rFonts w:ascii="Arial" w:hAnsi="Arial" w:cs="FrankRuehl"/>
                <w:sz w:val="28"/>
                <w:szCs w:val="28"/>
              </w:rPr>
            </w:pPr>
            <w:r w:rsidRPr="00FF00CD">
              <w:rPr>
                <w:rFonts w:ascii="Arial" w:hAnsi="Arial" w:cs="FrankRuehl" w:hint="cs"/>
                <w:sz w:val="28"/>
                <w:szCs w:val="28"/>
                <w:rtl/>
              </w:rPr>
              <w:t>ה</w:t>
            </w:r>
            <w:r w:rsidRPr="00FF00CD">
              <w:rPr>
                <w:rFonts w:hint="cs"/>
                <w:rtl/>
              </w:rPr>
              <w:t>נאשמת</w:t>
            </w:r>
          </w:p>
        </w:tc>
      </w:tr>
    </w:tbl>
    <w:p w14:paraId="706CB50B" w14:textId="77777777" w:rsidR="008732C8" w:rsidRPr="00FF00CD" w:rsidRDefault="00FF00CD">
      <w:pPr>
        <w:rPr>
          <w:rtl/>
        </w:rPr>
      </w:pPr>
      <w:r w:rsidRPr="00FF00CD">
        <w:rPr>
          <w:rFonts w:hint="cs"/>
          <w:rtl/>
        </w:rPr>
        <w:t>נוכחים:</w:t>
      </w:r>
    </w:p>
    <w:p w14:paraId="156A6973" w14:textId="77777777" w:rsidR="008732C8" w:rsidRPr="00FF00CD" w:rsidRDefault="00FF00CD">
      <w:pPr>
        <w:rPr>
          <w:rtl/>
        </w:rPr>
      </w:pPr>
      <w:r w:rsidRPr="00FF00CD">
        <w:rPr>
          <w:rFonts w:hint="cs"/>
          <w:rtl/>
        </w:rPr>
        <w:t>באת כח המאשימה: גב' מעיין תומר - מתמחה</w:t>
      </w:r>
    </w:p>
    <w:p w14:paraId="2E5C1D65" w14:textId="77777777" w:rsidR="00AB492D" w:rsidRPr="00FF00CD" w:rsidRDefault="00AB492D" w:rsidP="00AB492D">
      <w:pPr>
        <w:rPr>
          <w:rtl/>
        </w:rPr>
      </w:pPr>
      <w:bookmarkStart w:id="2" w:name="LawTable"/>
      <w:r w:rsidRPr="00FF00CD">
        <w:rPr>
          <w:rFonts w:hint="cs"/>
          <w:rtl/>
        </w:rPr>
        <w:t>הנאשמת ובא כוחה עו"ד אחמד עוואדה</w:t>
      </w:r>
    </w:p>
    <w:p w14:paraId="1EE08382" w14:textId="77777777" w:rsidR="00AB492D" w:rsidRPr="00AB492D" w:rsidRDefault="00AB492D" w:rsidP="00AB492D">
      <w:pPr>
        <w:spacing w:after="120" w:line="240" w:lineRule="exact"/>
        <w:ind w:left="283" w:hanging="283"/>
        <w:jc w:val="both"/>
        <w:rPr>
          <w:rFonts w:ascii="FrankRuehl" w:hAnsi="FrankRuehl" w:cs="FrankRuehl"/>
          <w:rtl/>
        </w:rPr>
      </w:pPr>
    </w:p>
    <w:p w14:paraId="2621E792" w14:textId="77777777" w:rsidR="00AB492D" w:rsidRPr="00AB492D" w:rsidRDefault="00AB492D" w:rsidP="00AB492D">
      <w:pPr>
        <w:spacing w:after="120" w:line="240" w:lineRule="exact"/>
        <w:ind w:left="283" w:hanging="283"/>
        <w:jc w:val="both"/>
        <w:rPr>
          <w:rFonts w:ascii="FrankRuehl" w:hAnsi="FrankRuehl" w:cs="FrankRuehl"/>
          <w:rtl/>
        </w:rPr>
      </w:pPr>
      <w:r w:rsidRPr="00AB492D">
        <w:rPr>
          <w:rFonts w:ascii="FrankRuehl" w:hAnsi="FrankRuehl" w:cs="FrankRuehl"/>
          <w:rtl/>
        </w:rPr>
        <w:t xml:space="preserve">חקיקה שאוזכרה: </w:t>
      </w:r>
    </w:p>
    <w:p w14:paraId="7DBDA19B" w14:textId="77777777" w:rsidR="00AB492D" w:rsidRPr="00AB492D" w:rsidRDefault="00AB492D" w:rsidP="00AB492D">
      <w:pPr>
        <w:spacing w:after="120" w:line="240" w:lineRule="exact"/>
        <w:ind w:left="283" w:hanging="283"/>
        <w:jc w:val="both"/>
        <w:rPr>
          <w:rFonts w:ascii="FrankRuehl" w:hAnsi="FrankRuehl" w:cs="FrankRuehl"/>
          <w:rtl/>
        </w:rPr>
      </w:pPr>
      <w:hyperlink r:id="rId7" w:history="1">
        <w:r w:rsidRPr="00AB492D">
          <w:rPr>
            <w:rFonts w:ascii="FrankRuehl" w:hAnsi="FrankRuehl" w:cs="FrankRuehl"/>
            <w:color w:val="0000FF"/>
            <w:u w:val="single"/>
            <w:rtl/>
          </w:rPr>
          <w:t>חוק העונשין, תשל"ז-1977</w:t>
        </w:r>
      </w:hyperlink>
      <w:r w:rsidRPr="00AB492D">
        <w:rPr>
          <w:rFonts w:ascii="FrankRuehl" w:hAnsi="FrankRuehl" w:cs="FrankRuehl"/>
          <w:rtl/>
        </w:rPr>
        <w:t xml:space="preserve">: סע'  </w:t>
      </w:r>
      <w:hyperlink r:id="rId8" w:history="1">
        <w:r w:rsidRPr="00AB492D">
          <w:rPr>
            <w:rFonts w:ascii="FrankRuehl" w:hAnsi="FrankRuehl" w:cs="FrankRuehl"/>
            <w:color w:val="0000FF"/>
            <w:u w:val="single"/>
            <w:rtl/>
          </w:rPr>
          <w:t>144(א)</w:t>
        </w:r>
      </w:hyperlink>
    </w:p>
    <w:p w14:paraId="6EEDA1C7" w14:textId="77777777" w:rsidR="00AB492D" w:rsidRPr="00AB492D" w:rsidRDefault="00AB492D">
      <w:pPr>
        <w:rPr>
          <w:rtl/>
        </w:rPr>
      </w:pPr>
    </w:p>
    <w:bookmarkEnd w:id="2"/>
    <w:p w14:paraId="2D6453D8" w14:textId="77777777" w:rsidR="008732C8" w:rsidRPr="00FF00CD" w:rsidRDefault="008732C8"/>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732C8" w14:paraId="3E7B96BB" w14:textId="77777777">
        <w:trPr>
          <w:trHeight w:val="355"/>
          <w:jc w:val="center"/>
        </w:trPr>
        <w:tc>
          <w:tcPr>
            <w:tcW w:w="8820" w:type="dxa"/>
            <w:tcBorders>
              <w:top w:val="nil"/>
              <w:left w:val="nil"/>
              <w:bottom w:val="nil"/>
              <w:right w:val="nil"/>
            </w:tcBorders>
            <w:shd w:val="clear" w:color="auto" w:fill="auto"/>
          </w:tcPr>
          <w:p w14:paraId="7CF14561" w14:textId="77777777" w:rsidR="00FF00CD" w:rsidRPr="00FF00CD" w:rsidRDefault="00FF00CD" w:rsidP="00FF00CD">
            <w:pPr>
              <w:jc w:val="center"/>
              <w:rPr>
                <w:rFonts w:ascii="Arial" w:hAnsi="Arial" w:cs="FrankRuehl"/>
                <w:b/>
                <w:bCs/>
                <w:sz w:val="32"/>
                <w:szCs w:val="32"/>
                <w:u w:val="single"/>
                <w:rtl/>
              </w:rPr>
            </w:pPr>
            <w:bookmarkStart w:id="3" w:name="PsakDin" w:colFirst="0" w:colLast="0"/>
            <w:bookmarkEnd w:id="0"/>
            <w:r w:rsidRPr="00FF00CD">
              <w:rPr>
                <w:rFonts w:ascii="Arial" w:hAnsi="Arial" w:cs="FrankRuehl"/>
                <w:b/>
                <w:bCs/>
                <w:sz w:val="32"/>
                <w:szCs w:val="32"/>
                <w:u w:val="single"/>
                <w:rtl/>
              </w:rPr>
              <w:t>גזר דין</w:t>
            </w:r>
          </w:p>
          <w:p w14:paraId="4EFF981E" w14:textId="77777777" w:rsidR="008732C8" w:rsidRPr="00FF00CD" w:rsidRDefault="008732C8" w:rsidP="00FF00CD">
            <w:pPr>
              <w:jc w:val="center"/>
              <w:rPr>
                <w:rFonts w:ascii="Arial" w:hAnsi="Arial" w:cs="FrankRuehl"/>
                <w:bCs/>
                <w:sz w:val="32"/>
                <w:szCs w:val="32"/>
                <w:u w:val="single"/>
                <w:rtl/>
              </w:rPr>
            </w:pPr>
          </w:p>
        </w:tc>
      </w:tr>
      <w:bookmarkEnd w:id="3"/>
    </w:tbl>
    <w:p w14:paraId="265269FD" w14:textId="77777777" w:rsidR="008732C8" w:rsidRDefault="008732C8">
      <w:pPr>
        <w:rPr>
          <w:rFonts w:ascii="Arial" w:hAnsi="Arial"/>
          <w:rtl/>
        </w:rPr>
      </w:pPr>
    </w:p>
    <w:p w14:paraId="42B8D186" w14:textId="77777777" w:rsidR="008732C8" w:rsidRDefault="008732C8">
      <w:pPr>
        <w:rPr>
          <w:rFonts w:ascii="Arial" w:hAnsi="Arial"/>
          <w:rtl/>
        </w:rPr>
      </w:pPr>
    </w:p>
    <w:p w14:paraId="474AC783" w14:textId="77777777" w:rsidR="008732C8" w:rsidRDefault="00FF00CD">
      <w:pPr>
        <w:spacing w:line="360" w:lineRule="auto"/>
        <w:jc w:val="both"/>
        <w:rPr>
          <w:rFonts w:ascii="Arial" w:hAnsi="Arial"/>
          <w:rtl/>
        </w:rPr>
      </w:pPr>
      <w:bookmarkStart w:id="4" w:name="ABSTRACT_START"/>
      <w:bookmarkEnd w:id="4"/>
      <w:r>
        <w:rPr>
          <w:rFonts w:ascii="Arial" w:hAnsi="Arial" w:hint="cs"/>
          <w:rtl/>
        </w:rPr>
        <w:t>על פי כתב האישום, ביום 19/07/09 בשעה 21:00 לערך החזיקה הנאשמת בביתה שבכפר עין-נקובא אקדח חצי אוטומטי אף-אן (</w:t>
      </w:r>
      <w:r>
        <w:rPr>
          <w:rFonts w:ascii="Arial" w:hAnsi="Arial"/>
        </w:rPr>
        <w:t>FN</w:t>
      </w:r>
      <w:r>
        <w:rPr>
          <w:rFonts w:ascii="Arial" w:hAnsi="Arial" w:hint="cs"/>
          <w:rtl/>
        </w:rPr>
        <w:t xml:space="preserve">) ושתי מחסניות תואמות. </w:t>
      </w:r>
    </w:p>
    <w:p w14:paraId="1AD4D185" w14:textId="77777777" w:rsidR="008732C8" w:rsidRDefault="00FF00CD">
      <w:pPr>
        <w:spacing w:line="360" w:lineRule="auto"/>
        <w:jc w:val="both"/>
        <w:rPr>
          <w:rFonts w:ascii="Arial" w:hAnsi="Arial"/>
          <w:rtl/>
        </w:rPr>
      </w:pPr>
      <w:bookmarkStart w:id="5" w:name="ABSTRACT_END"/>
      <w:bookmarkEnd w:id="5"/>
      <w:r>
        <w:rPr>
          <w:rFonts w:ascii="Arial" w:hAnsi="Arial" w:hint="cs"/>
          <w:rtl/>
        </w:rPr>
        <w:t>במסגרת תשובתה לכתב האישום טענה הנאשמת, כי הנשק שייך לבן דודה אשר החביא אותו ברשותה לאחר שירה בו יריות שמחה במהלך חתונה של קרוב משפחה, וכי היא מודה בעובדות כתב האישום בנסיבות  הנ"ל.</w:t>
      </w:r>
    </w:p>
    <w:p w14:paraId="7176A87D" w14:textId="77777777" w:rsidR="008732C8" w:rsidRDefault="00FF00CD">
      <w:pPr>
        <w:spacing w:line="360" w:lineRule="auto"/>
        <w:jc w:val="both"/>
        <w:rPr>
          <w:rFonts w:ascii="Arial" w:hAnsi="Arial"/>
          <w:rtl/>
        </w:rPr>
      </w:pPr>
      <w:r>
        <w:rPr>
          <w:rFonts w:ascii="Arial" w:hAnsi="Arial" w:hint="cs"/>
          <w:rtl/>
        </w:rPr>
        <w:t xml:space="preserve">על יסוד הודאתה זו הורשעה הנאשמת ביום 09/01/13  בעבירה של החזקת נשק לפי </w:t>
      </w:r>
      <w:hyperlink r:id="rId9" w:history="1">
        <w:r w:rsidR="0093315B" w:rsidRPr="0093315B">
          <w:rPr>
            <w:rFonts w:ascii="Arial" w:hAnsi="Arial"/>
            <w:color w:val="0000FF"/>
            <w:u w:val="single"/>
            <w:rtl/>
          </w:rPr>
          <w:t>סעיף 144(א)</w:t>
        </w:r>
      </w:hyperlink>
      <w:r>
        <w:rPr>
          <w:rFonts w:ascii="Arial" w:hAnsi="Arial" w:hint="cs"/>
          <w:rtl/>
        </w:rPr>
        <w:t xml:space="preserve"> רישא ל</w:t>
      </w:r>
      <w:hyperlink r:id="rId10" w:history="1">
        <w:r w:rsidRPr="00FF00CD">
          <w:rPr>
            <w:rFonts w:ascii="Arial" w:hAnsi="Arial"/>
            <w:color w:val="0000FF"/>
            <w:u w:val="single"/>
            <w:rtl/>
          </w:rPr>
          <w:t>חוק העונשין</w:t>
        </w:r>
      </w:hyperlink>
      <w:r>
        <w:rPr>
          <w:rFonts w:ascii="Arial" w:hAnsi="Arial" w:hint="cs"/>
          <w:rtl/>
        </w:rPr>
        <w:t xml:space="preserve">, התשל"ז-1977 (להלן: "החוק") ובעבירה של החזקת אביזר לנשק לפי </w:t>
      </w:r>
      <w:hyperlink r:id="rId11" w:history="1">
        <w:r w:rsidR="0093315B" w:rsidRPr="0093315B">
          <w:rPr>
            <w:rFonts w:ascii="Arial" w:hAnsi="Arial"/>
            <w:color w:val="0000FF"/>
            <w:u w:val="single"/>
            <w:rtl/>
          </w:rPr>
          <w:t>סעיף 144(א)</w:t>
        </w:r>
      </w:hyperlink>
      <w:r>
        <w:rPr>
          <w:rFonts w:ascii="Arial" w:hAnsi="Arial" w:hint="cs"/>
          <w:rtl/>
        </w:rPr>
        <w:t xml:space="preserve"> סיפא לחוק. </w:t>
      </w:r>
    </w:p>
    <w:p w14:paraId="702AC70E" w14:textId="77777777" w:rsidR="008732C8" w:rsidRDefault="008732C8">
      <w:pPr>
        <w:spacing w:line="360" w:lineRule="auto"/>
        <w:jc w:val="both"/>
        <w:rPr>
          <w:rFonts w:ascii="Arial" w:hAnsi="Arial"/>
          <w:rtl/>
        </w:rPr>
      </w:pPr>
    </w:p>
    <w:p w14:paraId="342369D6" w14:textId="77777777" w:rsidR="008732C8" w:rsidRDefault="00FF00CD">
      <w:pPr>
        <w:spacing w:line="360" w:lineRule="auto"/>
        <w:jc w:val="both"/>
        <w:rPr>
          <w:rFonts w:ascii="Arial" w:hAnsi="Arial"/>
          <w:rtl/>
        </w:rPr>
      </w:pPr>
      <w:r>
        <w:rPr>
          <w:rFonts w:ascii="Arial" w:hAnsi="Arial" w:hint="cs"/>
          <w:rtl/>
        </w:rPr>
        <w:t xml:space="preserve">מתסקיר שירות מבחן עולה, כי הנאשמת בת 27, גרושה ואם לשני ילדים בני תשע ועשר, מתגוררת יחד עם אמה ואחיה בן ה-17 בכפר עין-נקובא. התסקיר מתאר נסיבות חיים שאינן קלות. מפאת כבודה של הנאשמת והגנה על פרטיותה, ומאחר שלמרבית הנתונים המובאים בתסקיר שרות המבחן </w:t>
      </w:r>
      <w:r>
        <w:rPr>
          <w:rFonts w:ascii="Arial" w:hAnsi="Arial" w:hint="cs"/>
          <w:rtl/>
        </w:rPr>
        <w:lastRenderedPageBreak/>
        <w:t xml:space="preserve">אודות נסיבותיה האישיות של הנאשמת, אין קשר הכרחי לפרטי העבירות שביצעה </w:t>
      </w:r>
      <w:r>
        <w:rPr>
          <w:rFonts w:ascii="Arial" w:hAnsi="Arial"/>
          <w:rtl/>
        </w:rPr>
        <w:t>–</w:t>
      </w:r>
      <w:r>
        <w:rPr>
          <w:rFonts w:ascii="Arial" w:hAnsi="Arial" w:hint="cs"/>
          <w:rtl/>
        </w:rPr>
        <w:t xml:space="preserve"> לא אביא בגזר דין זה את תאור הדברים.</w:t>
      </w:r>
    </w:p>
    <w:p w14:paraId="4D9FF30F" w14:textId="77777777" w:rsidR="008732C8" w:rsidRDefault="008732C8">
      <w:pPr>
        <w:spacing w:line="360" w:lineRule="auto"/>
        <w:jc w:val="both"/>
        <w:rPr>
          <w:rFonts w:ascii="Arial" w:hAnsi="Arial"/>
          <w:rtl/>
        </w:rPr>
      </w:pPr>
    </w:p>
    <w:p w14:paraId="0C3C68C2" w14:textId="77777777" w:rsidR="008732C8" w:rsidRDefault="00FF00CD">
      <w:pPr>
        <w:spacing w:line="360" w:lineRule="auto"/>
        <w:jc w:val="both"/>
        <w:rPr>
          <w:rFonts w:ascii="Arial" w:hAnsi="Arial"/>
          <w:rtl/>
        </w:rPr>
      </w:pPr>
      <w:r>
        <w:rPr>
          <w:rFonts w:ascii="Arial" w:hAnsi="Arial" w:hint="cs"/>
          <w:rtl/>
        </w:rPr>
        <w:t xml:space="preserve">בנוגע לעבירות הנדונות ציין שירות המבחן, כי הנאשמת משליכה האחריות לביצוען על בן דודה, אשר ניצל לדבריה את תמימותה באומרו לה, כי מדובר בנשק השייך לאביו ומוחזק על ידו ברשיון.  עם זאת ציין שירות המבחן, כי הנאשמת ביטאה בפניו מודעות מסוימת לבעייתיות הגלומה בהתנהגותה ולצורך לפעול בצורה אחרת במקרים דומים בעתיד, והתרשמותו היא כי ההליך דנן מהווה גורם מרתיע דיו עבור הנאשמת. סופו של דבר,  בא שירות המבחן בהמלצה להטיל על הנאשמת מאסר מותנה, בצירוף צו מבחן למשך שנה, כעונש שמטרתו לסייע לנאשמת בהתמודדות עם בעיותיה השונות. </w:t>
      </w:r>
    </w:p>
    <w:p w14:paraId="048B99F2" w14:textId="77777777" w:rsidR="008732C8" w:rsidRDefault="008732C8">
      <w:pPr>
        <w:spacing w:line="360" w:lineRule="auto"/>
        <w:jc w:val="both"/>
        <w:rPr>
          <w:rFonts w:ascii="Arial" w:hAnsi="Arial"/>
          <w:rtl/>
        </w:rPr>
      </w:pPr>
    </w:p>
    <w:p w14:paraId="7A9D869E" w14:textId="77777777" w:rsidR="008732C8" w:rsidRDefault="00FF00CD">
      <w:pPr>
        <w:spacing w:line="360" w:lineRule="auto"/>
        <w:jc w:val="both"/>
        <w:rPr>
          <w:rFonts w:ascii="Arial" w:hAnsi="Arial"/>
          <w:rtl/>
        </w:rPr>
      </w:pPr>
      <w:r>
        <w:rPr>
          <w:rFonts w:ascii="Arial" w:hAnsi="Arial" w:hint="cs"/>
          <w:rtl/>
        </w:rPr>
        <w:t xml:space="preserve">על רקע תסקיר זה נשמעו ביום 10/11/13 הטיעונים לעונש. </w:t>
      </w:r>
    </w:p>
    <w:p w14:paraId="084253F6" w14:textId="77777777" w:rsidR="008732C8" w:rsidRDefault="008732C8">
      <w:pPr>
        <w:spacing w:line="360" w:lineRule="auto"/>
        <w:jc w:val="both"/>
        <w:rPr>
          <w:rFonts w:ascii="Arial" w:hAnsi="Arial"/>
          <w:rtl/>
        </w:rPr>
      </w:pPr>
    </w:p>
    <w:p w14:paraId="739BC1E1" w14:textId="77777777" w:rsidR="008732C8" w:rsidRDefault="00FF00CD">
      <w:pPr>
        <w:spacing w:line="360" w:lineRule="auto"/>
        <w:jc w:val="both"/>
        <w:rPr>
          <w:rFonts w:ascii="Arial" w:hAnsi="Arial"/>
          <w:rtl/>
        </w:rPr>
      </w:pPr>
      <w:r>
        <w:rPr>
          <w:rFonts w:ascii="Arial" w:hAnsi="Arial" w:hint="cs"/>
          <w:rtl/>
        </w:rPr>
        <w:t xml:space="preserve">התובעת ביקשה להטיל על הנאשמת עונש מאסר לתקופה של 6 חודשים ההולם לטענתה את חומרת העבירה ואת מתחם הענישה שנקבע בגין עבירה זו בפסיקה, ועומד לדבריה על מאסר בפועל לתקופה של בין 6 ל-24 חודשים. לדידה של המאשימה,  מכלול השקולים העומדים במקרה זה לזכותה של הנאשמת - ובהם עברה הנקי, גילה הצעיר, הזמן הרב שחלף מאז ביצוע העבירה והודאתה במיוחס לה - מטים את לשון המאזניים לשליש התחתון של המתחם. </w:t>
      </w:r>
    </w:p>
    <w:p w14:paraId="3969D9D0" w14:textId="77777777" w:rsidR="008732C8" w:rsidRDefault="008732C8">
      <w:pPr>
        <w:spacing w:line="360" w:lineRule="auto"/>
        <w:jc w:val="both"/>
        <w:rPr>
          <w:rFonts w:ascii="Arial" w:hAnsi="Arial"/>
          <w:rtl/>
        </w:rPr>
      </w:pPr>
    </w:p>
    <w:p w14:paraId="2CD5CAD1" w14:textId="77777777" w:rsidR="008732C8" w:rsidRDefault="00FF00CD">
      <w:pPr>
        <w:spacing w:line="360" w:lineRule="auto"/>
        <w:jc w:val="both"/>
        <w:rPr>
          <w:rFonts w:ascii="Arial" w:hAnsi="Arial"/>
          <w:rtl/>
        </w:rPr>
      </w:pPr>
      <w:r>
        <w:rPr>
          <w:rFonts w:ascii="Arial" w:hAnsi="Arial" w:hint="cs"/>
          <w:rtl/>
        </w:rPr>
        <w:t xml:space="preserve">הסניגור, לעומת זאת, ביקש לאמץ המלצתו של שירות המבחן ולהסתפק בענישה צופת פני עתיד בשילוב צו מבחן, המתחייבת לדבריו מהנסיבות המאוד מיוחדות הן של ביצוע העבירה והן של הנאשמת עצמה. </w:t>
      </w:r>
    </w:p>
    <w:p w14:paraId="20D28DFE" w14:textId="77777777" w:rsidR="008732C8" w:rsidRDefault="008732C8">
      <w:pPr>
        <w:spacing w:line="360" w:lineRule="auto"/>
        <w:jc w:val="both"/>
        <w:rPr>
          <w:rFonts w:ascii="Arial" w:hAnsi="Arial"/>
          <w:rtl/>
        </w:rPr>
      </w:pPr>
    </w:p>
    <w:p w14:paraId="489E097D" w14:textId="77777777" w:rsidR="008732C8" w:rsidRDefault="00FF00CD">
      <w:pPr>
        <w:spacing w:line="360" w:lineRule="auto"/>
        <w:jc w:val="both"/>
        <w:rPr>
          <w:rFonts w:ascii="Arial" w:hAnsi="Arial"/>
          <w:rtl/>
        </w:rPr>
      </w:pPr>
      <w:r>
        <w:rPr>
          <w:rFonts w:ascii="Arial" w:hAnsi="Arial" w:hint="cs"/>
          <w:rtl/>
        </w:rPr>
        <w:t xml:space="preserve">לגבי נסיבות ביצוע העבירה טען הסניגור, כי העבירה בוצעה על רקע מעמדה הנחות של הנאשמת  בחברה ערבית, והנאשמת לא יכולה היתה למעשה לסרב לבקשת בן דודה להחביא את הנשק ברשותה. החבאת הנשק בבית הנאשמת,  הדגיש הסניגור,  נעשתה ע"י בן דודה ללא שיתוף פעולה מצדה, והיתה נעשית אף אלמלא "הסכמתה" של הנאשמת לכך.  בנוסף ביקש הסניגור להדגיש את התקופה הקצרה במהלכה הוחבא הנשק (לילה אחד בלבד) ברשות הנאשמת,  את העובדה כי הנשק  לא הושג על ידי הנאשמת באופן בלתי חוקי, לא נרכש על ידה לצורכי סחר או לצרכים פליליים, ולא נעשה בו כל שימוש מעבר ליריות השמחה שנורו ממנו במהלך החתונה. </w:t>
      </w:r>
    </w:p>
    <w:p w14:paraId="71DECD6F" w14:textId="77777777" w:rsidR="008732C8" w:rsidRDefault="008732C8">
      <w:pPr>
        <w:spacing w:line="360" w:lineRule="auto"/>
        <w:jc w:val="both"/>
        <w:rPr>
          <w:rFonts w:ascii="Arial" w:hAnsi="Arial"/>
          <w:rtl/>
        </w:rPr>
      </w:pPr>
    </w:p>
    <w:p w14:paraId="0B7C110A" w14:textId="77777777" w:rsidR="008732C8" w:rsidRDefault="00FF00CD">
      <w:pPr>
        <w:spacing w:line="360" w:lineRule="auto"/>
        <w:jc w:val="both"/>
        <w:rPr>
          <w:rFonts w:ascii="Arial" w:hAnsi="Arial"/>
          <w:rtl/>
        </w:rPr>
      </w:pPr>
      <w:r>
        <w:rPr>
          <w:rFonts w:ascii="Arial" w:hAnsi="Arial" w:hint="cs"/>
          <w:rtl/>
        </w:rPr>
        <w:t xml:space="preserve">לגבי נסיבותיה האישיות של הנאשמת טען הסניגור, כי התסקיר מדבר בעד עצמו. הנאשמת היא אישה גרושה, קשת יום, המטופלת בשני ילדים קטנים,  בעלת רקע משפחתי מורכב ובעייתי, אשר  חרף נסיבות חייה הקשות-  עברה הפלילי הוא ללא רבב, היא מטפלת בשני ילדיה ומשתדלת ככל יכולתה לפרנס אותם. בענין זה טען הסניגור (בניגוד לאמור בתסקיר המבחן) כי הנאשמת עובדת </w:t>
      </w:r>
      <w:r>
        <w:rPr>
          <w:rFonts w:ascii="Arial" w:hAnsi="Arial" w:hint="cs"/>
          <w:rtl/>
        </w:rPr>
        <w:lastRenderedPageBreak/>
        <w:t xml:space="preserve">כיום בעבודה מסודרת (עבודות נקיון בבית ספר במשך  8 שעות  מדי יום). עוד הדגיש הסניגור בדבריו את  העובדה, כי הנאשמת הודתה במיוחס לה, כי במהלך ארבע השנים שחלפו מאז ביצוע העבירה דנן היא לא  היתה מעורבת בפלילים,  וכי  כתב האישום נגדה הוגש  כשנתיים לאחר האירוע.  חשיבות יתרה ייחס הסניגור לעובדה  כי שיתוף הפעולה של הנאשמת עם המשטרה , בכל הנוגע למעורבותו של בן דודה בביצוע העבירה,  הוביל בסופו של דבר להרעת מצבה של הנאשמת במקום להטבת מצבה. לדבריו, על אף  מעמדה הנחות בתוך משפחתה אזרה  הנאשמת אומץ  והפלילה את בן דודה בביצוע העבירה, במטרה להוכיח צדקתה ולהביא לסגירת התיק נגדה-   אלא שהפרקליטות לא רק שלא סגרה התיק נגד הנאשמת  אלא הגדילה עשות והגישה כתב אישום נפרד נגד בן דודה של הנאשמת, על מנת להשוות כביכול את מעמדם, ובכך "סיבכה" את הנאשמת עם משפחתה הגרעינית. עובדה זו צריכה להיזקף, לטענת הסניגור, לטובתה של הנאשמת ולהביא להקלה בעונשה. </w:t>
      </w:r>
    </w:p>
    <w:p w14:paraId="31A66DE6" w14:textId="77777777" w:rsidR="008732C8" w:rsidRDefault="008732C8">
      <w:pPr>
        <w:spacing w:line="360" w:lineRule="auto"/>
        <w:jc w:val="both"/>
        <w:rPr>
          <w:rFonts w:ascii="Arial" w:hAnsi="Arial"/>
          <w:rtl/>
        </w:rPr>
      </w:pPr>
    </w:p>
    <w:p w14:paraId="58D2CC0C" w14:textId="77777777" w:rsidR="008732C8" w:rsidRDefault="00FF00CD">
      <w:pPr>
        <w:spacing w:line="360" w:lineRule="auto"/>
        <w:jc w:val="both"/>
        <w:rPr>
          <w:rtl/>
        </w:rPr>
      </w:pPr>
      <w:r>
        <w:rPr>
          <w:rFonts w:ascii="Arial" w:hAnsi="Arial" w:hint="cs"/>
          <w:rtl/>
        </w:rPr>
        <w:t xml:space="preserve">כבר נאמר כי  מלאכת גזירת הדין איננה מעשה מכונה, כי אם איזון עדין ומורכב בין שקולי ענישה שונים. לצד חומרת העבירה </w:t>
      </w:r>
      <w:r>
        <w:rPr>
          <w:rFonts w:hint="cs"/>
          <w:rtl/>
        </w:rPr>
        <w:t xml:space="preserve">ומדיניות הענישה הנוהגת בכל עבירה ועבירה, נדרש בית המשפט ליתן את דעתו לאדם העומד בפניו, ולנסיבות המיוחדות שבהן עבר את העבירה. </w:t>
      </w:r>
    </w:p>
    <w:p w14:paraId="29EACABE" w14:textId="77777777" w:rsidR="008732C8" w:rsidRDefault="008732C8">
      <w:pPr>
        <w:spacing w:line="360" w:lineRule="auto"/>
        <w:jc w:val="both"/>
        <w:rPr>
          <w:rFonts w:ascii="Calibri" w:hAnsi="Calibri"/>
          <w:sz w:val="22"/>
          <w:rtl/>
        </w:rPr>
      </w:pPr>
    </w:p>
    <w:p w14:paraId="2F70A175" w14:textId="77777777" w:rsidR="008732C8" w:rsidRDefault="00FF00CD">
      <w:pPr>
        <w:spacing w:line="360" w:lineRule="auto"/>
        <w:jc w:val="both"/>
        <w:rPr>
          <w:rtl/>
        </w:rPr>
      </w:pPr>
      <w:r>
        <w:rPr>
          <w:rFonts w:hint="cs"/>
          <w:rtl/>
        </w:rPr>
        <w:t xml:space="preserve">השקולים העומדים על הפרק במקרה הנדון הם שקולים של הרתעה  ושיקולים של שיקום: </w:t>
      </w:r>
    </w:p>
    <w:p w14:paraId="0EEED575" w14:textId="77777777" w:rsidR="008732C8" w:rsidRDefault="00FF00CD">
      <w:pPr>
        <w:spacing w:line="360" w:lineRule="auto"/>
        <w:jc w:val="both"/>
        <w:rPr>
          <w:rtl/>
        </w:rPr>
      </w:pPr>
      <w:r>
        <w:rPr>
          <w:rFonts w:hint="cs"/>
          <w:rtl/>
        </w:rPr>
        <w:t xml:space="preserve">מחד גיסא, מדובר בעבירה של החזקת נשק, הטומנת בחובה  סיכון ממשי לחיי אדם, עקב הימצאותו של נשק בידי מי שאינו מורשה להחזיקו,  אשר יוצרת פוטנציאל להסלמה עבריינית ולמצב שבו "היד קלה על ההדק", תרתי משמע .  </w:t>
      </w:r>
    </w:p>
    <w:p w14:paraId="7B7F95B5" w14:textId="77777777" w:rsidR="008732C8" w:rsidRDefault="008732C8">
      <w:pPr>
        <w:spacing w:line="360" w:lineRule="auto"/>
        <w:jc w:val="both"/>
        <w:rPr>
          <w:rtl/>
        </w:rPr>
      </w:pPr>
    </w:p>
    <w:p w14:paraId="689F4766" w14:textId="77777777" w:rsidR="008732C8" w:rsidRDefault="00FF00CD">
      <w:pPr>
        <w:spacing w:line="360" w:lineRule="auto"/>
        <w:jc w:val="both"/>
        <w:rPr>
          <w:sz w:val="22"/>
          <w:rtl/>
        </w:rPr>
      </w:pPr>
      <w:r>
        <w:rPr>
          <w:rFonts w:hint="cs"/>
          <w:rtl/>
        </w:rPr>
        <w:t xml:space="preserve">בשורה ארוכה של פסקי דין נקבע, כי העבירה של החזקת נשק מחייבת ענישה  מרתיעה  המעניקה בכורה לאינטרס הציבורי : </w:t>
      </w:r>
    </w:p>
    <w:p w14:paraId="4182FDA1" w14:textId="77777777" w:rsidR="008732C8" w:rsidRDefault="00FF00CD">
      <w:pPr>
        <w:spacing w:line="360" w:lineRule="auto"/>
        <w:ind w:left="720"/>
        <w:jc w:val="both"/>
        <w:rPr>
          <w:rtl/>
        </w:rPr>
      </w:pPr>
      <w:r>
        <w:rPr>
          <w:rFonts w:hint="cs"/>
          <w:b/>
          <w:bCs/>
          <w:rtl/>
        </w:rPr>
        <w:t xml:space="preserve">".. החזקת נשק שלא כדין הינה עבירה נפוצה, אשר מסכנת את בטחון הציבור במידה רצינית, והדברים ידועים. חשוב שתחדור לתודעת כל תושבי המדינה הידיעה, שמי שביודעין מקבל לרשותו כלי נשק שלא כדין, צפוי בגין עבירה זו לעונש מכאיב, אפילו אין הוא מתכוון אישית לבצע פשע מסוים ומוגדר בעזרת הנשק האמור" </w:t>
      </w:r>
      <w:r>
        <w:rPr>
          <w:rFonts w:hint="cs"/>
          <w:rtl/>
        </w:rPr>
        <w:t xml:space="preserve">(כב' השופט ג' בך </w:t>
      </w:r>
      <w:hyperlink r:id="rId12" w:history="1">
        <w:r w:rsidRPr="00FF00CD">
          <w:rPr>
            <w:color w:val="0000FF"/>
            <w:u w:val="single"/>
            <w:rtl/>
          </w:rPr>
          <w:t>ע"פ 910/85</w:t>
        </w:r>
      </w:hyperlink>
      <w:r>
        <w:rPr>
          <w:rFonts w:hint="cs"/>
          <w:rtl/>
        </w:rPr>
        <w:t xml:space="preserve"> </w:t>
      </w:r>
      <w:r>
        <w:rPr>
          <w:rFonts w:hint="cs"/>
          <w:b/>
          <w:bCs/>
          <w:rtl/>
        </w:rPr>
        <w:t xml:space="preserve">אברהים קונדוס ואח' נ' מדינת ישראל </w:t>
      </w:r>
      <w:r>
        <w:rPr>
          <w:rFonts w:hint="cs"/>
          <w:rtl/>
        </w:rPr>
        <w:t>, תק-על 86(2), 670).</w:t>
      </w:r>
    </w:p>
    <w:p w14:paraId="5948E0B4" w14:textId="77777777" w:rsidR="008732C8" w:rsidRDefault="008732C8">
      <w:pPr>
        <w:spacing w:line="360" w:lineRule="auto"/>
        <w:ind w:left="720"/>
        <w:jc w:val="both"/>
        <w:rPr>
          <w:rtl/>
        </w:rPr>
      </w:pPr>
    </w:p>
    <w:p w14:paraId="5BE143B6" w14:textId="77777777" w:rsidR="008732C8" w:rsidRDefault="00FF00CD">
      <w:pPr>
        <w:spacing w:line="360" w:lineRule="auto"/>
        <w:jc w:val="both"/>
        <w:rPr>
          <w:rtl/>
        </w:rPr>
      </w:pPr>
      <w:r>
        <w:rPr>
          <w:rFonts w:hint="cs"/>
          <w:rtl/>
        </w:rPr>
        <w:t>יחד עם זאת, נסיבות ביצוע העבירות ע"י הנאשמת,  ובהן העובדה כי הנאשמת  החזיקה בנשק לא מרצונה ושלא מיוזמתה, ללא  כל מניע עברייני, למשך לילה אחד בלבד - ממקמות את העבירות, מבחינת רמת חומרתן בתחתית המדרג.  נסיבות  קלות אלו אינן דומות כלל וכלל לנסיבות  העבירה החמורות המתוארות בפסקי הדין אליהם הפנתה המאשימה בתמיכה למדיניות הענישה הנוהגת בעבירה של החזקת נשק, ועל כן לא ניתן להקיש מפסקי דין אלו לענייננו .</w:t>
      </w:r>
    </w:p>
    <w:p w14:paraId="6BEF93A7" w14:textId="77777777" w:rsidR="008732C8" w:rsidRDefault="008732C8">
      <w:pPr>
        <w:spacing w:line="360" w:lineRule="auto"/>
        <w:jc w:val="both"/>
        <w:rPr>
          <w:rFonts w:ascii="Arial" w:hAnsi="Arial"/>
          <w:rtl/>
        </w:rPr>
      </w:pPr>
    </w:p>
    <w:p w14:paraId="61005524" w14:textId="77777777" w:rsidR="008732C8" w:rsidRDefault="00FF00CD">
      <w:pPr>
        <w:spacing w:line="360" w:lineRule="auto"/>
        <w:jc w:val="both"/>
        <w:rPr>
          <w:rFonts w:ascii="Arial" w:hAnsi="Arial"/>
          <w:rtl/>
        </w:rPr>
      </w:pPr>
      <w:r>
        <w:rPr>
          <w:rFonts w:ascii="Arial" w:hAnsi="Arial" w:hint="cs"/>
          <w:rtl/>
        </w:rPr>
        <w:t>הסניגור</w:t>
      </w:r>
      <w:r>
        <w:rPr>
          <w:rFonts w:ascii="Arial" w:hAnsi="Arial"/>
        </w:rPr>
        <w:t xml:space="preserve"> </w:t>
      </w:r>
      <w:r>
        <w:rPr>
          <w:rFonts w:ascii="Arial" w:hAnsi="Arial" w:hint="cs"/>
          <w:rtl/>
        </w:rPr>
        <w:t xml:space="preserve">טען, כזכור, כי במסגרת השקולים לקולא, לא ניתן להתעלם גם מהקוד התרבותי של החברה המוסלמית בה חיה הנאשמת, הן לענין נפיצות התופעה של החזקת ונשיאת נשק לצורך יריית יריות שמחה באירוע חתונה, שהינה בגדר חזיון נפוץ באותה חברה, והן לענין אי יכולתה המעשית של הנאשמת לסרב להחבאת הנשק בביתה, על רקע מעמדה הנחות מול הגבר במשפחה המוסלמית, אשר על פיו יישק דבר. </w:t>
      </w:r>
    </w:p>
    <w:p w14:paraId="64CF406F" w14:textId="77777777" w:rsidR="008732C8" w:rsidRDefault="008732C8">
      <w:pPr>
        <w:spacing w:line="360" w:lineRule="auto"/>
        <w:jc w:val="both"/>
        <w:rPr>
          <w:rFonts w:ascii="Arial" w:hAnsi="Arial"/>
          <w:rtl/>
        </w:rPr>
      </w:pPr>
    </w:p>
    <w:p w14:paraId="7DE7D3E9" w14:textId="77777777" w:rsidR="008732C8" w:rsidRDefault="00FF00CD">
      <w:pPr>
        <w:pStyle w:val="FileNumber"/>
        <w:jc w:val="both"/>
        <w:rPr>
          <w:rStyle w:val="default"/>
          <w:b/>
          <w:bCs w:val="0"/>
          <w:sz w:val="22"/>
          <w:rtl/>
        </w:rPr>
      </w:pPr>
      <w:r>
        <w:rPr>
          <w:rStyle w:val="default"/>
          <w:rFonts w:hint="cs"/>
          <w:b/>
          <w:bCs w:val="0"/>
          <w:sz w:val="22"/>
          <w:rtl/>
        </w:rPr>
        <w:t>הטענה שמעלה הסניגור הנה טענה של "</w:t>
      </w:r>
      <w:r>
        <w:rPr>
          <w:rStyle w:val="default"/>
          <w:rFonts w:hint="cs"/>
          <w:sz w:val="22"/>
          <w:rtl/>
        </w:rPr>
        <w:t>הגנה תרבותית</w:t>
      </w:r>
      <w:r>
        <w:rPr>
          <w:rStyle w:val="default"/>
          <w:rFonts w:hint="cs"/>
          <w:b/>
          <w:bCs w:val="0"/>
          <w:sz w:val="22"/>
          <w:rtl/>
        </w:rPr>
        <w:t xml:space="preserve">", לפיה, אם ביצוע העבירה הפלילית, הינו בגדר מעשה שנעשה בהתאם למנהג מושרש בתרבות מסוימת, כי אז על ביהמ"ש להתחשב בכך לקולא בעת מתן גזר הדין. </w:t>
      </w:r>
    </w:p>
    <w:p w14:paraId="41B99FEF" w14:textId="77777777" w:rsidR="008732C8" w:rsidRDefault="008732C8">
      <w:pPr>
        <w:pStyle w:val="FileNumber"/>
        <w:jc w:val="both"/>
        <w:rPr>
          <w:rStyle w:val="default"/>
          <w:b/>
          <w:bCs w:val="0"/>
          <w:sz w:val="24"/>
          <w:rtl/>
        </w:rPr>
      </w:pPr>
    </w:p>
    <w:p w14:paraId="09396B45" w14:textId="77777777" w:rsidR="008732C8" w:rsidRDefault="00FF00CD">
      <w:pPr>
        <w:pStyle w:val="FileNumber"/>
        <w:jc w:val="both"/>
        <w:rPr>
          <w:sz w:val="18"/>
          <w:szCs w:val="22"/>
          <w:rtl/>
        </w:rPr>
      </w:pPr>
      <w:r>
        <w:rPr>
          <w:rStyle w:val="default"/>
          <w:rFonts w:hint="cs"/>
          <w:b/>
          <w:bCs w:val="0"/>
          <w:sz w:val="22"/>
          <w:rtl/>
        </w:rPr>
        <w:t xml:space="preserve">בפסיקה בארץ נבחנו השפעות של תפיסות עולם תרבותיות בעיקר בהתייחס לטענה בדבר קינטור בעבירות אלימות או רצח על רקע חילול כבוד המשפחה (ראה למשל:  </w:t>
      </w:r>
      <w:hyperlink r:id="rId13" w:history="1">
        <w:r w:rsidRPr="00FF00CD">
          <w:rPr>
            <w:rStyle w:val="default"/>
            <w:b/>
            <w:bCs w:val="0"/>
            <w:color w:val="0000FF"/>
            <w:sz w:val="22"/>
            <w:u w:val="single"/>
            <w:rtl/>
          </w:rPr>
          <w:t>ע"פ 10828/03</w:t>
        </w:r>
      </w:hyperlink>
      <w:r>
        <w:rPr>
          <w:rStyle w:val="default"/>
          <w:rFonts w:hint="cs"/>
          <w:b/>
          <w:bCs w:val="0"/>
          <w:sz w:val="22"/>
          <w:rtl/>
        </w:rPr>
        <w:t xml:space="preserve"> </w:t>
      </w:r>
      <w:r>
        <w:rPr>
          <w:rStyle w:val="default"/>
          <w:rFonts w:hint="cs"/>
          <w:sz w:val="22"/>
          <w:rtl/>
        </w:rPr>
        <w:t>טאהא נג'אר נ' מדינת ישראל ,</w:t>
      </w:r>
      <w:r>
        <w:rPr>
          <w:rStyle w:val="default"/>
          <w:rFonts w:hint="cs"/>
          <w:b/>
          <w:bCs w:val="0"/>
          <w:sz w:val="22"/>
          <w:rtl/>
        </w:rPr>
        <w:t xml:space="preserve"> מיום 27/08/05 פורסם בנבו) ובהקשר של הכאת ילדים לצורכי חינוך </w:t>
      </w:r>
      <w:hyperlink r:id="rId14" w:history="1">
        <w:r w:rsidRPr="00FF00CD">
          <w:rPr>
            <w:rStyle w:val="default"/>
            <w:b/>
            <w:bCs w:val="0"/>
            <w:color w:val="0000FF"/>
            <w:sz w:val="22"/>
            <w:u w:val="single"/>
            <w:rtl/>
          </w:rPr>
          <w:t>ת"פ(שלום-כ"ס)  1801/04</w:t>
        </w:r>
      </w:hyperlink>
      <w:r>
        <w:rPr>
          <w:rStyle w:val="default"/>
          <w:rFonts w:hint="cs"/>
          <w:b/>
          <w:bCs w:val="0"/>
          <w:sz w:val="22"/>
          <w:rtl/>
        </w:rPr>
        <w:t xml:space="preserve"> </w:t>
      </w:r>
      <w:r>
        <w:rPr>
          <w:rStyle w:val="default"/>
          <w:rFonts w:hint="cs"/>
          <w:sz w:val="22"/>
          <w:rtl/>
        </w:rPr>
        <w:t xml:space="preserve">מדינת ישראל נ' יוסף בן אברהם הר נוי </w:t>
      </w:r>
      <w:r>
        <w:rPr>
          <w:rFonts w:hint="cs"/>
          <w:b/>
          <w:bCs w:val="0"/>
          <w:sz w:val="18"/>
          <w:szCs w:val="22"/>
          <w:rtl/>
        </w:rPr>
        <w:t>מיום 27/06/05 , נבו).</w:t>
      </w:r>
    </w:p>
    <w:p w14:paraId="7AD4E891" w14:textId="77777777" w:rsidR="008732C8" w:rsidRDefault="008732C8">
      <w:pPr>
        <w:pStyle w:val="FileNumber"/>
        <w:jc w:val="both"/>
        <w:rPr>
          <w:b/>
          <w:bCs w:val="0"/>
          <w:rtl/>
        </w:rPr>
      </w:pPr>
    </w:p>
    <w:p w14:paraId="54EAECD9" w14:textId="77777777" w:rsidR="008732C8" w:rsidRDefault="00FF00CD">
      <w:pPr>
        <w:pStyle w:val="FileNumber"/>
        <w:jc w:val="both"/>
        <w:rPr>
          <w:b/>
          <w:bCs w:val="0"/>
          <w:rtl/>
        </w:rPr>
      </w:pPr>
      <w:r>
        <w:rPr>
          <w:rFonts w:hint="cs"/>
          <w:b/>
          <w:bCs w:val="0"/>
          <w:rtl/>
        </w:rPr>
        <w:t xml:space="preserve">ההגנה התרבותית נדחתה ע"י ביהמ"ש  באופן שיטתי  בכל הנוגע לעבירות אשר עניינן פגיעה בחיי אדם. כך למשל </w:t>
      </w:r>
      <w:r>
        <w:rPr>
          <w:rFonts w:hint="cs"/>
          <w:b/>
          <w:bCs w:val="0"/>
          <w:u w:val="single"/>
          <w:rtl/>
        </w:rPr>
        <w:t>בענין פלוני</w:t>
      </w:r>
      <w:r>
        <w:rPr>
          <w:rFonts w:hint="cs"/>
          <w:b/>
          <w:bCs w:val="0"/>
          <w:rtl/>
        </w:rPr>
        <w:t xml:space="preserve"> ציינה כב' השופטת ע' ארבל  בענין זה:</w:t>
      </w:r>
    </w:p>
    <w:p w14:paraId="538D2982" w14:textId="77777777" w:rsidR="008732C8" w:rsidRDefault="008732C8">
      <w:pPr>
        <w:pStyle w:val="FileNumber"/>
        <w:jc w:val="both"/>
        <w:rPr>
          <w:b/>
          <w:bCs w:val="0"/>
          <w:rtl/>
        </w:rPr>
      </w:pPr>
    </w:p>
    <w:p w14:paraId="697E308C" w14:textId="77777777" w:rsidR="008732C8" w:rsidRDefault="00FF00CD">
      <w:pPr>
        <w:pStyle w:val="FileNumber"/>
        <w:jc w:val="both"/>
        <w:rPr>
          <w:sz w:val="24"/>
          <w:rtl/>
        </w:rPr>
      </w:pPr>
      <w:r>
        <w:rPr>
          <w:rFonts w:hint="cs"/>
          <w:rtl/>
        </w:rPr>
        <w:t xml:space="preserve">" יאמר כי מקום שעסקינן בעבירה של נטילת חיים, אין בשום אופן לקבל את הטענה שתכתיב תרבותי גורע מרמת האשמה המוסרית של הנאשם במידה המצדיקה הקלה בעונשו... על אף מרכזיותה של התרבות בחיי חברה והיותה מאפיין המכונן את אישיות חבריה ומשפיע על מעשיהם והתנהגותם, ברוב המכריע של המקרים, </w:t>
      </w:r>
      <w:r>
        <w:rPr>
          <w:rFonts w:hint="cs"/>
          <w:u w:val="single"/>
          <w:rtl/>
        </w:rPr>
        <w:t>אין בכוחן של טענות הנשענות על תרבות להפחית מן האשמה המוסרית של מבצע עבירה שתוצאתה קיפוח חיי אדם</w:t>
      </w:r>
      <w:r>
        <w:rPr>
          <w:rStyle w:val="default"/>
          <w:rFonts w:hint="cs"/>
          <w:sz w:val="24"/>
          <w:rtl/>
        </w:rPr>
        <w:t xml:space="preserve">... </w:t>
      </w:r>
      <w:r>
        <w:rPr>
          <w:rFonts w:hint="cs"/>
          <w:rtl/>
        </w:rPr>
        <w:t xml:space="preserve">הגם שהמעשה בוצע ככל הנראה על רקע תכתיב </w:t>
      </w:r>
      <w:r>
        <w:rPr>
          <w:rFonts w:hint="cs"/>
          <w:sz w:val="24"/>
          <w:rtl/>
        </w:rPr>
        <w:t>תרבותי, הקלה בעונש עלולה לשדר מסר שגוי של זילות בחיי אדם, כמו גם לפגוע בחובתנו המשפטית והמוסרית להוקיע מן היסוד את התופעה הבזויה של רצח נשים חפות בטענה של "חילול כבוד המשפחה"</w:t>
      </w:r>
      <w:r>
        <w:rPr>
          <w:rFonts w:hint="cs"/>
          <w:b/>
          <w:bCs w:val="0"/>
          <w:sz w:val="24"/>
          <w:rtl/>
        </w:rPr>
        <w:t xml:space="preserve">. </w:t>
      </w:r>
      <w:hyperlink r:id="rId15" w:history="1">
        <w:r w:rsidRPr="00FF00CD">
          <w:rPr>
            <w:b/>
            <w:bCs w:val="0"/>
            <w:color w:val="0000FF"/>
            <w:sz w:val="24"/>
            <w:u w:val="single"/>
            <w:rtl/>
          </w:rPr>
          <w:t>ע"פ  1421/10</w:t>
        </w:r>
      </w:hyperlink>
      <w:r>
        <w:rPr>
          <w:rFonts w:hint="cs"/>
          <w:b/>
          <w:bCs w:val="0"/>
          <w:sz w:val="24"/>
          <w:rtl/>
        </w:rPr>
        <w:t xml:space="preserve"> </w:t>
      </w:r>
      <w:r>
        <w:rPr>
          <w:rFonts w:hint="cs"/>
          <w:sz w:val="24"/>
          <w:rtl/>
        </w:rPr>
        <w:t>פלוני נ' מדינת ישראל פס' 25 לפסה"ד</w:t>
      </w:r>
      <w:r>
        <w:rPr>
          <w:rFonts w:hint="cs"/>
          <w:b/>
          <w:bCs w:val="0"/>
          <w:sz w:val="24"/>
          <w:rtl/>
        </w:rPr>
        <w:t xml:space="preserve"> מיום 18/07/12 , פורסם בנבו).</w:t>
      </w:r>
    </w:p>
    <w:p w14:paraId="29196046" w14:textId="77777777" w:rsidR="008732C8" w:rsidRDefault="008732C8">
      <w:pPr>
        <w:spacing w:line="360" w:lineRule="auto"/>
        <w:jc w:val="both"/>
        <w:rPr>
          <w:rStyle w:val="default"/>
        </w:rPr>
      </w:pPr>
    </w:p>
    <w:p w14:paraId="4D8F291B" w14:textId="77777777" w:rsidR="008732C8" w:rsidRDefault="00FF00CD">
      <w:pPr>
        <w:spacing w:line="360" w:lineRule="auto"/>
        <w:jc w:val="both"/>
        <w:rPr>
          <w:rStyle w:val="default"/>
          <w:rtl/>
        </w:rPr>
      </w:pPr>
      <w:r>
        <w:rPr>
          <w:rStyle w:val="default"/>
          <w:rFonts w:hint="cs"/>
          <w:rtl/>
        </w:rPr>
        <w:t>טענת ההגנה התרבותית נבחנה גם בכל הנוגע למשקלו של הסכם "סולחה" שנערך בין ניצים במסגרת שקולי הענישה. בהקשר  זה  נטו ביהמ"ש להתחשב  בהסכם הסולחה כשקול במסגרת מכלול שקולי הענישה , אם כי  המשקל שיוחס לו בדרך כלל היה משני (ראה למשל: (</w:t>
      </w:r>
      <w:hyperlink r:id="rId16" w:history="1">
        <w:r w:rsidRPr="00FF00CD">
          <w:rPr>
            <w:rStyle w:val="default"/>
            <w:color w:val="0000FF"/>
            <w:u w:val="single"/>
            <w:rtl/>
          </w:rPr>
          <w:t>ע"פ 548/88</w:t>
        </w:r>
      </w:hyperlink>
      <w:r>
        <w:rPr>
          <w:rStyle w:val="default"/>
          <w:rFonts w:hint="cs"/>
          <w:rtl/>
        </w:rPr>
        <w:t xml:space="preserve"> </w:t>
      </w:r>
      <w:r>
        <w:rPr>
          <w:rStyle w:val="default"/>
          <w:rFonts w:hint="cs"/>
          <w:b/>
          <w:bCs/>
          <w:rtl/>
        </w:rPr>
        <w:t>מוחמד עלי גורבאן נ' מדינת ישראל</w:t>
      </w:r>
      <w:r>
        <w:rPr>
          <w:rStyle w:val="default"/>
          <w:rFonts w:hint="cs"/>
          <w:rtl/>
        </w:rPr>
        <w:t xml:space="preserve">,  מיום 26/02/89; </w:t>
      </w:r>
      <w:hyperlink r:id="rId17" w:history="1">
        <w:r w:rsidRPr="00FF00CD">
          <w:rPr>
            <w:rStyle w:val="default"/>
            <w:color w:val="0000FF"/>
            <w:u w:val="single"/>
            <w:rtl/>
          </w:rPr>
          <w:t>ע"פ 9936/02</w:t>
        </w:r>
      </w:hyperlink>
      <w:r>
        <w:rPr>
          <w:rStyle w:val="default"/>
          <w:rFonts w:hint="cs"/>
          <w:rtl/>
        </w:rPr>
        <w:t xml:space="preserve"> </w:t>
      </w:r>
      <w:r>
        <w:rPr>
          <w:rStyle w:val="default"/>
          <w:rFonts w:hint="cs"/>
          <w:b/>
          <w:bCs/>
          <w:rtl/>
        </w:rPr>
        <w:t>נביל זבידאת נ' מדינת ישראל</w:t>
      </w:r>
      <w:r>
        <w:rPr>
          <w:rStyle w:val="default"/>
          <w:rFonts w:hint="cs"/>
          <w:rtl/>
        </w:rPr>
        <w:t xml:space="preserve"> מיום 31/12/03, פורסמו בנבו) .</w:t>
      </w:r>
    </w:p>
    <w:p w14:paraId="0828DC2F" w14:textId="77777777" w:rsidR="008732C8" w:rsidRDefault="008732C8">
      <w:pPr>
        <w:spacing w:line="360" w:lineRule="auto"/>
        <w:jc w:val="both"/>
        <w:rPr>
          <w:rStyle w:val="default"/>
          <w:rtl/>
        </w:rPr>
      </w:pPr>
    </w:p>
    <w:p w14:paraId="2293B5B7" w14:textId="77777777" w:rsidR="008732C8" w:rsidRDefault="00FF00CD">
      <w:pPr>
        <w:spacing w:line="360" w:lineRule="auto"/>
        <w:jc w:val="both"/>
        <w:textAlignment w:val="top"/>
        <w:rPr>
          <w:rFonts w:ascii="Calibri" w:hAnsi="Calibri"/>
          <w:rtl/>
        </w:rPr>
      </w:pPr>
      <w:r>
        <w:rPr>
          <w:rStyle w:val="default"/>
          <w:rFonts w:hint="cs"/>
          <w:rtl/>
        </w:rPr>
        <w:t xml:space="preserve">בניגוד לכך, בכל הנוגע לעבירת הביגמיה (שהינה תופעה נפוצה בקרב העדה המוסלמית והבדואית) נקבע, כי הטענה, לפיה אין המדובר בעבירה לפי הדין הדתי של עדות אלו, לא רק שאינה מהווה </w:t>
      </w:r>
      <w:r>
        <w:rPr>
          <w:rFonts w:hint="cs"/>
          <w:rtl/>
        </w:rPr>
        <w:t xml:space="preserve">שקול להקלה בענישה, אלא שיש בה אף משום שקול להחמרה בענישה, בהיותה ביטוי לזלזול של אותה אוכלוסיה בהוראת חוק,  אשר  הפכה זה מכבר לעובדה קיימת.  ראה  למשל : </w:t>
      </w:r>
      <w:hyperlink r:id="rId18" w:history="1">
        <w:r w:rsidRPr="00FF00CD">
          <w:rPr>
            <w:color w:val="0000FF"/>
            <w:u w:val="single"/>
            <w:rtl/>
          </w:rPr>
          <w:t>ע"פ 185/82 אחמד בן עטייה גודה נ' מדינת ישראל, פ"ד לז</w:t>
        </w:r>
      </w:hyperlink>
      <w:r>
        <w:rPr>
          <w:rFonts w:hint="cs"/>
          <w:rtl/>
        </w:rPr>
        <w:t>(1)85, 89;</w:t>
      </w:r>
      <w:r>
        <w:rPr>
          <w:rFonts w:hint="cs"/>
        </w:rPr>
        <w:t xml:space="preserve"> </w:t>
      </w:r>
      <w:hyperlink r:id="rId19" w:history="1">
        <w:r w:rsidRPr="00FF00CD">
          <w:rPr>
            <w:color w:val="0000FF"/>
            <w:u w:val="single"/>
            <w:rtl/>
          </w:rPr>
          <w:t>ע"פ 4085/91</w:t>
        </w:r>
      </w:hyperlink>
      <w:r>
        <w:rPr>
          <w:rFonts w:hint="cs"/>
          <w:rtl/>
        </w:rPr>
        <w:t xml:space="preserve"> </w:t>
      </w:r>
      <w:r>
        <w:rPr>
          <w:rFonts w:hint="cs"/>
          <w:b/>
          <w:bCs/>
          <w:rtl/>
        </w:rPr>
        <w:t>איברהים שיבלי נ' מדינת ישראל</w:t>
      </w:r>
      <w:r>
        <w:rPr>
          <w:rFonts w:hint="cs"/>
          <w:rtl/>
        </w:rPr>
        <w:t xml:space="preserve">  מיום 17/10/91,  שם ציין ביהמ"ש כי </w:t>
      </w:r>
      <w:r>
        <w:rPr>
          <w:rFonts w:hint="cs"/>
          <w:b/>
          <w:bCs/>
          <w:rtl/>
        </w:rPr>
        <w:t>"זהו מנהג הרווח בחלק מן הציבור ויש לעקרו מהשורש</w:t>
      </w:r>
      <w:r>
        <w:rPr>
          <w:rFonts w:hint="cs"/>
          <w:rtl/>
        </w:rPr>
        <w:t xml:space="preserve">"). </w:t>
      </w:r>
    </w:p>
    <w:p w14:paraId="17AF01A1" w14:textId="77777777" w:rsidR="008732C8" w:rsidRDefault="008732C8">
      <w:pPr>
        <w:spacing w:line="360" w:lineRule="auto"/>
        <w:jc w:val="both"/>
        <w:rPr>
          <w:rtl/>
        </w:rPr>
      </w:pPr>
    </w:p>
    <w:p w14:paraId="2FDE304A" w14:textId="77777777" w:rsidR="008732C8" w:rsidRDefault="00FF00CD">
      <w:pPr>
        <w:spacing w:line="360" w:lineRule="auto"/>
        <w:jc w:val="both"/>
        <w:rPr>
          <w:rtl/>
        </w:rPr>
      </w:pPr>
      <w:r>
        <w:rPr>
          <w:rFonts w:hint="cs"/>
          <w:rtl/>
        </w:rPr>
        <w:t>ההכרה בקיומה של "הגנה תרבותית" בדין הפלילי איננה נקיה מספקות. הגנה זו מנוגדת לעקרון האחידות בענישה, העומד בבסיסו של המשפט הפלילי, שעניינו בהחלת נורמות התנהגות אחידות,  המחייבות את כלל החברה גם בניגוד לתפיסות עולם מסורתיות.  לא זו אף זו, הכרה גורפת בהגנה כזו עלולה לרוקן מתוכן עבירות מסויימות, אשר כל תכלית חקיקתן היתה למגר תופעות הנטועות בתרבויות מסוימות, ונתפסות כפסולות ע"י המחוקק הישראלי (כגון עבירת הביגמיה).</w:t>
      </w:r>
    </w:p>
    <w:p w14:paraId="79EF6690" w14:textId="77777777" w:rsidR="008732C8" w:rsidRDefault="008732C8">
      <w:pPr>
        <w:spacing w:line="360" w:lineRule="auto"/>
        <w:jc w:val="both"/>
        <w:rPr>
          <w:rtl/>
        </w:rPr>
      </w:pPr>
    </w:p>
    <w:p w14:paraId="703EA0CA" w14:textId="77777777" w:rsidR="008732C8" w:rsidRDefault="00FF00CD">
      <w:pPr>
        <w:spacing w:line="360" w:lineRule="auto"/>
        <w:jc w:val="both"/>
        <w:rPr>
          <w:rtl/>
        </w:rPr>
      </w:pPr>
      <w:r>
        <w:rPr>
          <w:rFonts w:hint="cs"/>
          <w:rtl/>
        </w:rPr>
        <w:t xml:space="preserve">יחד עם זאת, אחד מיסודותיו של המשפט הפלילי הוא גם היכולת להתייחס באופן פרטני למקרים חריגים, תוך התחשבות בשקולים אינדיבידואליים של העבריין ותוך שמירה על  הרב תרבותיות של קבוצות מיעוט בחברה. </w:t>
      </w:r>
    </w:p>
    <w:p w14:paraId="2DAB569A" w14:textId="77777777" w:rsidR="008732C8" w:rsidRDefault="008732C8">
      <w:pPr>
        <w:spacing w:line="360" w:lineRule="auto"/>
        <w:jc w:val="both"/>
        <w:rPr>
          <w:rtl/>
        </w:rPr>
      </w:pPr>
    </w:p>
    <w:p w14:paraId="2126171B" w14:textId="77777777" w:rsidR="008732C8" w:rsidRDefault="00FF00CD">
      <w:pPr>
        <w:spacing w:line="360" w:lineRule="auto"/>
        <w:jc w:val="both"/>
        <w:rPr>
          <w:rtl/>
        </w:rPr>
      </w:pPr>
      <w:r>
        <w:rPr>
          <w:rFonts w:hint="cs"/>
          <w:rtl/>
        </w:rPr>
        <w:t xml:space="preserve">ברי, כי יש להבחין בין הכרה ב"הגנה התרבותית"  כטיעון להפחתת האחריות הפלילית לבין הכרה בהגנה זו כשיקול להקלה בעונש, כפי שנטען ע"י הסניגור במקרה דנן. </w:t>
      </w:r>
    </w:p>
    <w:p w14:paraId="4D513363" w14:textId="77777777" w:rsidR="008732C8" w:rsidRDefault="00FF00CD">
      <w:pPr>
        <w:spacing w:line="360" w:lineRule="auto"/>
        <w:jc w:val="both"/>
        <w:rPr>
          <w:rtl/>
        </w:rPr>
      </w:pPr>
      <w:r>
        <w:rPr>
          <w:rFonts w:hint="cs"/>
          <w:rtl/>
        </w:rPr>
        <w:t xml:space="preserve"> </w:t>
      </w:r>
    </w:p>
    <w:p w14:paraId="3F2D28DE" w14:textId="77777777" w:rsidR="008732C8" w:rsidRDefault="00FF00CD">
      <w:pPr>
        <w:spacing w:line="360" w:lineRule="auto"/>
        <w:jc w:val="both"/>
        <w:rPr>
          <w:rStyle w:val="default"/>
          <w:rFonts w:ascii="Corbel" w:hAnsi="Corbel"/>
          <w:rtl/>
        </w:rPr>
      </w:pPr>
      <w:r>
        <w:rPr>
          <w:rFonts w:hint="cs"/>
          <w:rtl/>
        </w:rPr>
        <w:t xml:space="preserve">עיון בפסיקה העוסקת בהגנה תרבותית מעלה, כי סוגיה זו טרם לובנה די צורכה  ע"י בתי המשפט וכי  ברוב המקרים   התייחסותו של בית המשפט לטיעון התרבותי נעשה במסגרת דוקטורינות  מוכרות וקיימות, כגון טעות במצב דברים, טעות במצב המשפטי, אי שפיות וכד'. ככל שניתן משקל של ממש לטיעון התרבותי כטיעון העומד בפני עצמו- נעשה  הדבר  במסגרת בחינת השקולים לקולא בענין גובה העונש ולא במסגרת הדיון בשאלת קיומה של אחריות פלילית, מוחלטת או מופחתת (ראה למשל  </w:t>
      </w:r>
      <w:hyperlink r:id="rId20" w:history="1">
        <w:r w:rsidRPr="00FF00CD">
          <w:rPr>
            <w:rStyle w:val="default"/>
            <w:rFonts w:ascii="Corbel" w:hAnsi="Corbel" w:hint="eastAsia"/>
            <w:color w:val="0000FF"/>
            <w:u w:val="single"/>
            <w:rtl/>
          </w:rPr>
          <w:t>ת</w:t>
        </w:r>
        <w:r w:rsidRPr="00FF00CD">
          <w:rPr>
            <w:rStyle w:val="default"/>
            <w:rFonts w:ascii="Corbel" w:hAnsi="Corbel"/>
            <w:color w:val="0000FF"/>
            <w:u w:val="single"/>
            <w:rtl/>
          </w:rPr>
          <w:t>"</w:t>
        </w:r>
        <w:r w:rsidRPr="00FF00CD">
          <w:rPr>
            <w:rStyle w:val="default"/>
            <w:rFonts w:ascii="Corbel" w:hAnsi="Corbel" w:hint="eastAsia"/>
            <w:color w:val="0000FF"/>
            <w:u w:val="single"/>
            <w:rtl/>
          </w:rPr>
          <w:t>פ</w:t>
        </w:r>
        <w:r w:rsidRPr="00FF00CD">
          <w:rPr>
            <w:rStyle w:val="default"/>
            <w:rFonts w:ascii="Corbel" w:hAnsi="Corbel"/>
            <w:color w:val="0000FF"/>
            <w:u w:val="single"/>
            <w:rtl/>
          </w:rPr>
          <w:t xml:space="preserve"> 3543/00</w:t>
        </w:r>
      </w:hyperlink>
      <w:r>
        <w:rPr>
          <w:rStyle w:val="default"/>
          <w:rFonts w:ascii="Corbel" w:hAnsi="Corbel"/>
          <w:rtl/>
        </w:rPr>
        <w:t xml:space="preserve"> </w:t>
      </w:r>
      <w:r>
        <w:rPr>
          <w:rStyle w:val="default"/>
          <w:rFonts w:ascii="Corbel" w:hAnsi="Corbel"/>
          <w:b/>
          <w:bCs/>
          <w:rtl/>
        </w:rPr>
        <w:t>ענף תביעות מחוז שומרון ויהודה נ' מנשה ארי</w:t>
      </w:r>
      <w:r>
        <w:rPr>
          <w:rStyle w:val="default"/>
          <w:rFonts w:ascii="Corbel" w:hAnsi="Corbel"/>
          <w:rtl/>
        </w:rPr>
        <w:t xml:space="preserve">אל, מיום 18/04/02, פורסם בנבו, שם דובר בנאשם, בן למשפחה ממוצא הינדי, אשר הורשע בעבירות של תקיפת בן זוג ואיומים. התביעה ביקשה להטיל עליו עונש מאסר בפועל ואילו הנאשם ביקש להקל בעונשו, מן הטעם שהתנהגותו תאמה את הנורמות שהיו מקובלות במקום מוצאו. בימ"ש השלום בירושלים התייחס לטיעון התרבותי וראה בו שקול להקלה בעונשו של הנאשם ולהטלת עונש של מאסר בעבודות שירות במקום מאסר בפועל ). </w:t>
      </w:r>
    </w:p>
    <w:p w14:paraId="4285A690" w14:textId="77777777" w:rsidR="008732C8" w:rsidRDefault="008732C8">
      <w:pPr>
        <w:spacing w:line="360" w:lineRule="auto"/>
        <w:jc w:val="both"/>
        <w:rPr>
          <w:rStyle w:val="default"/>
          <w:rFonts w:ascii="Corbel" w:hAnsi="Corbel"/>
          <w:rtl/>
        </w:rPr>
      </w:pPr>
    </w:p>
    <w:p w14:paraId="1C53BAF5" w14:textId="77777777" w:rsidR="008732C8" w:rsidRDefault="00FF00CD">
      <w:pPr>
        <w:spacing w:line="360" w:lineRule="auto"/>
        <w:jc w:val="both"/>
        <w:rPr>
          <w:rFonts w:ascii="Arial" w:hAnsi="Arial"/>
          <w:rtl/>
        </w:rPr>
      </w:pPr>
      <w:r>
        <w:rPr>
          <w:rFonts w:ascii="Arial" w:hAnsi="Arial" w:hint="cs"/>
          <w:rtl/>
        </w:rPr>
        <w:t>גם בענייננו, דומני כי אי אפשר לנתק את  נסיבות ביצוע העבירה מההקשר התרבותי העומד ברקע ביצועה, ומכך שהסכמתה של הנאשמת להחבאת הנשק בביתה נבעה מנחיתות מעמדה כאישה בחברה המוסלמית הפטריאכלית.  בענין זה נראה כי יש ממש בדברי הסניגור, לפיה אף אלמלא הסכמתה של הנאשמת להחבאת הנשק בביתה- היה בן דודה מטמין את הנשק בביתה . למעשה, גם המאשימה עצמה לא טוענת, כי הנאשמת החביאה בעצמה את הנשק בביתה (שכן בתיאור העובדות בכתב האישום לא נטען כי החביאה את הנשק אלא רק כי "החזיקה בביתה") , משמע כי הסכמתה של הנאשמת להטמנת הנשק בביתה לא היתה הסכמה אקטיבית, אלא פאסיבית , מה  שמלמד על חלקה המינורי בביצוע העבירה.  עובדה זו, הגם שאין בה משום נימוק להפחתת אחריותה הפלילית של הנאשמת-  יש בה  כדי להוות  שקול לקולא לענין גובה העונש.</w:t>
      </w:r>
    </w:p>
    <w:p w14:paraId="5337F7E8" w14:textId="77777777" w:rsidR="008732C8" w:rsidRDefault="00FF00CD">
      <w:pPr>
        <w:spacing w:line="360" w:lineRule="auto"/>
        <w:jc w:val="both"/>
        <w:rPr>
          <w:rFonts w:ascii="Arial" w:hAnsi="Arial"/>
          <w:rtl/>
        </w:rPr>
      </w:pPr>
      <w:r>
        <w:rPr>
          <w:rFonts w:ascii="Arial" w:hAnsi="Arial" w:hint="cs"/>
          <w:rtl/>
        </w:rPr>
        <w:t xml:space="preserve"> </w:t>
      </w:r>
    </w:p>
    <w:p w14:paraId="252E743F" w14:textId="77777777" w:rsidR="008732C8" w:rsidRDefault="00FF00CD">
      <w:pPr>
        <w:spacing w:line="360" w:lineRule="auto"/>
        <w:jc w:val="both"/>
        <w:rPr>
          <w:rFonts w:ascii="Arial" w:hAnsi="Arial"/>
          <w:rtl/>
        </w:rPr>
      </w:pPr>
      <w:r>
        <w:rPr>
          <w:rFonts w:ascii="Arial" w:hAnsi="Arial" w:hint="cs"/>
          <w:rtl/>
        </w:rPr>
        <w:t xml:space="preserve">בניגוד לכך, אין בידי לקבל טענת הסניגור בדבר חוסר תום לבה של המאשימה אשר ניצלה כביכול את שיתוף הפעולה של הנאשמת בחקירה לצורך הגשת כתב אישום נגד בן דודה,  במקום  להביא לסגירת התיק נגד הנאשמת. שיתוף פעולה של נחקר בחקירה,  במסגרתו מפליל הנחקר  מבצע  נוסף או עיקרי בעבירה, איננו בגדר  פתח מילוט אוטומטי מההליך הפלילי.   העובדה כי בן דודה של הנאשמת היה היוזם והמבצע העיקרי של  העבירה  והועמד לדין בזכות עדותה של הנאשמת - אין בכוחה לאיין חלקה של הנאשמת בעבירה ולפטור אותה כליל מאחריות פלילית.  </w:t>
      </w:r>
    </w:p>
    <w:p w14:paraId="022E5D1F" w14:textId="77777777" w:rsidR="008732C8" w:rsidRDefault="008732C8">
      <w:pPr>
        <w:spacing w:line="360" w:lineRule="auto"/>
        <w:jc w:val="both"/>
        <w:rPr>
          <w:rFonts w:ascii="Arial" w:hAnsi="Arial"/>
          <w:rtl/>
        </w:rPr>
      </w:pPr>
    </w:p>
    <w:p w14:paraId="47B725A2" w14:textId="77777777" w:rsidR="008732C8" w:rsidRDefault="00FF00CD">
      <w:pPr>
        <w:spacing w:line="360" w:lineRule="auto"/>
        <w:jc w:val="both"/>
        <w:rPr>
          <w:rFonts w:ascii="Arial" w:hAnsi="Arial"/>
          <w:rtl/>
        </w:rPr>
      </w:pPr>
      <w:r>
        <w:rPr>
          <w:rFonts w:ascii="Arial" w:hAnsi="Arial" w:hint="cs"/>
          <w:rtl/>
        </w:rPr>
        <w:t xml:space="preserve">אשר למתחם הענישה הנטען ע"י המאשימה: </w:t>
      </w:r>
    </w:p>
    <w:p w14:paraId="582B9A9C" w14:textId="77777777" w:rsidR="008732C8" w:rsidRDefault="008732C8">
      <w:pPr>
        <w:spacing w:line="360" w:lineRule="auto"/>
        <w:jc w:val="both"/>
        <w:rPr>
          <w:rFonts w:ascii="Arial" w:hAnsi="Arial"/>
          <w:rtl/>
        </w:rPr>
      </w:pPr>
    </w:p>
    <w:p w14:paraId="1BD72C97" w14:textId="77777777" w:rsidR="008732C8" w:rsidRDefault="00FF00CD">
      <w:pPr>
        <w:spacing w:line="360" w:lineRule="auto"/>
        <w:jc w:val="both"/>
        <w:rPr>
          <w:rFonts w:ascii="Arial" w:hAnsi="Arial"/>
          <w:rtl/>
        </w:rPr>
      </w:pPr>
      <w:r>
        <w:rPr>
          <w:rFonts w:ascii="Arial" w:hAnsi="Arial" w:hint="cs"/>
          <w:rtl/>
        </w:rPr>
        <w:t>עיון בפסיקה מעלה, כי בעבירות של החזקת נשק ישנה קשת רחבה של עונשים, שהינה ביטוי למעשה ליישום הענישה האינדיבידואלית הנוהגת בשיטתנו – יש והשיתו בתי המשפט עונש של  מאסר בפועל למשך מספר חודשים  (</w:t>
      </w:r>
      <w:hyperlink r:id="rId21" w:history="1">
        <w:r w:rsidRPr="00FF00CD">
          <w:rPr>
            <w:rFonts w:ascii="Arial" w:hAnsi="Arial"/>
            <w:color w:val="0000FF"/>
            <w:u w:val="single"/>
            <w:rtl/>
          </w:rPr>
          <w:t>ע"פ 2044/11</w:t>
        </w:r>
      </w:hyperlink>
      <w:r>
        <w:rPr>
          <w:rFonts w:ascii="Arial" w:hAnsi="Arial" w:hint="cs"/>
          <w:rtl/>
        </w:rPr>
        <w:t xml:space="preserve"> </w:t>
      </w:r>
      <w:r>
        <w:rPr>
          <w:rFonts w:ascii="Arial" w:hAnsi="Arial" w:hint="cs"/>
          <w:b/>
          <w:bCs/>
          <w:rtl/>
        </w:rPr>
        <w:t>מדינת ישראל נ' גנאדי בלוצרקובסקי</w:t>
      </w:r>
      <w:r>
        <w:rPr>
          <w:rFonts w:ascii="Arial" w:hAnsi="Arial" w:hint="cs"/>
          <w:rtl/>
        </w:rPr>
        <w:t xml:space="preserve"> מיום  07/07/11 ; </w:t>
      </w:r>
      <w:hyperlink r:id="rId22" w:history="1">
        <w:r w:rsidRPr="00FF00CD">
          <w:rPr>
            <w:rFonts w:ascii="Arial" w:hAnsi="Arial"/>
            <w:color w:val="0000FF"/>
            <w:u w:val="single"/>
            <w:rtl/>
          </w:rPr>
          <w:t>עפ"ג 49812-06-11</w:t>
        </w:r>
      </w:hyperlink>
      <w:r>
        <w:rPr>
          <w:rFonts w:ascii="Arial" w:hAnsi="Arial" w:hint="cs"/>
          <w:rtl/>
        </w:rPr>
        <w:t xml:space="preserve"> </w:t>
      </w:r>
      <w:r>
        <w:rPr>
          <w:rFonts w:ascii="Arial" w:hAnsi="Arial" w:hint="cs"/>
          <w:b/>
          <w:bCs/>
          <w:rtl/>
        </w:rPr>
        <w:t>נדאל ואדי נ' מדינת ישראל</w:t>
      </w:r>
      <w:r>
        <w:rPr>
          <w:rFonts w:ascii="Arial" w:hAnsi="Arial" w:hint="cs"/>
          <w:rtl/>
        </w:rPr>
        <w:t xml:space="preserve"> מיום 13/09/11 ;  </w:t>
      </w:r>
      <w:hyperlink r:id="rId23" w:history="1">
        <w:r w:rsidRPr="00FF00CD">
          <w:rPr>
            <w:rFonts w:ascii="Arial" w:hAnsi="Arial"/>
            <w:color w:val="0000FF"/>
            <w:u w:val="single"/>
            <w:rtl/>
          </w:rPr>
          <w:t>ע"פ 5604/11</w:t>
        </w:r>
      </w:hyperlink>
      <w:r>
        <w:rPr>
          <w:rFonts w:ascii="Arial" w:hAnsi="Arial" w:hint="cs"/>
          <w:rtl/>
        </w:rPr>
        <w:t xml:space="preserve"> </w:t>
      </w:r>
      <w:r>
        <w:rPr>
          <w:rFonts w:ascii="Arial" w:hAnsi="Arial" w:hint="cs"/>
          <w:b/>
          <w:bCs/>
          <w:rtl/>
        </w:rPr>
        <w:t xml:space="preserve">ניידאל נאסר נ' מדינת ישראל </w:t>
      </w:r>
      <w:r>
        <w:rPr>
          <w:rFonts w:ascii="Arial" w:hAnsi="Arial" w:hint="cs"/>
          <w:rtl/>
        </w:rPr>
        <w:t xml:space="preserve">מיום  05/10/11),  ויש והשיתו עונש של  מאסר בעבודות שירות  ( </w:t>
      </w:r>
      <w:hyperlink r:id="rId24" w:history="1">
        <w:r w:rsidRPr="00FF00CD">
          <w:rPr>
            <w:rFonts w:ascii="Arial" w:hAnsi="Arial"/>
            <w:color w:val="0000FF"/>
            <w:u w:val="single"/>
            <w:rtl/>
          </w:rPr>
          <w:t>ע"פ 5713/10</w:t>
        </w:r>
      </w:hyperlink>
      <w:r>
        <w:rPr>
          <w:rFonts w:ascii="Arial" w:hAnsi="Arial" w:hint="cs"/>
          <w:rtl/>
        </w:rPr>
        <w:t xml:space="preserve"> </w:t>
      </w:r>
      <w:r>
        <w:rPr>
          <w:rFonts w:ascii="Arial" w:hAnsi="Arial" w:hint="cs"/>
          <w:b/>
          <w:bCs/>
          <w:rtl/>
        </w:rPr>
        <w:t>יהושע אקרמן נ' מדינת ישראל</w:t>
      </w:r>
      <w:r>
        <w:rPr>
          <w:rFonts w:ascii="Arial" w:hAnsi="Arial" w:hint="cs"/>
          <w:rtl/>
        </w:rPr>
        <w:t xml:space="preserve"> מיום 01/03/11 ; </w:t>
      </w:r>
      <w:hyperlink r:id="rId25" w:history="1">
        <w:r w:rsidRPr="00FF00CD">
          <w:rPr>
            <w:rFonts w:ascii="Arial" w:hAnsi="Arial"/>
            <w:color w:val="0000FF"/>
            <w:u w:val="single"/>
            <w:rtl/>
          </w:rPr>
          <w:t>ת"פ 9349-05-09</w:t>
        </w:r>
      </w:hyperlink>
      <w:r>
        <w:rPr>
          <w:rFonts w:ascii="Arial" w:hAnsi="Arial" w:hint="cs"/>
          <w:rtl/>
        </w:rPr>
        <w:t xml:space="preserve"> (שלום-פ"ת) </w:t>
      </w:r>
      <w:r>
        <w:rPr>
          <w:rFonts w:ascii="Arial" w:hAnsi="Arial" w:hint="cs"/>
          <w:b/>
          <w:bCs/>
          <w:rtl/>
        </w:rPr>
        <w:t xml:space="preserve">מדינת ישראל נ' מאלק עודה </w:t>
      </w:r>
      <w:r>
        <w:rPr>
          <w:rFonts w:ascii="Arial" w:hAnsi="Arial" w:hint="cs"/>
          <w:rtl/>
        </w:rPr>
        <w:t xml:space="preserve">מיום 14/0210, </w:t>
      </w:r>
      <w:hyperlink r:id="rId26" w:history="1">
        <w:r w:rsidRPr="00FF00CD">
          <w:rPr>
            <w:rFonts w:ascii="Arial" w:hAnsi="Arial"/>
            <w:color w:val="0000FF"/>
            <w:u w:val="single"/>
            <w:rtl/>
          </w:rPr>
          <w:t>ת"פ 9188-11-08</w:t>
        </w:r>
      </w:hyperlink>
      <w:r>
        <w:rPr>
          <w:rFonts w:ascii="Arial" w:hAnsi="Arial" w:hint="cs"/>
          <w:rtl/>
        </w:rPr>
        <w:t xml:space="preserve">(שלום-פ"ת)  </w:t>
      </w:r>
      <w:r>
        <w:rPr>
          <w:rFonts w:ascii="Arial" w:hAnsi="Arial" w:hint="cs"/>
          <w:b/>
          <w:bCs/>
          <w:rtl/>
        </w:rPr>
        <w:t xml:space="preserve">מדינת ישראל נ' לירון יוסף </w:t>
      </w:r>
      <w:r>
        <w:rPr>
          <w:rFonts w:ascii="Arial" w:hAnsi="Arial" w:hint="cs"/>
          <w:rtl/>
        </w:rPr>
        <w:t xml:space="preserve">מיום 12/01/10, </w:t>
      </w:r>
      <w:hyperlink r:id="rId27" w:history="1">
        <w:r w:rsidRPr="00FF00CD">
          <w:rPr>
            <w:rFonts w:ascii="Arial" w:hAnsi="Arial"/>
            <w:color w:val="0000FF"/>
            <w:u w:val="single"/>
            <w:rtl/>
          </w:rPr>
          <w:t>ת"פ (שלום-פ"ת) 53505-08-10</w:t>
        </w:r>
      </w:hyperlink>
      <w:r>
        <w:rPr>
          <w:rFonts w:ascii="Arial" w:hAnsi="Arial" w:hint="cs"/>
          <w:b/>
          <w:bCs/>
          <w:rtl/>
        </w:rPr>
        <w:t xml:space="preserve"> מדינת ישראל נ' מוניר אבו גבאר </w:t>
      </w:r>
      <w:r>
        <w:rPr>
          <w:rFonts w:ascii="Arial" w:hAnsi="Arial" w:hint="cs"/>
          <w:rtl/>
        </w:rPr>
        <w:t xml:space="preserve"> מיום 01/05/11).  ישנם  אף מקרים בהם נמנע  ביהמ"ש מהרשעתו של הנאשם בדין  (ראה למשל </w:t>
      </w:r>
      <w:hyperlink r:id="rId28" w:history="1">
        <w:r w:rsidRPr="00FF00CD">
          <w:rPr>
            <w:rFonts w:ascii="Arial" w:hAnsi="Arial"/>
            <w:color w:val="0000FF"/>
            <w:u w:val="single"/>
            <w:rtl/>
          </w:rPr>
          <w:t>ת"פ (שלום-ירושלים) 12013-04-11</w:t>
        </w:r>
      </w:hyperlink>
      <w:r>
        <w:rPr>
          <w:rFonts w:ascii="Arial" w:hAnsi="Arial" w:hint="cs"/>
          <w:rtl/>
        </w:rPr>
        <w:t xml:space="preserve"> </w:t>
      </w:r>
      <w:r>
        <w:rPr>
          <w:rFonts w:ascii="Arial" w:hAnsi="Arial" w:hint="cs"/>
          <w:b/>
          <w:bCs/>
          <w:rtl/>
        </w:rPr>
        <w:t>מדינת</w:t>
      </w:r>
      <w:r>
        <w:rPr>
          <w:rFonts w:ascii="Arial" w:hAnsi="Arial" w:hint="cs"/>
          <w:rtl/>
        </w:rPr>
        <w:t xml:space="preserve"> </w:t>
      </w:r>
      <w:r>
        <w:rPr>
          <w:rFonts w:ascii="Arial" w:hAnsi="Arial" w:hint="cs"/>
          <w:b/>
          <w:bCs/>
          <w:rtl/>
        </w:rPr>
        <w:t>ישראל מ' מיכל זריהן</w:t>
      </w:r>
      <w:r>
        <w:rPr>
          <w:rFonts w:ascii="Arial" w:hAnsi="Arial" w:hint="cs"/>
          <w:rtl/>
        </w:rPr>
        <w:t xml:space="preserve"> מיום 02/07/13 ; </w:t>
      </w:r>
      <w:hyperlink r:id="rId29" w:history="1">
        <w:r w:rsidRPr="00FF00CD">
          <w:rPr>
            <w:rFonts w:ascii="Arial" w:hAnsi="Arial"/>
            <w:color w:val="0000FF"/>
            <w:u w:val="single"/>
            <w:rtl/>
          </w:rPr>
          <w:t>ת"פ (שלום י-ם) 2924/06</w:t>
        </w:r>
      </w:hyperlink>
      <w:r>
        <w:rPr>
          <w:rFonts w:ascii="Arial" w:hAnsi="Arial" w:hint="cs"/>
          <w:rtl/>
        </w:rPr>
        <w:t xml:space="preserve"> </w:t>
      </w:r>
      <w:r>
        <w:rPr>
          <w:rFonts w:ascii="Arial" w:hAnsi="Arial" w:hint="cs"/>
          <w:b/>
          <w:bCs/>
          <w:rtl/>
        </w:rPr>
        <w:t xml:space="preserve">מדינת ישראל נ' סלים אלפיניש </w:t>
      </w:r>
      <w:r>
        <w:rPr>
          <w:rFonts w:ascii="Arial" w:hAnsi="Arial" w:hint="cs"/>
          <w:rtl/>
        </w:rPr>
        <w:t>מיום 06/01/08).</w:t>
      </w:r>
    </w:p>
    <w:p w14:paraId="28D64F22" w14:textId="77777777" w:rsidR="008732C8" w:rsidRDefault="008732C8">
      <w:pPr>
        <w:spacing w:line="360" w:lineRule="auto"/>
        <w:jc w:val="both"/>
        <w:rPr>
          <w:rFonts w:ascii="Arial" w:hAnsi="Arial"/>
          <w:rtl/>
        </w:rPr>
      </w:pPr>
    </w:p>
    <w:p w14:paraId="40A6A09F" w14:textId="77777777" w:rsidR="008732C8" w:rsidRDefault="00FF00CD">
      <w:pPr>
        <w:spacing w:line="360" w:lineRule="auto"/>
        <w:jc w:val="both"/>
        <w:rPr>
          <w:rFonts w:ascii="Arial" w:hAnsi="Arial"/>
          <w:rtl/>
        </w:rPr>
      </w:pPr>
      <w:r>
        <w:rPr>
          <w:rFonts w:ascii="Arial" w:hAnsi="Arial" w:hint="cs"/>
          <w:rtl/>
        </w:rPr>
        <w:t xml:space="preserve">על סמך מכלול השקולים לקולא  אשר פורטו לעיל ובהתחשב במדיניות הענישה הנוהגת בעבירה זו,  שוכנעתי  כי יש לתת משקל רב להמלצת שירות המבחן ולדון הנאשמת כדלקמן: </w:t>
      </w:r>
    </w:p>
    <w:p w14:paraId="536CC25C" w14:textId="77777777" w:rsidR="008732C8" w:rsidRDefault="008732C8">
      <w:pPr>
        <w:spacing w:line="360" w:lineRule="auto"/>
        <w:jc w:val="both"/>
        <w:rPr>
          <w:rFonts w:ascii="Arial" w:hAnsi="Arial"/>
          <w:rtl/>
        </w:rPr>
      </w:pPr>
    </w:p>
    <w:p w14:paraId="0E693205" w14:textId="77777777" w:rsidR="008732C8" w:rsidRDefault="00FF00CD">
      <w:pPr>
        <w:pStyle w:val="ListParagraph"/>
        <w:numPr>
          <w:ilvl w:val="0"/>
          <w:numId w:val="1"/>
        </w:numPr>
        <w:spacing w:line="360" w:lineRule="auto"/>
        <w:jc w:val="both"/>
        <w:rPr>
          <w:rFonts w:ascii="Arial" w:hAnsi="Arial" w:cs="David"/>
          <w:sz w:val="24"/>
          <w:szCs w:val="24"/>
          <w:rtl/>
        </w:rPr>
      </w:pPr>
      <w:r>
        <w:rPr>
          <w:rFonts w:ascii="Arial" w:hAnsi="Arial" w:cs="David" w:hint="cs"/>
          <w:sz w:val="24"/>
          <w:szCs w:val="24"/>
          <w:rtl/>
        </w:rPr>
        <w:t xml:space="preserve">  5 חודשי מאסר  אותו לא תרצה, אלא אם כן, תעבור תוך 3 שנים מהיום עבירה מן העבירות בהן הורשעה. </w:t>
      </w:r>
    </w:p>
    <w:p w14:paraId="74B0A12F" w14:textId="77777777" w:rsidR="008732C8" w:rsidRDefault="00FF00CD">
      <w:pPr>
        <w:pStyle w:val="ListParagraph"/>
        <w:numPr>
          <w:ilvl w:val="0"/>
          <w:numId w:val="1"/>
        </w:numPr>
        <w:spacing w:line="360" w:lineRule="auto"/>
        <w:jc w:val="both"/>
        <w:rPr>
          <w:rFonts w:ascii="Arial" w:hAnsi="Arial" w:cs="David"/>
          <w:sz w:val="24"/>
          <w:szCs w:val="24"/>
        </w:rPr>
      </w:pPr>
      <w:r>
        <w:rPr>
          <w:rFonts w:ascii="Arial" w:hAnsi="Arial" w:cs="David" w:hint="cs"/>
          <w:sz w:val="24"/>
          <w:szCs w:val="24"/>
          <w:rtl/>
        </w:rPr>
        <w:t>קנס בסך 1,000 ₪ או מאסר 10 ימים תמורתו. הנאשמת תהיה רשאית לשלם את הקנס בשני שיעורים שווים ורצופים אחד עד יום 15.2.14 והשני עד 15.3.14. לא ישולם השיעור הראשון במועדו יעמוד כל סכום הקנס לפרעון מידי.</w:t>
      </w:r>
    </w:p>
    <w:p w14:paraId="37249132" w14:textId="77777777" w:rsidR="008732C8" w:rsidRDefault="008732C8">
      <w:pPr>
        <w:pStyle w:val="ListParagraph"/>
        <w:spacing w:line="360" w:lineRule="auto"/>
        <w:jc w:val="both"/>
        <w:rPr>
          <w:rFonts w:ascii="Arial" w:hAnsi="Arial" w:cs="David"/>
          <w:sz w:val="24"/>
          <w:szCs w:val="24"/>
        </w:rPr>
      </w:pPr>
    </w:p>
    <w:p w14:paraId="10E2EE3A" w14:textId="77777777" w:rsidR="008732C8" w:rsidRDefault="00FF00CD">
      <w:pPr>
        <w:pStyle w:val="ListParagraph"/>
        <w:numPr>
          <w:ilvl w:val="0"/>
          <w:numId w:val="1"/>
        </w:numPr>
        <w:spacing w:line="360" w:lineRule="auto"/>
        <w:jc w:val="both"/>
        <w:rPr>
          <w:rFonts w:ascii="Arial" w:hAnsi="Arial" w:cs="David"/>
          <w:sz w:val="24"/>
          <w:szCs w:val="24"/>
        </w:rPr>
      </w:pPr>
      <w:r>
        <w:rPr>
          <w:rFonts w:ascii="Arial" w:hAnsi="Arial" w:cs="David" w:hint="cs"/>
          <w:sz w:val="24"/>
          <w:szCs w:val="24"/>
          <w:rtl/>
        </w:rPr>
        <w:t>צו מבחן לשנה במסגרתו תעמוד הנאשמת בכל הליך טיפולי שייקבע ע"י שרות המבחן.</w:t>
      </w:r>
    </w:p>
    <w:p w14:paraId="6CD9F059" w14:textId="77777777" w:rsidR="008732C8" w:rsidRDefault="008732C8">
      <w:pPr>
        <w:rPr>
          <w:rtl/>
        </w:rPr>
      </w:pPr>
    </w:p>
    <w:p w14:paraId="7FE678E5" w14:textId="77777777" w:rsidR="008732C8" w:rsidRDefault="00FF00CD">
      <w:pPr>
        <w:rPr>
          <w:rtl/>
        </w:rPr>
      </w:pPr>
      <w:r>
        <w:rPr>
          <w:rFonts w:hint="cs"/>
          <w:rtl/>
        </w:rPr>
        <w:t>זכות ערעור לפני בית המשפט המחוזי בירושלים בתוך 45 יום מהיום.</w:t>
      </w:r>
    </w:p>
    <w:p w14:paraId="47B8DF0E" w14:textId="77777777" w:rsidR="008732C8" w:rsidRDefault="008732C8">
      <w:pPr>
        <w:rPr>
          <w:rtl/>
        </w:rPr>
      </w:pPr>
    </w:p>
    <w:p w14:paraId="1A51EB4A" w14:textId="77777777" w:rsidR="008732C8" w:rsidRDefault="008732C8">
      <w:pPr>
        <w:rPr>
          <w:rtl/>
        </w:rPr>
      </w:pPr>
    </w:p>
    <w:p w14:paraId="53BC2922" w14:textId="77777777" w:rsidR="008732C8" w:rsidRDefault="00FF00CD">
      <w:pPr>
        <w:rPr>
          <w:rtl/>
        </w:rPr>
      </w:pPr>
      <w:r>
        <w:rPr>
          <w:rFonts w:hint="cs"/>
          <w:rtl/>
        </w:rPr>
        <w:t>המזכירות תשלח העתק מגזר דין זה לשרות המבחן.</w:t>
      </w:r>
    </w:p>
    <w:p w14:paraId="7482E07B" w14:textId="77777777" w:rsidR="008732C8" w:rsidRDefault="008732C8">
      <w:pPr>
        <w:rPr>
          <w:rtl/>
        </w:rPr>
      </w:pPr>
    </w:p>
    <w:p w14:paraId="5BEAB46F" w14:textId="77777777" w:rsidR="008732C8" w:rsidRPr="00FF00CD" w:rsidRDefault="00FF00CD">
      <w:pPr>
        <w:rPr>
          <w:color w:val="FFFFFF"/>
          <w:sz w:val="2"/>
          <w:szCs w:val="2"/>
          <w:rtl/>
        </w:rPr>
      </w:pPr>
      <w:r w:rsidRPr="00FF00CD">
        <w:rPr>
          <w:color w:val="FFFFFF"/>
          <w:sz w:val="2"/>
          <w:szCs w:val="2"/>
          <w:rtl/>
        </w:rPr>
        <w:t>5129371</w:t>
      </w:r>
    </w:p>
    <w:p w14:paraId="5618F9F0" w14:textId="77777777" w:rsidR="008732C8" w:rsidRDefault="00FF00CD">
      <w:pPr>
        <w:rPr>
          <w:rFonts w:cs="FrankRuehl"/>
          <w:sz w:val="28"/>
          <w:szCs w:val="28"/>
          <w:rtl/>
        </w:rPr>
      </w:pPr>
      <w:r w:rsidRPr="00FF00CD">
        <w:rPr>
          <w:rFonts w:ascii="Arial" w:hAnsi="Arial"/>
          <w:color w:val="FFFFFF"/>
          <w:sz w:val="2"/>
          <w:szCs w:val="2"/>
          <w:rtl/>
        </w:rPr>
        <w:t>54678313</w:t>
      </w:r>
      <w:r>
        <w:rPr>
          <w:rFonts w:ascii="Arial" w:hAnsi="Arial"/>
          <w:rtl/>
        </w:rPr>
        <w:t xml:space="preserve">ניתן היום,  כ' שבט תשע"ד, 21 ינואר 2014, במעמד הצדדים. </w:t>
      </w:r>
    </w:p>
    <w:p w14:paraId="17395072" w14:textId="77777777" w:rsidR="008732C8" w:rsidRDefault="00FF00CD">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CCFDA3E" w14:textId="77777777" w:rsidR="008732C8" w:rsidRDefault="008732C8">
      <w:pPr>
        <w:jc w:val="center"/>
        <w:rPr>
          <w:rFonts w:ascii="Arial" w:hAnsi="Arial" w:cs="FrankRuehl"/>
          <w:sz w:val="28"/>
          <w:szCs w:val="28"/>
          <w:rtl/>
        </w:rPr>
      </w:pPr>
    </w:p>
    <w:p w14:paraId="1CF4322D" w14:textId="77777777" w:rsidR="008732C8" w:rsidRDefault="008732C8">
      <w:pPr>
        <w:rPr>
          <w:rFonts w:cs="FrankRuehl"/>
          <w:sz w:val="28"/>
          <w:szCs w:val="28"/>
          <w:rtl/>
        </w:rPr>
      </w:pPr>
    </w:p>
    <w:p w14:paraId="5F359DEB" w14:textId="77777777" w:rsidR="008732C8" w:rsidRDefault="008732C8">
      <w:pPr>
        <w:pStyle w:val="a3"/>
        <w:jc w:val="center"/>
        <w:rPr>
          <w:rtl/>
        </w:rPr>
      </w:pPr>
    </w:p>
    <w:p w14:paraId="26F83BB4" w14:textId="77777777" w:rsidR="00FF00CD" w:rsidRPr="00FF00CD" w:rsidRDefault="00FF00CD" w:rsidP="00FF00CD">
      <w:pPr>
        <w:keepNext/>
        <w:rPr>
          <w:rFonts w:ascii="David" w:hAnsi="David"/>
          <w:color w:val="000000"/>
          <w:sz w:val="22"/>
          <w:szCs w:val="22"/>
          <w:rtl/>
        </w:rPr>
      </w:pPr>
    </w:p>
    <w:p w14:paraId="1C17417C" w14:textId="77777777" w:rsidR="00FF00CD" w:rsidRPr="00FF00CD" w:rsidRDefault="00FF00CD" w:rsidP="00FF00CD">
      <w:pPr>
        <w:keepNext/>
        <w:rPr>
          <w:rFonts w:ascii="David" w:hAnsi="David"/>
          <w:color w:val="000000"/>
          <w:sz w:val="22"/>
          <w:szCs w:val="22"/>
          <w:rtl/>
        </w:rPr>
      </w:pPr>
      <w:r w:rsidRPr="00FF00CD">
        <w:rPr>
          <w:rFonts w:ascii="David" w:hAnsi="David"/>
          <w:color w:val="000000"/>
          <w:sz w:val="22"/>
          <w:szCs w:val="22"/>
          <w:rtl/>
        </w:rPr>
        <w:t>ה שולמית דותן 54678313</w:t>
      </w:r>
    </w:p>
    <w:p w14:paraId="4337E466" w14:textId="77777777" w:rsidR="00FF00CD" w:rsidRDefault="00FF00CD" w:rsidP="00FF00CD">
      <w:r w:rsidRPr="00FF00CD">
        <w:rPr>
          <w:color w:val="000000"/>
          <w:rtl/>
        </w:rPr>
        <w:t>נוסח מסמך זה כפוף לשינויי ניסוח ועריכה</w:t>
      </w:r>
    </w:p>
    <w:p w14:paraId="5241F94A" w14:textId="77777777" w:rsidR="00FF00CD" w:rsidRDefault="00FF00CD" w:rsidP="00FF00CD">
      <w:pPr>
        <w:rPr>
          <w:rtl/>
        </w:rPr>
      </w:pPr>
    </w:p>
    <w:p w14:paraId="48057CBA" w14:textId="77777777" w:rsidR="00FF00CD" w:rsidRDefault="00FF00CD" w:rsidP="00FF00CD">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158EB42E" w14:textId="77777777" w:rsidR="008732C8" w:rsidRPr="00FF00CD" w:rsidRDefault="008732C8" w:rsidP="00FF00CD">
      <w:pPr>
        <w:jc w:val="center"/>
        <w:rPr>
          <w:color w:val="0000FF"/>
          <w:u w:val="single"/>
        </w:rPr>
      </w:pPr>
    </w:p>
    <w:sectPr w:rsidR="008732C8" w:rsidRPr="00FF00CD" w:rsidSect="00FF00CD">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1AFB3" w14:textId="77777777" w:rsidR="00912440" w:rsidRPr="004210A5" w:rsidRDefault="00912440">
      <w:pPr>
        <w:rPr>
          <w:rFonts w:cs="Arial"/>
          <w:szCs w:val="20"/>
        </w:rPr>
      </w:pPr>
      <w:r>
        <w:separator/>
      </w:r>
    </w:p>
  </w:endnote>
  <w:endnote w:type="continuationSeparator" w:id="0">
    <w:p w14:paraId="674756A9" w14:textId="77777777" w:rsidR="00912440" w:rsidRPr="004210A5" w:rsidRDefault="00912440">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9F403" w14:textId="77777777" w:rsidR="00FF00CD" w:rsidRDefault="00FF00CD" w:rsidP="00FF00C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E22D0DC" w14:textId="77777777" w:rsidR="008732C8" w:rsidRPr="00FF00CD" w:rsidRDefault="00FF00CD" w:rsidP="00FF00CD">
    <w:pPr>
      <w:pStyle w:val="a5"/>
      <w:pBdr>
        <w:top w:val="single" w:sz="4" w:space="1" w:color="auto"/>
        <w:between w:val="single" w:sz="4" w:space="0" w:color="auto"/>
      </w:pBdr>
      <w:spacing w:after="60"/>
      <w:jc w:val="center"/>
      <w:rPr>
        <w:rFonts w:ascii="FrankRuehl" w:hAnsi="FrankRuehl" w:cs="FrankRuehl"/>
        <w:color w:val="000000"/>
      </w:rPr>
    </w:pPr>
    <w:r w:rsidRPr="00FF00C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C6489" w14:textId="77777777" w:rsidR="00FF00CD" w:rsidRDefault="00FF00CD" w:rsidP="00FF00C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A708D">
      <w:rPr>
        <w:rFonts w:ascii="FrankRuehl" w:hAnsi="FrankRuehl" w:cs="FrankRuehl"/>
        <w:noProof/>
        <w:rtl/>
      </w:rPr>
      <w:t>1</w:t>
    </w:r>
    <w:r>
      <w:rPr>
        <w:rFonts w:ascii="FrankRuehl" w:hAnsi="FrankRuehl" w:cs="FrankRuehl"/>
        <w:rtl/>
      </w:rPr>
      <w:fldChar w:fldCharType="end"/>
    </w:r>
  </w:p>
  <w:p w14:paraId="41A9C977" w14:textId="77777777" w:rsidR="008732C8" w:rsidRPr="00FF00CD" w:rsidRDefault="00FF00CD" w:rsidP="00FF00CD">
    <w:pPr>
      <w:pStyle w:val="a5"/>
      <w:pBdr>
        <w:top w:val="single" w:sz="4" w:space="1" w:color="auto"/>
        <w:between w:val="single" w:sz="4" w:space="0" w:color="auto"/>
      </w:pBdr>
      <w:spacing w:after="60"/>
      <w:jc w:val="center"/>
      <w:rPr>
        <w:rFonts w:ascii="FrankRuehl" w:hAnsi="FrankRuehl" w:cs="FrankRuehl"/>
        <w:color w:val="000000"/>
      </w:rPr>
    </w:pPr>
    <w:r w:rsidRPr="00FF00CD">
      <w:rPr>
        <w:rFonts w:ascii="FrankRuehl" w:hAnsi="FrankRuehl" w:cs="FrankRuehl"/>
        <w:color w:val="000000"/>
      </w:rPr>
      <w:pict w14:anchorId="1DF2AD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FEE76" w14:textId="77777777" w:rsidR="00912440" w:rsidRPr="004210A5" w:rsidRDefault="00912440">
      <w:pPr>
        <w:rPr>
          <w:rFonts w:cs="Arial"/>
          <w:szCs w:val="20"/>
        </w:rPr>
      </w:pPr>
      <w:r>
        <w:separator/>
      </w:r>
    </w:p>
  </w:footnote>
  <w:footnote w:type="continuationSeparator" w:id="0">
    <w:p w14:paraId="706F39B3" w14:textId="77777777" w:rsidR="00912440" w:rsidRPr="004210A5" w:rsidRDefault="00912440">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7E148" w14:textId="77777777" w:rsidR="00FF00CD" w:rsidRPr="00FF00CD" w:rsidRDefault="00FF00CD" w:rsidP="00FF00C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24791-05-11</w:t>
    </w:r>
    <w:r>
      <w:rPr>
        <w:rFonts w:ascii="David" w:hAnsi="David"/>
        <w:color w:val="000000"/>
        <w:sz w:val="22"/>
        <w:szCs w:val="22"/>
        <w:rtl/>
      </w:rPr>
      <w:tab/>
      <w:t xml:space="preserve"> מדינת ישראל נ' לביבה אחמד עבדאללה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62874" w14:textId="77777777" w:rsidR="00FF00CD" w:rsidRPr="00FF00CD" w:rsidRDefault="00FF00CD" w:rsidP="00FF00C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24791-05-11</w:t>
    </w:r>
    <w:r>
      <w:rPr>
        <w:rFonts w:ascii="David" w:hAnsi="David"/>
        <w:color w:val="000000"/>
        <w:sz w:val="22"/>
        <w:szCs w:val="22"/>
        <w:rtl/>
      </w:rPr>
      <w:tab/>
      <w:t xml:space="preserve"> מדינת ישראל נ' לביבה אחמד עבדאללה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04474"/>
    <w:multiLevelType w:val="hybridMultilevel"/>
    <w:tmpl w:val="44445322"/>
    <w:lvl w:ilvl="0" w:tplc="DDDE078E">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147431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732C8"/>
    <w:rsid w:val="00612FD6"/>
    <w:rsid w:val="008732C8"/>
    <w:rsid w:val="00912440"/>
    <w:rsid w:val="0093315B"/>
    <w:rsid w:val="00AA708D"/>
    <w:rsid w:val="00AB492D"/>
    <w:rsid w:val="00B85EEB"/>
    <w:rsid w:val="00D57DFB"/>
    <w:rsid w:val="00FF00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6BAE8A2"/>
  <w15:chartTrackingRefBased/>
  <w15:docId w15:val="{696533E2-C7EF-490E-AEE1-1CC7CDC8E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732C8"/>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8732C8"/>
    <w:pPr>
      <w:tabs>
        <w:tab w:val="center" w:pos="4153"/>
        <w:tab w:val="right" w:pos="8306"/>
      </w:tabs>
    </w:pPr>
  </w:style>
  <w:style w:type="paragraph" w:styleId="a5">
    <w:name w:val="footer"/>
    <w:basedOn w:val="a"/>
    <w:rsid w:val="008732C8"/>
    <w:pPr>
      <w:tabs>
        <w:tab w:val="center" w:pos="4153"/>
        <w:tab w:val="right" w:pos="8306"/>
      </w:tabs>
    </w:pPr>
  </w:style>
  <w:style w:type="character" w:styleId="a6">
    <w:name w:val="page number"/>
    <w:basedOn w:val="a0"/>
    <w:rsid w:val="008732C8"/>
  </w:style>
  <w:style w:type="character" w:customStyle="1" w:styleId="a4">
    <w:name w:val="כותרת עליונה תו"/>
    <w:link w:val="a3"/>
    <w:rsid w:val="008732C8"/>
    <w:rPr>
      <w:rFonts w:cs="David"/>
      <w:sz w:val="24"/>
      <w:szCs w:val="24"/>
      <w:lang w:val="en-US" w:eastAsia="en-US" w:bidi="he-IL"/>
    </w:rPr>
  </w:style>
  <w:style w:type="paragraph" w:customStyle="1" w:styleId="ListParagraph">
    <w:name w:val="List Paragraph"/>
    <w:basedOn w:val="a"/>
    <w:rsid w:val="008732C8"/>
    <w:pPr>
      <w:spacing w:after="200" w:line="276" w:lineRule="auto"/>
      <w:ind w:left="720"/>
      <w:contextualSpacing/>
    </w:pPr>
    <w:rPr>
      <w:rFonts w:ascii="Calibri" w:eastAsia="Calibri" w:hAnsi="Calibri" w:cs="Arial"/>
      <w:sz w:val="22"/>
      <w:szCs w:val="22"/>
    </w:rPr>
  </w:style>
  <w:style w:type="paragraph" w:customStyle="1" w:styleId="FileNumber">
    <w:name w:val="File Number"/>
    <w:basedOn w:val="a"/>
    <w:rsid w:val="008732C8"/>
    <w:pPr>
      <w:overflowPunct w:val="0"/>
      <w:autoSpaceDE w:val="0"/>
      <w:autoSpaceDN w:val="0"/>
      <w:adjustRightInd w:val="0"/>
      <w:spacing w:line="360" w:lineRule="auto"/>
      <w:jc w:val="right"/>
    </w:pPr>
    <w:rPr>
      <w:bCs/>
      <w:sz w:val="20"/>
    </w:rPr>
  </w:style>
  <w:style w:type="character" w:customStyle="1" w:styleId="default">
    <w:name w:val="default"/>
    <w:rsid w:val="008732C8"/>
    <w:rPr>
      <w:rFonts w:ascii="Times New Roman" w:hAnsi="Times New Roman" w:cs="Times New Roman" w:hint="default"/>
      <w:sz w:val="26"/>
      <w:szCs w:val="26"/>
    </w:rPr>
  </w:style>
  <w:style w:type="character" w:styleId="Hyperlink">
    <w:name w:val="Hyperlink"/>
    <w:basedOn w:val="a0"/>
    <w:rsid w:val="00FF00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inks/psika/?link=&#1506;&#1508;%2010828/03" TargetMode="External"/><Relationship Id="rId18" Type="http://schemas.openxmlformats.org/officeDocument/2006/relationships/hyperlink" Target="http://www.nevo.co.il/links/psika/?link=&#1506;&#1508;%20185/82&amp;Pvol=&#1500;&#1494;" TargetMode="External"/><Relationship Id="rId26" Type="http://schemas.openxmlformats.org/officeDocument/2006/relationships/hyperlink" Target="http://www.nevo.co.il/links/psika/?NEWPROC=&#1514;&#1508;&amp;NEWPARTA=9188&amp;NEWPARTB=11&amp;NEWPARTC=08" TargetMode="External"/><Relationship Id="rId3" Type="http://schemas.openxmlformats.org/officeDocument/2006/relationships/settings" Target="settings.xml"/><Relationship Id="rId21" Type="http://schemas.openxmlformats.org/officeDocument/2006/relationships/hyperlink" Target="http://www.nevo.co.il/links/psika/?link=&#1506;&#1508;%202044/11" TargetMode="External"/><Relationship Id="rId34" Type="http://schemas.openxmlformats.org/officeDocument/2006/relationships/footer" Target="footer2.xml"/><Relationship Id="rId7" Type="http://schemas.openxmlformats.org/officeDocument/2006/relationships/hyperlink" Target="http://www.nevo.co.il/law/70301" TargetMode="External"/><Relationship Id="rId12" Type="http://schemas.openxmlformats.org/officeDocument/2006/relationships/hyperlink" Target="http://www.nevo.co.il/links/psika/?link=&#1506;&#1508;%20910/85" TargetMode="External"/><Relationship Id="rId17" Type="http://schemas.openxmlformats.org/officeDocument/2006/relationships/hyperlink" Target="http://www.nevo.co.il/links/psika/?link=&#1506;&#1508;%209936/02" TargetMode="External"/><Relationship Id="rId25" Type="http://schemas.openxmlformats.org/officeDocument/2006/relationships/hyperlink" Target="http://www.nevo.co.il/links/psika/?NEWPROC=&#1514;&#1508;&amp;NEWPARTA=9349&amp;NEWPARTB=05&amp;NEWPARTC=09"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inks/psika/?link=&#1506;&#1508;%20548/88" TargetMode="External"/><Relationship Id="rId20" Type="http://schemas.openxmlformats.org/officeDocument/2006/relationships/hyperlink" Target="http://www.nevo.co.il/links/psika/?link=&#1514;&#1508;%203543/00" TargetMode="External"/><Relationship Id="rId29" Type="http://schemas.openxmlformats.org/officeDocument/2006/relationships/hyperlink" Target="http://www.nevo.co.il/links/psika/?link=&#1514;&#1508;%202924/0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24" Type="http://schemas.openxmlformats.org/officeDocument/2006/relationships/hyperlink" Target="http://www.nevo.co.il/links/psika/?link=&#1506;&#1508;%205713/10"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inks/psika/?link=&#1506;&#1508;%201421/10" TargetMode="External"/><Relationship Id="rId23" Type="http://schemas.openxmlformats.org/officeDocument/2006/relationships/hyperlink" Target="http://www.nevo.co.il/links/psika/?link=&#1506;&#1508;%205604/11" TargetMode="External"/><Relationship Id="rId28" Type="http://schemas.openxmlformats.org/officeDocument/2006/relationships/hyperlink" Target="http://www.nevo.co.il/links/psika/?NEWPROC=&#1514;&#1508;&amp;NEWPARTA=12013&amp;NEWPARTB=04&amp;NEWPARTC=11" TargetMode="External"/><Relationship Id="rId36"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www.nevo.co.il/links/psika/?link=&#1506;&#1508;%204085/91"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inks/psika/?link=&#1514;&#1508;%201801/04" TargetMode="External"/><Relationship Id="rId22" Type="http://schemas.openxmlformats.org/officeDocument/2006/relationships/hyperlink" Target="http://www.nevo.co.il/links/psika/?NEWPROC=&#1506;&#1508;&#1490;&amp;NEWPARTA=49812&amp;NEWPARTB=06&amp;NEWPARTC=11" TargetMode="External"/><Relationship Id="rId27" Type="http://schemas.openxmlformats.org/officeDocument/2006/relationships/hyperlink" Target="http://www.nevo.co.il/links/psika/?NEWPROC=&#1514;&#1508;&amp;NEWPARTA=53505&amp;NEWPARTB=08&amp;NEWPARTC=10"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70301/144.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2375</Words>
  <Characters>11880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14227</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99354040</vt:i4>
      </vt:variant>
      <vt:variant>
        <vt:i4>66</vt:i4>
      </vt:variant>
      <vt:variant>
        <vt:i4>0</vt:i4>
      </vt:variant>
      <vt:variant>
        <vt:i4>5</vt:i4>
      </vt:variant>
      <vt:variant>
        <vt:lpwstr>http://www.nevo.co.il/links/psika/?link=תפ 2924/06</vt:lpwstr>
      </vt:variant>
      <vt:variant>
        <vt:lpwstr/>
      </vt:variant>
      <vt:variant>
        <vt:i4>98239964</vt:i4>
      </vt:variant>
      <vt:variant>
        <vt:i4>63</vt:i4>
      </vt:variant>
      <vt:variant>
        <vt:i4>0</vt:i4>
      </vt:variant>
      <vt:variant>
        <vt:i4>5</vt:i4>
      </vt:variant>
      <vt:variant>
        <vt:lpwstr>http://www.nevo.co.il/links/psika/?NEWPROC=תפ&amp;NEWPARTA=12013&amp;NEWPARTB=04&amp;NEWPARTC=11</vt:lpwstr>
      </vt:variant>
      <vt:variant>
        <vt:lpwstr/>
      </vt:variant>
      <vt:variant>
        <vt:i4>97584604</vt:i4>
      </vt:variant>
      <vt:variant>
        <vt:i4>60</vt:i4>
      </vt:variant>
      <vt:variant>
        <vt:i4>0</vt:i4>
      </vt:variant>
      <vt:variant>
        <vt:i4>5</vt:i4>
      </vt:variant>
      <vt:variant>
        <vt:lpwstr>http://www.nevo.co.il/links/psika/?NEWPROC=תפ&amp;NEWPARTA=53505&amp;NEWPARTB=08&amp;NEWPARTC=10</vt:lpwstr>
      </vt:variant>
      <vt:variant>
        <vt:lpwstr/>
      </vt:variant>
      <vt:variant>
        <vt:i4>99419623</vt:i4>
      </vt:variant>
      <vt:variant>
        <vt:i4>57</vt:i4>
      </vt:variant>
      <vt:variant>
        <vt:i4>0</vt:i4>
      </vt:variant>
      <vt:variant>
        <vt:i4>5</vt:i4>
      </vt:variant>
      <vt:variant>
        <vt:lpwstr>http://www.nevo.co.il/links/psika/?NEWPROC=תפ&amp;NEWPARTA=9188&amp;NEWPARTB=11&amp;NEWPARTC=08</vt:lpwstr>
      </vt:variant>
      <vt:variant>
        <vt:lpwstr/>
      </vt:variant>
      <vt:variant>
        <vt:i4>98567648</vt:i4>
      </vt:variant>
      <vt:variant>
        <vt:i4>54</vt:i4>
      </vt:variant>
      <vt:variant>
        <vt:i4>0</vt:i4>
      </vt:variant>
      <vt:variant>
        <vt:i4>5</vt:i4>
      </vt:variant>
      <vt:variant>
        <vt:lpwstr>http://www.nevo.co.il/links/psika/?NEWPROC=תפ&amp;NEWPARTA=9349&amp;NEWPARTB=05&amp;NEWPARTC=09</vt:lpwstr>
      </vt:variant>
      <vt:variant>
        <vt:lpwstr/>
      </vt:variant>
      <vt:variant>
        <vt:i4>99485112</vt:i4>
      </vt:variant>
      <vt:variant>
        <vt:i4>51</vt:i4>
      </vt:variant>
      <vt:variant>
        <vt:i4>0</vt:i4>
      </vt:variant>
      <vt:variant>
        <vt:i4>5</vt:i4>
      </vt:variant>
      <vt:variant>
        <vt:lpwstr>http://www.nevo.co.il/links/psika/?link=עפ 5713/10</vt:lpwstr>
      </vt:variant>
      <vt:variant>
        <vt:lpwstr/>
      </vt:variant>
      <vt:variant>
        <vt:i4>99485118</vt:i4>
      </vt:variant>
      <vt:variant>
        <vt:i4>48</vt:i4>
      </vt:variant>
      <vt:variant>
        <vt:i4>0</vt:i4>
      </vt:variant>
      <vt:variant>
        <vt:i4>5</vt:i4>
      </vt:variant>
      <vt:variant>
        <vt:lpwstr>http://www.nevo.co.il/links/psika/?link=עפ 5604/11</vt:lpwstr>
      </vt:variant>
      <vt:variant>
        <vt:lpwstr/>
      </vt:variant>
      <vt:variant>
        <vt:i4>3081670</vt:i4>
      </vt:variant>
      <vt:variant>
        <vt:i4>45</vt:i4>
      </vt:variant>
      <vt:variant>
        <vt:i4>0</vt:i4>
      </vt:variant>
      <vt:variant>
        <vt:i4>5</vt:i4>
      </vt:variant>
      <vt:variant>
        <vt:lpwstr>http://www.nevo.co.il/links/psika/?NEWPROC=עפג&amp;NEWPARTA=49812&amp;NEWPARTB=06&amp;NEWPARTC=11</vt:lpwstr>
      </vt:variant>
      <vt:variant>
        <vt:lpwstr/>
      </vt:variant>
      <vt:variant>
        <vt:i4>99419576</vt:i4>
      </vt:variant>
      <vt:variant>
        <vt:i4>42</vt:i4>
      </vt:variant>
      <vt:variant>
        <vt:i4>0</vt:i4>
      </vt:variant>
      <vt:variant>
        <vt:i4>5</vt:i4>
      </vt:variant>
      <vt:variant>
        <vt:lpwstr>http://www.nevo.co.il/links/psika/?link=עפ 2044/11</vt:lpwstr>
      </vt:variant>
      <vt:variant>
        <vt:lpwstr/>
      </vt:variant>
      <vt:variant>
        <vt:i4>99419571</vt:i4>
      </vt:variant>
      <vt:variant>
        <vt:i4>39</vt:i4>
      </vt:variant>
      <vt:variant>
        <vt:i4>0</vt:i4>
      </vt:variant>
      <vt:variant>
        <vt:i4>5</vt:i4>
      </vt:variant>
      <vt:variant>
        <vt:lpwstr>http://www.nevo.co.il/links/psika/?link=תפ 3543/00</vt:lpwstr>
      </vt:variant>
      <vt:variant>
        <vt:lpwstr/>
      </vt:variant>
      <vt:variant>
        <vt:i4>99026353</vt:i4>
      </vt:variant>
      <vt:variant>
        <vt:i4>36</vt:i4>
      </vt:variant>
      <vt:variant>
        <vt:i4>0</vt:i4>
      </vt:variant>
      <vt:variant>
        <vt:i4>5</vt:i4>
      </vt:variant>
      <vt:variant>
        <vt:lpwstr>http://www.nevo.co.il/links/psika/?link=עפ 4085/91</vt:lpwstr>
      </vt:variant>
      <vt:variant>
        <vt:lpwstr/>
      </vt:variant>
      <vt:variant>
        <vt:i4>2688394</vt:i4>
      </vt:variant>
      <vt:variant>
        <vt:i4>33</vt:i4>
      </vt:variant>
      <vt:variant>
        <vt:i4>0</vt:i4>
      </vt:variant>
      <vt:variant>
        <vt:i4>5</vt:i4>
      </vt:variant>
      <vt:variant>
        <vt:lpwstr>http://www.nevo.co.il/links/psika/?link=עפ 185/82&amp;Pvol=לז</vt:lpwstr>
      </vt:variant>
      <vt:variant>
        <vt:lpwstr/>
      </vt:variant>
      <vt:variant>
        <vt:i4>98698674</vt:i4>
      </vt:variant>
      <vt:variant>
        <vt:i4>30</vt:i4>
      </vt:variant>
      <vt:variant>
        <vt:i4>0</vt:i4>
      </vt:variant>
      <vt:variant>
        <vt:i4>5</vt:i4>
      </vt:variant>
      <vt:variant>
        <vt:lpwstr>http://www.nevo.co.il/links/psika/?link=עפ 9936/02</vt:lpwstr>
      </vt:variant>
      <vt:variant>
        <vt:lpwstr/>
      </vt:variant>
      <vt:variant>
        <vt:i4>96470422</vt:i4>
      </vt:variant>
      <vt:variant>
        <vt:i4>27</vt:i4>
      </vt:variant>
      <vt:variant>
        <vt:i4>0</vt:i4>
      </vt:variant>
      <vt:variant>
        <vt:i4>5</vt:i4>
      </vt:variant>
      <vt:variant>
        <vt:lpwstr>http://www.nevo.co.il/links/psika/?link=עפ 548/88</vt:lpwstr>
      </vt:variant>
      <vt:variant>
        <vt:lpwstr/>
      </vt:variant>
      <vt:variant>
        <vt:i4>99157433</vt:i4>
      </vt:variant>
      <vt:variant>
        <vt:i4>24</vt:i4>
      </vt:variant>
      <vt:variant>
        <vt:i4>0</vt:i4>
      </vt:variant>
      <vt:variant>
        <vt:i4>5</vt:i4>
      </vt:variant>
      <vt:variant>
        <vt:lpwstr>http://www.nevo.co.il/links/psika/?link=עפ 1421/10</vt:lpwstr>
      </vt:variant>
      <vt:variant>
        <vt:lpwstr/>
      </vt:variant>
      <vt:variant>
        <vt:i4>99550652</vt:i4>
      </vt:variant>
      <vt:variant>
        <vt:i4>21</vt:i4>
      </vt:variant>
      <vt:variant>
        <vt:i4>0</vt:i4>
      </vt:variant>
      <vt:variant>
        <vt:i4>5</vt:i4>
      </vt:variant>
      <vt:variant>
        <vt:lpwstr>http://www.nevo.co.il/links/psika/?link=תפ 1801/04</vt:lpwstr>
      </vt:variant>
      <vt:variant>
        <vt:lpwstr/>
      </vt:variant>
      <vt:variant>
        <vt:i4>99878304</vt:i4>
      </vt:variant>
      <vt:variant>
        <vt:i4>18</vt:i4>
      </vt:variant>
      <vt:variant>
        <vt:i4>0</vt:i4>
      </vt:variant>
      <vt:variant>
        <vt:i4>5</vt:i4>
      </vt:variant>
      <vt:variant>
        <vt:lpwstr>http://www.nevo.co.il/links/psika/?link=עפ 10828/03</vt:lpwstr>
      </vt:variant>
      <vt:variant>
        <vt:lpwstr/>
      </vt:variant>
      <vt:variant>
        <vt:i4>96732563</vt:i4>
      </vt:variant>
      <vt:variant>
        <vt:i4>15</vt:i4>
      </vt:variant>
      <vt:variant>
        <vt:i4>0</vt:i4>
      </vt:variant>
      <vt:variant>
        <vt:i4>5</vt:i4>
      </vt:variant>
      <vt:variant>
        <vt:lpwstr>http://www.nevo.co.il/links/psika/?link=עפ 910/85</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2024-01-07T12:14:00Z</dcterms:created>
  <dcterms:modified xsi:type="dcterms:W3CDTF">2024-01-07T12:14:00Z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24791</vt:lpwstr>
  </property>
  <property fmtid="{D5CDD505-2E9C-101B-9397-08002B2CF9AE}" pid="6" name="NEWPARTB">
    <vt:lpwstr>05</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לביבה אחמד עבדאללה</vt:lpwstr>
  </property>
  <property fmtid="{D5CDD505-2E9C-101B-9397-08002B2CF9AE}" pid="10" name="JUDGE">
    <vt:lpwstr> שולמית דותן</vt:lpwstr>
  </property>
  <property fmtid="{D5CDD505-2E9C-101B-9397-08002B2CF9AE}" pid="11" name="CITY">
    <vt:lpwstr>י-ם</vt:lpwstr>
  </property>
  <property fmtid="{D5CDD505-2E9C-101B-9397-08002B2CF9AE}" pid="12" name="DATE">
    <vt:lpwstr>20140121</vt:lpwstr>
  </property>
  <property fmtid="{D5CDD505-2E9C-101B-9397-08002B2CF9AE}" pid="13" name="TYPE_N_DATE">
    <vt:lpwstr>38020140121</vt:lpwstr>
  </property>
  <property fmtid="{D5CDD505-2E9C-101B-9397-08002B2CF9AE}" pid="14" name="WORDNUMPAGES">
    <vt:lpwstr>7</vt:lpwstr>
  </property>
  <property fmtid="{D5CDD505-2E9C-101B-9397-08002B2CF9AE}" pid="15" name="TYPE_ABS_DATE">
    <vt:lpwstr>380020140121</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70301/144.a</vt:lpwstr>
  </property>
</Properties>
</file>