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374D70" w:rsidRPr="003F2B55" w14:paraId="1AAEE11D" w14:textId="77777777">
        <w:trPr>
          <w:trHeight w:hRule="exact" w:val="418"/>
          <w:jc w:val="center"/>
        </w:trPr>
        <w:tc>
          <w:tcPr>
            <w:tcW w:w="8721" w:type="dxa"/>
            <w:gridSpan w:val="2"/>
          </w:tcPr>
          <w:p w14:paraId="00F0385C" w14:textId="77777777" w:rsidR="00374D70" w:rsidRPr="003F2B55" w:rsidRDefault="003F2B55">
            <w:pPr>
              <w:pStyle w:val="a3"/>
              <w:jc w:val="center"/>
              <w:rPr>
                <w:rFonts w:ascii="Tahoma" w:hAnsi="Tahoma" w:cs="Tahoma"/>
                <w:color w:val="000080"/>
                <w:rtl/>
              </w:rPr>
            </w:pPr>
            <w:bookmarkStart w:id="0" w:name="LastJudge"/>
            <w:r w:rsidRPr="003F2B55">
              <w:rPr>
                <w:rFonts w:ascii="Tahoma" w:hAnsi="Tahoma" w:cs="Tahoma"/>
                <w:b/>
                <w:bCs/>
                <w:color w:val="000080"/>
                <w:rtl/>
              </w:rPr>
              <w:t>בית משפט השלום בירושלים</w:t>
            </w:r>
          </w:p>
        </w:tc>
      </w:tr>
      <w:tr w:rsidR="00374D70" w:rsidRPr="003F2B55" w14:paraId="3818D7E6" w14:textId="77777777">
        <w:trPr>
          <w:trHeight w:val="337"/>
          <w:jc w:val="center"/>
        </w:trPr>
        <w:tc>
          <w:tcPr>
            <w:tcW w:w="5055" w:type="dxa"/>
          </w:tcPr>
          <w:p w14:paraId="41FED826" w14:textId="77777777" w:rsidR="00374D70" w:rsidRPr="003F2B55" w:rsidRDefault="003F2B55">
            <w:pPr>
              <w:tabs>
                <w:tab w:val="left" w:pos="720"/>
              </w:tabs>
              <w:rPr>
                <w:rFonts w:cs="FrankRuehl"/>
                <w:sz w:val="28"/>
                <w:szCs w:val="28"/>
                <w:rtl/>
              </w:rPr>
            </w:pPr>
            <w:r w:rsidRPr="003F2B55">
              <w:rPr>
                <w:rFonts w:cs="FrankRuehl"/>
                <w:sz w:val="28"/>
                <w:szCs w:val="28"/>
                <w:rtl/>
              </w:rPr>
              <w:t>ת"פ</w:t>
            </w:r>
            <w:r w:rsidRPr="003F2B55">
              <w:rPr>
                <w:rFonts w:cs="FrankRuehl" w:hint="cs"/>
                <w:sz w:val="28"/>
                <w:szCs w:val="28"/>
                <w:rtl/>
              </w:rPr>
              <w:t xml:space="preserve"> </w:t>
            </w:r>
            <w:r w:rsidRPr="003F2B55">
              <w:rPr>
                <w:rFonts w:cs="FrankRuehl"/>
                <w:sz w:val="28"/>
                <w:szCs w:val="28"/>
                <w:rtl/>
              </w:rPr>
              <w:t>28659-02-14</w:t>
            </w:r>
            <w:r w:rsidRPr="003F2B55">
              <w:rPr>
                <w:rFonts w:cs="FrankRuehl" w:hint="cs"/>
                <w:sz w:val="28"/>
                <w:szCs w:val="28"/>
                <w:rtl/>
              </w:rPr>
              <w:t xml:space="preserve"> </w:t>
            </w:r>
            <w:r w:rsidRPr="003F2B55">
              <w:rPr>
                <w:rFonts w:cs="FrankRuehl"/>
                <w:sz w:val="28"/>
                <w:szCs w:val="28"/>
                <w:rtl/>
              </w:rPr>
              <w:t>מדינת ישראל נ' מעאיטה</w:t>
            </w:r>
          </w:p>
          <w:p w14:paraId="68B6FB23" w14:textId="77777777" w:rsidR="00374D70" w:rsidRPr="003F2B55" w:rsidRDefault="00374D70">
            <w:pPr>
              <w:pStyle w:val="a3"/>
              <w:rPr>
                <w:rFonts w:cs="FrankRuehl"/>
                <w:sz w:val="28"/>
                <w:szCs w:val="28"/>
                <w:rtl/>
              </w:rPr>
            </w:pPr>
          </w:p>
        </w:tc>
        <w:tc>
          <w:tcPr>
            <w:tcW w:w="3666" w:type="dxa"/>
          </w:tcPr>
          <w:p w14:paraId="4ECD6141" w14:textId="77777777" w:rsidR="00374D70" w:rsidRPr="003F2B55" w:rsidRDefault="00374D70">
            <w:pPr>
              <w:pStyle w:val="a3"/>
              <w:jc w:val="right"/>
              <w:rPr>
                <w:rFonts w:cs="FrankRuehl"/>
                <w:sz w:val="28"/>
                <w:szCs w:val="28"/>
                <w:rtl/>
              </w:rPr>
            </w:pPr>
          </w:p>
        </w:tc>
      </w:tr>
    </w:tbl>
    <w:p w14:paraId="2C1F71DD" w14:textId="77777777" w:rsidR="00374D70" w:rsidRPr="003F2B55" w:rsidRDefault="003F2B55">
      <w:pPr>
        <w:pStyle w:val="a3"/>
        <w:rPr>
          <w:rtl/>
        </w:rPr>
      </w:pPr>
      <w:r w:rsidRPr="003F2B55">
        <w:rPr>
          <w:rFonts w:hint="cs"/>
          <w:rtl/>
        </w:rPr>
        <w:t xml:space="preserve"> </w:t>
      </w:r>
    </w:p>
    <w:p w14:paraId="4D6006EC" w14:textId="77777777" w:rsidR="00374D70" w:rsidRPr="003F2B55" w:rsidRDefault="00374D7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74D70" w:rsidRPr="003F2B55" w14:paraId="56A0E346" w14:textId="77777777">
        <w:trPr>
          <w:trHeight w:val="295"/>
          <w:jc w:val="center"/>
        </w:trPr>
        <w:tc>
          <w:tcPr>
            <w:tcW w:w="945" w:type="dxa"/>
            <w:tcBorders>
              <w:top w:val="nil"/>
              <w:left w:val="nil"/>
              <w:bottom w:val="nil"/>
              <w:right w:val="nil"/>
            </w:tcBorders>
          </w:tcPr>
          <w:p w14:paraId="77F66B31" w14:textId="77777777" w:rsidR="00374D70" w:rsidRPr="003F2B55" w:rsidRDefault="003F2B55">
            <w:pPr>
              <w:jc w:val="both"/>
              <w:rPr>
                <w:rFonts w:ascii="Arial" w:hAnsi="Arial"/>
                <w:b/>
                <w:bCs/>
                <w:sz w:val="28"/>
                <w:szCs w:val="28"/>
              </w:rPr>
            </w:pPr>
            <w:r w:rsidRPr="003F2B55">
              <w:rPr>
                <w:rFonts w:ascii="Arial" w:hAnsi="Arial" w:hint="cs"/>
                <w:b/>
                <w:bCs/>
                <w:sz w:val="28"/>
                <w:szCs w:val="28"/>
                <w:rtl/>
              </w:rPr>
              <w:t>ב</w:t>
            </w:r>
            <w:r w:rsidRPr="003F2B55">
              <w:rPr>
                <w:rFonts w:ascii="Arial" w:hAnsi="Arial"/>
                <w:b/>
                <w:bCs/>
                <w:sz w:val="28"/>
                <w:szCs w:val="28"/>
                <w:rtl/>
              </w:rPr>
              <w:t xml:space="preserve">פני </w:t>
            </w:r>
          </w:p>
        </w:tc>
        <w:tc>
          <w:tcPr>
            <w:tcW w:w="7875" w:type="dxa"/>
            <w:gridSpan w:val="2"/>
            <w:tcBorders>
              <w:top w:val="nil"/>
              <w:left w:val="nil"/>
              <w:bottom w:val="nil"/>
              <w:right w:val="nil"/>
            </w:tcBorders>
          </w:tcPr>
          <w:p w14:paraId="437B2060" w14:textId="77777777" w:rsidR="00374D70" w:rsidRPr="003F2B55" w:rsidRDefault="003F2B55">
            <w:pPr>
              <w:rPr>
                <w:rFonts w:ascii="Arial" w:hAnsi="Arial"/>
                <w:b/>
                <w:bCs/>
                <w:sz w:val="28"/>
                <w:szCs w:val="28"/>
                <w:rtl/>
              </w:rPr>
            </w:pPr>
            <w:r w:rsidRPr="003F2B55">
              <w:rPr>
                <w:rFonts w:ascii="Arial" w:hAnsi="Arial" w:hint="cs"/>
                <w:b/>
                <w:bCs/>
                <w:sz w:val="28"/>
                <w:szCs w:val="28"/>
                <w:rtl/>
              </w:rPr>
              <w:t>כב' ה</w:t>
            </w:r>
            <w:r w:rsidRPr="003F2B55">
              <w:rPr>
                <w:rFonts w:hint="cs"/>
                <w:b/>
                <w:bCs/>
                <w:sz w:val="28"/>
                <w:szCs w:val="28"/>
                <w:rtl/>
              </w:rPr>
              <w:t>שופטת</w:t>
            </w:r>
            <w:r w:rsidRPr="003F2B55">
              <w:rPr>
                <w:rFonts w:ascii="Arial" w:hAnsi="Arial" w:hint="cs"/>
                <w:b/>
                <w:bCs/>
                <w:sz w:val="28"/>
                <w:szCs w:val="28"/>
                <w:rtl/>
              </w:rPr>
              <w:t xml:space="preserve">  </w:t>
            </w:r>
            <w:r w:rsidRPr="003F2B55">
              <w:rPr>
                <w:rFonts w:hint="cs"/>
                <w:b/>
                <w:bCs/>
                <w:sz w:val="28"/>
                <w:szCs w:val="28"/>
                <w:rtl/>
              </w:rPr>
              <w:t>חנה מרים לומפ</w:t>
            </w:r>
          </w:p>
          <w:p w14:paraId="6595DA2A" w14:textId="77777777" w:rsidR="00374D70" w:rsidRPr="003F2B55" w:rsidRDefault="00374D70">
            <w:pPr>
              <w:rPr>
                <w:b/>
                <w:bCs/>
                <w:sz w:val="28"/>
                <w:szCs w:val="28"/>
                <w:rtl/>
              </w:rPr>
            </w:pPr>
          </w:p>
          <w:p w14:paraId="40DF6E8D" w14:textId="77777777" w:rsidR="00374D70" w:rsidRPr="003F2B55" w:rsidRDefault="00374D70">
            <w:pPr>
              <w:jc w:val="both"/>
              <w:rPr>
                <w:rFonts w:ascii="Arial" w:hAnsi="Arial"/>
                <w:b/>
                <w:bCs/>
                <w:sz w:val="28"/>
                <w:szCs w:val="28"/>
              </w:rPr>
            </w:pPr>
          </w:p>
        </w:tc>
      </w:tr>
      <w:tr w:rsidR="00374D70" w:rsidRPr="003F2B55" w14:paraId="011EA0BD" w14:textId="77777777">
        <w:trPr>
          <w:trHeight w:val="355"/>
          <w:jc w:val="center"/>
        </w:trPr>
        <w:tc>
          <w:tcPr>
            <w:tcW w:w="945" w:type="dxa"/>
            <w:tcBorders>
              <w:top w:val="nil"/>
              <w:left w:val="nil"/>
              <w:bottom w:val="nil"/>
              <w:right w:val="nil"/>
            </w:tcBorders>
          </w:tcPr>
          <w:p w14:paraId="753BDC47" w14:textId="77777777" w:rsidR="00374D70" w:rsidRPr="003F2B55" w:rsidRDefault="003F2B55">
            <w:pPr>
              <w:jc w:val="both"/>
              <w:rPr>
                <w:rFonts w:ascii="Arial" w:hAnsi="Arial"/>
                <w:b/>
                <w:bCs/>
                <w:sz w:val="28"/>
                <w:szCs w:val="28"/>
              </w:rPr>
            </w:pPr>
            <w:bookmarkStart w:id="1" w:name="FirstAppellant"/>
            <w:r w:rsidRPr="003F2B55">
              <w:rPr>
                <w:rFonts w:ascii="Arial" w:hAnsi="Arial" w:hint="cs"/>
                <w:b/>
                <w:bCs/>
                <w:sz w:val="28"/>
                <w:szCs w:val="28"/>
                <w:rtl/>
              </w:rPr>
              <w:t>בעניין:</w:t>
            </w:r>
          </w:p>
        </w:tc>
        <w:tc>
          <w:tcPr>
            <w:tcW w:w="4114" w:type="dxa"/>
            <w:tcBorders>
              <w:top w:val="nil"/>
              <w:left w:val="nil"/>
              <w:bottom w:val="nil"/>
              <w:right w:val="nil"/>
            </w:tcBorders>
          </w:tcPr>
          <w:p w14:paraId="147E868F" w14:textId="77777777" w:rsidR="00374D70" w:rsidRPr="003F2B55" w:rsidRDefault="003F2B55">
            <w:pPr>
              <w:rPr>
                <w:b/>
                <w:bCs/>
                <w:sz w:val="28"/>
                <w:szCs w:val="28"/>
              </w:rPr>
            </w:pPr>
            <w:r w:rsidRPr="003F2B55">
              <w:rPr>
                <w:rFonts w:hint="cs"/>
                <w:b/>
                <w:bCs/>
                <w:sz w:val="28"/>
                <w:szCs w:val="28"/>
                <w:rtl/>
              </w:rPr>
              <w:t>מדינת ישראל</w:t>
            </w:r>
          </w:p>
        </w:tc>
        <w:tc>
          <w:tcPr>
            <w:tcW w:w="3761" w:type="dxa"/>
            <w:tcBorders>
              <w:top w:val="nil"/>
              <w:left w:val="nil"/>
              <w:bottom w:val="nil"/>
              <w:right w:val="nil"/>
            </w:tcBorders>
          </w:tcPr>
          <w:p w14:paraId="54FCCBAD" w14:textId="77777777" w:rsidR="00374D70" w:rsidRPr="003F2B55" w:rsidRDefault="00374D70">
            <w:pPr>
              <w:jc w:val="both"/>
              <w:rPr>
                <w:rFonts w:ascii="Arial" w:hAnsi="Arial"/>
                <w:b/>
                <w:bCs/>
                <w:sz w:val="28"/>
                <w:szCs w:val="28"/>
              </w:rPr>
            </w:pPr>
          </w:p>
        </w:tc>
      </w:tr>
      <w:bookmarkEnd w:id="1"/>
      <w:tr w:rsidR="00374D70" w:rsidRPr="003F2B55" w14:paraId="3A9233DB" w14:textId="77777777">
        <w:trPr>
          <w:trHeight w:val="355"/>
          <w:jc w:val="center"/>
        </w:trPr>
        <w:tc>
          <w:tcPr>
            <w:tcW w:w="945" w:type="dxa"/>
            <w:tcBorders>
              <w:top w:val="nil"/>
              <w:left w:val="nil"/>
              <w:bottom w:val="nil"/>
              <w:right w:val="nil"/>
            </w:tcBorders>
          </w:tcPr>
          <w:p w14:paraId="0F0933ED" w14:textId="77777777" w:rsidR="00374D70" w:rsidRPr="003F2B55" w:rsidRDefault="00374D70">
            <w:pPr>
              <w:jc w:val="both"/>
              <w:rPr>
                <w:rFonts w:ascii="Arial" w:hAnsi="Arial"/>
                <w:b/>
                <w:bCs/>
                <w:sz w:val="28"/>
                <w:szCs w:val="28"/>
                <w:rtl/>
              </w:rPr>
            </w:pPr>
          </w:p>
        </w:tc>
        <w:tc>
          <w:tcPr>
            <w:tcW w:w="4114" w:type="dxa"/>
            <w:tcBorders>
              <w:top w:val="nil"/>
              <w:left w:val="nil"/>
              <w:bottom w:val="nil"/>
              <w:right w:val="nil"/>
            </w:tcBorders>
          </w:tcPr>
          <w:p w14:paraId="6F19C697" w14:textId="77777777" w:rsidR="00374D70" w:rsidRPr="003F2B55" w:rsidRDefault="00374D70">
            <w:pPr>
              <w:jc w:val="both"/>
              <w:rPr>
                <w:b/>
                <w:bCs/>
                <w:sz w:val="28"/>
                <w:szCs w:val="28"/>
                <w:rtl/>
              </w:rPr>
            </w:pPr>
          </w:p>
        </w:tc>
        <w:tc>
          <w:tcPr>
            <w:tcW w:w="3761" w:type="dxa"/>
            <w:tcBorders>
              <w:top w:val="nil"/>
              <w:left w:val="nil"/>
              <w:bottom w:val="nil"/>
              <w:right w:val="nil"/>
            </w:tcBorders>
          </w:tcPr>
          <w:p w14:paraId="4AE47CBD" w14:textId="77777777" w:rsidR="00374D70" w:rsidRPr="003F2B55" w:rsidRDefault="003F2B55">
            <w:pPr>
              <w:jc w:val="right"/>
              <w:rPr>
                <w:rFonts w:ascii="Arial" w:hAnsi="Arial"/>
                <w:b/>
                <w:bCs/>
                <w:sz w:val="28"/>
                <w:szCs w:val="28"/>
                <w:rtl/>
              </w:rPr>
            </w:pPr>
            <w:r w:rsidRPr="003F2B55">
              <w:rPr>
                <w:rFonts w:ascii="Arial" w:hAnsi="Arial" w:hint="cs"/>
                <w:b/>
                <w:bCs/>
                <w:sz w:val="28"/>
                <w:szCs w:val="28"/>
                <w:rtl/>
              </w:rPr>
              <w:t>ה</w:t>
            </w:r>
            <w:r w:rsidRPr="003F2B55">
              <w:rPr>
                <w:rFonts w:hint="cs"/>
                <w:b/>
                <w:bCs/>
                <w:sz w:val="28"/>
                <w:szCs w:val="28"/>
                <w:rtl/>
              </w:rPr>
              <w:t>מאשימה</w:t>
            </w:r>
          </w:p>
        </w:tc>
      </w:tr>
      <w:tr w:rsidR="00374D70" w:rsidRPr="003F2B55" w14:paraId="56740F61" w14:textId="77777777">
        <w:trPr>
          <w:trHeight w:val="355"/>
          <w:jc w:val="center"/>
        </w:trPr>
        <w:tc>
          <w:tcPr>
            <w:tcW w:w="945" w:type="dxa"/>
            <w:tcBorders>
              <w:top w:val="nil"/>
              <w:left w:val="nil"/>
              <w:bottom w:val="nil"/>
              <w:right w:val="nil"/>
            </w:tcBorders>
          </w:tcPr>
          <w:p w14:paraId="15DC2031" w14:textId="77777777" w:rsidR="00374D70" w:rsidRPr="003F2B55" w:rsidRDefault="00374D70">
            <w:pPr>
              <w:jc w:val="both"/>
              <w:rPr>
                <w:rFonts w:ascii="Arial" w:hAnsi="Arial"/>
                <w:b/>
                <w:bCs/>
                <w:sz w:val="28"/>
                <w:szCs w:val="28"/>
                <w:rtl/>
              </w:rPr>
            </w:pPr>
          </w:p>
        </w:tc>
        <w:tc>
          <w:tcPr>
            <w:tcW w:w="7875" w:type="dxa"/>
            <w:gridSpan w:val="2"/>
            <w:tcBorders>
              <w:top w:val="nil"/>
              <w:left w:val="nil"/>
              <w:bottom w:val="nil"/>
              <w:right w:val="nil"/>
            </w:tcBorders>
          </w:tcPr>
          <w:p w14:paraId="38CBC427" w14:textId="77777777" w:rsidR="00374D70" w:rsidRPr="003F2B55" w:rsidRDefault="00374D70">
            <w:pPr>
              <w:jc w:val="center"/>
              <w:rPr>
                <w:rFonts w:ascii="Arial" w:hAnsi="Arial"/>
                <w:b/>
                <w:bCs/>
                <w:sz w:val="28"/>
                <w:szCs w:val="28"/>
                <w:rtl/>
              </w:rPr>
            </w:pPr>
          </w:p>
          <w:p w14:paraId="7C30E986" w14:textId="77777777" w:rsidR="00374D70" w:rsidRPr="003F2B55" w:rsidRDefault="003F2B55">
            <w:pPr>
              <w:jc w:val="center"/>
              <w:rPr>
                <w:rFonts w:ascii="Arial" w:hAnsi="Arial"/>
                <w:b/>
                <w:bCs/>
                <w:sz w:val="28"/>
                <w:szCs w:val="28"/>
                <w:rtl/>
              </w:rPr>
            </w:pPr>
            <w:r w:rsidRPr="003F2B55">
              <w:rPr>
                <w:rFonts w:ascii="Arial" w:hAnsi="Arial"/>
                <w:b/>
                <w:bCs/>
                <w:sz w:val="28"/>
                <w:szCs w:val="28"/>
                <w:rtl/>
              </w:rPr>
              <w:t>נגד</w:t>
            </w:r>
          </w:p>
          <w:p w14:paraId="7B7BC651" w14:textId="77777777" w:rsidR="00374D70" w:rsidRPr="003F2B55" w:rsidRDefault="00374D70">
            <w:pPr>
              <w:jc w:val="both"/>
              <w:rPr>
                <w:rFonts w:ascii="Arial" w:hAnsi="Arial"/>
                <w:b/>
                <w:bCs/>
                <w:sz w:val="28"/>
                <w:szCs w:val="28"/>
              </w:rPr>
            </w:pPr>
          </w:p>
        </w:tc>
      </w:tr>
      <w:tr w:rsidR="00374D70" w:rsidRPr="003F2B55" w14:paraId="41418D46" w14:textId="77777777">
        <w:trPr>
          <w:trHeight w:val="355"/>
          <w:jc w:val="center"/>
        </w:trPr>
        <w:tc>
          <w:tcPr>
            <w:tcW w:w="945" w:type="dxa"/>
            <w:tcBorders>
              <w:top w:val="nil"/>
              <w:left w:val="nil"/>
              <w:bottom w:val="nil"/>
              <w:right w:val="nil"/>
            </w:tcBorders>
          </w:tcPr>
          <w:p w14:paraId="3D7EE31E" w14:textId="77777777" w:rsidR="00374D70" w:rsidRPr="003F2B55" w:rsidRDefault="00374D70">
            <w:pPr>
              <w:rPr>
                <w:rFonts w:ascii="Arial" w:hAnsi="Arial"/>
                <w:b/>
                <w:bCs/>
                <w:sz w:val="28"/>
                <w:szCs w:val="28"/>
                <w:rtl/>
              </w:rPr>
            </w:pPr>
          </w:p>
        </w:tc>
        <w:tc>
          <w:tcPr>
            <w:tcW w:w="4114" w:type="dxa"/>
            <w:tcBorders>
              <w:top w:val="nil"/>
              <w:left w:val="nil"/>
              <w:bottom w:val="nil"/>
              <w:right w:val="nil"/>
            </w:tcBorders>
          </w:tcPr>
          <w:p w14:paraId="47DBB86F" w14:textId="77777777" w:rsidR="00374D70" w:rsidRPr="003F2B55" w:rsidRDefault="003F2B55">
            <w:pPr>
              <w:rPr>
                <w:b/>
                <w:bCs/>
                <w:sz w:val="28"/>
                <w:szCs w:val="28"/>
                <w:rtl/>
              </w:rPr>
            </w:pPr>
            <w:r w:rsidRPr="003F2B55">
              <w:rPr>
                <w:rFonts w:hint="cs"/>
                <w:b/>
                <w:bCs/>
                <w:sz w:val="28"/>
                <w:szCs w:val="28"/>
                <w:rtl/>
              </w:rPr>
              <w:t xml:space="preserve">פאדי מעאיטה </w:t>
            </w:r>
          </w:p>
        </w:tc>
        <w:tc>
          <w:tcPr>
            <w:tcW w:w="3761" w:type="dxa"/>
            <w:tcBorders>
              <w:top w:val="nil"/>
              <w:left w:val="nil"/>
              <w:bottom w:val="nil"/>
              <w:right w:val="nil"/>
            </w:tcBorders>
          </w:tcPr>
          <w:p w14:paraId="533F5F8D" w14:textId="77777777" w:rsidR="00374D70" w:rsidRPr="003F2B55" w:rsidRDefault="00374D70">
            <w:pPr>
              <w:jc w:val="right"/>
              <w:rPr>
                <w:rFonts w:ascii="Arial" w:hAnsi="Arial"/>
                <w:b/>
                <w:bCs/>
                <w:sz w:val="28"/>
                <w:szCs w:val="28"/>
              </w:rPr>
            </w:pPr>
          </w:p>
        </w:tc>
      </w:tr>
      <w:tr w:rsidR="00374D70" w:rsidRPr="003F2B55" w14:paraId="4C0F71AB" w14:textId="77777777">
        <w:trPr>
          <w:trHeight w:val="355"/>
          <w:jc w:val="center"/>
        </w:trPr>
        <w:tc>
          <w:tcPr>
            <w:tcW w:w="945" w:type="dxa"/>
            <w:tcBorders>
              <w:top w:val="nil"/>
              <w:left w:val="nil"/>
              <w:bottom w:val="nil"/>
              <w:right w:val="nil"/>
            </w:tcBorders>
          </w:tcPr>
          <w:p w14:paraId="0AD5833C" w14:textId="77777777" w:rsidR="00374D70" w:rsidRPr="003F2B55" w:rsidRDefault="00374D70">
            <w:pPr>
              <w:jc w:val="both"/>
              <w:rPr>
                <w:rFonts w:ascii="Arial" w:hAnsi="Arial"/>
                <w:b/>
                <w:bCs/>
                <w:sz w:val="28"/>
                <w:szCs w:val="28"/>
                <w:rtl/>
              </w:rPr>
            </w:pPr>
          </w:p>
        </w:tc>
        <w:tc>
          <w:tcPr>
            <w:tcW w:w="4114" w:type="dxa"/>
            <w:tcBorders>
              <w:top w:val="nil"/>
              <w:left w:val="nil"/>
              <w:bottom w:val="nil"/>
              <w:right w:val="nil"/>
            </w:tcBorders>
          </w:tcPr>
          <w:p w14:paraId="3C184F3E" w14:textId="77777777" w:rsidR="00374D70" w:rsidRPr="003F2B55" w:rsidRDefault="00374D70">
            <w:pPr>
              <w:jc w:val="both"/>
              <w:rPr>
                <w:b/>
                <w:bCs/>
                <w:sz w:val="28"/>
                <w:szCs w:val="28"/>
                <w:rtl/>
              </w:rPr>
            </w:pPr>
          </w:p>
        </w:tc>
        <w:tc>
          <w:tcPr>
            <w:tcW w:w="3761" w:type="dxa"/>
            <w:tcBorders>
              <w:top w:val="nil"/>
              <w:left w:val="nil"/>
              <w:bottom w:val="nil"/>
              <w:right w:val="nil"/>
            </w:tcBorders>
          </w:tcPr>
          <w:p w14:paraId="0BA4CB14" w14:textId="77777777" w:rsidR="00374D70" w:rsidRPr="003F2B55" w:rsidRDefault="003F2B55">
            <w:pPr>
              <w:jc w:val="right"/>
              <w:rPr>
                <w:rFonts w:ascii="Arial" w:hAnsi="Arial"/>
                <w:b/>
                <w:bCs/>
                <w:sz w:val="28"/>
                <w:szCs w:val="28"/>
              </w:rPr>
            </w:pPr>
            <w:r w:rsidRPr="003F2B55">
              <w:rPr>
                <w:rFonts w:ascii="Arial" w:hAnsi="Arial" w:hint="cs"/>
                <w:b/>
                <w:bCs/>
                <w:sz w:val="28"/>
                <w:szCs w:val="28"/>
                <w:rtl/>
              </w:rPr>
              <w:t xml:space="preserve">הנאשם </w:t>
            </w:r>
          </w:p>
        </w:tc>
      </w:tr>
      <w:tr w:rsidR="00374D70" w:rsidRPr="003F2B55" w14:paraId="4FD2C572" w14:textId="77777777">
        <w:trPr>
          <w:trHeight w:val="355"/>
          <w:jc w:val="center"/>
        </w:trPr>
        <w:tc>
          <w:tcPr>
            <w:tcW w:w="945" w:type="dxa"/>
            <w:tcBorders>
              <w:top w:val="nil"/>
              <w:left w:val="nil"/>
              <w:bottom w:val="nil"/>
              <w:right w:val="nil"/>
            </w:tcBorders>
          </w:tcPr>
          <w:p w14:paraId="078877D4" w14:textId="77777777" w:rsidR="00374D70" w:rsidRPr="003F2B55" w:rsidRDefault="00374D70">
            <w:pPr>
              <w:jc w:val="both"/>
              <w:rPr>
                <w:rFonts w:ascii="Arial" w:hAnsi="Arial"/>
                <w:b/>
                <w:bCs/>
                <w:sz w:val="28"/>
                <w:szCs w:val="28"/>
                <w:rtl/>
              </w:rPr>
            </w:pPr>
          </w:p>
        </w:tc>
        <w:tc>
          <w:tcPr>
            <w:tcW w:w="4114" w:type="dxa"/>
            <w:tcBorders>
              <w:top w:val="nil"/>
              <w:left w:val="nil"/>
              <w:bottom w:val="nil"/>
              <w:right w:val="nil"/>
            </w:tcBorders>
          </w:tcPr>
          <w:p w14:paraId="1969B72A" w14:textId="77777777" w:rsidR="00374D70" w:rsidRPr="003F2B55" w:rsidRDefault="00374D70">
            <w:pPr>
              <w:jc w:val="both"/>
              <w:rPr>
                <w:b/>
                <w:bCs/>
                <w:sz w:val="28"/>
                <w:szCs w:val="28"/>
                <w:rtl/>
              </w:rPr>
            </w:pPr>
          </w:p>
        </w:tc>
        <w:tc>
          <w:tcPr>
            <w:tcW w:w="3761" w:type="dxa"/>
            <w:tcBorders>
              <w:top w:val="nil"/>
              <w:left w:val="nil"/>
              <w:bottom w:val="nil"/>
              <w:right w:val="nil"/>
            </w:tcBorders>
          </w:tcPr>
          <w:p w14:paraId="07A4941D" w14:textId="77777777" w:rsidR="00374D70" w:rsidRPr="003F2B55" w:rsidRDefault="00374D70">
            <w:pPr>
              <w:jc w:val="right"/>
              <w:rPr>
                <w:rFonts w:ascii="Arial" w:hAnsi="Arial"/>
                <w:b/>
                <w:bCs/>
                <w:sz w:val="28"/>
                <w:szCs w:val="28"/>
                <w:rtl/>
              </w:rPr>
            </w:pPr>
          </w:p>
        </w:tc>
      </w:tr>
    </w:tbl>
    <w:p w14:paraId="63ED86FF" w14:textId="77777777" w:rsidR="00E76383" w:rsidRDefault="00E76383">
      <w:pPr>
        <w:rPr>
          <w:sz w:val="28"/>
          <w:szCs w:val="28"/>
          <w:rtl/>
        </w:rPr>
      </w:pPr>
      <w:bookmarkStart w:id="2" w:name="LawTable"/>
      <w:bookmarkEnd w:id="2"/>
    </w:p>
    <w:p w14:paraId="2A60C3A6" w14:textId="77777777" w:rsidR="00E76383" w:rsidRPr="00E76383" w:rsidRDefault="00E76383" w:rsidP="00E76383">
      <w:pPr>
        <w:spacing w:after="120" w:line="240" w:lineRule="exact"/>
        <w:ind w:left="283" w:hanging="283"/>
        <w:jc w:val="both"/>
        <w:rPr>
          <w:rFonts w:ascii="FrankRuehl" w:hAnsi="FrankRuehl" w:cs="FrankRuehl"/>
          <w:rtl/>
        </w:rPr>
      </w:pPr>
    </w:p>
    <w:p w14:paraId="5D3E7711" w14:textId="77777777" w:rsidR="00E76383" w:rsidRPr="00E76383" w:rsidRDefault="00E76383" w:rsidP="00E76383">
      <w:pPr>
        <w:spacing w:after="120" w:line="240" w:lineRule="exact"/>
        <w:ind w:left="283" w:hanging="283"/>
        <w:jc w:val="both"/>
        <w:rPr>
          <w:rFonts w:ascii="FrankRuehl" w:hAnsi="FrankRuehl" w:cs="FrankRuehl"/>
          <w:rtl/>
        </w:rPr>
      </w:pPr>
      <w:r w:rsidRPr="00E76383">
        <w:rPr>
          <w:rFonts w:ascii="FrankRuehl" w:hAnsi="FrankRuehl" w:cs="FrankRuehl"/>
          <w:rtl/>
        </w:rPr>
        <w:t xml:space="preserve">חקיקה שאוזכרה: </w:t>
      </w:r>
    </w:p>
    <w:p w14:paraId="406AB71E" w14:textId="77777777" w:rsidR="00E76383" w:rsidRPr="00E76383" w:rsidRDefault="00E76383" w:rsidP="00E76383">
      <w:pPr>
        <w:spacing w:after="120" w:line="240" w:lineRule="exact"/>
        <w:ind w:left="283" w:hanging="283"/>
        <w:jc w:val="both"/>
        <w:rPr>
          <w:rFonts w:ascii="FrankRuehl" w:hAnsi="FrankRuehl" w:cs="FrankRuehl"/>
          <w:rtl/>
        </w:rPr>
      </w:pPr>
      <w:hyperlink r:id="rId7" w:history="1">
        <w:r w:rsidRPr="00E76383">
          <w:rPr>
            <w:rFonts w:ascii="FrankRuehl" w:hAnsi="FrankRuehl" w:cs="FrankRuehl"/>
            <w:color w:val="0000FF"/>
            <w:u w:val="single"/>
            <w:rtl/>
          </w:rPr>
          <w:t>חוק העונשין, תשל"ז-1977</w:t>
        </w:r>
      </w:hyperlink>
      <w:r w:rsidRPr="00E76383">
        <w:rPr>
          <w:rFonts w:ascii="FrankRuehl" w:hAnsi="FrankRuehl" w:cs="FrankRuehl"/>
          <w:rtl/>
        </w:rPr>
        <w:t xml:space="preserve">: סע'  </w:t>
      </w:r>
      <w:hyperlink r:id="rId8" w:history="1">
        <w:r w:rsidRPr="00E76383">
          <w:rPr>
            <w:rFonts w:ascii="FrankRuehl" w:hAnsi="FrankRuehl" w:cs="FrankRuehl"/>
            <w:color w:val="0000FF"/>
            <w:u w:val="single"/>
            <w:rtl/>
          </w:rPr>
          <w:t>40ד</w:t>
        </w:r>
      </w:hyperlink>
      <w:r w:rsidRPr="00E76383">
        <w:rPr>
          <w:rFonts w:ascii="FrankRuehl" w:hAnsi="FrankRuehl" w:cs="FrankRuehl"/>
          <w:rtl/>
        </w:rPr>
        <w:t xml:space="preserve">, </w:t>
      </w:r>
      <w:hyperlink r:id="rId9" w:history="1">
        <w:r w:rsidRPr="00E76383">
          <w:rPr>
            <w:rFonts w:ascii="FrankRuehl" w:hAnsi="FrankRuehl" w:cs="FrankRuehl"/>
            <w:color w:val="0000FF"/>
            <w:u w:val="single"/>
            <w:rtl/>
          </w:rPr>
          <w:t>40ט</w:t>
        </w:r>
      </w:hyperlink>
      <w:r w:rsidRPr="00E76383">
        <w:rPr>
          <w:rFonts w:ascii="FrankRuehl" w:hAnsi="FrankRuehl" w:cs="FrankRuehl"/>
          <w:rtl/>
        </w:rPr>
        <w:t xml:space="preserve">, </w:t>
      </w:r>
      <w:hyperlink r:id="rId10" w:history="1">
        <w:r w:rsidRPr="00E76383">
          <w:rPr>
            <w:rFonts w:ascii="FrankRuehl" w:hAnsi="FrankRuehl" w:cs="FrankRuehl"/>
            <w:color w:val="0000FF"/>
            <w:u w:val="single"/>
            <w:rtl/>
          </w:rPr>
          <w:t>144(א)</w:t>
        </w:r>
      </w:hyperlink>
      <w:r w:rsidRPr="00E76383">
        <w:rPr>
          <w:rFonts w:ascii="FrankRuehl" w:hAnsi="FrankRuehl" w:cs="FrankRuehl"/>
          <w:rtl/>
        </w:rPr>
        <w:t xml:space="preserve">, </w:t>
      </w:r>
      <w:hyperlink r:id="rId11" w:history="1">
        <w:r w:rsidRPr="00E76383">
          <w:rPr>
            <w:rFonts w:ascii="FrankRuehl" w:hAnsi="FrankRuehl" w:cs="FrankRuehl"/>
            <w:color w:val="0000FF"/>
            <w:u w:val="single"/>
            <w:rtl/>
          </w:rPr>
          <w:t>40יא</w:t>
        </w:r>
      </w:hyperlink>
      <w:r w:rsidRPr="00E76383">
        <w:rPr>
          <w:rFonts w:ascii="FrankRuehl" w:hAnsi="FrankRuehl" w:cs="FrankRuehl"/>
          <w:rtl/>
        </w:rPr>
        <w:t xml:space="preserve">, </w:t>
      </w:r>
      <w:hyperlink r:id="rId12" w:history="1">
        <w:r w:rsidRPr="00E76383">
          <w:rPr>
            <w:rFonts w:ascii="FrankRuehl" w:hAnsi="FrankRuehl" w:cs="FrankRuehl"/>
            <w:color w:val="0000FF"/>
            <w:u w:val="single"/>
            <w:rtl/>
          </w:rPr>
          <w:t>40יג</w:t>
        </w:r>
      </w:hyperlink>
    </w:p>
    <w:p w14:paraId="58FFE1F9" w14:textId="77777777" w:rsidR="00E76383" w:rsidRPr="00E76383" w:rsidRDefault="00E76383" w:rsidP="00E7638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4D70" w14:paraId="44028CE4" w14:textId="77777777">
        <w:trPr>
          <w:trHeight w:val="355"/>
          <w:jc w:val="center"/>
        </w:trPr>
        <w:tc>
          <w:tcPr>
            <w:tcW w:w="8820" w:type="dxa"/>
            <w:tcBorders>
              <w:top w:val="nil"/>
              <w:left w:val="nil"/>
              <w:bottom w:val="nil"/>
              <w:right w:val="nil"/>
            </w:tcBorders>
          </w:tcPr>
          <w:p w14:paraId="6B8CF2C2" w14:textId="77777777" w:rsidR="003F2B55" w:rsidRPr="003F2B55" w:rsidRDefault="003F2B55" w:rsidP="003F2B55">
            <w:pPr>
              <w:jc w:val="center"/>
              <w:rPr>
                <w:rFonts w:ascii="Arial" w:hAnsi="Arial" w:cs="FrankRuehl"/>
                <w:b/>
                <w:bCs/>
                <w:sz w:val="28"/>
                <w:szCs w:val="28"/>
                <w:u w:val="single"/>
                <w:rtl/>
              </w:rPr>
            </w:pPr>
            <w:bookmarkStart w:id="3" w:name="LawTable_End"/>
            <w:bookmarkStart w:id="4" w:name="PsakDin" w:colFirst="0" w:colLast="0"/>
            <w:bookmarkEnd w:id="0"/>
            <w:bookmarkEnd w:id="3"/>
            <w:r w:rsidRPr="003F2B55">
              <w:rPr>
                <w:rFonts w:ascii="Arial" w:hAnsi="Arial" w:cs="FrankRuehl"/>
                <w:b/>
                <w:bCs/>
                <w:sz w:val="28"/>
                <w:szCs w:val="28"/>
                <w:u w:val="single"/>
                <w:rtl/>
              </w:rPr>
              <w:t>גזר דין</w:t>
            </w:r>
          </w:p>
          <w:p w14:paraId="1949EC7F" w14:textId="77777777" w:rsidR="00374D70" w:rsidRPr="003F2B55" w:rsidRDefault="00374D70" w:rsidP="003F2B55">
            <w:pPr>
              <w:jc w:val="center"/>
              <w:rPr>
                <w:rFonts w:ascii="Arial" w:hAnsi="Arial" w:cs="FrankRuehl"/>
                <w:bCs/>
                <w:sz w:val="28"/>
                <w:szCs w:val="28"/>
                <w:u w:val="single"/>
                <w:rtl/>
              </w:rPr>
            </w:pPr>
          </w:p>
        </w:tc>
      </w:tr>
    </w:tbl>
    <w:bookmarkEnd w:id="4"/>
    <w:p w14:paraId="30E3EEFB" w14:textId="77777777" w:rsidR="00374D70" w:rsidRDefault="003F2B55">
      <w:pPr>
        <w:rPr>
          <w:rFonts w:ascii="Arial" w:hAnsi="Arial"/>
          <w:b/>
          <w:bCs/>
          <w:u w:val="single"/>
          <w:rtl/>
        </w:rPr>
      </w:pPr>
      <w:r>
        <w:rPr>
          <w:rFonts w:ascii="Arial" w:hAnsi="Arial" w:hint="cs"/>
          <w:b/>
          <w:bCs/>
          <w:u w:val="single"/>
          <w:rtl/>
        </w:rPr>
        <w:t>רקע</w:t>
      </w:r>
    </w:p>
    <w:p w14:paraId="3353D918" w14:textId="77777777" w:rsidR="00374D70" w:rsidRDefault="003F2B55">
      <w:pPr>
        <w:pStyle w:val="ListParagraph"/>
        <w:numPr>
          <w:ilvl w:val="0"/>
          <w:numId w:val="1"/>
        </w:numPr>
        <w:spacing w:line="360" w:lineRule="auto"/>
        <w:jc w:val="both"/>
      </w:pPr>
      <w:bookmarkStart w:id="5" w:name="ABSTRACT_START"/>
      <w:bookmarkEnd w:id="5"/>
      <w:r>
        <w:rPr>
          <w:rFonts w:hint="cs"/>
          <w:rtl/>
        </w:rPr>
        <w:t xml:space="preserve">הנאשם הורשע על פי הודאתו בעבירה של החזקת נשק לפי </w:t>
      </w:r>
      <w:hyperlink r:id="rId13" w:history="1">
        <w:r w:rsidR="00E76383" w:rsidRPr="00E76383">
          <w:rPr>
            <w:color w:val="0000FF"/>
            <w:u w:val="single"/>
            <w:rtl/>
          </w:rPr>
          <w:t>סעיף 144(א)</w:t>
        </w:r>
      </w:hyperlink>
      <w:r>
        <w:rPr>
          <w:rFonts w:hint="cs"/>
          <w:rtl/>
        </w:rPr>
        <w:t xml:space="preserve"> ל</w:t>
      </w:r>
      <w:hyperlink r:id="rId14" w:history="1">
        <w:r w:rsidRPr="003F2B55">
          <w:rPr>
            <w:color w:val="0000FF"/>
            <w:u w:val="single"/>
            <w:rtl/>
          </w:rPr>
          <w:t>חוק העונשין</w:t>
        </w:r>
      </w:hyperlink>
      <w:r>
        <w:rPr>
          <w:rFonts w:hint="cs"/>
          <w:rtl/>
        </w:rPr>
        <w:t xml:space="preserve"> התשל"ז-1977, בכך שבמשך כשנתיים עובר ליום 11.2.14, החזיק הנאשם שבביתו שבעזריה נשק מאולתר מסוג "קרל גוסטב". </w:t>
      </w:r>
      <w:bookmarkStart w:id="6" w:name="ABSTRACT_END"/>
      <w:bookmarkEnd w:id="6"/>
      <w:r>
        <w:rPr>
          <w:rFonts w:hint="cs"/>
          <w:rtl/>
        </w:rPr>
        <w:t xml:space="preserve">הנאשם הסתיר את הנשק בעליית הגג של המקלחת בביתו וטען כי החזיקו לצורך הגנה עצמית. </w:t>
      </w:r>
    </w:p>
    <w:p w14:paraId="32BC3341" w14:textId="77777777" w:rsidR="00374D70" w:rsidRDefault="00374D70">
      <w:pPr>
        <w:pStyle w:val="ListParagraph"/>
        <w:spacing w:line="360" w:lineRule="auto"/>
        <w:jc w:val="both"/>
        <w:rPr>
          <w:sz w:val="12"/>
          <w:szCs w:val="12"/>
        </w:rPr>
      </w:pPr>
    </w:p>
    <w:p w14:paraId="79070DAA" w14:textId="77777777" w:rsidR="00374D70" w:rsidRDefault="003F2B55">
      <w:pPr>
        <w:pStyle w:val="ListParagraph"/>
        <w:numPr>
          <w:ilvl w:val="0"/>
          <w:numId w:val="1"/>
        </w:numPr>
        <w:spacing w:line="360" w:lineRule="auto"/>
        <w:jc w:val="both"/>
      </w:pPr>
      <w:r>
        <w:rPr>
          <w:rFonts w:hint="cs"/>
          <w:rtl/>
        </w:rPr>
        <w:t xml:space="preserve">ב"כ הנאשם ביקש לטעון לעונש לאחר קבלת תסקיר בעניינו של הנאשם, למרות שהנאשם שהה במעצר בית מלא, וב"כ המאשימה לא התנגדה לכך, אולם הדגישה כי עמדתה למאסר. </w:t>
      </w:r>
    </w:p>
    <w:p w14:paraId="1EA436C9" w14:textId="77777777" w:rsidR="00374D70" w:rsidRDefault="00374D70">
      <w:pPr>
        <w:spacing w:line="360" w:lineRule="auto"/>
        <w:jc w:val="both"/>
        <w:rPr>
          <w:b/>
          <w:bCs/>
          <w:u w:val="single"/>
          <w:rtl/>
        </w:rPr>
      </w:pPr>
    </w:p>
    <w:p w14:paraId="1CD67299" w14:textId="77777777" w:rsidR="00374D70" w:rsidRDefault="003F2B55">
      <w:pPr>
        <w:spacing w:line="360" w:lineRule="auto"/>
        <w:jc w:val="both"/>
        <w:rPr>
          <w:b/>
          <w:bCs/>
          <w:u w:val="single"/>
        </w:rPr>
      </w:pPr>
      <w:r>
        <w:rPr>
          <w:rFonts w:hint="cs"/>
          <w:b/>
          <w:bCs/>
          <w:u w:val="single"/>
          <w:rtl/>
        </w:rPr>
        <w:t>תסקיר שירות מבחן</w:t>
      </w:r>
    </w:p>
    <w:p w14:paraId="69F7062F" w14:textId="77777777" w:rsidR="00374D70" w:rsidRDefault="003F2B55">
      <w:pPr>
        <w:pStyle w:val="ListParagraph"/>
        <w:numPr>
          <w:ilvl w:val="0"/>
          <w:numId w:val="1"/>
        </w:numPr>
        <w:spacing w:line="360" w:lineRule="auto"/>
        <w:jc w:val="both"/>
      </w:pPr>
      <w:r>
        <w:rPr>
          <w:rFonts w:hint="cs"/>
          <w:rtl/>
        </w:rPr>
        <w:t xml:space="preserve">מתסקיר שירות המבחן עולה כי הנאשם בן 35, נשוי ואב לשלושה ילדים בני שנתיים ועד שמונה שנים, סובל ממחלה כרונית הגורמת לדלקות מפרקים או דלקות בכליות. הנאשם סיים 12 שנות לימוד במגמה מקצועית והוא בעל תעודת בגרות מלאה. בהמשך עבד הנאשם בתיקון מכשירי איתור ומיגון לרכב בחברות שונות, ומזה כשמונה שנים הוא עובד בתחום </w:t>
      </w:r>
      <w:r>
        <w:rPr>
          <w:rFonts w:hint="cs"/>
          <w:rtl/>
        </w:rPr>
        <w:lastRenderedPageBreak/>
        <w:t xml:space="preserve">המסחר הכללי, בעיקר בסחר בחומרי ניקיון. הנאשם תיאר בפני קצינת המבחן את מצבו הכלכלי כבינוני ומסר כי מעצרו פגע באופן קשה בעסקיו, שכן הדבר גרם לפגיעה בתדמיתו מול הסוחרים האחרים והוא שקע בחובות. במקביל לעבודתו שירת הנאשם כסמל ראשון במנגנון הביטחון הפלסטיני. </w:t>
      </w:r>
    </w:p>
    <w:p w14:paraId="44B53887" w14:textId="77777777" w:rsidR="00374D70" w:rsidRDefault="00374D70">
      <w:pPr>
        <w:pStyle w:val="ListParagraph"/>
        <w:spacing w:line="360" w:lineRule="auto"/>
        <w:jc w:val="both"/>
        <w:rPr>
          <w:sz w:val="12"/>
          <w:szCs w:val="12"/>
        </w:rPr>
      </w:pPr>
    </w:p>
    <w:p w14:paraId="77466BC1" w14:textId="77777777" w:rsidR="00374D70" w:rsidRDefault="003F2B55">
      <w:pPr>
        <w:pStyle w:val="ListParagraph"/>
        <w:numPr>
          <w:ilvl w:val="0"/>
          <w:numId w:val="1"/>
        </w:numPr>
        <w:spacing w:line="360" w:lineRule="auto"/>
        <w:jc w:val="both"/>
      </w:pPr>
      <w:r>
        <w:rPr>
          <w:rFonts w:hint="cs"/>
          <w:rtl/>
        </w:rPr>
        <w:t xml:space="preserve">עוד עולה מהתסקיר כי אביו של הנאשם לוקה בכליותיו, אמו עקרת בית הסובלת מבעיות בבלוטת התריס ומשפחת המוצא ניהלה אורח חיים נורמטיבי. קצינת המבחן התרשמה כי לנאשם קשר תלותי עם הוריו, הוא דואג לפרנסתם והם מתגוררים בביתו בשל מצבם הבריאותי. </w:t>
      </w:r>
    </w:p>
    <w:p w14:paraId="63A0CDB6" w14:textId="77777777" w:rsidR="00374D70" w:rsidRDefault="00374D70">
      <w:pPr>
        <w:pStyle w:val="ListParagraph"/>
        <w:spacing w:line="360" w:lineRule="auto"/>
        <w:jc w:val="both"/>
        <w:rPr>
          <w:sz w:val="12"/>
          <w:szCs w:val="12"/>
        </w:rPr>
      </w:pPr>
    </w:p>
    <w:p w14:paraId="2B00B009" w14:textId="77777777" w:rsidR="00374D70" w:rsidRDefault="003F2B55">
      <w:pPr>
        <w:pStyle w:val="ListParagraph"/>
        <w:numPr>
          <w:ilvl w:val="0"/>
          <w:numId w:val="1"/>
        </w:numPr>
        <w:spacing w:line="360" w:lineRule="auto"/>
        <w:jc w:val="both"/>
      </w:pPr>
      <w:r>
        <w:rPr>
          <w:rFonts w:hint="cs"/>
          <w:rtl/>
        </w:rPr>
        <w:t xml:space="preserve">קצינת המבחן מסרה כי מרישומו הפלילי של הנאשם עולה כי לנאשם הרשעה קודמת מלפני כשלוש שנים הקשורה בעבירות כלפי שוטר שבגינם נדון לעונש של מאסר מותנה וקנס. </w:t>
      </w:r>
    </w:p>
    <w:p w14:paraId="546E18D8" w14:textId="77777777" w:rsidR="00374D70" w:rsidRDefault="00374D70">
      <w:pPr>
        <w:pStyle w:val="ListParagraph"/>
        <w:spacing w:line="360" w:lineRule="auto"/>
        <w:jc w:val="both"/>
        <w:rPr>
          <w:sz w:val="12"/>
          <w:szCs w:val="12"/>
        </w:rPr>
      </w:pPr>
    </w:p>
    <w:p w14:paraId="1EBBEC90" w14:textId="77777777" w:rsidR="00374D70" w:rsidRDefault="003F2B55">
      <w:pPr>
        <w:pStyle w:val="ListParagraph"/>
        <w:numPr>
          <w:ilvl w:val="0"/>
          <w:numId w:val="1"/>
        </w:numPr>
        <w:spacing w:line="360" w:lineRule="auto"/>
        <w:jc w:val="both"/>
      </w:pPr>
      <w:r>
        <w:rPr>
          <w:rFonts w:hint="cs"/>
          <w:rtl/>
        </w:rPr>
        <w:t xml:space="preserve">ביחס לביצוע העבירה מסרה קצינת המבחן כי הנאשם לקח אחריות חלקית לביצועה, שכן הנאשם מסר לה כי הנשק שנתפס הופקד בידיו על ידי מפקדיו כחלק מתפקידו במנגנון הביטחון המסכל, אולם קצינת המבחן הדגישה כי דבריו של הנאשם אינם עולים בקנה אחד עם האישור שמסר, ממנו עולה כי הנשק שהופקד בידיו הוא מסוג ברטה. עוד מסר הנאשם לקצינת המבחן כי מאחר שהוא עבד במנגנון הביטחון המסכל הנתפס ברחוב הפלסטיני כידו הארוכה של השב"כ הוא חשש לשלומו ולשלום בני ביתו והוא חש צורך בהחזקת הנשק להגנה עצמית. הנאשם הוסיף כי שיתף פעולה באופן מלא עם השוטרים, חסך מהם את החיפוש ומיוזמתו מסר להם את הנשק. אשר למקום מציאת הנשק, טען הנאשם כי הסתירו בעליית הגג מחשש שיגיע לילדיו הקטינים. </w:t>
      </w:r>
    </w:p>
    <w:p w14:paraId="2A6F1ED7" w14:textId="77777777" w:rsidR="00374D70" w:rsidRDefault="00374D70">
      <w:pPr>
        <w:pStyle w:val="ListParagraph"/>
        <w:spacing w:line="360" w:lineRule="auto"/>
        <w:jc w:val="both"/>
        <w:rPr>
          <w:sz w:val="12"/>
          <w:szCs w:val="12"/>
        </w:rPr>
      </w:pPr>
    </w:p>
    <w:p w14:paraId="03FEDF5F" w14:textId="77777777" w:rsidR="00374D70" w:rsidRDefault="003F2B55">
      <w:pPr>
        <w:pStyle w:val="ListParagraph"/>
        <w:numPr>
          <w:ilvl w:val="0"/>
          <w:numId w:val="1"/>
        </w:numPr>
        <w:spacing w:line="360" w:lineRule="auto"/>
        <w:jc w:val="both"/>
      </w:pPr>
      <w:r>
        <w:rPr>
          <w:rFonts w:hint="cs"/>
          <w:rtl/>
        </w:rPr>
        <w:t xml:space="preserve">קצינת המבחן העריכה כי הרקע לביצוע העבירה הוא הצורך של הנאשם להגן עליו ועל בני משפחתו על רקע עבודתו במנגנון הביטחון הפלסטיני. גם אם נהג באופן לא נורמטיבי ולא חוקי שיש בו טשטוש גבולות בין המותר לאסור. קצינת המבחן התרשמה כי הנאשם מניפולטיבי, נוטה לטשטש ולגמד את בעיותיו. ניכרים באישיותו קווים ילדותיים ולא בשלים ויש לו קושי בהצבת גבולות ברורים בין המותר לאסור. לצד זאת התרשמה קצינת המבחן כי לנאשם יכולות תפקוד טובים, הוא מנהל בדרך כלל אורח חיים תקין ונורמטיבי, עובד לפרנסת משפחתו והפסיק בעקבות מעצרו לעבוד במנגנון הביטחון הפלסטיני ולכן גורמים אלה מהווים גורמי סיכוי לשיקום ולהימנעותו מהתנהגות עבריינית בהמשך. </w:t>
      </w:r>
    </w:p>
    <w:p w14:paraId="63CBFB01" w14:textId="77777777" w:rsidR="00374D70" w:rsidRDefault="00374D70">
      <w:pPr>
        <w:pStyle w:val="ListParagraph"/>
        <w:spacing w:line="360" w:lineRule="auto"/>
        <w:jc w:val="both"/>
        <w:rPr>
          <w:sz w:val="12"/>
          <w:szCs w:val="12"/>
        </w:rPr>
      </w:pPr>
    </w:p>
    <w:p w14:paraId="236937BF" w14:textId="77777777" w:rsidR="00374D70" w:rsidRDefault="003F2B55">
      <w:pPr>
        <w:pStyle w:val="ListParagraph"/>
        <w:numPr>
          <w:ilvl w:val="0"/>
          <w:numId w:val="1"/>
        </w:numPr>
        <w:spacing w:line="360" w:lineRule="auto"/>
        <w:jc w:val="both"/>
        <w:rPr>
          <w:b/>
          <w:bCs/>
          <w:u w:val="single"/>
        </w:rPr>
      </w:pPr>
      <w:r>
        <w:rPr>
          <w:rFonts w:hint="cs"/>
          <w:rtl/>
        </w:rPr>
        <w:t xml:space="preserve">קצינת המבחן המליצה להתחשב בתקופת המעצר ומעצר הבית בה שהה הנאשם ולהתחשב בכך שההליכים הפליליים חידדו לו את גבולות המותר והאסור והמליצה כי בית המשפט יטיל על הנאשם מאסר אשר ירוצה בעבודות שירות לצד מאסר על תנאי משמעותי. </w:t>
      </w:r>
    </w:p>
    <w:p w14:paraId="168C60D2" w14:textId="77777777" w:rsidR="00374D70" w:rsidRDefault="00374D70">
      <w:pPr>
        <w:pStyle w:val="ListParagraph"/>
        <w:spacing w:line="360" w:lineRule="auto"/>
        <w:jc w:val="both"/>
        <w:rPr>
          <w:b/>
          <w:bCs/>
          <w:u w:val="single"/>
        </w:rPr>
      </w:pPr>
    </w:p>
    <w:p w14:paraId="226B283D" w14:textId="77777777" w:rsidR="00374D70" w:rsidRDefault="003F2B55">
      <w:pPr>
        <w:spacing w:line="360" w:lineRule="auto"/>
        <w:jc w:val="both"/>
        <w:rPr>
          <w:b/>
          <w:bCs/>
          <w:u w:val="single"/>
        </w:rPr>
      </w:pPr>
      <w:r>
        <w:rPr>
          <w:rFonts w:hint="cs"/>
          <w:b/>
          <w:bCs/>
          <w:u w:val="single"/>
          <w:rtl/>
        </w:rPr>
        <w:t>טענות ב"כ הצדדים</w:t>
      </w:r>
    </w:p>
    <w:p w14:paraId="03F37EBC" w14:textId="77777777" w:rsidR="00374D70" w:rsidRDefault="003F2B55">
      <w:pPr>
        <w:pStyle w:val="ListParagraph"/>
        <w:numPr>
          <w:ilvl w:val="0"/>
          <w:numId w:val="1"/>
        </w:numPr>
        <w:spacing w:line="360" w:lineRule="auto"/>
        <w:jc w:val="both"/>
      </w:pPr>
      <w:r>
        <w:rPr>
          <w:rFonts w:hint="cs"/>
          <w:rtl/>
        </w:rPr>
        <w:lastRenderedPageBreak/>
        <w:t xml:space="preserve">ב"כ המאשימה טענה כי הערך המוגן בבסיס עבירת החזקת הנשק הוא הגנה על שלום הציבור וביטחונו, שכן לא ניתן לצפות לאן הנשק יתגלגל ואיזה שימוש ייעשה בו. יש להתחשב בסוג הנשק כאשר מדובר במקלע מאולתר בכך שהוחזק במשך תקופה ארוכה, כאשר לצדו היו מחסנית וכדורים תואמים, והנאשם אף ציין כי החזיק את הנשק לצורך הגנה עצמית, כל אלה יש בהם כדי להגדיל את פוטנציאל השימוש בנשק. ב"כ המאשימה הדגישה כי בית המשפט העליון מסר שוב ושוב כי בעבירה מסוג זה יש להטיל עונש של מאסר, גם אם לא היה בכוונת המחזיק לבצע פשע, וגם כאשר מדובר במעידה ראשונה של הנאשם. </w:t>
      </w:r>
    </w:p>
    <w:p w14:paraId="2F51AC38" w14:textId="77777777" w:rsidR="00374D70" w:rsidRDefault="00374D70">
      <w:pPr>
        <w:pStyle w:val="ListParagraph"/>
        <w:spacing w:line="360" w:lineRule="auto"/>
        <w:jc w:val="both"/>
        <w:rPr>
          <w:sz w:val="12"/>
          <w:szCs w:val="12"/>
        </w:rPr>
      </w:pPr>
    </w:p>
    <w:p w14:paraId="6B48A37A" w14:textId="77777777" w:rsidR="00374D70" w:rsidRDefault="003F2B55">
      <w:pPr>
        <w:pStyle w:val="ListParagraph"/>
        <w:numPr>
          <w:ilvl w:val="0"/>
          <w:numId w:val="1"/>
        </w:numPr>
        <w:spacing w:line="360" w:lineRule="auto"/>
        <w:jc w:val="both"/>
      </w:pPr>
      <w:r>
        <w:rPr>
          <w:rFonts w:hint="cs"/>
          <w:rtl/>
        </w:rPr>
        <w:t>אשר לנסיבות שהובילו לביצוע העבירה, קרי עבודתו של הנאשם בביטחון המסכל של הרש"פ, טענה ב"כ המאשימה כי מדובר בנסיבה לחומרה ולא לקולא שכן עצם חברות במנגנון מסוג זה, היא עבירה בפני עצמה. כמו כן הדגישה ב"כ המאשימה כי טענותיו של הנאשם להחזקת הנשק לא עולים בקנה אחד עם האמור באישור שקיבל ממנגנון הביטחון המסכל באשר לסוג הנשק. ב"כ המאשימה עתרה למתחם של בין 12 חודשי מאסר ועד ל-30 חודשי מאסר.</w:t>
      </w:r>
    </w:p>
    <w:p w14:paraId="5CB475EE" w14:textId="77777777" w:rsidR="00374D70" w:rsidRDefault="00374D70">
      <w:pPr>
        <w:spacing w:line="360" w:lineRule="auto"/>
        <w:ind w:left="360"/>
        <w:jc w:val="both"/>
        <w:rPr>
          <w:sz w:val="12"/>
          <w:szCs w:val="12"/>
        </w:rPr>
      </w:pPr>
    </w:p>
    <w:p w14:paraId="121D19FC" w14:textId="77777777" w:rsidR="00374D70" w:rsidRDefault="003F2B55">
      <w:pPr>
        <w:pStyle w:val="ListParagraph"/>
        <w:numPr>
          <w:ilvl w:val="0"/>
          <w:numId w:val="1"/>
        </w:numPr>
        <w:spacing w:line="360" w:lineRule="auto"/>
        <w:jc w:val="both"/>
      </w:pPr>
      <w:r>
        <w:rPr>
          <w:rFonts w:hint="cs"/>
          <w:rtl/>
        </w:rPr>
        <w:t xml:space="preserve">ביחס לעונש המתאים, סברה ב"כ המאשימה כי על בית המשפט לגזור על הנאשם עונש מאסר בחציו העליון של המתחם וזאת בהתחשב מחד בחומרת העבירה ובצורך להרתיע את הרבים ואת הנאשם ומנגד בהתחשב בכך שהנאשם הודה בהזדמנות ראשונה ובהמלצת שירות המבחן. </w:t>
      </w:r>
    </w:p>
    <w:p w14:paraId="017A88F4" w14:textId="77777777" w:rsidR="00374D70" w:rsidRDefault="00374D70">
      <w:pPr>
        <w:pStyle w:val="ListParagraph"/>
        <w:spacing w:line="360" w:lineRule="auto"/>
        <w:jc w:val="both"/>
        <w:rPr>
          <w:sz w:val="12"/>
          <w:szCs w:val="12"/>
        </w:rPr>
      </w:pPr>
    </w:p>
    <w:p w14:paraId="54E4B927" w14:textId="77777777" w:rsidR="00374D70" w:rsidRDefault="003F2B55">
      <w:pPr>
        <w:pStyle w:val="ListParagraph"/>
        <w:numPr>
          <w:ilvl w:val="0"/>
          <w:numId w:val="1"/>
        </w:numPr>
        <w:spacing w:line="360" w:lineRule="auto"/>
        <w:jc w:val="both"/>
      </w:pPr>
      <w:r>
        <w:rPr>
          <w:rFonts w:hint="cs"/>
          <w:rtl/>
        </w:rPr>
        <w:t xml:space="preserve">ב"כ הנאשם טען כי הנשק לא נתפס בשטח ישראל אלא בביתו של  הנאשם, בעזריה, מדובר בנשק מאולתר ומכאן נובעת טעות לגבי סוג הנשק. מטרת ההחזקה היתה להגנה עצמית מחשש לשלומו ולשלום בני משפחתו וכי הנאשם לא הכניס את הנשק לתחומי ירושלים ולא הוגש נגדו כתב אישום על כך שהיה חבר בביטחון המסכל ומדובר בגוף שעובד בשיתוף פעולה בטחוני עם השב"כ והרשויות. לדבריו מיד כאשר נודע לנאשם שאסור לו להיות חבר בביטחון המסכל, הוא הפסיק לעבוד שם. לדידו של ב"כ הנאשם מדובר בנסיבות ברף התחתון של עבירת החזקת הנשק והגיש לתמיכה בטענותיו אישור בדבר עבודתו של הנאשם בביטחון המסכל ובאישור נרשם כי הנשק הועבר לנאשם בתוקף עבודתו וכי הנשק שייך לרש"פ. (ראה נ/1). </w:t>
      </w:r>
    </w:p>
    <w:p w14:paraId="659FF611" w14:textId="77777777" w:rsidR="00374D70" w:rsidRDefault="00374D70">
      <w:pPr>
        <w:pStyle w:val="ListParagraph"/>
        <w:spacing w:line="360" w:lineRule="auto"/>
        <w:jc w:val="both"/>
        <w:rPr>
          <w:sz w:val="12"/>
          <w:szCs w:val="12"/>
        </w:rPr>
      </w:pPr>
    </w:p>
    <w:p w14:paraId="44AFDADE" w14:textId="77777777" w:rsidR="00374D70" w:rsidRDefault="003F2B55">
      <w:pPr>
        <w:pStyle w:val="ListParagraph"/>
        <w:numPr>
          <w:ilvl w:val="0"/>
          <w:numId w:val="1"/>
        </w:numPr>
        <w:spacing w:line="360" w:lineRule="auto"/>
        <w:jc w:val="both"/>
      </w:pPr>
      <w:r>
        <w:rPr>
          <w:rFonts w:hint="cs"/>
          <w:rtl/>
        </w:rPr>
        <w:t xml:space="preserve">ב"כ הנאשם ביקש לאמץ את המלצת שירות המבחן, וטען כי המתחם אשר טענה לו ב"כ המאשימה אינו מתאים לפסיקה הנוהגת ואף הגיש לתמיכה בטענותיו שני גזרי דין בהם הוטלו עונשים של שירות לתועלת הציבור ועבודות שירות. ב"כ הנאשם ביקש להתחשב בהודאתו המיידית של הנאשם עוד בשלב החקירה ובהזדמנות ראשונה בבית המשפט. ציין את נסיבותיו הלא פשוטות של הנאשם שהוא חולה בעצמו ואף מפרנס את הוריו החולים ואת אשתו וילדיו. ב"כ הנאשם ביקש להתחשב בתקופת המעצר והתנאים המגבילים בהם שהה הנאשם, שהובילו למצבו הכלכלי הקשה. נוכח כל אלה ביקש ב"כ הנאשם מבית המשפט להסתפק בענישה מותנית ולחילופין אם בית המשפט יסבור שיש להטיל עונש של מאסר, הרי שהוא יהיה לתקופה קצרה וירוצה בעבודות שירות.   </w:t>
      </w:r>
    </w:p>
    <w:p w14:paraId="296C57AF" w14:textId="77777777" w:rsidR="00374D70" w:rsidRDefault="00374D70">
      <w:pPr>
        <w:pStyle w:val="ListParagraph"/>
        <w:spacing w:line="360" w:lineRule="auto"/>
        <w:jc w:val="both"/>
        <w:rPr>
          <w:sz w:val="12"/>
          <w:szCs w:val="12"/>
        </w:rPr>
      </w:pPr>
    </w:p>
    <w:p w14:paraId="3C6C90AB" w14:textId="77777777" w:rsidR="00374D70" w:rsidRDefault="003F2B55">
      <w:pPr>
        <w:pStyle w:val="ListParagraph"/>
        <w:numPr>
          <w:ilvl w:val="0"/>
          <w:numId w:val="1"/>
        </w:numPr>
        <w:spacing w:line="360" w:lineRule="auto"/>
        <w:jc w:val="both"/>
      </w:pPr>
      <w:r>
        <w:rPr>
          <w:rFonts w:hint="cs"/>
          <w:rtl/>
        </w:rPr>
        <w:t xml:space="preserve">הנאשם בדברו האחרון מסר כי לא ידע שהחזקת הנשק אסורה, מסר כי הוא המפרנס היחיד של הוריו, אשתו ושלושת ילדיו. ביקש מבית המשפט לנקוט במידת הרחמים והדגיש כי הוא עשה טעות חד פעמית שלא יחזור עליה. </w:t>
      </w:r>
    </w:p>
    <w:p w14:paraId="2BF6BD86" w14:textId="77777777" w:rsidR="00374D70" w:rsidRDefault="00374D70">
      <w:pPr>
        <w:pStyle w:val="ListParagraph"/>
        <w:spacing w:line="360" w:lineRule="auto"/>
        <w:jc w:val="both"/>
      </w:pPr>
    </w:p>
    <w:p w14:paraId="33D18982" w14:textId="77777777" w:rsidR="00374D70" w:rsidRDefault="003F2B55">
      <w:pPr>
        <w:spacing w:line="360" w:lineRule="auto"/>
        <w:jc w:val="both"/>
        <w:rPr>
          <w:b/>
          <w:bCs/>
          <w:u w:val="single"/>
          <w:rtl/>
        </w:rPr>
      </w:pPr>
      <w:r>
        <w:rPr>
          <w:rFonts w:hint="cs"/>
          <w:b/>
          <w:bCs/>
          <w:u w:val="single"/>
          <w:rtl/>
        </w:rPr>
        <w:t>עברו הפלילי של הנאשם</w:t>
      </w:r>
    </w:p>
    <w:p w14:paraId="0895132D" w14:textId="77777777" w:rsidR="00374D70" w:rsidRDefault="003F2B55">
      <w:pPr>
        <w:pStyle w:val="ListParagraph"/>
        <w:numPr>
          <w:ilvl w:val="0"/>
          <w:numId w:val="1"/>
        </w:numPr>
        <w:spacing w:line="360" w:lineRule="auto"/>
        <w:jc w:val="both"/>
        <w:rPr>
          <w:rFonts w:ascii="Arial" w:hAnsi="Arial"/>
        </w:rPr>
      </w:pPr>
      <w:r>
        <w:rPr>
          <w:rFonts w:hint="cs"/>
          <w:rtl/>
        </w:rPr>
        <w:t xml:space="preserve">הנאשם יליד 78. צבר לחובתו הרשעה קודמת אחת משנת 2003 בשלוש עבירות של היזק בזדון, הכשלת שוטר והעלבת עובד ציבור </w:t>
      </w:r>
      <w:r>
        <w:rPr>
          <w:rFonts w:ascii="Arial" w:hAnsi="Arial" w:hint="cs"/>
          <w:rtl/>
        </w:rPr>
        <w:t xml:space="preserve">שבגינן נדון הנאשם לעונש של מאסר על תנאי וקנס. </w:t>
      </w:r>
    </w:p>
    <w:p w14:paraId="5A0D5BBF" w14:textId="77777777" w:rsidR="00374D70" w:rsidRDefault="00374D70">
      <w:pPr>
        <w:spacing w:line="360" w:lineRule="auto"/>
        <w:jc w:val="both"/>
        <w:rPr>
          <w:rFonts w:ascii="Arial" w:hAnsi="Arial"/>
        </w:rPr>
      </w:pPr>
    </w:p>
    <w:p w14:paraId="4D858348" w14:textId="77777777" w:rsidR="00374D70" w:rsidRDefault="003F2B55">
      <w:pPr>
        <w:spacing w:line="360" w:lineRule="auto"/>
        <w:jc w:val="both"/>
        <w:rPr>
          <w:b/>
          <w:bCs/>
          <w:u w:val="single"/>
        </w:rPr>
      </w:pPr>
      <w:r>
        <w:rPr>
          <w:rFonts w:hint="cs"/>
          <w:b/>
          <w:bCs/>
          <w:u w:val="single"/>
          <w:rtl/>
        </w:rPr>
        <w:t>מתחם העונש ההולם</w:t>
      </w:r>
    </w:p>
    <w:p w14:paraId="160A3348" w14:textId="77777777" w:rsidR="00374D70" w:rsidRDefault="003F2B55">
      <w:pPr>
        <w:pStyle w:val="ListParagraph"/>
        <w:numPr>
          <w:ilvl w:val="0"/>
          <w:numId w:val="1"/>
        </w:numPr>
        <w:spacing w:line="360" w:lineRule="auto"/>
        <w:jc w:val="both"/>
      </w:pPr>
      <w:r>
        <w:rPr>
          <w:rFonts w:ascii="David" w:hAnsi="David" w:hint="cs"/>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205E07A2" w14:textId="77777777" w:rsidR="00374D70" w:rsidRDefault="00374D70">
      <w:pPr>
        <w:pStyle w:val="ListParagraph"/>
        <w:spacing w:line="360" w:lineRule="auto"/>
        <w:jc w:val="both"/>
        <w:rPr>
          <w:sz w:val="12"/>
          <w:szCs w:val="12"/>
        </w:rPr>
      </w:pPr>
    </w:p>
    <w:p w14:paraId="52578759" w14:textId="77777777" w:rsidR="00374D70" w:rsidRDefault="003F2B55">
      <w:pPr>
        <w:pStyle w:val="ListParagraph"/>
        <w:numPr>
          <w:ilvl w:val="0"/>
          <w:numId w:val="1"/>
        </w:numPr>
        <w:spacing w:line="360" w:lineRule="auto"/>
        <w:jc w:val="both"/>
      </w:pPr>
      <w:r>
        <w:rPr>
          <w:rFonts w:ascii="David" w:hAnsi="David" w:hint="cs"/>
          <w:rtl/>
        </w:rPr>
        <w:t>במקרה דנן,</w:t>
      </w:r>
      <w:r>
        <w:rPr>
          <w:rFonts w:ascii="David" w:hAnsi="David" w:hint="cs"/>
          <w:b/>
          <w:bCs/>
          <w:rtl/>
        </w:rPr>
        <w:t xml:space="preserve"> </w:t>
      </w:r>
      <w:r>
        <w:rPr>
          <w:rFonts w:hint="cs"/>
          <w:rtl/>
        </w:rPr>
        <w:t>הערך החברתי המוגן הוא הגנה על שלמות גופו של אדם, שכן פוטנציאל הנזק הטמון בשימוש בכלי נשק חם הוא רב. יפים לעניין זה דבריו של כב' השופט ג'ובראן ב</w:t>
      </w:r>
      <w:hyperlink r:id="rId15" w:history="1">
        <w:r w:rsidRPr="003F2B55">
          <w:rPr>
            <w:color w:val="0000FF"/>
            <w:u w:val="single"/>
            <w:rtl/>
          </w:rPr>
          <w:t>רע"פ 5921/08</w:t>
        </w:r>
      </w:hyperlink>
      <w:r>
        <w:rPr>
          <w:rFonts w:hint="cs"/>
          <w:rtl/>
        </w:rPr>
        <w:t xml:space="preserve"> </w:t>
      </w:r>
      <w:r>
        <w:rPr>
          <w:rFonts w:hint="cs"/>
          <w:b/>
          <w:bCs/>
          <w:rtl/>
        </w:rPr>
        <w:t xml:space="preserve">רג'בי </w:t>
      </w:r>
      <w:r>
        <w:rPr>
          <w:rFonts w:hint="cs"/>
          <w:rtl/>
        </w:rPr>
        <w:t>נ'</w:t>
      </w:r>
      <w:r>
        <w:rPr>
          <w:rFonts w:hint="cs"/>
          <w:b/>
          <w:bCs/>
          <w:rtl/>
        </w:rPr>
        <w:t xml:space="preserve"> מדינת ישראל</w:t>
      </w:r>
      <w:r>
        <w:rPr>
          <w:rFonts w:hint="cs"/>
          <w:rtl/>
        </w:rPr>
        <w:t xml:space="preserve"> (ניתן 25.03.09):</w:t>
      </w:r>
    </w:p>
    <w:p w14:paraId="02F055B3" w14:textId="77777777" w:rsidR="00374D70" w:rsidRDefault="00374D70">
      <w:pPr>
        <w:pStyle w:val="ListParagraph"/>
        <w:ind w:left="1134" w:right="1134"/>
        <w:jc w:val="both"/>
        <w:rPr>
          <w:b/>
          <w:bCs/>
          <w:rtl/>
        </w:rPr>
      </w:pPr>
    </w:p>
    <w:p w14:paraId="59146AE0" w14:textId="77777777" w:rsidR="00374D70" w:rsidRDefault="003F2B55">
      <w:pPr>
        <w:pStyle w:val="ListParagraph"/>
        <w:ind w:left="1134" w:right="1134"/>
        <w:jc w:val="both"/>
        <w:rPr>
          <w:b/>
          <w:bCs/>
          <w:rtl/>
        </w:rPr>
      </w:pPr>
      <w:r>
        <w:rPr>
          <w:rFonts w:hint="cs"/>
          <w:b/>
          <w:bCs/>
          <w:rtl/>
        </w:rPr>
        <w:t xml:space="preserve">"החזקה של כלי נשק על ידי מי שאינו מורשה בכך יש בה פוטנציאל להוביל להסלמה חמורה ולתוצאות קשות של כל אירוע בו יהיה מעורב אותו נושא נשק, וזאת אף מקום שהנשק מוחזק אך למטרות 'הגנה עצמית בלבד'" </w:t>
      </w:r>
    </w:p>
    <w:p w14:paraId="7F54EBB7" w14:textId="77777777" w:rsidR="00374D70" w:rsidRDefault="00374D70">
      <w:pPr>
        <w:spacing w:line="360" w:lineRule="auto"/>
        <w:jc w:val="both"/>
        <w:rPr>
          <w:rFonts w:ascii="David" w:hAnsi="David"/>
          <w:sz w:val="12"/>
          <w:szCs w:val="12"/>
          <w:rtl/>
        </w:rPr>
      </w:pPr>
    </w:p>
    <w:p w14:paraId="77E3C23D" w14:textId="77777777" w:rsidR="00374D70" w:rsidRDefault="00374D70">
      <w:pPr>
        <w:spacing w:line="360" w:lineRule="auto"/>
        <w:jc w:val="both"/>
        <w:rPr>
          <w:rFonts w:ascii="David" w:hAnsi="David"/>
          <w:sz w:val="12"/>
          <w:szCs w:val="12"/>
          <w:rtl/>
        </w:rPr>
      </w:pPr>
    </w:p>
    <w:p w14:paraId="779F9A9D" w14:textId="77777777" w:rsidR="00374D70" w:rsidRDefault="003F2B55">
      <w:pPr>
        <w:spacing w:line="360" w:lineRule="auto"/>
        <w:ind w:left="360"/>
        <w:jc w:val="both"/>
        <w:rPr>
          <w:rFonts w:ascii="David" w:hAnsi="David"/>
        </w:rPr>
      </w:pPr>
      <w:r>
        <w:rPr>
          <w:rFonts w:ascii="David" w:hAnsi="David" w:hint="cs"/>
          <w:b/>
          <w:bCs/>
          <w:rtl/>
        </w:rPr>
        <w:t xml:space="preserve">מדיניות הענישה הנוהגת </w:t>
      </w:r>
    </w:p>
    <w:p w14:paraId="40FB6E00" w14:textId="77777777" w:rsidR="00374D70" w:rsidRDefault="003F2B55">
      <w:pPr>
        <w:pStyle w:val="ListParagraph"/>
        <w:spacing w:line="360" w:lineRule="auto"/>
        <w:jc w:val="both"/>
        <w:rPr>
          <w:rFonts w:ascii="Calibri" w:hAnsi="Calibri"/>
        </w:rPr>
      </w:pPr>
      <w:r>
        <w:rPr>
          <w:rFonts w:hint="cs"/>
          <w:rtl/>
        </w:rPr>
        <w:t xml:space="preserve">ב"כ הנאשם הציג פסיקה לתמיכה בטענותיו. סקירת הענישה הנוהגת מלמדת על פערים משמעותיים ביותר בין מספר חודשי מאסר לבין חודשי מאסר ארוכים, אולם, לא בכדי גזרי הדין אותם הגיש ב"כ הנאשם הם מהשנים 2000 ו-2007, שכן מאז ועד היום בית </w:t>
      </w:r>
      <w:r>
        <w:rPr>
          <w:rFonts w:ascii="Calibri" w:hAnsi="Calibri" w:hint="cs"/>
          <w:rtl/>
        </w:rPr>
        <w:t xml:space="preserve">המשפט העליון חזר וציין כי יש להחמיר בעבירות אלה ולהטיל בגינם עונשי מאסר. בהתאם למדיניות זו ניכרת מגמת החמרה בענישה בעבירות בנשק. (ר' </w:t>
      </w:r>
      <w:hyperlink r:id="rId16" w:history="1">
        <w:r w:rsidRPr="003F2B55">
          <w:rPr>
            <w:rFonts w:ascii="Calibri" w:hAnsi="Calibri" w:hint="eastAsia"/>
            <w:color w:val="0000FF"/>
            <w:u w:val="single"/>
            <w:rtl/>
          </w:rPr>
          <w:t>ע</w:t>
        </w:r>
        <w:r w:rsidRPr="003F2B55">
          <w:rPr>
            <w:rFonts w:ascii="Calibri" w:hAnsi="Calibri"/>
            <w:color w:val="0000FF"/>
            <w:u w:val="single"/>
            <w:rtl/>
          </w:rPr>
          <w:t>"</w:t>
        </w:r>
        <w:r w:rsidRPr="003F2B55">
          <w:rPr>
            <w:rFonts w:ascii="Calibri" w:hAnsi="Calibri" w:hint="eastAsia"/>
            <w:color w:val="0000FF"/>
            <w:u w:val="single"/>
            <w:rtl/>
          </w:rPr>
          <w:t>פ</w:t>
        </w:r>
        <w:r w:rsidRPr="003F2B55">
          <w:rPr>
            <w:rFonts w:ascii="Calibri" w:hAnsi="Calibri"/>
            <w:color w:val="0000FF"/>
            <w:u w:val="single"/>
            <w:rtl/>
          </w:rPr>
          <w:t xml:space="preserve"> 6294/10</w:t>
        </w:r>
      </w:hyperlink>
      <w:r>
        <w:rPr>
          <w:rFonts w:ascii="Calibri" w:hAnsi="Calibri" w:hint="cs"/>
          <w:rtl/>
        </w:rPr>
        <w:t xml:space="preserve"> </w:t>
      </w:r>
      <w:r>
        <w:rPr>
          <w:rFonts w:ascii="Calibri" w:hAnsi="Calibri" w:hint="cs"/>
          <w:b/>
          <w:bCs/>
          <w:rtl/>
        </w:rPr>
        <w:t>אמין אלקיעאן ואח'</w:t>
      </w:r>
      <w:r>
        <w:rPr>
          <w:rFonts w:ascii="Calibri" w:hAnsi="Calibri" w:hint="cs"/>
          <w:rtl/>
        </w:rPr>
        <w:t xml:space="preserve"> נ' </w:t>
      </w:r>
      <w:r>
        <w:rPr>
          <w:rFonts w:ascii="Calibri" w:hAnsi="Calibri" w:hint="cs"/>
          <w:b/>
          <w:bCs/>
          <w:rtl/>
        </w:rPr>
        <w:t>מדינת ישראל</w:t>
      </w:r>
      <w:r>
        <w:rPr>
          <w:rFonts w:ascii="Calibri" w:hAnsi="Calibri" w:hint="cs"/>
          <w:rtl/>
        </w:rPr>
        <w:t xml:space="preserve"> (ניתן 13.02.11), רע"פ </w:t>
      </w:r>
      <w:r>
        <w:rPr>
          <w:rFonts w:ascii="Calibri" w:hAnsi="Calibri" w:hint="cs"/>
          <w:b/>
          <w:bCs/>
          <w:rtl/>
        </w:rPr>
        <w:t>דואהרי</w:t>
      </w:r>
      <w:r>
        <w:rPr>
          <w:rFonts w:ascii="Calibri" w:hAnsi="Calibri" w:hint="cs"/>
          <w:rtl/>
        </w:rPr>
        <w:t xml:space="preserve"> נ' </w:t>
      </w:r>
      <w:r>
        <w:rPr>
          <w:rFonts w:ascii="Calibri" w:hAnsi="Calibri" w:hint="cs"/>
          <w:b/>
          <w:bCs/>
          <w:rtl/>
        </w:rPr>
        <w:t>מדינת ישראל</w:t>
      </w:r>
      <w:r>
        <w:rPr>
          <w:rFonts w:ascii="Calibri" w:hAnsi="Calibri" w:hint="cs"/>
          <w:rtl/>
        </w:rPr>
        <w:t xml:space="preserve"> (ניתן 25.4.12), </w:t>
      </w:r>
      <w:hyperlink r:id="rId17" w:history="1">
        <w:r w:rsidRPr="003F2B55">
          <w:rPr>
            <w:rFonts w:ascii="Calibri" w:hAnsi="Calibri" w:hint="eastAsia"/>
            <w:color w:val="0000FF"/>
            <w:u w:val="single"/>
            <w:rtl/>
          </w:rPr>
          <w:t>ע</w:t>
        </w:r>
        <w:r w:rsidRPr="003F2B55">
          <w:rPr>
            <w:rFonts w:ascii="Calibri" w:hAnsi="Calibri"/>
            <w:color w:val="0000FF"/>
            <w:u w:val="single"/>
            <w:rtl/>
          </w:rPr>
          <w:t>"</w:t>
        </w:r>
        <w:r w:rsidRPr="003F2B55">
          <w:rPr>
            <w:rFonts w:ascii="Calibri" w:hAnsi="Calibri" w:hint="eastAsia"/>
            <w:color w:val="0000FF"/>
            <w:u w:val="single"/>
            <w:rtl/>
          </w:rPr>
          <w:t>פ</w:t>
        </w:r>
        <w:r w:rsidRPr="003F2B55">
          <w:rPr>
            <w:rFonts w:ascii="Calibri" w:hAnsi="Calibri"/>
            <w:color w:val="0000FF"/>
            <w:u w:val="single"/>
            <w:rtl/>
          </w:rPr>
          <w:t xml:space="preserve"> 3401/11</w:t>
        </w:r>
      </w:hyperlink>
      <w:r>
        <w:rPr>
          <w:rFonts w:ascii="Calibri" w:hAnsi="Calibri" w:hint="cs"/>
          <w:rtl/>
        </w:rPr>
        <w:t xml:space="preserve"> </w:t>
      </w:r>
      <w:r>
        <w:rPr>
          <w:rFonts w:ascii="Calibri" w:hAnsi="Calibri" w:hint="cs"/>
          <w:b/>
          <w:bCs/>
          <w:rtl/>
        </w:rPr>
        <w:t>שלאעטה</w:t>
      </w:r>
      <w:r>
        <w:rPr>
          <w:rFonts w:ascii="Calibri" w:hAnsi="Calibri" w:hint="cs"/>
          <w:rtl/>
        </w:rPr>
        <w:t xml:space="preserve"> ואח' נ' מדינת ישראל (ניתן 10.1.12), </w:t>
      </w:r>
      <w:hyperlink r:id="rId18" w:history="1">
        <w:r w:rsidRPr="003F2B55">
          <w:rPr>
            <w:rFonts w:ascii="Calibri" w:hAnsi="Calibri" w:hint="eastAsia"/>
            <w:color w:val="0000FF"/>
            <w:u w:val="single"/>
            <w:rtl/>
          </w:rPr>
          <w:t>ע</w:t>
        </w:r>
        <w:r w:rsidRPr="003F2B55">
          <w:rPr>
            <w:rFonts w:ascii="Calibri" w:hAnsi="Calibri"/>
            <w:color w:val="0000FF"/>
            <w:u w:val="single"/>
            <w:rtl/>
          </w:rPr>
          <w:t>"</w:t>
        </w:r>
        <w:r w:rsidRPr="003F2B55">
          <w:rPr>
            <w:rFonts w:ascii="Calibri" w:hAnsi="Calibri" w:hint="eastAsia"/>
            <w:color w:val="0000FF"/>
            <w:u w:val="single"/>
            <w:rtl/>
          </w:rPr>
          <w:t>פ</w:t>
        </w:r>
        <w:r w:rsidRPr="003F2B55">
          <w:rPr>
            <w:rFonts w:ascii="Calibri" w:hAnsi="Calibri"/>
            <w:color w:val="0000FF"/>
            <w:u w:val="single"/>
            <w:rtl/>
          </w:rPr>
          <w:t xml:space="preserve"> 7502/12</w:t>
        </w:r>
      </w:hyperlink>
      <w:r>
        <w:rPr>
          <w:rFonts w:ascii="Calibri" w:hAnsi="Calibri" w:hint="cs"/>
          <w:rtl/>
        </w:rPr>
        <w:t xml:space="preserve"> </w:t>
      </w:r>
      <w:r>
        <w:rPr>
          <w:rFonts w:ascii="Calibri" w:hAnsi="Calibri" w:hint="cs"/>
          <w:b/>
          <w:bCs/>
          <w:rtl/>
        </w:rPr>
        <w:t>כוויס</w:t>
      </w:r>
      <w:r>
        <w:rPr>
          <w:rFonts w:ascii="Calibri" w:hAnsi="Calibri" w:hint="cs"/>
          <w:rtl/>
        </w:rPr>
        <w:t xml:space="preserve"> נ' </w:t>
      </w:r>
      <w:r>
        <w:rPr>
          <w:rFonts w:ascii="Calibri" w:hAnsi="Calibri" w:hint="cs"/>
          <w:b/>
          <w:bCs/>
          <w:rtl/>
        </w:rPr>
        <w:t>מדינת ישראל</w:t>
      </w:r>
      <w:r>
        <w:rPr>
          <w:rFonts w:ascii="Calibri" w:hAnsi="Calibri" w:hint="cs"/>
          <w:rtl/>
        </w:rPr>
        <w:t xml:space="preserve"> (ניתן 25.6.13) יוער כי בפסקי דין אלה מדובר בהחזקת אקדח בעוד שבמקרה שבפני מדובר בהחזקת תת מקלע שהוא כלי נשק בעל פוטנציאל נזק רב יותר).</w:t>
      </w:r>
    </w:p>
    <w:p w14:paraId="08B7BE4F" w14:textId="77777777" w:rsidR="00374D70" w:rsidRDefault="00374D70">
      <w:pPr>
        <w:pStyle w:val="ListParagraph"/>
        <w:spacing w:line="360" w:lineRule="auto"/>
        <w:jc w:val="both"/>
        <w:rPr>
          <w:rFonts w:ascii="David" w:hAnsi="David"/>
          <w:sz w:val="12"/>
          <w:szCs w:val="12"/>
        </w:rPr>
      </w:pPr>
    </w:p>
    <w:p w14:paraId="0C0C9B0B" w14:textId="77777777" w:rsidR="00374D70" w:rsidRDefault="003F2B55">
      <w:pPr>
        <w:pStyle w:val="ListParagraph"/>
        <w:numPr>
          <w:ilvl w:val="0"/>
          <w:numId w:val="1"/>
        </w:numPr>
        <w:spacing w:line="360" w:lineRule="auto"/>
        <w:jc w:val="both"/>
        <w:rPr>
          <w:rFonts w:ascii="David" w:hAnsi="David"/>
        </w:rPr>
      </w:pPr>
      <w:r>
        <w:rPr>
          <w:rFonts w:ascii="David" w:hAnsi="David" w:hint="cs"/>
          <w:rtl/>
        </w:rPr>
        <w:t xml:space="preserve">במסגרת </w:t>
      </w:r>
      <w:r>
        <w:rPr>
          <w:rFonts w:ascii="David" w:hAnsi="David" w:hint="cs"/>
          <w:b/>
          <w:bCs/>
          <w:rtl/>
        </w:rPr>
        <w:t xml:space="preserve">הנסיבות הקשורות בביצוע העבירה </w:t>
      </w:r>
      <w:r>
        <w:rPr>
          <w:rFonts w:ascii="David" w:hAnsi="David" w:hint="cs"/>
          <w:rtl/>
        </w:rPr>
        <w:t>(</w:t>
      </w:r>
      <w:r w:rsidR="00E76383">
        <w:rPr>
          <w:rFonts w:ascii="David" w:hAnsi="David" w:hint="cs"/>
          <w:color w:val="000000"/>
          <w:rtl/>
        </w:rPr>
        <w:t xml:space="preserve">סעיף </w:t>
      </w:r>
      <w:hyperlink r:id="rId19" w:history="1">
        <w:r w:rsidR="00E76383" w:rsidRPr="00E76383">
          <w:rPr>
            <w:rFonts w:ascii="David" w:hAnsi="David"/>
            <w:color w:val="0000FF"/>
            <w:u w:val="single"/>
            <w:rtl/>
          </w:rPr>
          <w:t>40ט</w:t>
        </w:r>
      </w:hyperlink>
      <w:r>
        <w:rPr>
          <w:rFonts w:ascii="David" w:hAnsi="David" w:hint="cs"/>
          <w:rtl/>
        </w:rPr>
        <w:t xml:space="preserve"> לחוק), יש לתת את הדעת לשיקולים הבאים:</w:t>
      </w:r>
    </w:p>
    <w:p w14:paraId="5AA4AD44" w14:textId="77777777" w:rsidR="00374D70" w:rsidRDefault="00374D70">
      <w:pPr>
        <w:pStyle w:val="ListParagraph"/>
        <w:spacing w:line="360" w:lineRule="auto"/>
        <w:jc w:val="both"/>
        <w:rPr>
          <w:rFonts w:ascii="David" w:hAnsi="David"/>
          <w:sz w:val="12"/>
          <w:szCs w:val="12"/>
        </w:rPr>
      </w:pPr>
    </w:p>
    <w:p w14:paraId="7A97F359" w14:textId="77777777" w:rsidR="00374D70" w:rsidRDefault="003F2B55">
      <w:pPr>
        <w:pStyle w:val="ListParagraph"/>
        <w:numPr>
          <w:ilvl w:val="0"/>
          <w:numId w:val="3"/>
        </w:numPr>
        <w:spacing w:after="200" w:line="360" w:lineRule="auto"/>
        <w:jc w:val="both"/>
        <w:rPr>
          <w:rFonts w:ascii="David" w:hAnsi="David"/>
        </w:rPr>
      </w:pPr>
      <w:r>
        <w:rPr>
          <w:rFonts w:hint="cs"/>
          <w:rtl/>
        </w:rPr>
        <w:t>הנאשם החזיק בתת מקלע עם מחסנית וכדורים תואמים, ומטרת ההחזקה היתה לצורכי הגנה עצמית, כך שפוטנציאל הנזק הטמון בהחזקת נשק מסוג זה הוא רב.</w:t>
      </w:r>
    </w:p>
    <w:p w14:paraId="325FA1E2" w14:textId="77777777" w:rsidR="00374D70" w:rsidRDefault="00374D70">
      <w:pPr>
        <w:pStyle w:val="ListParagraph"/>
        <w:spacing w:after="200" w:line="360" w:lineRule="auto"/>
        <w:ind w:left="1440"/>
        <w:jc w:val="both"/>
        <w:rPr>
          <w:rFonts w:ascii="David" w:hAnsi="David"/>
        </w:rPr>
      </w:pPr>
    </w:p>
    <w:p w14:paraId="19D21B05" w14:textId="77777777" w:rsidR="00374D70" w:rsidRDefault="003F2B55">
      <w:pPr>
        <w:pStyle w:val="ListParagraph"/>
        <w:numPr>
          <w:ilvl w:val="0"/>
          <w:numId w:val="3"/>
        </w:numPr>
        <w:spacing w:after="200" w:line="360" w:lineRule="auto"/>
        <w:jc w:val="both"/>
        <w:rPr>
          <w:rFonts w:ascii="David" w:hAnsi="David"/>
        </w:rPr>
      </w:pPr>
      <w:r>
        <w:rPr>
          <w:rFonts w:hint="cs"/>
          <w:rtl/>
        </w:rPr>
        <w:t xml:space="preserve">הנאשם טען כי קיבל את </w:t>
      </w:r>
      <w:r>
        <w:rPr>
          <w:rFonts w:ascii="David" w:hAnsi="David" w:hint="cs"/>
          <w:rtl/>
        </w:rPr>
        <w:t>הנשק במסגרת עבודתו בביטחון המסכל הפלסטיני. ראשית אציין כי האישור אותו הציג הנאשם לא עולה בקנה אחד עם סוג הנשק והחברה המייצרת נשק זה. באישור (נ/1) נכתב כי הנאשם קיבל נשק מסוג "ברטה", קרי אקדח קטן, בעוד שהנאשם החזיק בפועל בתת מקלע מסוג "קרל גוסטב". שנית, החזקת הנשק מתוקף עבודתו במנגנון שעצם החברות בו אסורה בוודאי שאינו יכול להוות נסיבה לקולא.</w:t>
      </w:r>
    </w:p>
    <w:p w14:paraId="2C633FF9" w14:textId="77777777" w:rsidR="00374D70" w:rsidRDefault="00374D70">
      <w:pPr>
        <w:pStyle w:val="ListParagraph"/>
        <w:spacing w:after="200" w:line="360" w:lineRule="auto"/>
        <w:ind w:left="1440"/>
        <w:jc w:val="both"/>
        <w:rPr>
          <w:rFonts w:ascii="David" w:hAnsi="David"/>
        </w:rPr>
      </w:pPr>
    </w:p>
    <w:p w14:paraId="7699ECED" w14:textId="77777777" w:rsidR="00374D70" w:rsidRDefault="00374D70">
      <w:pPr>
        <w:pStyle w:val="ListParagraph"/>
        <w:spacing w:line="360" w:lineRule="auto"/>
        <w:ind w:left="1440"/>
        <w:jc w:val="both"/>
        <w:rPr>
          <w:rFonts w:ascii="David" w:hAnsi="David"/>
          <w:sz w:val="12"/>
          <w:szCs w:val="12"/>
        </w:rPr>
      </w:pPr>
    </w:p>
    <w:p w14:paraId="0A232627" w14:textId="77777777" w:rsidR="00374D70" w:rsidRDefault="003F2B55">
      <w:pPr>
        <w:pStyle w:val="ListParagraph"/>
        <w:numPr>
          <w:ilvl w:val="0"/>
          <w:numId w:val="1"/>
        </w:numPr>
        <w:spacing w:line="360" w:lineRule="auto"/>
        <w:jc w:val="both"/>
        <w:rPr>
          <w:rFonts w:ascii="David" w:hAnsi="David"/>
        </w:rPr>
      </w:pPr>
      <w:r>
        <w:rPr>
          <w:rFonts w:ascii="David" w:hAnsi="David" w:hint="cs"/>
          <w:rtl/>
        </w:rPr>
        <w:t>בהתאם לתיקון 113 ל</w:t>
      </w:r>
      <w:hyperlink r:id="rId20" w:history="1">
        <w:r w:rsidRPr="003F2B55">
          <w:rPr>
            <w:rFonts w:ascii="David" w:hAnsi="David"/>
            <w:color w:val="0000FF"/>
            <w:u w:val="single"/>
            <w:rtl/>
          </w:rPr>
          <w:t>חוק העונשין</w:t>
        </w:r>
      </w:hyperlink>
      <w:r>
        <w:rPr>
          <w:rFonts w:ascii="David" w:hAnsi="David" w:hint="cs"/>
          <w:rtl/>
        </w:rPr>
        <w:t xml:space="preserve"> (</w:t>
      </w:r>
      <w:r w:rsidR="00E76383">
        <w:rPr>
          <w:rFonts w:ascii="David" w:hAnsi="David" w:hint="cs"/>
          <w:color w:val="000000"/>
          <w:rtl/>
        </w:rPr>
        <w:t xml:space="preserve">סעיף </w:t>
      </w:r>
      <w:hyperlink r:id="rId21" w:history="1">
        <w:r w:rsidR="00E76383" w:rsidRPr="00E76383">
          <w:rPr>
            <w:rFonts w:ascii="David" w:hAnsi="David"/>
            <w:color w:val="0000FF"/>
            <w:u w:val="single"/>
            <w:rtl/>
          </w:rPr>
          <w:t>40יג</w:t>
        </w:r>
      </w:hyperlink>
      <w:r>
        <w:rPr>
          <w:rFonts w:ascii="David" w:hAnsi="David" w:hint="cs"/>
          <w:rtl/>
        </w:rPr>
        <w:t xml:space="preserve">), סבורני כי </w:t>
      </w:r>
      <w:r>
        <w:rPr>
          <w:rFonts w:ascii="David" w:hAnsi="David" w:hint="cs"/>
          <w:b/>
          <w:bCs/>
          <w:rtl/>
        </w:rPr>
        <w:t xml:space="preserve">מתחם העונש ההולם </w:t>
      </w:r>
      <w:r>
        <w:rPr>
          <w:rFonts w:ascii="David" w:hAnsi="David" w:hint="cs"/>
          <w:rtl/>
        </w:rPr>
        <w:t xml:space="preserve">נע בין 8 חודשי מאסר לבין 24 חודשי מאסר. </w:t>
      </w:r>
    </w:p>
    <w:p w14:paraId="017B68EF" w14:textId="77777777" w:rsidR="00374D70" w:rsidRDefault="00374D70">
      <w:pPr>
        <w:pStyle w:val="ListParagraph"/>
        <w:spacing w:line="360" w:lineRule="auto"/>
        <w:jc w:val="both"/>
        <w:rPr>
          <w:rFonts w:ascii="David" w:hAnsi="David"/>
        </w:rPr>
      </w:pPr>
    </w:p>
    <w:p w14:paraId="7675463A" w14:textId="77777777" w:rsidR="00374D70" w:rsidRDefault="003F2B55">
      <w:pPr>
        <w:spacing w:after="120" w:line="360" w:lineRule="auto"/>
        <w:jc w:val="both"/>
        <w:rPr>
          <w:bCs/>
          <w:lang w:eastAsia="he-IL"/>
        </w:rPr>
      </w:pPr>
      <w:r>
        <w:rPr>
          <w:rFonts w:hint="cs"/>
          <w:bCs/>
          <w:rtl/>
          <w:lang w:eastAsia="he-IL"/>
        </w:rPr>
        <w:t xml:space="preserve">העונש המתאים </w:t>
      </w:r>
    </w:p>
    <w:p w14:paraId="0C142220" w14:textId="77777777" w:rsidR="00374D70" w:rsidRDefault="003F2B55">
      <w:pPr>
        <w:pStyle w:val="ListParagraph"/>
        <w:numPr>
          <w:ilvl w:val="0"/>
          <w:numId w:val="1"/>
        </w:numPr>
        <w:spacing w:line="360" w:lineRule="auto"/>
        <w:jc w:val="both"/>
        <w:rPr>
          <w:rFonts w:ascii="David" w:hAnsi="David"/>
        </w:rPr>
      </w:pPr>
      <w:r>
        <w:rPr>
          <w:rFonts w:ascii="David" w:hAnsi="David" w:hint="cs"/>
          <w:rtl/>
        </w:rPr>
        <w:t xml:space="preserve">בגזירת העונש המתאים לנאשם, בגדרי מתחם העונש ההולם, יש להתחשב </w:t>
      </w:r>
      <w:r>
        <w:rPr>
          <w:rFonts w:ascii="David" w:hAnsi="David" w:hint="cs"/>
          <w:b/>
          <w:bCs/>
          <w:rtl/>
        </w:rPr>
        <w:t>בנסיבות שאינן קשורות בביצוע העבירה</w:t>
      </w:r>
      <w:r>
        <w:rPr>
          <w:rFonts w:ascii="David" w:hAnsi="David" w:hint="cs"/>
          <w:rtl/>
        </w:rPr>
        <w:t xml:space="preserve"> (</w:t>
      </w:r>
      <w:r w:rsidR="00E76383">
        <w:rPr>
          <w:rFonts w:ascii="David" w:hAnsi="David" w:hint="cs"/>
          <w:color w:val="000000"/>
          <w:rtl/>
        </w:rPr>
        <w:t xml:space="preserve">סעיף </w:t>
      </w:r>
      <w:hyperlink r:id="rId22" w:history="1">
        <w:r w:rsidR="00E76383" w:rsidRPr="00E76383">
          <w:rPr>
            <w:rFonts w:ascii="David" w:hAnsi="David"/>
            <w:color w:val="0000FF"/>
            <w:u w:val="single"/>
            <w:rtl/>
          </w:rPr>
          <w:t>40יא</w:t>
        </w:r>
      </w:hyperlink>
      <w:r>
        <w:rPr>
          <w:rFonts w:ascii="David" w:hAnsi="David" w:hint="cs"/>
          <w:rtl/>
        </w:rPr>
        <w:t xml:space="preserve">). במסגרת זו </w:t>
      </w:r>
      <w:r>
        <w:rPr>
          <w:rFonts w:hint="cs"/>
          <w:rtl/>
        </w:rPr>
        <w:t>מן הראוי לתת את הדעת לנסיבות הבאות:</w:t>
      </w:r>
    </w:p>
    <w:p w14:paraId="7B6DD8CC" w14:textId="77777777" w:rsidR="00374D70" w:rsidRDefault="00374D70">
      <w:pPr>
        <w:pStyle w:val="ListParagraph"/>
        <w:spacing w:line="360" w:lineRule="auto"/>
        <w:jc w:val="both"/>
        <w:rPr>
          <w:rFonts w:ascii="David" w:hAnsi="David"/>
          <w:sz w:val="12"/>
          <w:szCs w:val="12"/>
        </w:rPr>
      </w:pPr>
    </w:p>
    <w:p w14:paraId="40230CA3" w14:textId="77777777" w:rsidR="00374D70" w:rsidRDefault="003F2B55">
      <w:pPr>
        <w:pStyle w:val="ListParagraph"/>
        <w:numPr>
          <w:ilvl w:val="1"/>
          <w:numId w:val="2"/>
        </w:numPr>
        <w:spacing w:line="360" w:lineRule="auto"/>
        <w:jc w:val="both"/>
        <w:rPr>
          <w:rFonts w:ascii="David" w:hAnsi="David"/>
        </w:rPr>
      </w:pPr>
      <w:r>
        <w:rPr>
          <w:rFonts w:hint="cs"/>
          <w:b/>
          <w:bCs/>
          <w:rtl/>
        </w:rPr>
        <w:t>הפגיעה של העונש בנאשם, לרבות בשל גילו</w:t>
      </w:r>
      <w:r>
        <w:rPr>
          <w:rFonts w:hint="cs"/>
          <w:rtl/>
        </w:rPr>
        <w:t>;  הנאשם בן 35, מנהל אורח חיים נורמטיבי, נשוי ואב לשלושה ילדים קטנים, סובל ממחלה כרונית, מפרנס יחיד של משפחתו ושל הוריו החולים. בעקבות ההליכים הנאשם נקלע לחובות כבדים ומצבו הכלכלי התערער, שכן הנאשם שהה במעצר במשך כחודש ובהמשך שהה במעצר בית מלא למשך ארבעה חודשים.</w:t>
      </w:r>
    </w:p>
    <w:p w14:paraId="1BA88CE1" w14:textId="77777777" w:rsidR="00374D70" w:rsidRDefault="00374D70">
      <w:pPr>
        <w:pStyle w:val="ListParagraph"/>
        <w:spacing w:line="360" w:lineRule="auto"/>
        <w:ind w:left="1080"/>
        <w:jc w:val="both"/>
        <w:rPr>
          <w:rFonts w:ascii="David" w:hAnsi="David"/>
          <w:sz w:val="12"/>
          <w:szCs w:val="12"/>
        </w:rPr>
      </w:pPr>
    </w:p>
    <w:p w14:paraId="2C31480A" w14:textId="77777777" w:rsidR="00374D70" w:rsidRDefault="003F2B55">
      <w:pPr>
        <w:pStyle w:val="ListParagraph"/>
        <w:numPr>
          <w:ilvl w:val="1"/>
          <w:numId w:val="2"/>
        </w:numPr>
        <w:spacing w:line="360" w:lineRule="auto"/>
        <w:jc w:val="both"/>
        <w:rPr>
          <w:sz w:val="12"/>
          <w:szCs w:val="12"/>
        </w:rPr>
      </w:pPr>
      <w:r>
        <w:rPr>
          <w:rFonts w:hint="cs"/>
          <w:b/>
          <w:bCs/>
          <w:rtl/>
        </w:rPr>
        <w:t xml:space="preserve">נטילת האחריות של הנאשם על מעשיו, וחזרתו למוטב או מאמציו לחזור למוטב; </w:t>
      </w:r>
      <w:r>
        <w:rPr>
          <w:rFonts w:hint="cs"/>
          <w:rtl/>
        </w:rPr>
        <w:t>הנאשם לקח אחריות למעשיו בהזדמנות ראשונה ואף שיתף פעולה עם השוטרים עוד בשלב החיפוש והחקירה.</w:t>
      </w:r>
    </w:p>
    <w:p w14:paraId="79A5793A" w14:textId="77777777" w:rsidR="00374D70" w:rsidRDefault="00374D70">
      <w:pPr>
        <w:pStyle w:val="ListParagraph"/>
        <w:spacing w:line="360" w:lineRule="auto"/>
        <w:ind w:left="1080"/>
        <w:jc w:val="both"/>
        <w:rPr>
          <w:sz w:val="12"/>
          <w:szCs w:val="12"/>
        </w:rPr>
      </w:pPr>
    </w:p>
    <w:p w14:paraId="5C289EDA" w14:textId="77777777" w:rsidR="00374D70" w:rsidRDefault="003F2B55">
      <w:pPr>
        <w:pStyle w:val="ListParagraph"/>
        <w:numPr>
          <w:ilvl w:val="1"/>
          <w:numId w:val="2"/>
        </w:numPr>
        <w:spacing w:line="360" w:lineRule="auto"/>
        <w:jc w:val="both"/>
        <w:rPr>
          <w:rtl/>
        </w:rPr>
      </w:pPr>
      <w:r>
        <w:rPr>
          <w:rFonts w:hint="cs"/>
          <w:b/>
          <w:bCs/>
          <w:rtl/>
        </w:rPr>
        <w:t>עברו הפלילי של הנאשם או העדרו</w:t>
      </w:r>
      <w:r>
        <w:rPr>
          <w:rFonts w:hint="cs"/>
          <w:rtl/>
        </w:rPr>
        <w:t>. לנאשם הרשעה קודמת משנת 2003 שבגינה נדון לעונש במדרג נמוך.</w:t>
      </w:r>
    </w:p>
    <w:p w14:paraId="1D6309E8" w14:textId="77777777" w:rsidR="00374D70" w:rsidRDefault="00374D70">
      <w:pPr>
        <w:pStyle w:val="ListParagraph"/>
        <w:spacing w:line="360" w:lineRule="auto"/>
        <w:ind w:left="1080"/>
        <w:jc w:val="both"/>
        <w:rPr>
          <w:sz w:val="12"/>
          <w:szCs w:val="12"/>
        </w:rPr>
      </w:pPr>
    </w:p>
    <w:p w14:paraId="7B7FD4A8" w14:textId="77777777" w:rsidR="00374D70" w:rsidRDefault="003F2B55">
      <w:pPr>
        <w:pStyle w:val="ListParagraph"/>
        <w:numPr>
          <w:ilvl w:val="0"/>
          <w:numId w:val="1"/>
        </w:numPr>
        <w:spacing w:line="360" w:lineRule="auto"/>
        <w:jc w:val="both"/>
        <w:rPr>
          <w:sz w:val="12"/>
          <w:szCs w:val="12"/>
        </w:rPr>
      </w:pPr>
      <w:r>
        <w:rPr>
          <w:rFonts w:hint="cs"/>
          <w:rtl/>
        </w:rPr>
        <w:t>עוד יש לתת דגש לשיקולי הרתעת הרבים, כפי שהדגיש כב' השופט שוהם ב</w:t>
      </w:r>
      <w:hyperlink r:id="rId23" w:history="1">
        <w:r w:rsidRPr="003F2B55">
          <w:rPr>
            <w:color w:val="0000FF"/>
            <w:u w:val="single"/>
            <w:rtl/>
          </w:rPr>
          <w:t>ע"פ 7502/12</w:t>
        </w:r>
      </w:hyperlink>
      <w:r>
        <w:rPr>
          <w:rFonts w:hint="cs"/>
          <w:rtl/>
        </w:rPr>
        <w:t xml:space="preserve"> עת חזר על ההלכה שנקבעה ב</w:t>
      </w:r>
      <w:hyperlink r:id="rId24" w:history="1">
        <w:r w:rsidRPr="003F2B55">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p>
    <w:p w14:paraId="720E26E4" w14:textId="77777777" w:rsidR="00374D70" w:rsidRDefault="00374D70">
      <w:pPr>
        <w:spacing w:line="360" w:lineRule="auto"/>
        <w:jc w:val="both"/>
        <w:rPr>
          <w:sz w:val="12"/>
          <w:szCs w:val="12"/>
          <w:rtl/>
        </w:rPr>
      </w:pPr>
    </w:p>
    <w:p w14:paraId="23F6EE65" w14:textId="77777777" w:rsidR="00374D70" w:rsidRDefault="003F2B55">
      <w:pPr>
        <w:pStyle w:val="ListParagraph"/>
        <w:ind w:left="1134" w:right="1134"/>
        <w:jc w:val="both"/>
        <w:rPr>
          <w:b/>
          <w:bCs/>
          <w:rtl/>
        </w:rPr>
      </w:pPr>
      <w:r>
        <w:rPr>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25" w:history="1">
        <w:r w:rsidRPr="003F2B55">
          <w:rPr>
            <w:b/>
            <w:bCs/>
            <w:color w:val="0000FF"/>
            <w:u w:val="single"/>
            <w:rtl/>
          </w:rPr>
          <w:t>ע"פ 6583/06</w:t>
        </w:r>
      </w:hyperlink>
      <w:r>
        <w:rPr>
          <w:b/>
          <w:bCs/>
          <w:rtl/>
        </w:rPr>
        <w:t xml:space="preserve"> אדהאם נ' מדינת ישראל (5.12.2006); </w:t>
      </w:r>
      <w:hyperlink r:id="rId26" w:history="1">
        <w:r w:rsidRPr="003F2B55">
          <w:rPr>
            <w:b/>
            <w:bCs/>
            <w:color w:val="0000FF"/>
            <w:u w:val="single"/>
            <w:rtl/>
          </w:rPr>
          <w:t>ע"פ 2839/05</w:t>
        </w:r>
      </w:hyperlink>
      <w:r>
        <w:rPr>
          <w:b/>
          <w:bCs/>
          <w:rtl/>
        </w:rPr>
        <w:t xml:space="preserve"> אל קאדר נ' מדינת ישראל (17.11.2005)).</w:t>
      </w:r>
    </w:p>
    <w:p w14:paraId="53244C04" w14:textId="77777777" w:rsidR="00374D70" w:rsidRDefault="00374D70">
      <w:pPr>
        <w:pStyle w:val="ListParagraph"/>
        <w:ind w:left="1134" w:right="1134"/>
        <w:jc w:val="both"/>
        <w:rPr>
          <w:b/>
          <w:bCs/>
          <w:rtl/>
        </w:rPr>
      </w:pPr>
    </w:p>
    <w:p w14:paraId="32851F8D" w14:textId="77777777" w:rsidR="00374D70" w:rsidRDefault="003F2B55">
      <w:pPr>
        <w:pStyle w:val="ListParagraph"/>
        <w:numPr>
          <w:ilvl w:val="0"/>
          <w:numId w:val="1"/>
        </w:numPr>
        <w:spacing w:line="360" w:lineRule="auto"/>
        <w:jc w:val="both"/>
      </w:pPr>
      <w:r>
        <w:rPr>
          <w:rFonts w:hint="cs"/>
          <w:rtl/>
        </w:rPr>
        <w:t xml:space="preserve">באיזון בין השיקולים השונים, סבורני כי יש לגזור על הנאשם עונש מאסר ברף הנמוך של המתחם.  </w:t>
      </w:r>
    </w:p>
    <w:p w14:paraId="381845DB" w14:textId="77777777" w:rsidR="00374D70" w:rsidRDefault="00374D70">
      <w:pPr>
        <w:pStyle w:val="ListParagraph"/>
        <w:spacing w:line="360" w:lineRule="auto"/>
        <w:jc w:val="both"/>
        <w:rPr>
          <w:rFonts w:ascii="David" w:hAnsi="David"/>
        </w:rPr>
      </w:pPr>
    </w:p>
    <w:p w14:paraId="163CB00A" w14:textId="77777777" w:rsidR="00374D70" w:rsidRDefault="003F2B55">
      <w:pPr>
        <w:spacing w:line="360" w:lineRule="auto"/>
        <w:ind w:left="360"/>
        <w:jc w:val="both"/>
        <w:rPr>
          <w:rFonts w:ascii="David" w:hAnsi="David"/>
        </w:rPr>
      </w:pPr>
      <w:r>
        <w:rPr>
          <w:rFonts w:hint="cs"/>
          <w:bCs/>
          <w:rtl/>
          <w:lang w:eastAsia="he-IL"/>
        </w:rPr>
        <w:t>סוגיית הסטייה מן מהמתחם</w:t>
      </w:r>
    </w:p>
    <w:p w14:paraId="313A1C11" w14:textId="77777777" w:rsidR="00374D70" w:rsidRDefault="003F2B55">
      <w:pPr>
        <w:pStyle w:val="ListParagraph"/>
        <w:numPr>
          <w:ilvl w:val="0"/>
          <w:numId w:val="1"/>
        </w:numPr>
        <w:spacing w:line="360" w:lineRule="auto"/>
        <w:jc w:val="both"/>
        <w:rPr>
          <w:rFonts w:ascii="Calibri" w:hAnsi="Calibri"/>
        </w:rPr>
      </w:pPr>
      <w:r>
        <w:rPr>
          <w:rFonts w:ascii="David" w:hAnsi="David" w:hint="cs"/>
          <w:rtl/>
        </w:rPr>
        <w:t xml:space="preserve">במקרה דנן, לא קיימים שיקולים אשר מצדיקים סטייה מהמתחם, לחומרה או לקולא. </w:t>
      </w:r>
      <w:r>
        <w:rPr>
          <w:rFonts w:ascii="David" w:hAnsi="David" w:hint="cs"/>
          <w:b/>
          <w:bCs/>
          <w:rtl/>
        </w:rPr>
        <w:t>שיקול ההגנה על שלום הציבור</w:t>
      </w:r>
      <w:r>
        <w:rPr>
          <w:rFonts w:ascii="David" w:hAnsi="David" w:hint="cs"/>
          <w:rtl/>
        </w:rPr>
        <w:t xml:space="preserve"> אינו מצדיק החמרה בעונשו של הנאשם. </w:t>
      </w:r>
      <w:r>
        <w:rPr>
          <w:rFonts w:ascii="David" w:hAnsi="David" w:hint="cs"/>
          <w:b/>
          <w:bCs/>
          <w:rtl/>
        </w:rPr>
        <w:t>השיקול השיקומי</w:t>
      </w:r>
      <w:r>
        <w:rPr>
          <w:rFonts w:ascii="David" w:hAnsi="David" w:hint="cs"/>
          <w:rtl/>
        </w:rPr>
        <w:t xml:space="preserve"> אינו מצדיק הקלה בעונשו.</w:t>
      </w:r>
    </w:p>
    <w:p w14:paraId="1D538701" w14:textId="77777777" w:rsidR="00374D70" w:rsidRDefault="00374D70">
      <w:pPr>
        <w:pStyle w:val="ListParagraph"/>
        <w:spacing w:line="360" w:lineRule="auto"/>
        <w:ind w:left="785"/>
        <w:jc w:val="both"/>
        <w:rPr>
          <w:rFonts w:ascii="Calibri" w:hAnsi="Calibri"/>
        </w:rPr>
      </w:pPr>
    </w:p>
    <w:p w14:paraId="286EE823" w14:textId="77777777" w:rsidR="00374D70" w:rsidRDefault="003F2B55">
      <w:pPr>
        <w:pStyle w:val="ListParagraph"/>
        <w:numPr>
          <w:ilvl w:val="0"/>
          <w:numId w:val="1"/>
        </w:numPr>
        <w:spacing w:line="360" w:lineRule="auto"/>
        <w:jc w:val="both"/>
      </w:pPr>
      <w:r>
        <w:rPr>
          <w:rFonts w:hint="cs"/>
          <w:rtl/>
        </w:rPr>
        <w:t xml:space="preserve">למרות המלצת שירות המבחן להטלת עונש של מאסר אשר ירוצה בעבודות שירות ומאסר על תנאי, נוכח חומרת עבירת החזקת הנשק והצורך לתת דגש להרתעת הרבים לא מצאתי לחרוג ממתחם העונש ההולם מטעמי שיקום, אלא התחשבתי בהמלצת שירות המבחן בקביעת העונש המתאים.  </w:t>
      </w:r>
    </w:p>
    <w:p w14:paraId="41CC5816" w14:textId="77777777" w:rsidR="00374D70" w:rsidRDefault="00374D70">
      <w:pPr>
        <w:pStyle w:val="ListParagraph"/>
        <w:spacing w:line="360" w:lineRule="auto"/>
        <w:jc w:val="both"/>
        <w:rPr>
          <w:sz w:val="12"/>
          <w:szCs w:val="12"/>
        </w:rPr>
      </w:pPr>
    </w:p>
    <w:p w14:paraId="575C27DF" w14:textId="77777777" w:rsidR="00374D70" w:rsidRDefault="003F2B55">
      <w:pPr>
        <w:pStyle w:val="ListParagraph"/>
        <w:numPr>
          <w:ilvl w:val="0"/>
          <w:numId w:val="1"/>
        </w:numPr>
        <w:spacing w:line="360" w:lineRule="auto"/>
        <w:jc w:val="both"/>
      </w:pPr>
      <w:r>
        <w:rPr>
          <w:rFonts w:hint="cs"/>
          <w:rtl/>
        </w:rPr>
        <w:t>העובדה כי הנאשם מנהל אורח חיים נורמטיבי וכי הוא והוריו סובלים מבעיות רפואיות אינה מצביעה על היותו משוקם, אלא מדובר על נסיבות אישיות. מכאן</w:t>
      </w:r>
      <w:r w:rsidR="00E76383">
        <w:rPr>
          <w:rFonts w:hint="cs"/>
          <w:rtl/>
        </w:rPr>
        <w:t xml:space="preserve"> שהנאשם אינו נכנס בגדרי סעיף </w:t>
      </w:r>
      <w:hyperlink r:id="rId27" w:history="1">
        <w:r w:rsidR="00E76383" w:rsidRPr="00E76383">
          <w:rPr>
            <w:color w:val="0000FF"/>
            <w:u w:val="single"/>
            <w:rtl/>
          </w:rPr>
          <w:t>40ד</w:t>
        </w:r>
      </w:hyperlink>
      <w:r>
        <w:rPr>
          <w:rFonts w:hint="cs"/>
          <w:rtl/>
        </w:rPr>
        <w:t xml:space="preserve"> ל</w:t>
      </w:r>
      <w:hyperlink r:id="rId28" w:history="1">
        <w:r w:rsidRPr="003F2B55">
          <w:rPr>
            <w:color w:val="0000FF"/>
            <w:u w:val="single"/>
            <w:rtl/>
          </w:rPr>
          <w:t>חוק העונשין</w:t>
        </w:r>
      </w:hyperlink>
      <w:r>
        <w:rPr>
          <w:rFonts w:hint="cs"/>
          <w:rtl/>
        </w:rPr>
        <w:t xml:space="preserve"> ואין לראות בנאשם כמי שהשתקם. כפי שקבע כב' השופט רובינשטין ב</w:t>
      </w:r>
      <w:hyperlink r:id="rId29" w:history="1">
        <w:r w:rsidRPr="003F2B55">
          <w:rPr>
            <w:color w:val="0000FF"/>
            <w:u w:val="single"/>
            <w:rtl/>
          </w:rPr>
          <w:t>רע"פ 6443/12</w:t>
        </w:r>
      </w:hyperlink>
      <w:r>
        <w:rPr>
          <w:rFonts w:hint="cs"/>
          <w:rtl/>
        </w:rPr>
        <w:t xml:space="preserve"> </w:t>
      </w:r>
      <w:r>
        <w:rPr>
          <w:rFonts w:hint="cs"/>
          <w:b/>
          <w:bCs/>
          <w:rtl/>
        </w:rPr>
        <w:t>ליצקי נ' מדינת ישראל</w:t>
      </w:r>
      <w:r>
        <w:rPr>
          <w:rFonts w:hint="cs"/>
          <w:rtl/>
        </w:rPr>
        <w:t xml:space="preserve"> בפיסקה ו' (פורסם ביום 09.09.12), "</w:t>
      </w:r>
      <w:r>
        <w:rPr>
          <w:rFonts w:hint="cs"/>
          <w:b/>
          <w:bCs/>
          <w:rtl/>
        </w:rPr>
        <w:t>הרי שאותן "נסיבות מיוחדות" אין משמעם ניהולם של חיים נורמטיבים גרידא, דבר המצופה מכל אדם ואדם אלא שנדרש דבר מה מעבר לכך</w:t>
      </w:r>
      <w:r>
        <w:rPr>
          <w:rFonts w:hint="cs"/>
          <w:rtl/>
        </w:rPr>
        <w:t xml:space="preserve">." </w:t>
      </w:r>
    </w:p>
    <w:p w14:paraId="057274BA" w14:textId="77777777" w:rsidR="00374D70" w:rsidRDefault="00374D70">
      <w:pPr>
        <w:pStyle w:val="ListParagraph"/>
        <w:spacing w:line="360" w:lineRule="auto"/>
        <w:jc w:val="both"/>
        <w:rPr>
          <w:sz w:val="12"/>
          <w:szCs w:val="12"/>
          <w:rtl/>
        </w:rPr>
      </w:pPr>
    </w:p>
    <w:p w14:paraId="12F4A777" w14:textId="77777777" w:rsidR="00374D70" w:rsidRDefault="003F2B55">
      <w:pPr>
        <w:pStyle w:val="ListParagraph"/>
        <w:numPr>
          <w:ilvl w:val="0"/>
          <w:numId w:val="1"/>
        </w:numPr>
        <w:spacing w:line="360" w:lineRule="auto"/>
        <w:jc w:val="both"/>
        <w:rPr>
          <w:b/>
          <w:bCs/>
          <w:rtl/>
        </w:rPr>
      </w:pPr>
      <w:r>
        <w:rPr>
          <w:rFonts w:hint="cs"/>
          <w:rtl/>
        </w:rPr>
        <w:t>עוד יצוין בהקשר זה, כפי שנפסק ב</w:t>
      </w:r>
      <w:hyperlink r:id="rId30" w:history="1">
        <w:r w:rsidRPr="003F2B55">
          <w:rPr>
            <w:color w:val="0000FF"/>
            <w:u w:val="single"/>
            <w:rtl/>
          </w:rPr>
          <w:t>רע"פ 2258/13</w:t>
        </w:r>
      </w:hyperlink>
      <w:r>
        <w:rPr>
          <w:rFonts w:hint="cs"/>
          <w:rtl/>
        </w:rPr>
        <w:t xml:space="preserve"> </w:t>
      </w:r>
      <w:r>
        <w:rPr>
          <w:rFonts w:hint="cs"/>
          <w:b/>
          <w:bCs/>
          <w:rtl/>
        </w:rPr>
        <w:t>אליהו מאירוב נ' מדינת ישראל</w:t>
      </w:r>
      <w:r>
        <w:rPr>
          <w:rFonts w:hint="cs"/>
          <w:rtl/>
        </w:rPr>
        <w:t xml:space="preserve"> (ניתן 30.4.13 שם בפסקה 13),</w:t>
      </w:r>
      <w:r>
        <w:rPr>
          <w:rFonts w:hint="cs"/>
          <w:b/>
          <w:bCs/>
          <w:rtl/>
        </w:rPr>
        <w:t xml:space="preserve">"כי על אף חשיבות המלצותיו של שירות המבחן, גזירת הדין נעשית בידי הערכאה השיפוטית ומכאן שעמדת שירות המבחן, אינה אלא אחד השיקולים העומדים בפני בית המשפט בבואו לגזור את דינו של הנאשם – לעיתים יאמץ בית המשפט את המלצת שירות המבחן במלואה, לעיתים יאמץ אותה בחלקה ולעיתים ידחה אותה מכל וכל. כל עניין ונסיבותיו הוא, וכל מקרה ייבחן לגופו, תוך מתן משקל ראוי להמלצת שירות המבחן". </w:t>
      </w:r>
    </w:p>
    <w:p w14:paraId="4EC933EE" w14:textId="77777777" w:rsidR="00374D70" w:rsidRDefault="00374D70">
      <w:pPr>
        <w:pStyle w:val="ListParagraph"/>
        <w:spacing w:line="360" w:lineRule="auto"/>
        <w:jc w:val="both"/>
      </w:pPr>
    </w:p>
    <w:p w14:paraId="17DA180A" w14:textId="77777777" w:rsidR="00374D70" w:rsidRDefault="003F2B55">
      <w:pPr>
        <w:pStyle w:val="ListParagraph"/>
        <w:numPr>
          <w:ilvl w:val="0"/>
          <w:numId w:val="1"/>
        </w:numPr>
        <w:spacing w:line="360" w:lineRule="auto"/>
        <w:jc w:val="both"/>
      </w:pPr>
      <w:r>
        <w:rPr>
          <w:rFonts w:ascii="David" w:hAnsi="David" w:hint="cs"/>
          <w:rtl/>
        </w:rPr>
        <w:t xml:space="preserve">לאור כל האמור לעיל החלטתי להטיל על הנאשם את העונשים כדלהלן: </w:t>
      </w:r>
    </w:p>
    <w:p w14:paraId="24D904A9" w14:textId="77777777" w:rsidR="00374D70" w:rsidRDefault="00374D70">
      <w:pPr>
        <w:pStyle w:val="ListParagraph"/>
        <w:spacing w:line="360" w:lineRule="auto"/>
        <w:jc w:val="both"/>
        <w:rPr>
          <w:sz w:val="14"/>
          <w:szCs w:val="14"/>
        </w:rPr>
      </w:pPr>
    </w:p>
    <w:p w14:paraId="349496BF" w14:textId="77777777" w:rsidR="00374D70" w:rsidRDefault="003F2B55">
      <w:pPr>
        <w:pStyle w:val="ListParagraph"/>
        <w:numPr>
          <w:ilvl w:val="1"/>
          <w:numId w:val="4"/>
        </w:numPr>
        <w:spacing w:line="360" w:lineRule="auto"/>
        <w:jc w:val="both"/>
      </w:pPr>
      <w:r>
        <w:rPr>
          <w:rFonts w:hint="cs"/>
          <w:rtl/>
        </w:rPr>
        <w:t xml:space="preserve">10 חודשי מאסר, בניכוי ימי מעצרו 11.2.14-6.3.14. </w:t>
      </w:r>
    </w:p>
    <w:p w14:paraId="4367DE93" w14:textId="77777777" w:rsidR="00374D70" w:rsidRDefault="00374D70">
      <w:pPr>
        <w:pStyle w:val="ListParagraph"/>
        <w:spacing w:line="360" w:lineRule="auto"/>
        <w:ind w:left="1980"/>
        <w:jc w:val="both"/>
        <w:rPr>
          <w:sz w:val="12"/>
          <w:szCs w:val="12"/>
        </w:rPr>
      </w:pPr>
    </w:p>
    <w:p w14:paraId="02D2884B" w14:textId="77777777" w:rsidR="00374D70" w:rsidRDefault="003F2B55">
      <w:pPr>
        <w:pStyle w:val="ListParagraph"/>
        <w:numPr>
          <w:ilvl w:val="1"/>
          <w:numId w:val="4"/>
        </w:numPr>
        <w:spacing w:line="360" w:lineRule="auto"/>
        <w:jc w:val="both"/>
        <w:rPr>
          <w:rtl/>
        </w:rPr>
      </w:pPr>
      <w:r>
        <w:rPr>
          <w:rFonts w:hint="cs"/>
          <w:rtl/>
        </w:rPr>
        <w:t>8 חודשי מאסר. הנאשם לא ירצה עונש זה אלא אם יעבור בתוך שנתיים מיום שחרורו</w:t>
      </w:r>
      <w:bookmarkStart w:id="7" w:name="_GoBack"/>
      <w:bookmarkEnd w:id="7"/>
      <w:r>
        <w:rPr>
          <w:rFonts w:hint="cs"/>
          <w:rtl/>
        </w:rPr>
        <w:t xml:space="preserve"> על העבירה בה הורשע. </w:t>
      </w:r>
    </w:p>
    <w:p w14:paraId="61C36562" w14:textId="77777777" w:rsidR="00374D70" w:rsidRDefault="00374D70">
      <w:pPr>
        <w:spacing w:line="360" w:lineRule="auto"/>
        <w:jc w:val="both"/>
        <w:rPr>
          <w:rFonts w:ascii="Arial" w:hAnsi="Arial"/>
          <w:rtl/>
        </w:rPr>
      </w:pPr>
    </w:p>
    <w:p w14:paraId="20154D07" w14:textId="77777777" w:rsidR="00374D70" w:rsidRDefault="003F2B55">
      <w:pPr>
        <w:spacing w:line="360" w:lineRule="auto"/>
        <w:jc w:val="both"/>
        <w:rPr>
          <w:rFonts w:ascii="Arial" w:hAnsi="Arial"/>
          <w:b/>
          <w:bCs/>
          <w:rtl/>
        </w:rPr>
      </w:pPr>
      <w:r>
        <w:rPr>
          <w:rFonts w:ascii="Arial" w:hAnsi="Arial" w:hint="cs"/>
          <w:b/>
          <w:bCs/>
          <w:rtl/>
        </w:rPr>
        <w:t xml:space="preserve">זכות ערעור לבית המשפט המחוזי בירושלים בתוך 45 יום מהיום. </w:t>
      </w:r>
    </w:p>
    <w:p w14:paraId="6C38C9A7" w14:textId="77777777" w:rsidR="00374D70" w:rsidRPr="003F2B55" w:rsidRDefault="003F2B55">
      <w:pPr>
        <w:spacing w:line="360" w:lineRule="auto"/>
        <w:jc w:val="both"/>
        <w:rPr>
          <w:rFonts w:ascii="Arial" w:hAnsi="Arial"/>
          <w:color w:val="FFFFFF"/>
          <w:sz w:val="2"/>
          <w:szCs w:val="2"/>
        </w:rPr>
      </w:pPr>
      <w:r w:rsidRPr="003F2B55">
        <w:rPr>
          <w:rFonts w:ascii="Arial" w:hAnsi="Arial"/>
          <w:color w:val="FFFFFF"/>
          <w:sz w:val="2"/>
          <w:szCs w:val="2"/>
          <w:rtl/>
        </w:rPr>
        <w:t>5129371</w:t>
      </w:r>
    </w:p>
    <w:p w14:paraId="599CE9C7" w14:textId="77777777" w:rsidR="00374D70" w:rsidRDefault="003F2B55">
      <w:pPr>
        <w:rPr>
          <w:rFonts w:cs="FrankRuehl"/>
          <w:rtl/>
        </w:rPr>
      </w:pPr>
      <w:r w:rsidRPr="003F2B55">
        <w:rPr>
          <w:rFonts w:ascii="Arial" w:hAnsi="Arial"/>
          <w:color w:val="FFFFFF"/>
          <w:sz w:val="2"/>
          <w:szCs w:val="2"/>
          <w:rtl/>
        </w:rPr>
        <w:t>54678313</w:t>
      </w:r>
      <w:r>
        <w:rPr>
          <w:rFonts w:ascii="Arial" w:hAnsi="Arial"/>
          <w:rtl/>
        </w:rPr>
        <w:t xml:space="preserve">ניתן היום,  י' תמוז תשע"ד, 08 יולי 2014, במעמד ב"כ הצדדים והנאשם.  </w:t>
      </w:r>
    </w:p>
    <w:p w14:paraId="73C15686" w14:textId="77777777" w:rsidR="00374D70" w:rsidRDefault="003F2B5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B214DB6" w14:textId="77777777" w:rsidR="00374D70" w:rsidRDefault="00374D70">
      <w:pPr>
        <w:jc w:val="center"/>
        <w:rPr>
          <w:rFonts w:ascii="Arial" w:hAnsi="Arial" w:cs="FrankRuehl"/>
          <w:rtl/>
        </w:rPr>
      </w:pPr>
    </w:p>
    <w:p w14:paraId="27AF22D9" w14:textId="77777777" w:rsidR="00374D70" w:rsidRDefault="00374D70">
      <w:pPr>
        <w:rPr>
          <w:rFonts w:cs="FrankRuehl"/>
          <w:rtl/>
        </w:rPr>
      </w:pPr>
    </w:p>
    <w:p w14:paraId="04D8AF9C" w14:textId="77777777" w:rsidR="00374D70" w:rsidRDefault="00374D70">
      <w:pPr>
        <w:pStyle w:val="a3"/>
        <w:jc w:val="center"/>
        <w:rPr>
          <w:rtl/>
        </w:rPr>
      </w:pPr>
    </w:p>
    <w:p w14:paraId="07D59FCF" w14:textId="77777777" w:rsidR="003F2B55" w:rsidRPr="003F2B55" w:rsidRDefault="003F2B55" w:rsidP="003F2B55">
      <w:pPr>
        <w:keepNext/>
        <w:rPr>
          <w:rFonts w:ascii="David" w:hAnsi="David"/>
          <w:color w:val="000000"/>
          <w:sz w:val="22"/>
          <w:szCs w:val="22"/>
          <w:rtl/>
        </w:rPr>
      </w:pPr>
    </w:p>
    <w:p w14:paraId="29607B27" w14:textId="77777777" w:rsidR="003F2B55" w:rsidRPr="003F2B55" w:rsidRDefault="003F2B55" w:rsidP="003F2B55">
      <w:pPr>
        <w:keepNext/>
        <w:rPr>
          <w:rFonts w:ascii="David" w:hAnsi="David"/>
          <w:color w:val="000000"/>
          <w:sz w:val="22"/>
          <w:szCs w:val="22"/>
          <w:rtl/>
        </w:rPr>
      </w:pPr>
      <w:r w:rsidRPr="003F2B55">
        <w:rPr>
          <w:rFonts w:ascii="David" w:hAnsi="David"/>
          <w:color w:val="000000"/>
          <w:sz w:val="22"/>
          <w:szCs w:val="22"/>
          <w:rtl/>
        </w:rPr>
        <w:t>חנה מרים לומפ 54678313</w:t>
      </w:r>
    </w:p>
    <w:p w14:paraId="75614E6C" w14:textId="77777777" w:rsidR="003F2B55" w:rsidRDefault="003F2B55" w:rsidP="003F2B55">
      <w:r w:rsidRPr="003F2B55">
        <w:rPr>
          <w:color w:val="000000"/>
          <w:rtl/>
        </w:rPr>
        <w:t>נוסח מסמך זה כפוף לשינויי ניסוח ועריכה</w:t>
      </w:r>
    </w:p>
    <w:p w14:paraId="310A7B79" w14:textId="77777777" w:rsidR="003F2B55" w:rsidRDefault="003F2B55" w:rsidP="003F2B55">
      <w:pPr>
        <w:rPr>
          <w:rtl/>
        </w:rPr>
      </w:pPr>
    </w:p>
    <w:p w14:paraId="7A2F9CB5" w14:textId="77777777" w:rsidR="003F2B55" w:rsidRDefault="003F2B55" w:rsidP="003F2B5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F9BBE19" w14:textId="77777777" w:rsidR="00374D70" w:rsidRPr="003F2B55" w:rsidRDefault="00374D70" w:rsidP="003F2B55">
      <w:pPr>
        <w:jc w:val="center"/>
        <w:rPr>
          <w:color w:val="0000FF"/>
          <w:u w:val="single"/>
        </w:rPr>
      </w:pPr>
    </w:p>
    <w:sectPr w:rsidR="00374D70" w:rsidRPr="003F2B55" w:rsidSect="003F2B55">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AC6A" w14:textId="77777777" w:rsidR="004B7F92" w:rsidRPr="00A01D69" w:rsidRDefault="004B7F92">
      <w:pPr>
        <w:rPr>
          <w:rFonts w:cs="Arial"/>
          <w:szCs w:val="20"/>
        </w:rPr>
      </w:pPr>
      <w:r>
        <w:separator/>
      </w:r>
    </w:p>
  </w:endnote>
  <w:endnote w:type="continuationSeparator" w:id="0">
    <w:p w14:paraId="41470AC1" w14:textId="77777777" w:rsidR="004B7F92" w:rsidRPr="00A01D69" w:rsidRDefault="004B7F9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roman"/>
    <w:pitch w:val="variable"/>
    <w:sig w:usb0="800001AF" w:usb1="000178E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0559" w14:textId="77777777" w:rsidR="003F2B55" w:rsidRDefault="003F2B55" w:rsidP="003F2B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4DECCA" w14:textId="77777777" w:rsidR="00374D70" w:rsidRPr="003F2B55" w:rsidRDefault="003F2B55" w:rsidP="003F2B55">
    <w:pPr>
      <w:pStyle w:val="a4"/>
      <w:pBdr>
        <w:top w:val="single" w:sz="4" w:space="1" w:color="auto"/>
        <w:between w:val="single" w:sz="4" w:space="0" w:color="auto"/>
      </w:pBdr>
      <w:spacing w:after="60"/>
      <w:jc w:val="center"/>
      <w:rPr>
        <w:rFonts w:ascii="FrankRuehl" w:hAnsi="FrankRuehl" w:cs="FrankRuehl"/>
        <w:color w:val="000000"/>
      </w:rPr>
    </w:pPr>
    <w:r w:rsidRPr="003F2B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7228" w14:textId="77777777" w:rsidR="003F2B55" w:rsidRDefault="003F2B55" w:rsidP="003F2B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3B8B">
      <w:rPr>
        <w:rFonts w:ascii="FrankRuehl" w:hAnsi="FrankRuehl" w:cs="FrankRuehl"/>
        <w:noProof/>
        <w:rtl/>
      </w:rPr>
      <w:t>1</w:t>
    </w:r>
    <w:r>
      <w:rPr>
        <w:rFonts w:ascii="FrankRuehl" w:hAnsi="FrankRuehl" w:cs="FrankRuehl"/>
        <w:rtl/>
      </w:rPr>
      <w:fldChar w:fldCharType="end"/>
    </w:r>
  </w:p>
  <w:p w14:paraId="60CC6A4E" w14:textId="77777777" w:rsidR="00374D70" w:rsidRPr="003F2B55" w:rsidRDefault="003F2B55" w:rsidP="003F2B55">
    <w:pPr>
      <w:pStyle w:val="a4"/>
      <w:pBdr>
        <w:top w:val="single" w:sz="4" w:space="1" w:color="auto"/>
        <w:between w:val="single" w:sz="4" w:space="0" w:color="auto"/>
      </w:pBdr>
      <w:spacing w:after="60"/>
      <w:jc w:val="center"/>
      <w:rPr>
        <w:rFonts w:ascii="FrankRuehl" w:hAnsi="FrankRuehl" w:cs="FrankRuehl"/>
        <w:color w:val="000000"/>
      </w:rPr>
    </w:pPr>
    <w:r w:rsidRPr="003F2B55">
      <w:rPr>
        <w:rFonts w:ascii="FrankRuehl" w:hAnsi="FrankRuehl" w:cs="FrankRuehl"/>
        <w:color w:val="000000"/>
      </w:rPr>
      <w:pict w14:anchorId="5434BB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CB34" w14:textId="77777777" w:rsidR="004B7F92" w:rsidRPr="00A01D69" w:rsidRDefault="004B7F92">
      <w:pPr>
        <w:rPr>
          <w:rFonts w:cs="Arial"/>
          <w:szCs w:val="20"/>
        </w:rPr>
      </w:pPr>
      <w:r>
        <w:separator/>
      </w:r>
    </w:p>
  </w:footnote>
  <w:footnote w:type="continuationSeparator" w:id="0">
    <w:p w14:paraId="3B1261DC" w14:textId="77777777" w:rsidR="004B7F92" w:rsidRPr="00A01D69" w:rsidRDefault="004B7F9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C823" w14:textId="77777777" w:rsidR="003F2B55" w:rsidRPr="003F2B55" w:rsidRDefault="003F2B55" w:rsidP="003F2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28659-02-14</w:t>
    </w:r>
    <w:r>
      <w:rPr>
        <w:rFonts w:ascii="David" w:hAnsi="David"/>
        <w:color w:val="000000"/>
        <w:sz w:val="22"/>
        <w:szCs w:val="22"/>
        <w:rtl/>
      </w:rPr>
      <w:tab/>
      <w:t xml:space="preserve"> מדינת ישראל נ' פאדי מעאיטה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6B7A" w14:textId="77777777" w:rsidR="00E76383" w:rsidRDefault="00E76383" w:rsidP="003F2B5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23D1FFAA" w14:textId="77777777" w:rsidR="00E76383" w:rsidRDefault="00E76383" w:rsidP="003F2B5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4A49D627" w14:textId="77777777" w:rsidR="003F2B55" w:rsidRPr="003F2B55" w:rsidRDefault="003F2B55" w:rsidP="003F2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28659-02-14</w:t>
    </w:r>
    <w:r>
      <w:rPr>
        <w:rFonts w:ascii="David" w:hAnsi="David"/>
        <w:color w:val="000000"/>
        <w:sz w:val="22"/>
        <w:szCs w:val="22"/>
        <w:rtl/>
      </w:rPr>
      <w:tab/>
      <w:t xml:space="preserve"> מדינת ישראל נ' פאדי מעאיטה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63370392"/>
    <w:multiLevelType w:val="hybridMultilevel"/>
    <w:tmpl w:val="49165880"/>
    <w:lvl w:ilvl="0" w:tplc="B4CECFCE">
      <w:start w:val="1"/>
      <w:numFmt w:val="decimal"/>
      <w:lvlText w:val="%1."/>
      <w:lvlJc w:val="left"/>
      <w:pPr>
        <w:ind w:left="785"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154A1"/>
    <w:multiLevelType w:val="hybridMultilevel"/>
    <w:tmpl w:val="FBA8E676"/>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572158762">
    <w:abstractNumId w:val="2"/>
  </w:num>
  <w:num w:numId="2" w16cid:durableId="1804031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1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1035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4D70"/>
    <w:rsid w:val="002301EC"/>
    <w:rsid w:val="00374D70"/>
    <w:rsid w:val="003F2B55"/>
    <w:rsid w:val="004B7F92"/>
    <w:rsid w:val="00523B8B"/>
    <w:rsid w:val="00E76383"/>
    <w:rsid w:val="00FC3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AE7815"/>
  <w15:chartTrackingRefBased/>
  <w15:docId w15:val="{BBDF2939-C1EE-43C6-9868-D833386A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4D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74D70"/>
    <w:pPr>
      <w:tabs>
        <w:tab w:val="center" w:pos="4153"/>
        <w:tab w:val="right" w:pos="8306"/>
      </w:tabs>
    </w:pPr>
  </w:style>
  <w:style w:type="paragraph" w:styleId="a4">
    <w:name w:val="footer"/>
    <w:basedOn w:val="a"/>
    <w:rsid w:val="00374D70"/>
    <w:pPr>
      <w:tabs>
        <w:tab w:val="center" w:pos="4153"/>
        <w:tab w:val="right" w:pos="8306"/>
      </w:tabs>
    </w:pPr>
  </w:style>
  <w:style w:type="character" w:styleId="a5">
    <w:name w:val="page number"/>
    <w:basedOn w:val="a0"/>
    <w:rsid w:val="00374D70"/>
  </w:style>
  <w:style w:type="paragraph" w:customStyle="1" w:styleId="ListParagraph">
    <w:name w:val="List Paragraph"/>
    <w:basedOn w:val="a"/>
    <w:rsid w:val="00374D70"/>
    <w:pPr>
      <w:ind w:left="720"/>
      <w:contextualSpacing/>
    </w:pPr>
  </w:style>
  <w:style w:type="character" w:styleId="Hyperlink">
    <w:name w:val="Hyperlink"/>
    <w:basedOn w:val="a0"/>
    <w:rsid w:val="00374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601503" TargetMode="External"/><Relationship Id="rId26" Type="http://schemas.openxmlformats.org/officeDocument/2006/relationships/hyperlink" Target="http://www.nevo.co.il/case/5859902" TargetMode="External"/><Relationship Id="rId21" Type="http://schemas.openxmlformats.org/officeDocument/2006/relationships/hyperlink" Target="http://www.nevo.co.il/law/70301/40jc"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5893982" TargetMode="External"/><Relationship Id="rId25" Type="http://schemas.openxmlformats.org/officeDocument/2006/relationships/hyperlink" Target="http://www.nevo.co.il/case/607294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6058757"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5945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5852404"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040482" TargetMode="External"/><Relationship Id="rId23" Type="http://schemas.openxmlformats.org/officeDocument/2006/relationships/hyperlink" Target="http://www.nevo.co.il/case/5601503"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law/70301/40i"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6856471" TargetMode="External"/><Relationship Id="rId35" Type="http://schemas.openxmlformats.org/officeDocument/2006/relationships/footer" Target="footer2.xml"/><Relationship Id="rId8" Type="http://schemas.openxmlformats.org/officeDocument/2006/relationships/hyperlink" Target="http://www.nevo.co.il/law/70301/40d"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2064</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12364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3539069</vt:i4>
      </vt:variant>
      <vt:variant>
        <vt:i4>69</vt:i4>
      </vt:variant>
      <vt:variant>
        <vt:i4>0</vt:i4>
      </vt:variant>
      <vt:variant>
        <vt:i4>5</vt:i4>
      </vt:variant>
      <vt:variant>
        <vt:lpwstr>http://www.nevo.co.il/case/6856471</vt:lpwstr>
      </vt:variant>
      <vt:variant>
        <vt:lpwstr/>
      </vt:variant>
      <vt:variant>
        <vt:i4>3145852</vt:i4>
      </vt:variant>
      <vt:variant>
        <vt:i4>66</vt:i4>
      </vt:variant>
      <vt:variant>
        <vt:i4>0</vt:i4>
      </vt:variant>
      <vt:variant>
        <vt:i4>5</vt:i4>
      </vt:variant>
      <vt:variant>
        <vt:lpwstr>http://www.nevo.co.il/case/5594599</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3866741</vt:i4>
      </vt:variant>
      <vt:variant>
        <vt:i4>57</vt:i4>
      </vt:variant>
      <vt:variant>
        <vt:i4>0</vt:i4>
      </vt:variant>
      <vt:variant>
        <vt:i4>5</vt:i4>
      </vt:variant>
      <vt:variant>
        <vt:lpwstr>http://www.nevo.co.il/case/5859902</vt:lpwstr>
      </vt:variant>
      <vt:variant>
        <vt:lpwstr/>
      </vt:variant>
      <vt:variant>
        <vt:i4>3997810</vt:i4>
      </vt:variant>
      <vt:variant>
        <vt:i4>54</vt:i4>
      </vt:variant>
      <vt:variant>
        <vt:i4>0</vt:i4>
      </vt:variant>
      <vt:variant>
        <vt:i4>5</vt:i4>
      </vt:variant>
      <vt:variant>
        <vt:lpwstr>http://www.nevo.co.il/case/6072945</vt:lpwstr>
      </vt:variant>
      <vt:variant>
        <vt:lpwstr/>
      </vt:variant>
      <vt:variant>
        <vt:i4>3145854</vt:i4>
      </vt:variant>
      <vt:variant>
        <vt:i4>51</vt:i4>
      </vt:variant>
      <vt:variant>
        <vt:i4>0</vt:i4>
      </vt:variant>
      <vt:variant>
        <vt:i4>5</vt:i4>
      </vt:variant>
      <vt:variant>
        <vt:lpwstr>http://www.nevo.co.il/case/5852404</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3342451</vt:i4>
      </vt:variant>
      <vt:variant>
        <vt:i4>33</vt:i4>
      </vt:variant>
      <vt:variant>
        <vt:i4>0</vt:i4>
      </vt:variant>
      <vt:variant>
        <vt:i4>5</vt:i4>
      </vt:variant>
      <vt:variant>
        <vt:lpwstr>http://www.nevo.co.il/case/5601503</vt:lpwstr>
      </vt:variant>
      <vt:variant>
        <vt:lpwstr/>
      </vt:variant>
      <vt:variant>
        <vt:i4>3604599</vt:i4>
      </vt:variant>
      <vt:variant>
        <vt:i4>30</vt:i4>
      </vt:variant>
      <vt:variant>
        <vt:i4>0</vt:i4>
      </vt:variant>
      <vt:variant>
        <vt:i4>5</vt:i4>
      </vt:variant>
      <vt:variant>
        <vt:lpwstr>http://www.nevo.co.il/case/5893982</vt:lpwstr>
      </vt:variant>
      <vt:variant>
        <vt:lpwstr/>
      </vt:variant>
      <vt:variant>
        <vt:i4>3342457</vt:i4>
      </vt:variant>
      <vt:variant>
        <vt:i4>27</vt:i4>
      </vt:variant>
      <vt:variant>
        <vt:i4>0</vt:i4>
      </vt:variant>
      <vt:variant>
        <vt:i4>5</vt:i4>
      </vt:variant>
      <vt:variant>
        <vt:lpwstr>http://www.nevo.co.il/case/6058757</vt:lpwstr>
      </vt:variant>
      <vt:variant>
        <vt:lpwstr/>
      </vt:variant>
      <vt:variant>
        <vt:i4>3407996</vt:i4>
      </vt:variant>
      <vt:variant>
        <vt:i4>24</vt:i4>
      </vt:variant>
      <vt:variant>
        <vt:i4>0</vt:i4>
      </vt:variant>
      <vt:variant>
        <vt:i4>5</vt:i4>
      </vt:variant>
      <vt:variant>
        <vt:lpwstr>http://www.nevo.co.il/case/6040482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28659</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פאדי מעאיטה</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20140708</vt:lpwstr>
  </property>
  <property fmtid="{D5CDD505-2E9C-101B-9397-08002B2CF9AE}" pid="13" name="TYPE_N_DATE">
    <vt:lpwstr>38020140708</vt:lpwstr>
  </property>
  <property fmtid="{D5CDD505-2E9C-101B-9397-08002B2CF9AE}" pid="14" name="CASESLISTTMP1">
    <vt:lpwstr>6040482;6058757;5893982;5601503:2;5852404;6072945;5859902;5594599;6856471</vt:lpwstr>
  </property>
  <property fmtid="{D5CDD505-2E9C-101B-9397-08002B2CF9AE}" pid="15" name="WORDNUMPAGES">
    <vt:lpwstr>7</vt:lpwstr>
  </property>
  <property fmtid="{D5CDD505-2E9C-101B-9397-08002B2CF9AE}" pid="16" name="TYPE_ABS_DATE">
    <vt:lpwstr>380020140708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70301/144.a;040i;40jc;40ja;040d</vt:lpwstr>
  </property>
  <property fmtid="{D5CDD505-2E9C-101B-9397-08002B2CF9AE}" pid="36" name="ISABSTRACT">
    <vt:lpwstr>Y</vt:lpwstr>
  </property>
</Properties>
</file>