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FE78E4" w:rsidRPr="00A8388A" w14:paraId="7633DADA" w14:textId="77777777" w:rsidTr="0044663C">
        <w:trPr>
          <w:trHeight w:hRule="exact" w:val="418"/>
          <w:jc w:val="center"/>
        </w:trPr>
        <w:tc>
          <w:tcPr>
            <w:tcW w:w="8721" w:type="dxa"/>
            <w:gridSpan w:val="2"/>
          </w:tcPr>
          <w:p w14:paraId="04EC3EDA" w14:textId="77777777" w:rsidR="00FE78E4" w:rsidRPr="00A8388A" w:rsidRDefault="00FE78E4" w:rsidP="00F3207D">
            <w:pPr>
              <w:pStyle w:val="a3"/>
              <w:jc w:val="center"/>
              <w:rPr>
                <w:rFonts w:ascii="Tahoma" w:hAnsi="Tahoma" w:cs="Tahoma"/>
                <w:color w:val="000080"/>
                <w:rtl/>
              </w:rPr>
            </w:pPr>
            <w:bookmarkStart w:id="0" w:name="LastJudge"/>
            <w:r w:rsidRPr="00A8388A">
              <w:rPr>
                <w:rFonts w:ascii="Tahoma" w:hAnsi="Tahoma" w:cs="Tahoma"/>
                <w:b/>
                <w:bCs/>
                <w:color w:val="000080"/>
                <w:rtl/>
              </w:rPr>
              <w:t>בית משפט השלום בכפר סבא</w:t>
            </w:r>
          </w:p>
        </w:tc>
      </w:tr>
      <w:tr w:rsidR="00FE78E4" w:rsidRPr="00A8388A" w14:paraId="172B67D3" w14:textId="77777777" w:rsidTr="0044663C">
        <w:trPr>
          <w:trHeight w:val="337"/>
          <w:jc w:val="center"/>
        </w:trPr>
        <w:tc>
          <w:tcPr>
            <w:tcW w:w="5054" w:type="dxa"/>
          </w:tcPr>
          <w:p w14:paraId="3E5FDD19" w14:textId="77777777" w:rsidR="00FE78E4" w:rsidRPr="00A8388A" w:rsidRDefault="00FE78E4" w:rsidP="00F3207D">
            <w:pPr>
              <w:rPr>
                <w:rFonts w:cs="FrankRuehl"/>
                <w:sz w:val="28"/>
                <w:szCs w:val="28"/>
                <w:rtl/>
              </w:rPr>
            </w:pPr>
            <w:r w:rsidRPr="00A8388A">
              <w:rPr>
                <w:rFonts w:cs="FrankRuehl"/>
                <w:sz w:val="28"/>
                <w:szCs w:val="28"/>
                <w:rtl/>
              </w:rPr>
              <w:t>ת"פ</w:t>
            </w:r>
            <w:r w:rsidRPr="00A8388A">
              <w:rPr>
                <w:rFonts w:cs="FrankRuehl" w:hint="cs"/>
                <w:sz w:val="28"/>
                <w:szCs w:val="28"/>
                <w:rtl/>
              </w:rPr>
              <w:t xml:space="preserve"> </w:t>
            </w:r>
            <w:r w:rsidRPr="00A8388A">
              <w:rPr>
                <w:rFonts w:cs="FrankRuehl"/>
                <w:sz w:val="28"/>
                <w:szCs w:val="28"/>
                <w:rtl/>
              </w:rPr>
              <w:t>21459-01-16</w:t>
            </w:r>
            <w:r w:rsidRPr="00A8388A">
              <w:rPr>
                <w:rFonts w:cs="FrankRuehl" w:hint="cs"/>
                <w:sz w:val="28"/>
                <w:szCs w:val="28"/>
                <w:rtl/>
              </w:rPr>
              <w:t xml:space="preserve"> </w:t>
            </w:r>
            <w:r w:rsidRPr="00A8388A">
              <w:rPr>
                <w:rFonts w:cs="FrankRuehl"/>
                <w:sz w:val="28"/>
                <w:szCs w:val="28"/>
                <w:rtl/>
              </w:rPr>
              <w:t>מדינת ישראל נ' נאטור ואח'</w:t>
            </w:r>
          </w:p>
          <w:p w14:paraId="7EB1E451" w14:textId="77777777" w:rsidR="00FE78E4" w:rsidRPr="00A8388A" w:rsidRDefault="00FE78E4" w:rsidP="00F3207D">
            <w:pPr>
              <w:pStyle w:val="a3"/>
              <w:rPr>
                <w:rFonts w:cs="FrankRuehl"/>
                <w:sz w:val="28"/>
                <w:szCs w:val="28"/>
                <w:rtl/>
              </w:rPr>
            </w:pPr>
          </w:p>
        </w:tc>
        <w:tc>
          <w:tcPr>
            <w:tcW w:w="3667" w:type="dxa"/>
          </w:tcPr>
          <w:p w14:paraId="0990E845" w14:textId="77777777" w:rsidR="00FE78E4" w:rsidRPr="00A8388A" w:rsidRDefault="00FE78E4" w:rsidP="00F3207D">
            <w:pPr>
              <w:pStyle w:val="a3"/>
              <w:jc w:val="right"/>
              <w:rPr>
                <w:rFonts w:cs="FrankRuehl"/>
                <w:sz w:val="28"/>
                <w:szCs w:val="28"/>
                <w:rtl/>
              </w:rPr>
            </w:pPr>
          </w:p>
        </w:tc>
      </w:tr>
    </w:tbl>
    <w:p w14:paraId="773ACB70" w14:textId="77777777" w:rsidR="00FE78E4" w:rsidRPr="00A8388A" w:rsidRDefault="00FE78E4" w:rsidP="00FE78E4">
      <w:pPr>
        <w:pStyle w:val="a3"/>
        <w:rPr>
          <w:rtl/>
        </w:rPr>
      </w:pPr>
      <w:r w:rsidRPr="00A8388A">
        <w:rPr>
          <w:rFonts w:hint="cs"/>
          <w:rtl/>
        </w:rPr>
        <w:t xml:space="preserve"> </w:t>
      </w:r>
    </w:p>
    <w:p w14:paraId="259B73F6" w14:textId="77777777" w:rsidR="00FE78E4" w:rsidRPr="00A8388A" w:rsidRDefault="00FE78E4" w:rsidP="00FE78E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748"/>
        <w:gridCol w:w="2127"/>
      </w:tblGrid>
      <w:tr w:rsidR="00FE78E4" w:rsidRPr="00A8388A" w14:paraId="737E6535" w14:textId="77777777" w:rsidTr="00FE78E4">
        <w:trPr>
          <w:trHeight w:val="295"/>
          <w:jc w:val="center"/>
        </w:trPr>
        <w:tc>
          <w:tcPr>
            <w:tcW w:w="945" w:type="dxa"/>
            <w:tcBorders>
              <w:top w:val="nil"/>
              <w:left w:val="nil"/>
              <w:bottom w:val="nil"/>
              <w:right w:val="nil"/>
            </w:tcBorders>
            <w:shd w:val="clear" w:color="auto" w:fill="auto"/>
          </w:tcPr>
          <w:p w14:paraId="57BC69F9" w14:textId="77777777" w:rsidR="00FE78E4" w:rsidRPr="00A8388A" w:rsidRDefault="00FE78E4" w:rsidP="00FE78E4">
            <w:pPr>
              <w:jc w:val="both"/>
              <w:rPr>
                <w:rFonts w:ascii="Arial" w:hAnsi="Arial"/>
                <w:b/>
                <w:bCs/>
                <w:sz w:val="28"/>
                <w:szCs w:val="28"/>
              </w:rPr>
            </w:pPr>
            <w:r w:rsidRPr="00A8388A">
              <w:rPr>
                <w:rFonts w:ascii="Arial" w:hAnsi="Arial" w:hint="cs"/>
                <w:b/>
                <w:bCs/>
                <w:sz w:val="28"/>
                <w:szCs w:val="28"/>
                <w:rtl/>
              </w:rPr>
              <w:t>ב</w:t>
            </w:r>
            <w:r w:rsidRPr="00A8388A">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723A6BD7" w14:textId="77777777" w:rsidR="00FE78E4" w:rsidRPr="00A8388A" w:rsidRDefault="00FE78E4" w:rsidP="00F3207D">
            <w:pPr>
              <w:rPr>
                <w:rFonts w:ascii="Arial" w:hAnsi="Arial"/>
                <w:b/>
                <w:bCs/>
                <w:sz w:val="28"/>
                <w:szCs w:val="28"/>
                <w:rtl/>
              </w:rPr>
            </w:pPr>
            <w:r w:rsidRPr="00A8388A">
              <w:rPr>
                <w:rFonts w:ascii="Arial" w:hAnsi="Arial" w:hint="cs"/>
                <w:b/>
                <w:bCs/>
                <w:sz w:val="28"/>
                <w:szCs w:val="28"/>
                <w:rtl/>
              </w:rPr>
              <w:t>כבוד ה</w:t>
            </w:r>
            <w:r w:rsidRPr="00A8388A">
              <w:rPr>
                <w:rFonts w:ascii="Arial" w:hAnsi="Arial"/>
                <w:b/>
                <w:bCs/>
                <w:sz w:val="28"/>
                <w:szCs w:val="28"/>
                <w:rtl/>
              </w:rPr>
              <w:t>שופטת</w:t>
            </w:r>
            <w:r w:rsidRPr="00A8388A">
              <w:rPr>
                <w:rFonts w:ascii="Arial" w:hAnsi="Arial" w:hint="cs"/>
                <w:b/>
                <w:bCs/>
                <w:sz w:val="28"/>
                <w:szCs w:val="28"/>
                <w:rtl/>
              </w:rPr>
              <w:t xml:space="preserve">  </w:t>
            </w:r>
            <w:r w:rsidRPr="00A8388A">
              <w:rPr>
                <w:rFonts w:ascii="Arial" w:hAnsi="Arial"/>
                <w:b/>
                <w:bCs/>
                <w:sz w:val="28"/>
                <w:szCs w:val="28"/>
                <w:rtl/>
              </w:rPr>
              <w:t>מרב גרינברג</w:t>
            </w:r>
          </w:p>
          <w:p w14:paraId="46481702" w14:textId="77777777" w:rsidR="00FE78E4" w:rsidRPr="00A8388A" w:rsidRDefault="00FE78E4" w:rsidP="00F3207D">
            <w:pPr>
              <w:rPr>
                <w:b/>
                <w:bCs/>
                <w:sz w:val="28"/>
                <w:szCs w:val="28"/>
                <w:rtl/>
              </w:rPr>
            </w:pPr>
          </w:p>
          <w:p w14:paraId="56A783F6" w14:textId="77777777" w:rsidR="00FE78E4" w:rsidRPr="00A8388A" w:rsidRDefault="00FE78E4" w:rsidP="00FE78E4">
            <w:pPr>
              <w:jc w:val="both"/>
              <w:rPr>
                <w:rFonts w:ascii="Arial" w:hAnsi="Arial"/>
                <w:b/>
                <w:bCs/>
                <w:sz w:val="28"/>
                <w:szCs w:val="28"/>
              </w:rPr>
            </w:pPr>
          </w:p>
        </w:tc>
      </w:tr>
      <w:tr w:rsidR="00FE78E4" w:rsidRPr="00A8388A" w14:paraId="76322B23" w14:textId="77777777" w:rsidTr="00FE78E4">
        <w:trPr>
          <w:trHeight w:val="355"/>
          <w:jc w:val="center"/>
        </w:trPr>
        <w:tc>
          <w:tcPr>
            <w:tcW w:w="945" w:type="dxa"/>
            <w:tcBorders>
              <w:top w:val="nil"/>
              <w:left w:val="nil"/>
              <w:bottom w:val="nil"/>
              <w:right w:val="nil"/>
            </w:tcBorders>
            <w:shd w:val="clear" w:color="auto" w:fill="auto"/>
          </w:tcPr>
          <w:p w14:paraId="52FD9139" w14:textId="77777777" w:rsidR="00FE78E4" w:rsidRPr="00A8388A" w:rsidRDefault="00FE78E4" w:rsidP="00FE78E4">
            <w:pPr>
              <w:jc w:val="both"/>
              <w:rPr>
                <w:rFonts w:ascii="Arial" w:hAnsi="Arial"/>
                <w:b/>
                <w:bCs/>
                <w:sz w:val="28"/>
                <w:szCs w:val="28"/>
              </w:rPr>
            </w:pPr>
            <w:bookmarkStart w:id="1" w:name="FirstAppellant"/>
            <w:r w:rsidRPr="00A8388A">
              <w:rPr>
                <w:rFonts w:ascii="Arial" w:hAnsi="Arial" w:hint="cs"/>
                <w:b/>
                <w:bCs/>
                <w:sz w:val="28"/>
                <w:szCs w:val="28"/>
                <w:rtl/>
              </w:rPr>
              <w:t>בעניין:</w:t>
            </w:r>
          </w:p>
        </w:tc>
        <w:tc>
          <w:tcPr>
            <w:tcW w:w="5748" w:type="dxa"/>
            <w:tcBorders>
              <w:top w:val="nil"/>
              <w:left w:val="nil"/>
              <w:bottom w:val="nil"/>
              <w:right w:val="nil"/>
            </w:tcBorders>
            <w:shd w:val="clear" w:color="auto" w:fill="auto"/>
          </w:tcPr>
          <w:p w14:paraId="64B911FE" w14:textId="77777777" w:rsidR="00FE78E4" w:rsidRPr="00A8388A" w:rsidRDefault="00FE78E4" w:rsidP="00F3207D">
            <w:pPr>
              <w:rPr>
                <w:b/>
                <w:bCs/>
                <w:sz w:val="28"/>
                <w:szCs w:val="28"/>
              </w:rPr>
            </w:pPr>
            <w:r w:rsidRPr="00A8388A">
              <w:rPr>
                <w:rFonts w:ascii="Arial" w:hAnsi="Arial"/>
                <w:b/>
                <w:bCs/>
                <w:sz w:val="28"/>
                <w:szCs w:val="28"/>
                <w:rtl/>
              </w:rPr>
              <w:t>מדינת ישראל</w:t>
            </w:r>
          </w:p>
        </w:tc>
        <w:tc>
          <w:tcPr>
            <w:tcW w:w="2127" w:type="dxa"/>
            <w:tcBorders>
              <w:top w:val="nil"/>
              <w:left w:val="nil"/>
              <w:bottom w:val="nil"/>
              <w:right w:val="nil"/>
            </w:tcBorders>
            <w:shd w:val="clear" w:color="auto" w:fill="auto"/>
          </w:tcPr>
          <w:p w14:paraId="2AF438C2" w14:textId="77777777" w:rsidR="00FE78E4" w:rsidRPr="00A8388A" w:rsidRDefault="00FE78E4" w:rsidP="00FE78E4">
            <w:pPr>
              <w:jc w:val="both"/>
              <w:rPr>
                <w:rFonts w:ascii="Arial" w:hAnsi="Arial"/>
                <w:b/>
                <w:bCs/>
                <w:sz w:val="28"/>
                <w:szCs w:val="28"/>
              </w:rPr>
            </w:pPr>
          </w:p>
        </w:tc>
      </w:tr>
      <w:tr w:rsidR="00FE78E4" w:rsidRPr="00A8388A" w14:paraId="4CEFB37F" w14:textId="77777777" w:rsidTr="00FE78E4">
        <w:trPr>
          <w:trHeight w:val="355"/>
          <w:jc w:val="center"/>
        </w:trPr>
        <w:tc>
          <w:tcPr>
            <w:tcW w:w="945" w:type="dxa"/>
            <w:tcBorders>
              <w:top w:val="nil"/>
              <w:left w:val="nil"/>
              <w:bottom w:val="nil"/>
              <w:right w:val="nil"/>
            </w:tcBorders>
            <w:shd w:val="clear" w:color="auto" w:fill="auto"/>
          </w:tcPr>
          <w:p w14:paraId="7DADD48C" w14:textId="77777777" w:rsidR="00FE78E4" w:rsidRPr="00A8388A" w:rsidRDefault="00FE78E4" w:rsidP="00FE78E4">
            <w:pPr>
              <w:jc w:val="both"/>
              <w:rPr>
                <w:rFonts w:ascii="Arial" w:hAnsi="Arial"/>
                <w:b/>
                <w:bCs/>
                <w:sz w:val="28"/>
                <w:szCs w:val="28"/>
                <w:rtl/>
              </w:rPr>
            </w:pPr>
            <w:bookmarkStart w:id="2" w:name="FirstLawyer"/>
            <w:bookmarkEnd w:id="1"/>
          </w:p>
        </w:tc>
        <w:tc>
          <w:tcPr>
            <w:tcW w:w="5748" w:type="dxa"/>
            <w:tcBorders>
              <w:top w:val="nil"/>
              <w:left w:val="nil"/>
              <w:bottom w:val="nil"/>
              <w:right w:val="nil"/>
            </w:tcBorders>
            <w:shd w:val="clear" w:color="auto" w:fill="auto"/>
          </w:tcPr>
          <w:p w14:paraId="10C0025D" w14:textId="77777777" w:rsidR="00FE78E4" w:rsidRPr="00A8388A" w:rsidRDefault="00FE78E4" w:rsidP="00FE78E4">
            <w:pPr>
              <w:jc w:val="both"/>
              <w:rPr>
                <w:b/>
                <w:bCs/>
                <w:sz w:val="28"/>
                <w:szCs w:val="28"/>
                <w:rtl/>
              </w:rPr>
            </w:pPr>
            <w:r w:rsidRPr="00A8388A">
              <w:rPr>
                <w:rFonts w:hint="cs"/>
                <w:b/>
                <w:bCs/>
                <w:sz w:val="28"/>
                <w:szCs w:val="28"/>
                <w:rtl/>
              </w:rPr>
              <w:t>ע"י ב"כ עו"ד פאדי אסעד</w:t>
            </w:r>
          </w:p>
        </w:tc>
        <w:tc>
          <w:tcPr>
            <w:tcW w:w="2127" w:type="dxa"/>
            <w:tcBorders>
              <w:top w:val="nil"/>
              <w:left w:val="nil"/>
              <w:bottom w:val="nil"/>
              <w:right w:val="nil"/>
            </w:tcBorders>
            <w:shd w:val="clear" w:color="auto" w:fill="auto"/>
          </w:tcPr>
          <w:p w14:paraId="312754DF" w14:textId="77777777" w:rsidR="00FE78E4" w:rsidRPr="00A8388A" w:rsidRDefault="00FE78E4" w:rsidP="00FE78E4">
            <w:pPr>
              <w:jc w:val="right"/>
              <w:rPr>
                <w:rFonts w:ascii="Arial" w:hAnsi="Arial"/>
                <w:b/>
                <w:bCs/>
                <w:sz w:val="28"/>
                <w:szCs w:val="28"/>
                <w:rtl/>
              </w:rPr>
            </w:pPr>
            <w:r w:rsidRPr="00A8388A">
              <w:rPr>
                <w:rFonts w:ascii="Arial" w:hAnsi="Arial" w:hint="cs"/>
                <w:b/>
                <w:bCs/>
                <w:sz w:val="28"/>
                <w:szCs w:val="28"/>
                <w:rtl/>
              </w:rPr>
              <w:t>ה</w:t>
            </w:r>
            <w:r w:rsidRPr="00A8388A">
              <w:rPr>
                <w:rFonts w:ascii="Arial" w:hAnsi="Arial"/>
                <w:b/>
                <w:bCs/>
                <w:sz w:val="28"/>
                <w:szCs w:val="28"/>
                <w:rtl/>
              </w:rPr>
              <w:t>מאשימה</w:t>
            </w:r>
          </w:p>
        </w:tc>
      </w:tr>
      <w:bookmarkEnd w:id="2"/>
      <w:tr w:rsidR="00FE78E4" w:rsidRPr="00A8388A" w14:paraId="732C827D" w14:textId="77777777" w:rsidTr="00FE78E4">
        <w:trPr>
          <w:trHeight w:val="355"/>
          <w:jc w:val="center"/>
        </w:trPr>
        <w:tc>
          <w:tcPr>
            <w:tcW w:w="945" w:type="dxa"/>
            <w:tcBorders>
              <w:top w:val="nil"/>
              <w:left w:val="nil"/>
              <w:bottom w:val="nil"/>
              <w:right w:val="nil"/>
            </w:tcBorders>
            <w:shd w:val="clear" w:color="auto" w:fill="auto"/>
          </w:tcPr>
          <w:p w14:paraId="22C5E9BA" w14:textId="77777777" w:rsidR="00FE78E4" w:rsidRPr="00A8388A" w:rsidRDefault="00FE78E4" w:rsidP="00FE78E4">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DA44F34" w14:textId="77777777" w:rsidR="00FE78E4" w:rsidRPr="00A8388A" w:rsidRDefault="00FE78E4" w:rsidP="00FE78E4">
            <w:pPr>
              <w:jc w:val="center"/>
              <w:rPr>
                <w:rFonts w:ascii="Arial" w:hAnsi="Arial"/>
                <w:b/>
                <w:bCs/>
                <w:sz w:val="28"/>
                <w:szCs w:val="28"/>
                <w:rtl/>
              </w:rPr>
            </w:pPr>
          </w:p>
          <w:p w14:paraId="437F2E12" w14:textId="77777777" w:rsidR="00FE78E4" w:rsidRPr="00A8388A" w:rsidRDefault="00FE78E4" w:rsidP="00FE78E4">
            <w:pPr>
              <w:jc w:val="center"/>
              <w:rPr>
                <w:rFonts w:ascii="Arial" w:hAnsi="Arial"/>
                <w:b/>
                <w:bCs/>
                <w:sz w:val="28"/>
                <w:szCs w:val="28"/>
                <w:rtl/>
              </w:rPr>
            </w:pPr>
            <w:r w:rsidRPr="00A8388A">
              <w:rPr>
                <w:rFonts w:ascii="Arial" w:hAnsi="Arial"/>
                <w:b/>
                <w:bCs/>
                <w:sz w:val="28"/>
                <w:szCs w:val="28"/>
                <w:rtl/>
              </w:rPr>
              <w:t>נ</w:t>
            </w:r>
            <w:r w:rsidRPr="00A8388A">
              <w:rPr>
                <w:rFonts w:ascii="Arial" w:hAnsi="Arial" w:hint="cs"/>
                <w:b/>
                <w:bCs/>
                <w:sz w:val="28"/>
                <w:szCs w:val="28"/>
                <w:rtl/>
              </w:rPr>
              <w:t xml:space="preserve"> </w:t>
            </w:r>
            <w:r w:rsidRPr="00A8388A">
              <w:rPr>
                <w:rFonts w:ascii="Arial" w:hAnsi="Arial"/>
                <w:b/>
                <w:bCs/>
                <w:sz w:val="28"/>
                <w:szCs w:val="28"/>
                <w:rtl/>
              </w:rPr>
              <w:t>ג</w:t>
            </w:r>
            <w:r w:rsidRPr="00A8388A">
              <w:rPr>
                <w:rFonts w:ascii="Arial" w:hAnsi="Arial" w:hint="cs"/>
                <w:b/>
                <w:bCs/>
                <w:sz w:val="28"/>
                <w:szCs w:val="28"/>
                <w:rtl/>
              </w:rPr>
              <w:t xml:space="preserve"> </w:t>
            </w:r>
            <w:r w:rsidRPr="00A8388A">
              <w:rPr>
                <w:rFonts w:ascii="Arial" w:hAnsi="Arial"/>
                <w:b/>
                <w:bCs/>
                <w:sz w:val="28"/>
                <w:szCs w:val="28"/>
                <w:rtl/>
              </w:rPr>
              <w:t>ד</w:t>
            </w:r>
          </w:p>
          <w:p w14:paraId="01173A84" w14:textId="77777777" w:rsidR="00FE78E4" w:rsidRPr="00A8388A" w:rsidRDefault="00FE78E4" w:rsidP="00FE78E4">
            <w:pPr>
              <w:jc w:val="both"/>
              <w:rPr>
                <w:rFonts w:ascii="Arial" w:hAnsi="Arial"/>
                <w:b/>
                <w:bCs/>
                <w:sz w:val="28"/>
                <w:szCs w:val="28"/>
              </w:rPr>
            </w:pPr>
          </w:p>
        </w:tc>
      </w:tr>
      <w:tr w:rsidR="00FE78E4" w:rsidRPr="00A8388A" w14:paraId="75D1C2B9" w14:textId="77777777" w:rsidTr="00FE78E4">
        <w:trPr>
          <w:trHeight w:val="355"/>
          <w:jc w:val="center"/>
        </w:trPr>
        <w:tc>
          <w:tcPr>
            <w:tcW w:w="945" w:type="dxa"/>
            <w:tcBorders>
              <w:top w:val="nil"/>
              <w:left w:val="nil"/>
              <w:bottom w:val="nil"/>
              <w:right w:val="nil"/>
            </w:tcBorders>
            <w:shd w:val="clear" w:color="auto" w:fill="auto"/>
          </w:tcPr>
          <w:p w14:paraId="0D96D985" w14:textId="77777777" w:rsidR="00FE78E4" w:rsidRPr="00A8388A" w:rsidRDefault="00FE78E4" w:rsidP="00F3207D">
            <w:pPr>
              <w:rPr>
                <w:rFonts w:ascii="Arial" w:hAnsi="Arial"/>
                <w:b/>
                <w:bCs/>
                <w:sz w:val="28"/>
                <w:szCs w:val="28"/>
                <w:rtl/>
              </w:rPr>
            </w:pPr>
          </w:p>
        </w:tc>
        <w:tc>
          <w:tcPr>
            <w:tcW w:w="5748" w:type="dxa"/>
            <w:tcBorders>
              <w:top w:val="nil"/>
              <w:left w:val="nil"/>
              <w:bottom w:val="nil"/>
              <w:right w:val="nil"/>
            </w:tcBorders>
            <w:shd w:val="clear" w:color="auto" w:fill="auto"/>
          </w:tcPr>
          <w:p w14:paraId="6F2375BE" w14:textId="77777777" w:rsidR="00FE78E4" w:rsidRPr="00A8388A" w:rsidRDefault="00FE78E4" w:rsidP="0044663C">
            <w:pPr>
              <w:rPr>
                <w:b/>
                <w:bCs/>
                <w:sz w:val="28"/>
                <w:szCs w:val="28"/>
                <w:rtl/>
              </w:rPr>
            </w:pPr>
            <w:r w:rsidRPr="00A8388A">
              <w:rPr>
                <w:rFonts w:ascii="Arial" w:hAnsi="Arial"/>
                <w:b/>
                <w:bCs/>
                <w:sz w:val="28"/>
                <w:szCs w:val="28"/>
                <w:rtl/>
              </w:rPr>
              <w:t>1</w:t>
            </w:r>
            <w:r w:rsidRPr="00A8388A">
              <w:rPr>
                <w:rFonts w:ascii="Arial" w:hAnsi="Arial" w:hint="cs"/>
                <w:b/>
                <w:bCs/>
                <w:sz w:val="28"/>
                <w:szCs w:val="28"/>
                <w:rtl/>
              </w:rPr>
              <w:t>.</w:t>
            </w:r>
            <w:r w:rsidRPr="00A8388A">
              <w:rPr>
                <w:rFonts w:ascii="Arial" w:hAnsi="Arial"/>
                <w:b/>
                <w:bCs/>
                <w:sz w:val="28"/>
                <w:szCs w:val="28"/>
                <w:rtl/>
              </w:rPr>
              <w:t>מחמוד נאטור</w:t>
            </w:r>
            <w:r w:rsidRPr="00A8388A">
              <w:rPr>
                <w:rFonts w:hint="cs"/>
                <w:b/>
                <w:bCs/>
                <w:sz w:val="28"/>
                <w:szCs w:val="28"/>
                <w:rtl/>
              </w:rPr>
              <w:t xml:space="preserve"> </w:t>
            </w:r>
          </w:p>
          <w:p w14:paraId="3E68DD3B" w14:textId="77777777" w:rsidR="00FE78E4" w:rsidRPr="00A8388A" w:rsidRDefault="00FE78E4" w:rsidP="00F3207D">
            <w:pPr>
              <w:rPr>
                <w:b/>
                <w:bCs/>
                <w:sz w:val="28"/>
                <w:szCs w:val="28"/>
                <w:rtl/>
              </w:rPr>
            </w:pPr>
            <w:r w:rsidRPr="00A8388A">
              <w:rPr>
                <w:rFonts w:ascii="Arial" w:hAnsi="Arial"/>
                <w:b/>
                <w:bCs/>
                <w:sz w:val="28"/>
                <w:szCs w:val="28"/>
                <w:rtl/>
              </w:rPr>
              <w:t>2</w:t>
            </w:r>
            <w:r w:rsidRPr="00A8388A">
              <w:rPr>
                <w:rFonts w:ascii="Arial" w:hAnsi="Arial" w:hint="cs"/>
                <w:b/>
                <w:bCs/>
                <w:sz w:val="28"/>
                <w:szCs w:val="28"/>
                <w:rtl/>
              </w:rPr>
              <w:t>.</w:t>
            </w:r>
            <w:r w:rsidRPr="00A8388A">
              <w:rPr>
                <w:rFonts w:ascii="Arial" w:hAnsi="Arial"/>
                <w:b/>
                <w:bCs/>
                <w:sz w:val="28"/>
                <w:szCs w:val="28"/>
                <w:rtl/>
              </w:rPr>
              <w:t>נוהאיה נאטור</w:t>
            </w:r>
            <w:r w:rsidRPr="00A8388A">
              <w:rPr>
                <w:rFonts w:hint="cs"/>
                <w:b/>
                <w:bCs/>
                <w:sz w:val="28"/>
                <w:szCs w:val="28"/>
                <w:rtl/>
              </w:rPr>
              <w:t xml:space="preserve"> -נדונה</w:t>
            </w:r>
          </w:p>
        </w:tc>
        <w:tc>
          <w:tcPr>
            <w:tcW w:w="2127" w:type="dxa"/>
            <w:tcBorders>
              <w:top w:val="nil"/>
              <w:left w:val="nil"/>
              <w:bottom w:val="nil"/>
              <w:right w:val="nil"/>
            </w:tcBorders>
            <w:shd w:val="clear" w:color="auto" w:fill="auto"/>
          </w:tcPr>
          <w:p w14:paraId="57FBE6CA" w14:textId="77777777" w:rsidR="00FE78E4" w:rsidRPr="00A8388A" w:rsidRDefault="00FE78E4" w:rsidP="00FE78E4">
            <w:pPr>
              <w:jc w:val="right"/>
              <w:rPr>
                <w:rFonts w:ascii="Arial" w:hAnsi="Arial"/>
                <w:b/>
                <w:bCs/>
                <w:sz w:val="28"/>
                <w:szCs w:val="28"/>
              </w:rPr>
            </w:pPr>
          </w:p>
        </w:tc>
      </w:tr>
      <w:tr w:rsidR="00FE78E4" w:rsidRPr="00A8388A" w14:paraId="256C8607" w14:textId="77777777" w:rsidTr="00FE78E4">
        <w:trPr>
          <w:trHeight w:val="355"/>
          <w:jc w:val="center"/>
        </w:trPr>
        <w:tc>
          <w:tcPr>
            <w:tcW w:w="945" w:type="dxa"/>
            <w:tcBorders>
              <w:top w:val="nil"/>
              <w:left w:val="nil"/>
              <w:bottom w:val="nil"/>
              <w:right w:val="nil"/>
            </w:tcBorders>
            <w:shd w:val="clear" w:color="auto" w:fill="auto"/>
          </w:tcPr>
          <w:p w14:paraId="0B283044" w14:textId="77777777" w:rsidR="00FE78E4" w:rsidRPr="00A8388A" w:rsidRDefault="00FE78E4" w:rsidP="00FE78E4">
            <w:pPr>
              <w:jc w:val="both"/>
              <w:rPr>
                <w:rFonts w:ascii="Arial" w:hAnsi="Arial"/>
                <w:b/>
                <w:bCs/>
                <w:sz w:val="28"/>
                <w:szCs w:val="28"/>
                <w:rtl/>
              </w:rPr>
            </w:pPr>
          </w:p>
        </w:tc>
        <w:tc>
          <w:tcPr>
            <w:tcW w:w="5748" w:type="dxa"/>
            <w:tcBorders>
              <w:top w:val="nil"/>
              <w:left w:val="nil"/>
              <w:bottom w:val="nil"/>
              <w:right w:val="nil"/>
            </w:tcBorders>
            <w:shd w:val="clear" w:color="auto" w:fill="auto"/>
          </w:tcPr>
          <w:p w14:paraId="1FD05A53" w14:textId="77777777" w:rsidR="00FE78E4" w:rsidRPr="00A8388A" w:rsidRDefault="00FE78E4" w:rsidP="00FE78E4">
            <w:pPr>
              <w:jc w:val="both"/>
              <w:rPr>
                <w:b/>
                <w:bCs/>
                <w:sz w:val="28"/>
                <w:szCs w:val="28"/>
                <w:rtl/>
              </w:rPr>
            </w:pPr>
            <w:r w:rsidRPr="00A8388A">
              <w:rPr>
                <w:rFonts w:hint="cs"/>
                <w:b/>
                <w:bCs/>
                <w:sz w:val="28"/>
                <w:szCs w:val="28"/>
                <w:rtl/>
              </w:rPr>
              <w:t>ע"י ב"כ עו"ד שרמן, עו"ד ירום הלוי ועו"ד שאדי נאטור</w:t>
            </w:r>
          </w:p>
        </w:tc>
        <w:tc>
          <w:tcPr>
            <w:tcW w:w="2127" w:type="dxa"/>
            <w:tcBorders>
              <w:top w:val="nil"/>
              <w:left w:val="nil"/>
              <w:bottom w:val="nil"/>
              <w:right w:val="nil"/>
            </w:tcBorders>
            <w:shd w:val="clear" w:color="auto" w:fill="auto"/>
          </w:tcPr>
          <w:p w14:paraId="1725EFC8" w14:textId="77777777" w:rsidR="00FE78E4" w:rsidRPr="00A8388A" w:rsidRDefault="00FE78E4" w:rsidP="00FE78E4">
            <w:pPr>
              <w:jc w:val="right"/>
              <w:rPr>
                <w:rFonts w:ascii="Arial" w:hAnsi="Arial"/>
                <w:b/>
                <w:bCs/>
                <w:sz w:val="28"/>
                <w:szCs w:val="28"/>
              </w:rPr>
            </w:pPr>
            <w:r w:rsidRPr="00A8388A">
              <w:rPr>
                <w:rFonts w:ascii="Arial" w:hAnsi="Arial" w:hint="cs"/>
                <w:b/>
                <w:bCs/>
                <w:sz w:val="28"/>
                <w:szCs w:val="28"/>
                <w:rtl/>
              </w:rPr>
              <w:t>ה</w:t>
            </w:r>
            <w:r w:rsidRPr="00A8388A">
              <w:rPr>
                <w:rFonts w:ascii="Arial" w:hAnsi="Arial"/>
                <w:b/>
                <w:bCs/>
                <w:sz w:val="28"/>
                <w:szCs w:val="28"/>
                <w:rtl/>
              </w:rPr>
              <w:t>נאשם</w:t>
            </w:r>
          </w:p>
        </w:tc>
      </w:tr>
    </w:tbl>
    <w:p w14:paraId="4F5E8120" w14:textId="77777777" w:rsidR="005A7571" w:rsidRDefault="005A7571" w:rsidP="00FE78E4">
      <w:pPr>
        <w:rPr>
          <w:sz w:val="28"/>
          <w:szCs w:val="28"/>
          <w:rtl/>
        </w:rPr>
      </w:pPr>
      <w:bookmarkStart w:id="3" w:name="LawTable"/>
      <w:bookmarkEnd w:id="3"/>
    </w:p>
    <w:p w14:paraId="778C8682" w14:textId="77777777" w:rsidR="005A7571" w:rsidRPr="005A7571" w:rsidRDefault="005A7571" w:rsidP="005A7571">
      <w:pPr>
        <w:spacing w:after="120" w:line="240" w:lineRule="exact"/>
        <w:ind w:left="283" w:hanging="283"/>
        <w:jc w:val="both"/>
        <w:rPr>
          <w:rFonts w:ascii="FrankRuehl" w:hAnsi="FrankRuehl" w:cs="FrankRuehl"/>
          <w:rtl/>
        </w:rPr>
      </w:pPr>
    </w:p>
    <w:p w14:paraId="651119EB" w14:textId="77777777" w:rsidR="005A7571" w:rsidRPr="005A7571" w:rsidRDefault="005A7571" w:rsidP="005A7571">
      <w:pPr>
        <w:spacing w:after="120" w:line="240" w:lineRule="exact"/>
        <w:ind w:left="283" w:hanging="283"/>
        <w:jc w:val="both"/>
        <w:rPr>
          <w:rFonts w:ascii="FrankRuehl" w:hAnsi="FrankRuehl" w:cs="FrankRuehl"/>
          <w:rtl/>
        </w:rPr>
      </w:pPr>
      <w:r w:rsidRPr="005A7571">
        <w:rPr>
          <w:rFonts w:ascii="FrankRuehl" w:hAnsi="FrankRuehl" w:cs="FrankRuehl"/>
          <w:rtl/>
        </w:rPr>
        <w:t xml:space="preserve">חקיקה שאוזכרה: </w:t>
      </w:r>
    </w:p>
    <w:p w14:paraId="5C1C2D67" w14:textId="77777777" w:rsidR="005A7571" w:rsidRPr="005A7571" w:rsidRDefault="005A7571" w:rsidP="005A7571">
      <w:pPr>
        <w:spacing w:after="120" w:line="240" w:lineRule="exact"/>
        <w:ind w:left="283" w:hanging="283"/>
        <w:jc w:val="both"/>
        <w:rPr>
          <w:rFonts w:ascii="FrankRuehl" w:hAnsi="FrankRuehl" w:cs="FrankRuehl"/>
          <w:rtl/>
        </w:rPr>
      </w:pPr>
      <w:hyperlink r:id="rId7" w:history="1">
        <w:r w:rsidRPr="005A7571">
          <w:rPr>
            <w:rFonts w:ascii="FrankRuehl" w:hAnsi="FrankRuehl" w:cs="FrankRuehl"/>
            <w:color w:val="0000FF"/>
            <w:u w:val="single"/>
            <w:rtl/>
          </w:rPr>
          <w:t>חוק העונשין, תשל"ז-1977</w:t>
        </w:r>
      </w:hyperlink>
      <w:r w:rsidRPr="005A7571">
        <w:rPr>
          <w:rFonts w:ascii="FrankRuehl" w:hAnsi="FrankRuehl" w:cs="FrankRuehl"/>
          <w:rtl/>
        </w:rPr>
        <w:t xml:space="preserve">: סע'  </w:t>
      </w:r>
      <w:hyperlink r:id="rId8" w:history="1">
        <w:r w:rsidRPr="005A7571">
          <w:rPr>
            <w:rFonts w:ascii="FrankRuehl" w:hAnsi="FrankRuehl" w:cs="FrankRuehl"/>
            <w:color w:val="0000FF"/>
            <w:u w:val="single"/>
            <w:rtl/>
          </w:rPr>
          <w:t>40ד'</w:t>
        </w:r>
      </w:hyperlink>
      <w:r w:rsidRPr="005A7571">
        <w:rPr>
          <w:rFonts w:ascii="FrankRuehl" w:hAnsi="FrankRuehl" w:cs="FrankRuehl"/>
          <w:rtl/>
        </w:rPr>
        <w:t xml:space="preserve">, </w:t>
      </w:r>
      <w:hyperlink r:id="rId9" w:history="1">
        <w:r w:rsidRPr="005A7571">
          <w:rPr>
            <w:rFonts w:ascii="FrankRuehl" w:hAnsi="FrankRuehl" w:cs="FrankRuehl"/>
            <w:color w:val="0000FF"/>
            <w:u w:val="single"/>
            <w:rtl/>
          </w:rPr>
          <w:t>40ד'(א)</w:t>
        </w:r>
      </w:hyperlink>
      <w:r w:rsidRPr="005A7571">
        <w:rPr>
          <w:rFonts w:ascii="FrankRuehl" w:hAnsi="FrankRuehl" w:cs="FrankRuehl"/>
          <w:rtl/>
        </w:rPr>
        <w:t xml:space="preserve">, </w:t>
      </w:r>
      <w:hyperlink r:id="rId10" w:history="1">
        <w:r w:rsidRPr="005A7571">
          <w:rPr>
            <w:rFonts w:ascii="FrankRuehl" w:hAnsi="FrankRuehl" w:cs="FrankRuehl"/>
            <w:color w:val="0000FF"/>
            <w:u w:val="single"/>
            <w:rtl/>
          </w:rPr>
          <w:t>144 (א)</w:t>
        </w:r>
      </w:hyperlink>
    </w:p>
    <w:p w14:paraId="4006AAE0" w14:textId="77777777" w:rsidR="005A7571" w:rsidRPr="005A7571" w:rsidRDefault="005A7571" w:rsidP="005A7571">
      <w:pPr>
        <w:spacing w:after="120" w:line="240" w:lineRule="exact"/>
        <w:ind w:left="283" w:hanging="283"/>
        <w:jc w:val="both"/>
        <w:rPr>
          <w:rFonts w:ascii="FrankRuehl" w:hAnsi="FrankRuehl" w:cs="FrankRuehl"/>
          <w:rtl/>
        </w:rPr>
      </w:pPr>
      <w:hyperlink r:id="rId11" w:history="1">
        <w:r w:rsidRPr="005A7571">
          <w:rPr>
            <w:rFonts w:ascii="FrankRuehl" w:hAnsi="FrankRuehl" w:cs="FrankRuehl"/>
            <w:color w:val="0000FF"/>
            <w:u w:val="single"/>
            <w:rtl/>
          </w:rPr>
          <w:t>פקודת המבחן [נוסח חדש], תשכ"ט-1969</w:t>
        </w:r>
      </w:hyperlink>
    </w:p>
    <w:p w14:paraId="5AD620C6" w14:textId="77777777" w:rsidR="005A7571" w:rsidRPr="005A7571" w:rsidRDefault="005A7571" w:rsidP="005A7571">
      <w:pPr>
        <w:spacing w:after="120" w:line="240" w:lineRule="exact"/>
        <w:ind w:left="283" w:hanging="283"/>
        <w:jc w:val="both"/>
        <w:rPr>
          <w:rFonts w:ascii="FrankRuehl" w:hAnsi="FrankRuehl" w:cs="FrankRuehl"/>
          <w:rtl/>
        </w:rPr>
      </w:pPr>
    </w:p>
    <w:p w14:paraId="63B43E1E" w14:textId="77777777" w:rsidR="005A7571" w:rsidRPr="005A7571" w:rsidRDefault="005A7571" w:rsidP="00FE78E4">
      <w:pPr>
        <w:rPr>
          <w:sz w:val="28"/>
          <w:szCs w:val="28"/>
          <w:rtl/>
        </w:rPr>
      </w:pPr>
      <w:bookmarkStart w:id="4" w:name="LawTable_End"/>
      <w:bookmarkEnd w:id="4"/>
    </w:p>
    <w:p w14:paraId="14BFFE36" w14:textId="77777777" w:rsidR="00FE78E4" w:rsidRPr="00A8388A" w:rsidRDefault="00FE78E4" w:rsidP="00FE78E4">
      <w:pPr>
        <w:rPr>
          <w:rFonts w:hint="cs"/>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78E4" w14:paraId="7EEAD273" w14:textId="77777777" w:rsidTr="00FE78E4">
        <w:trPr>
          <w:trHeight w:val="355"/>
          <w:jc w:val="center"/>
        </w:trPr>
        <w:tc>
          <w:tcPr>
            <w:tcW w:w="8820" w:type="dxa"/>
            <w:tcBorders>
              <w:top w:val="nil"/>
              <w:left w:val="nil"/>
              <w:bottom w:val="nil"/>
              <w:right w:val="nil"/>
            </w:tcBorders>
            <w:shd w:val="clear" w:color="auto" w:fill="auto"/>
          </w:tcPr>
          <w:p w14:paraId="24881404" w14:textId="77777777" w:rsidR="00A8388A" w:rsidRPr="00A8388A" w:rsidRDefault="00A8388A" w:rsidP="00A8388A">
            <w:pPr>
              <w:jc w:val="center"/>
              <w:rPr>
                <w:rFonts w:ascii="Arial" w:hAnsi="Arial" w:cs="FrankRuehl"/>
                <w:b/>
                <w:bCs/>
                <w:sz w:val="40"/>
                <w:szCs w:val="40"/>
                <w:u w:val="single"/>
                <w:rtl/>
              </w:rPr>
            </w:pPr>
            <w:bookmarkStart w:id="5" w:name="PsakDin" w:colFirst="0" w:colLast="0"/>
            <w:bookmarkEnd w:id="0"/>
            <w:r w:rsidRPr="00A8388A">
              <w:rPr>
                <w:rFonts w:ascii="Arial" w:hAnsi="Arial" w:cs="FrankRuehl"/>
                <w:b/>
                <w:bCs/>
                <w:sz w:val="40"/>
                <w:szCs w:val="40"/>
                <w:u w:val="single"/>
                <w:rtl/>
              </w:rPr>
              <w:t>גזר דין</w:t>
            </w:r>
          </w:p>
          <w:p w14:paraId="1374B25A" w14:textId="77777777" w:rsidR="00FE78E4" w:rsidRPr="00A8388A" w:rsidRDefault="00FE78E4" w:rsidP="00A8388A">
            <w:pPr>
              <w:jc w:val="center"/>
              <w:rPr>
                <w:rFonts w:ascii="Arial" w:hAnsi="Arial" w:cs="FrankRuehl"/>
                <w:bCs/>
                <w:sz w:val="40"/>
                <w:szCs w:val="40"/>
                <w:u w:val="single"/>
                <w:rtl/>
              </w:rPr>
            </w:pPr>
          </w:p>
        </w:tc>
      </w:tr>
      <w:bookmarkEnd w:id="5"/>
    </w:tbl>
    <w:p w14:paraId="119888FB" w14:textId="77777777" w:rsidR="00FE78E4" w:rsidRDefault="00FE78E4" w:rsidP="00FE78E4">
      <w:pPr>
        <w:rPr>
          <w:rFonts w:ascii="Arial" w:hAnsi="Arial"/>
          <w:rtl/>
        </w:rPr>
      </w:pPr>
    </w:p>
    <w:p w14:paraId="23CBBAC2" w14:textId="77777777" w:rsidR="00FE78E4" w:rsidRPr="00B05847" w:rsidRDefault="00FE78E4" w:rsidP="00FE78E4">
      <w:pPr>
        <w:rPr>
          <w:rFonts w:ascii="Arial" w:hAnsi="Arial"/>
          <w:rtl/>
        </w:rPr>
      </w:pPr>
    </w:p>
    <w:p w14:paraId="59C87972" w14:textId="77777777" w:rsidR="00FE78E4" w:rsidRDefault="00FE78E4" w:rsidP="00FE78E4">
      <w:pPr>
        <w:pStyle w:val="a9"/>
        <w:numPr>
          <w:ilvl w:val="0"/>
          <w:numId w:val="1"/>
        </w:numPr>
        <w:spacing w:line="360" w:lineRule="auto"/>
        <w:jc w:val="both"/>
        <w:rPr>
          <w:rFonts w:cs="David"/>
          <w:sz w:val="24"/>
          <w:szCs w:val="24"/>
          <w:rtl/>
        </w:rPr>
      </w:pPr>
      <w:bookmarkStart w:id="6" w:name="ABSTRACT_START"/>
      <w:bookmarkEnd w:id="6"/>
      <w:r>
        <w:rPr>
          <w:rFonts w:cs="David" w:hint="cs"/>
          <w:sz w:val="24"/>
          <w:szCs w:val="24"/>
          <w:rtl/>
        </w:rPr>
        <w:t xml:space="preserve">הנאשם, יליד 1987, הורשע על יסוד הודאתו, בעובדות כתב האישום מתוקן, בשלוש עבירות של החזקת נשק ותחמושת </w:t>
      </w:r>
      <w:r>
        <w:rPr>
          <w:rFonts w:cs="David" w:hint="cs"/>
          <w:sz w:val="24"/>
          <w:szCs w:val="24"/>
          <w:u w:val="single"/>
          <w:rtl/>
        </w:rPr>
        <w:t xml:space="preserve">לפי </w:t>
      </w:r>
      <w:hyperlink r:id="rId12"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144 (</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u w:val="single"/>
          <w:rtl/>
        </w:rPr>
        <w:t xml:space="preserve"> רישא וסיפא ל</w:t>
      </w:r>
      <w:hyperlink r:id="rId13" w:history="1">
        <w:r w:rsidR="00A8388A" w:rsidRPr="00A8388A">
          <w:rPr>
            <w:rFonts w:cs="David" w:hint="cs"/>
            <w:color w:val="0000FF"/>
            <w:sz w:val="24"/>
            <w:szCs w:val="24"/>
            <w:u w:val="single"/>
            <w:rtl/>
          </w:rPr>
          <w:t>חוק</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העונשין</w:t>
        </w:r>
      </w:hyperlink>
      <w:r>
        <w:rPr>
          <w:rFonts w:cs="David" w:hint="cs"/>
          <w:sz w:val="24"/>
          <w:szCs w:val="24"/>
          <w:u w:val="single"/>
          <w:rtl/>
        </w:rPr>
        <w:t xml:space="preserve"> התשל"ז-</w:t>
      </w:r>
      <w:r>
        <w:rPr>
          <w:rFonts w:cs="David" w:hint="cs"/>
          <w:sz w:val="24"/>
          <w:szCs w:val="24"/>
          <w:rtl/>
        </w:rPr>
        <w:t>1977.</w:t>
      </w:r>
    </w:p>
    <w:p w14:paraId="7AE7E380" w14:textId="77777777" w:rsidR="00FE78E4" w:rsidRDefault="00FE78E4" w:rsidP="00FE78E4">
      <w:pPr>
        <w:pStyle w:val="a9"/>
        <w:spacing w:line="360" w:lineRule="auto"/>
        <w:jc w:val="both"/>
        <w:rPr>
          <w:rFonts w:cs="David"/>
          <w:sz w:val="24"/>
          <w:szCs w:val="24"/>
        </w:rPr>
      </w:pPr>
    </w:p>
    <w:p w14:paraId="2D0FA494"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כמפורט בכתב האישום, בשנת 2010 או בסמוך לכך, ביקש הנאשם מאחותו, נאשמת 2 בכתב האישום, להחביא עבורו בביתה בקלנסואה כלי נשק ותחמושת וזו הסכימה. במשך כשש שנים ועד ליום 6.1.16 הוחזקו הנשק והתחמושת בביתה. במהלך חיפוש בביתה נתפס בחדר השינה בתוך ארונית אקדח ברטה (שנגנב בשנת 1997 מאחר), מחסנית תחמושת ומחסנית ריקה נוספת שהוטמנו בתוך גרב ושקית, בשקית נוספת נתפסה מחסנית </w:t>
      </w:r>
      <w:r>
        <w:rPr>
          <w:rFonts w:cs="David"/>
          <w:sz w:val="24"/>
          <w:szCs w:val="24"/>
        </w:rPr>
        <w:t xml:space="preserve">M-16 </w:t>
      </w:r>
      <w:r>
        <w:rPr>
          <w:rFonts w:cs="David" w:hint="cs"/>
          <w:sz w:val="24"/>
          <w:szCs w:val="24"/>
          <w:rtl/>
        </w:rPr>
        <w:t>, 321 כדורי 9 מ"מ בתפזורת, 9 כדורי 0.22 מ"מ ו-4 כדורי 5.56 מ"מ</w:t>
      </w:r>
      <w:bookmarkStart w:id="7" w:name="ABSTRACT_END"/>
      <w:bookmarkEnd w:id="7"/>
      <w:r>
        <w:rPr>
          <w:rFonts w:cs="David" w:hint="cs"/>
          <w:sz w:val="24"/>
          <w:szCs w:val="24"/>
          <w:rtl/>
        </w:rPr>
        <w:t xml:space="preserve">. </w:t>
      </w:r>
    </w:p>
    <w:p w14:paraId="4C299E00" w14:textId="77777777" w:rsidR="00FE78E4" w:rsidRDefault="00FE78E4" w:rsidP="00FE78E4">
      <w:pPr>
        <w:pStyle w:val="a9"/>
        <w:spacing w:line="360" w:lineRule="auto"/>
        <w:jc w:val="both"/>
        <w:rPr>
          <w:rFonts w:cs="David"/>
          <w:sz w:val="24"/>
          <w:szCs w:val="24"/>
        </w:rPr>
      </w:pPr>
    </w:p>
    <w:p w14:paraId="739F56D7"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עוד נתפסו בגג הבית נשק מסוג "קרל גוסטב", מחסנית כדורי 9 מ"מ, קופסת כדורים ובתוכה 20 כדורי 9 מ"מ, כדורים בתפזורת בתוך שקית, כוורת כדורים המכילה 50 כדורים, שקית המכילה 8 כדורי 0.22 מ"מ, 5 כדורי 5.56 מ"מ, תחמושת נוספת בתפזורת וערכה לניקוי כלי נשק. בתוך גיגית נמצאו ספריי לשימון נשק ושתי מחסניות, אחת מלאה והשנייה ריקה.</w:t>
      </w:r>
    </w:p>
    <w:p w14:paraId="42D36513" w14:textId="77777777" w:rsidR="00FE78E4" w:rsidRDefault="00FE78E4" w:rsidP="00FE78E4">
      <w:pPr>
        <w:pStyle w:val="a9"/>
        <w:spacing w:line="360" w:lineRule="auto"/>
        <w:jc w:val="both"/>
        <w:rPr>
          <w:rFonts w:cs="David"/>
          <w:sz w:val="24"/>
          <w:szCs w:val="24"/>
        </w:rPr>
      </w:pPr>
    </w:p>
    <w:p w14:paraId="42D96431"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ביום 25.1.17, בדיון שהתקיים לפני כב' הש' קרשן הציגו הצדדים הסדר טיעון, לפיו כתב האישום תוקן לקולא ביחס לאחות הנאשם, שהורשעה בעבירות סיוע להחזקת נשק בלבד. עוד סוכם שהנאשם יופנה לקבלת תסקיר ובאשר לאחות הנאשם עתרו הצדדים במשותף למאסר בן 6 חודשים בדרך של עבודות שירות, מאסר על תנאי וקנס. עוד סוכם בין הצדדים, שתבדק טענת ההגנה להחזקת כלי הנשק לצורך הגנה עצמית. </w:t>
      </w:r>
    </w:p>
    <w:p w14:paraId="28E580EC" w14:textId="77777777" w:rsidR="00FE78E4" w:rsidRDefault="00FE78E4" w:rsidP="00FE78E4">
      <w:pPr>
        <w:pStyle w:val="a9"/>
        <w:spacing w:line="360" w:lineRule="auto"/>
        <w:jc w:val="both"/>
        <w:rPr>
          <w:rFonts w:cs="David"/>
          <w:sz w:val="24"/>
          <w:szCs w:val="24"/>
        </w:rPr>
      </w:pPr>
    </w:p>
    <w:p w14:paraId="078F9E67"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ביום 19.7.17 נגזר דינה של נאשמת 2. בגזר דינה עמדתי על חומרת מעשיה משאפשרה להטמין בביתה ארנסל נשק תוך סיכון הציבור ויושבי ביתה. עם זאת, מצאתי לאמץ הסדר הטיעון נוכח תיקונו לקולא של כתב האישום והעובדה שהנאשמת שהתה יותר מחודש במעצר בגין תיק זה. באשר לנאשם זה, התבקשה ע"י ההגנה דחייה לצורך השלמת טיפול שיקום פרטי שבו שולב הנאשם. לאחר ששמעתי את דברי המשקם הפרטי, עו"ס מר אולמן, ונוכח עתירת המאשימה לתקופת מאסר ממושכת, מצאתי לאפשר דחיית הטיעונים לעונש לצורך המשך טיפול. </w:t>
      </w:r>
    </w:p>
    <w:p w14:paraId="2BBC7F87" w14:textId="77777777" w:rsidR="00FE78E4" w:rsidRDefault="00FE78E4" w:rsidP="00FE78E4">
      <w:pPr>
        <w:pStyle w:val="a9"/>
        <w:spacing w:line="360" w:lineRule="auto"/>
        <w:jc w:val="both"/>
        <w:rPr>
          <w:rFonts w:cs="David"/>
          <w:sz w:val="24"/>
          <w:szCs w:val="24"/>
        </w:rPr>
      </w:pPr>
    </w:p>
    <w:p w14:paraId="79753B07" w14:textId="77777777" w:rsidR="00FE78E4" w:rsidRDefault="00FE78E4" w:rsidP="00FE78E4">
      <w:pPr>
        <w:pStyle w:val="a9"/>
        <w:spacing w:line="360" w:lineRule="auto"/>
        <w:jc w:val="both"/>
        <w:rPr>
          <w:rFonts w:cs="David"/>
          <w:b/>
          <w:bCs/>
          <w:sz w:val="28"/>
          <w:szCs w:val="28"/>
          <w:u w:val="single"/>
        </w:rPr>
      </w:pPr>
      <w:r>
        <w:rPr>
          <w:rFonts w:cs="David" w:hint="cs"/>
          <w:b/>
          <w:bCs/>
          <w:sz w:val="28"/>
          <w:szCs w:val="28"/>
          <w:u w:val="single"/>
          <w:rtl/>
        </w:rPr>
        <w:t>תסקיר שירות מבחן</w:t>
      </w:r>
    </w:p>
    <w:p w14:paraId="21666558"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התסקיר שהתקבל על אודות הנאשם חיובי וכולל המלצה טיפולית. כעולה ממנו, הנאשם כבן 29, מאורס ומתגורר בבית הוריו בקלנסואה. הנאשם בן למשפחה נורמטיבית, אביו נפטר והקשר בין בני המשפחה משמעותי וחיובי. הנאשם הסביר כי הארוע השפיע קשות עליו ועל משפחתו, הכה על חטא על כך שעירב את אחותו ואחראי להסתבכותה ולמעצרה. עוד מסר שמצבו הנפשי ירוד, גם בשל חשש מתוצאות הליך זה. הנאשם נטול עבר פלילי. ברקע לביצוע העבירות, קשר רומנטי שלא התקבל ע"י משפחת האשה והוביל לאיומים וחשש לחייו. כתוצאה מכך, אף עזב את מקום מגוריו והתגורר בעיר אילת תקופה ממושכת. לאחר שנורו לעבר ביתו מספר יריות החליט להחזיק בכלי נשק כדי למנוע פגיעה אפשרית בו. במסגרת הליך המעצר, שולב בקבוצה טיפולית ושיתף פעולה כנדרש.</w:t>
      </w:r>
    </w:p>
    <w:p w14:paraId="704AA6B9" w14:textId="77777777" w:rsidR="00FE78E4" w:rsidRDefault="00FE78E4" w:rsidP="00FE78E4">
      <w:pPr>
        <w:pStyle w:val="a9"/>
        <w:spacing w:line="360" w:lineRule="auto"/>
        <w:jc w:val="both"/>
        <w:rPr>
          <w:rFonts w:cs="David"/>
          <w:sz w:val="24"/>
          <w:szCs w:val="24"/>
        </w:rPr>
      </w:pPr>
    </w:p>
    <w:p w14:paraId="7AEB0B87"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lastRenderedPageBreak/>
        <w:t xml:space="preserve">שירות המבחן התרשם מנאשם שבחר להתמודד עם המצוקה אליה נקלע בדרכים עברייניות ותוך סיבוך משפחתו. עוד התרשמו, שהנאשם היה מרוכז בצרכיו ולא גילה רגישות לכך שכלי הנשק הוחזקו בסביבה בה מתגוררים ילדים. לצד זאת, מצא כי הנאשם מתפקד, בעל תובנה ומודע לפסול בהתנהלותו. על כן בא בהמלצה להטיל עליו ענישה מוחשית בדמות עבודות שירות לצד העמדתו במבחן לצורך שילובו בהליך שיקומי. </w:t>
      </w:r>
    </w:p>
    <w:p w14:paraId="262631DB" w14:textId="77777777" w:rsidR="00FE78E4" w:rsidRDefault="00FE78E4" w:rsidP="00FE78E4">
      <w:pPr>
        <w:pStyle w:val="a9"/>
        <w:spacing w:line="360" w:lineRule="auto"/>
        <w:jc w:val="both"/>
        <w:rPr>
          <w:rFonts w:cs="David"/>
          <w:sz w:val="24"/>
          <w:szCs w:val="24"/>
        </w:rPr>
      </w:pPr>
    </w:p>
    <w:p w14:paraId="2253631F" w14:textId="77777777" w:rsidR="00FE78E4" w:rsidRDefault="00FE78E4" w:rsidP="00FE78E4">
      <w:pPr>
        <w:pStyle w:val="a9"/>
        <w:spacing w:line="360" w:lineRule="auto"/>
        <w:jc w:val="both"/>
        <w:rPr>
          <w:rFonts w:cs="David"/>
          <w:b/>
          <w:bCs/>
          <w:sz w:val="24"/>
          <w:szCs w:val="24"/>
          <w:u w:val="single"/>
        </w:rPr>
      </w:pPr>
      <w:r>
        <w:rPr>
          <w:rFonts w:cs="David" w:hint="cs"/>
          <w:b/>
          <w:bCs/>
          <w:sz w:val="24"/>
          <w:szCs w:val="24"/>
          <w:u w:val="single"/>
          <w:rtl/>
        </w:rPr>
        <w:t>עדותו של המטפל הפרטי, עו"ס ירדן אולמן</w:t>
      </w:r>
    </w:p>
    <w:p w14:paraId="740E5774"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מר אולמן, עובד סוציאלי שיקומי פסיכיאטרי בהכשרתו, סיפר בעדותו כי עוסק שנים רבות בטיפול ושיקום עבריינים  ומטפל בנאשם כ-10 חודשים. בחוות דעתו, נ/1 ובדבריו מסר, כי התרשם מנאשם נורמטיבי,  אינטליגנט ובעל יכולת התבוננות פנימית עמוקה. עוד סבור שהנאשם מגלה תובנה מלאה לחומרת מעשיו וכי הסתבכותו השפיעה קשות על מצבו הנפשי והוא מצוי תקופה ארוכה במצב של דיכאון תגובתי. המטפל הוסיף שהסיכון הנשקף מהנאשם נמוך ביותר בזכות כברת דרך שיקומית מרשימה שעבר ומבקש להמנע משליחתו למאסר ממש שעלול לדרדר יותר את מצבו הנפשי. עוד הוסיף, שימשיך לסייע לנאשם בדרכו השיקומית ובמתן כלים להתמודדות עם מצבי לחץ ומצוקה. </w:t>
      </w:r>
    </w:p>
    <w:p w14:paraId="653DEA02" w14:textId="77777777" w:rsidR="00FE78E4" w:rsidRDefault="00FE78E4" w:rsidP="00FE78E4">
      <w:pPr>
        <w:pStyle w:val="a9"/>
        <w:spacing w:line="360" w:lineRule="auto"/>
        <w:jc w:val="both"/>
        <w:rPr>
          <w:rFonts w:cs="David"/>
          <w:sz w:val="24"/>
          <w:szCs w:val="24"/>
        </w:rPr>
      </w:pPr>
    </w:p>
    <w:p w14:paraId="13474C16" w14:textId="77777777" w:rsidR="00FE78E4" w:rsidRDefault="00FE78E4" w:rsidP="00FE78E4">
      <w:pPr>
        <w:pStyle w:val="a9"/>
        <w:spacing w:line="360" w:lineRule="auto"/>
        <w:jc w:val="both"/>
        <w:rPr>
          <w:rFonts w:cs="David"/>
          <w:sz w:val="28"/>
          <w:szCs w:val="28"/>
          <w:rtl/>
        </w:rPr>
      </w:pPr>
      <w:r>
        <w:rPr>
          <w:rFonts w:cs="David" w:hint="cs"/>
          <w:b/>
          <w:bCs/>
          <w:sz w:val="28"/>
          <w:szCs w:val="28"/>
          <w:u w:val="single"/>
          <w:rtl/>
        </w:rPr>
        <w:t>תמצית טיעוני הצדדים</w:t>
      </w:r>
    </w:p>
    <w:p w14:paraId="313E970C"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ב"כ המאשימה, עו"ד אסעד, עמד על החומרה הגלומה במעשי הנאשם והחובה להחמיר בעונשם של  מחזיקי נשק שלא כדין. ב"כ המאשימה הפנה לריבוי כלי הנשק והתחמושת (מעל 500 כדורים), להחזקתם הממושכת, לכך שהוחזקו בבית האחות והסיכון הרב שגלום בכך ולכך שמדובר בהתנהלות מתוכננת. עוד עתר למתחם ענישה שנע בין 3-5 שנות מאסר ומבקש למקם עונשו של הנאשם, נוכח עברו הנקי ותסקירו החיובי, בתחתית המתחם. באשר לרקע לביצוע העבירות הבהיר כי טענת הנאשם לפיה החזיק בנשק נוכח איומים על חייו נבדקה מודיעינית ואומתה אך אין בכך כדי להסביר החזקת ארסנל נשק ממושכת (ראה פרו' מיום 19.10.17, עמ' 23, ש' 1-3). ב"כ המאשימה סבור שנוכח חומרת מעשיו וטיבם אין מקום להעדיף אפיק שיקומי ואת האינטרסים האישיים של הנאשם. באשר לעונשה של הנאשמת, הסביר, כי נוכח נסיבותיה והעובדה שהחזיקה בנשק רק בהתאם לבקשת אחיה ולא לצורך שימוש אישי בו, הסכימה המאשימה לסטייה ממתחם הענישה הראוי לקולא. לשיטתו, אין בכך כדי להביא להקלה בעונשו של הנאשם אלא כדי להחמירו, משניצל את טוב לבה של אחותו. </w:t>
      </w:r>
    </w:p>
    <w:p w14:paraId="493583E5" w14:textId="77777777" w:rsidR="00FE78E4" w:rsidRDefault="00FE78E4" w:rsidP="00FE78E4">
      <w:pPr>
        <w:pStyle w:val="a9"/>
        <w:spacing w:line="360" w:lineRule="auto"/>
        <w:jc w:val="both"/>
        <w:rPr>
          <w:rFonts w:cs="David"/>
          <w:sz w:val="24"/>
          <w:szCs w:val="24"/>
        </w:rPr>
      </w:pPr>
    </w:p>
    <w:p w14:paraId="2511CE8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באי כח הנאשם, עו"ד הלוי, עו"ד שרמן ועו"ד נאטור, עשו כל שביכולתם ללמד סנגוריה על הנאשם. עו"ד הלוי עמד בטיעוניו על הרקע לביצוע העבירות שנבע מתוך חשש מוחשי וכן לחייו. עוד הסביר שהנאשם בחר שלא לפנות לגורמי אכיפת החוק כדי לא להסלים את המצב. לשיטתו, אין רבותא בהחזקת מספר כלי נשק, מאחר שהדבר נעשה כדי להעניק לנאשם תחושת בטחון ושליטה ולא על מנת לעשות שימוש בהם. עוד הפנה להליך השיקומי המוצלח שעבר הנאשם, התרשמותו החיובית של שירות המבחן וחוות דעת המטפל הפרטי. על כן עתר לאימוץ המלצת התסקיר במלואה. </w:t>
      </w:r>
    </w:p>
    <w:p w14:paraId="372D88FB" w14:textId="77777777" w:rsidR="00FE78E4" w:rsidRDefault="00FE78E4" w:rsidP="00FE78E4">
      <w:pPr>
        <w:pStyle w:val="a9"/>
        <w:spacing w:line="360" w:lineRule="auto"/>
        <w:jc w:val="both"/>
        <w:rPr>
          <w:rFonts w:cs="David"/>
          <w:sz w:val="24"/>
          <w:szCs w:val="24"/>
        </w:rPr>
      </w:pPr>
    </w:p>
    <w:p w14:paraId="68ECE0E5"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עו"ד שרמן, החרה החזיק אחריו ואף הוסיף משלו. כך לא התעלם מחומרת עבירות הנשק וצורך השעה בענישה מרתיעה אך סבור שמתחם הענישה שהציגה הפסיקה אינו מידתי ותלוש ממדיניות הענישה הנוהגת. עוד עמד על רצונו של הנאשם להעמיק ההליך הטיפולי ופנייתו למטפל פרטי, בין היתר בשל  יסורי מצפון קשים על שארע לאחותו. עוד סבור שעניינו של הנאשם יוצא דופן נוכח שיקומו המוצלח המבסס סטייה ממתחם הענישה והסתפקות בענישה שלא כוללת מאסר. עלה מטיעוניו שכיום הסכסוך נפתר והנאשם מאורס לאשה אחרת. ההגנה הגישה אסמכתאות פסיקה לתמיכה בעתירתה. </w:t>
      </w:r>
    </w:p>
    <w:p w14:paraId="627C979E" w14:textId="77777777" w:rsidR="00FE78E4" w:rsidRDefault="00FE78E4" w:rsidP="00FE78E4">
      <w:pPr>
        <w:pStyle w:val="a9"/>
        <w:spacing w:line="360" w:lineRule="auto"/>
        <w:jc w:val="both"/>
        <w:rPr>
          <w:rFonts w:cs="David"/>
          <w:sz w:val="24"/>
          <w:szCs w:val="24"/>
        </w:rPr>
      </w:pPr>
    </w:p>
    <w:p w14:paraId="60D16DDA"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  הנאשם בדברו האחרון הביע צער על מעשיו וסיפר כי שרוי בדיכאון. </w:t>
      </w:r>
    </w:p>
    <w:p w14:paraId="5D701BC9" w14:textId="77777777" w:rsidR="00FE78E4" w:rsidRDefault="00FE78E4" w:rsidP="00FE78E4">
      <w:pPr>
        <w:pStyle w:val="a9"/>
        <w:spacing w:line="360" w:lineRule="auto"/>
        <w:jc w:val="both"/>
        <w:rPr>
          <w:rFonts w:cs="David"/>
          <w:sz w:val="24"/>
          <w:szCs w:val="24"/>
        </w:rPr>
      </w:pPr>
    </w:p>
    <w:p w14:paraId="30E6D4D3" w14:textId="77777777" w:rsidR="00FE78E4" w:rsidRDefault="00FE78E4" w:rsidP="00FE78E4">
      <w:pPr>
        <w:pStyle w:val="a9"/>
        <w:spacing w:line="360" w:lineRule="auto"/>
        <w:jc w:val="both"/>
        <w:rPr>
          <w:rFonts w:cs="David"/>
          <w:sz w:val="28"/>
          <w:szCs w:val="28"/>
          <w:rtl/>
        </w:rPr>
      </w:pPr>
      <w:r>
        <w:rPr>
          <w:rFonts w:cs="David" w:hint="cs"/>
          <w:b/>
          <w:bCs/>
          <w:sz w:val="28"/>
          <w:szCs w:val="28"/>
          <w:u w:val="single"/>
          <w:rtl/>
        </w:rPr>
        <w:t xml:space="preserve">דיון והכרעה </w:t>
      </w:r>
    </w:p>
    <w:p w14:paraId="227F5E39"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מעשיו של הנאשם חמורים ומקימים סכנה ניכרת לשלום הציבור. הפסיקה כינתה ובצדק מעשים אלו בגדר "מכת אזור" המחייבת הרתעת הנאשם ואחרים שכמותו באמצעות ענישה קשה (ר' </w:t>
      </w:r>
      <w:hyperlink r:id="rId14" w:history="1">
        <w:r w:rsidR="00A8388A" w:rsidRPr="00A8388A">
          <w:rPr>
            <w:rFonts w:cs="David" w:hint="cs"/>
            <w:color w:val="0000FF"/>
            <w:sz w:val="24"/>
            <w:szCs w:val="24"/>
            <w:u w:val="single"/>
            <w:rtl/>
          </w:rPr>
          <w:t>עפ</w:t>
        </w:r>
        <w:r w:rsidR="00A8388A" w:rsidRPr="00A8388A">
          <w:rPr>
            <w:rFonts w:cs="David"/>
            <w:color w:val="0000FF"/>
            <w:sz w:val="24"/>
            <w:szCs w:val="24"/>
            <w:u w:val="single"/>
            <w:rtl/>
          </w:rPr>
          <w:t>"</w:t>
        </w:r>
        <w:r w:rsidR="00A8388A" w:rsidRPr="00A8388A">
          <w:rPr>
            <w:rFonts w:cs="David" w:hint="cs"/>
            <w:color w:val="0000FF"/>
            <w:sz w:val="24"/>
            <w:szCs w:val="24"/>
            <w:u w:val="single"/>
            <w:rtl/>
          </w:rPr>
          <w:t>ג</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מח</w:t>
        </w:r>
        <w:r w:rsidR="00A8388A" w:rsidRPr="00A8388A">
          <w:rPr>
            <w:rFonts w:cs="David"/>
            <w:color w:val="0000FF"/>
            <w:sz w:val="24"/>
            <w:szCs w:val="24"/>
            <w:u w:val="single"/>
            <w:rtl/>
          </w:rPr>
          <w:t>-</w:t>
        </w:r>
        <w:r w:rsidR="00A8388A" w:rsidRPr="00A8388A">
          <w:rPr>
            <w:rFonts w:cs="David" w:hint="cs"/>
            <w:color w:val="0000FF"/>
            <w:sz w:val="24"/>
            <w:szCs w:val="24"/>
            <w:u w:val="single"/>
            <w:rtl/>
          </w:rPr>
          <w:t>מרכז</w:t>
        </w:r>
        <w:r w:rsidR="00A8388A" w:rsidRPr="00A8388A">
          <w:rPr>
            <w:rFonts w:cs="David"/>
            <w:color w:val="0000FF"/>
            <w:sz w:val="24"/>
            <w:szCs w:val="24"/>
            <w:u w:val="single"/>
            <w:rtl/>
          </w:rPr>
          <w:t>) 27417-11-15</w:t>
        </w:r>
      </w:hyperlink>
      <w:r w:rsidRPr="00EB7A4E">
        <w:rPr>
          <w:rFonts w:cs="David" w:hint="cs"/>
          <w:sz w:val="24"/>
          <w:szCs w:val="24"/>
          <w:rtl/>
        </w:rPr>
        <w:t xml:space="preserve"> </w:t>
      </w:r>
      <w:r>
        <w:rPr>
          <w:rFonts w:cs="Miriam" w:hint="cs"/>
          <w:sz w:val="24"/>
          <w:szCs w:val="24"/>
          <w:rtl/>
        </w:rPr>
        <w:t>מדינת ישראל נ' עבד אל רחים</w:t>
      </w:r>
      <w:r>
        <w:rPr>
          <w:rFonts w:cs="David" w:hint="cs"/>
          <w:sz w:val="24"/>
          <w:szCs w:val="24"/>
          <w:rtl/>
        </w:rPr>
        <w:t>). כדי לעמוד על ממדיי התופעה וחומרתה אפנה לפסק דינה של סג"נ כב' השופטת לורך ב</w:t>
      </w:r>
      <w:hyperlink r:id="rId15" w:history="1">
        <w:r w:rsidR="00A8388A" w:rsidRPr="00A8388A">
          <w:rPr>
            <w:rFonts w:cs="David" w:hint="cs"/>
            <w:color w:val="0000FF"/>
            <w:sz w:val="24"/>
            <w:szCs w:val="24"/>
            <w:u w:val="single"/>
            <w:rtl/>
          </w:rPr>
          <w:t>ת</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מח</w:t>
        </w:r>
        <w:r w:rsidR="00A8388A" w:rsidRPr="00A8388A">
          <w:rPr>
            <w:rFonts w:cs="David"/>
            <w:color w:val="0000FF"/>
            <w:sz w:val="24"/>
            <w:szCs w:val="24"/>
            <w:u w:val="single"/>
            <w:rtl/>
          </w:rPr>
          <w:t>-</w:t>
        </w:r>
        <w:r w:rsidR="00A8388A" w:rsidRPr="00A8388A">
          <w:rPr>
            <w:rFonts w:cs="David" w:hint="cs"/>
            <w:color w:val="0000FF"/>
            <w:sz w:val="24"/>
            <w:szCs w:val="24"/>
            <w:u w:val="single"/>
            <w:rtl/>
          </w:rPr>
          <w:t>מרכז</w:t>
        </w:r>
        <w:r w:rsidR="00A8388A" w:rsidRPr="00A8388A">
          <w:rPr>
            <w:rFonts w:cs="David"/>
            <w:color w:val="0000FF"/>
            <w:sz w:val="24"/>
            <w:szCs w:val="24"/>
            <w:u w:val="single"/>
            <w:rtl/>
          </w:rPr>
          <w:t>)  49160-11-15</w:t>
        </w:r>
      </w:hyperlink>
      <w:r>
        <w:rPr>
          <w:rFonts w:cs="David" w:hint="cs"/>
          <w:sz w:val="24"/>
          <w:szCs w:val="24"/>
          <w:rtl/>
        </w:rPr>
        <w:t xml:space="preserve"> </w:t>
      </w:r>
      <w:r>
        <w:rPr>
          <w:rFonts w:cs="Miriam" w:hint="cs"/>
          <w:sz w:val="24"/>
          <w:szCs w:val="24"/>
          <w:rtl/>
        </w:rPr>
        <w:t>מדינת ישראל נ' נאסר</w:t>
      </w:r>
      <w:r>
        <w:rPr>
          <w:rFonts w:cs="David" w:hint="cs"/>
          <w:sz w:val="24"/>
          <w:szCs w:val="24"/>
          <w:rtl/>
        </w:rPr>
        <w:t xml:space="preserve">, שם מפורטים ממצאי חוות דעת המשטרה באשר לתופעת הנשק בלתי חוקי והשפעתו על אירועי האלימות באזורנו. כעולה מחוות הדעת, בין השנים 2010-2015 אירעו קרוב ל-10,000 אירועי ירי במחוז מרכז ונתפסו מעל לכ-1000 כלי נשק בלתי חוקיים. עוד מפרטת חוות הדעת את הקשיים באיתור כלי הנשק ואיתור ראיות להעמדת מחזיקי הנשק לדין, כשרק ב-15% מהמקרים מוגשים, בסופה של חקירה, כתבי אישום. נתונים אלו לא השתנו ואף החמירו בתקופה האחרונה, כשחדשות לבקרים אנו מתבשרים, לצערנו, על מקרי אלימות ורצח במגזר שבהם נעשה שימוש בנשק בלתי חוקי. </w:t>
      </w:r>
    </w:p>
    <w:p w14:paraId="0B4E73B2" w14:textId="77777777" w:rsidR="00FE78E4" w:rsidRDefault="00FE78E4" w:rsidP="00FE78E4">
      <w:pPr>
        <w:pStyle w:val="a9"/>
        <w:spacing w:line="360" w:lineRule="auto"/>
        <w:jc w:val="both"/>
        <w:rPr>
          <w:rFonts w:cs="David"/>
          <w:sz w:val="24"/>
          <w:szCs w:val="24"/>
        </w:rPr>
      </w:pPr>
    </w:p>
    <w:p w14:paraId="5BB935F9"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 נוכח הסיכון הממשי הנשקף לביטחון הציבור מעבירות נשק, מורה הפסיקה כי במסגרת שיקולי הענישה יינתן על דרך הכלל משקל רב יותר לאינטרס הציבורי על פני נסיבותיו האישיות של הנאשם (ראו: </w:t>
      </w:r>
      <w:hyperlink r:id="rId16" w:history="1">
        <w:r w:rsidR="007B254D" w:rsidRPr="007B254D">
          <w:rPr>
            <w:rFonts w:cs="David"/>
            <w:color w:val="0000FF"/>
            <w:sz w:val="24"/>
            <w:szCs w:val="24"/>
            <w:u w:val="single"/>
            <w:rtl/>
          </w:rPr>
          <w:t>רע"פ 6583/06</w:t>
        </w:r>
      </w:hyperlink>
      <w:r w:rsidRPr="00EB7A4E">
        <w:rPr>
          <w:rFonts w:cs="David" w:hint="cs"/>
          <w:sz w:val="24"/>
          <w:szCs w:val="24"/>
          <w:rtl/>
        </w:rPr>
        <w:t xml:space="preserve"> </w:t>
      </w:r>
      <w:r>
        <w:rPr>
          <w:rFonts w:cs="Miriam" w:hint="cs"/>
          <w:sz w:val="24"/>
          <w:szCs w:val="24"/>
          <w:rtl/>
        </w:rPr>
        <w:t>אגא אדהאם נ' מדינת ישראל</w:t>
      </w:r>
      <w:r>
        <w:rPr>
          <w:rFonts w:cs="David" w:hint="cs"/>
          <w:sz w:val="24"/>
          <w:szCs w:val="24"/>
          <w:rtl/>
        </w:rPr>
        <w:t xml:space="preserve">, 5.12.06). מחזיקי נשק לא מורשים, כדוגמת הנאשם, שאינם מתאפיינים ברגיל בדפוסי התנהגות עבריינים, נוטלים את החוק לידיהם ומטעמי הגנה על חייהם או חיי משפחתם, רוכשים בדרך לא דרך תתי מקלע, רובים ואקדחים לצד תחמושת מתאימה ומסתירים הנשק במקום מסתור במטרה לעשות בו שימוש קטלני בעת צורך. </w:t>
      </w:r>
    </w:p>
    <w:p w14:paraId="6B588824" w14:textId="77777777" w:rsidR="00FE78E4" w:rsidRDefault="00FE78E4" w:rsidP="00FE78E4">
      <w:pPr>
        <w:pStyle w:val="a9"/>
        <w:spacing w:line="360" w:lineRule="auto"/>
        <w:jc w:val="both"/>
        <w:rPr>
          <w:rFonts w:cs="David"/>
          <w:sz w:val="24"/>
          <w:szCs w:val="24"/>
        </w:rPr>
      </w:pPr>
      <w:r>
        <w:rPr>
          <w:rFonts w:cs="David" w:hint="cs"/>
          <w:sz w:val="24"/>
          <w:szCs w:val="24"/>
          <w:rtl/>
        </w:rPr>
        <w:t xml:space="preserve"> </w:t>
      </w:r>
    </w:p>
    <w:p w14:paraId="3E6BC27E"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בתי המשפט עמדו, חזור ושנה, על החומרה הרבה הגלומה בהחזקת נשק שלא כדין. עוד נפסק, כי חומרתן של העבירות בנשק אינה מסתכמת רק בנזק שאירע בפועל אלא בפוטנציאל הטמון בחובן לסיכון של פגיעה בשלום הציבור ובטחונו (ראו </w:t>
      </w:r>
      <w:hyperlink r:id="rId17"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116/13</w:t>
        </w:r>
      </w:hyperlink>
      <w:r>
        <w:rPr>
          <w:rFonts w:cs="David" w:hint="cs"/>
          <w:sz w:val="24"/>
          <w:szCs w:val="24"/>
          <w:u w:val="single"/>
          <w:rtl/>
        </w:rPr>
        <w:t xml:space="preserve"> </w:t>
      </w:r>
      <w:r>
        <w:rPr>
          <w:rFonts w:cs="Miriam" w:hint="cs"/>
          <w:sz w:val="24"/>
          <w:szCs w:val="24"/>
          <w:rtl/>
        </w:rPr>
        <w:t>וקנין נ' מדינת ישראל</w:t>
      </w:r>
      <w:r>
        <w:rPr>
          <w:rFonts w:cs="David" w:hint="cs"/>
          <w:sz w:val="24"/>
          <w:szCs w:val="24"/>
          <w:rtl/>
        </w:rPr>
        <w:t>, מיום 31.07.13). כך נקבע שעבירת החזקת נשק ללא רשות כדין, עקב חומרתה, מצדיקה הטלת עונשי מאסר בפועל, גם על נאשמים שזו להם מעורבותם הראשונה עם החוק וכי  "</w:t>
      </w:r>
      <w:r>
        <w:rPr>
          <w:rFonts w:cs="David" w:hint="cs"/>
          <w:b/>
          <w:bCs/>
          <w:sz w:val="24"/>
          <w:szCs w:val="24"/>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  לחץ ופחד</w:t>
      </w:r>
      <w:r>
        <w:rPr>
          <w:rFonts w:cs="David" w:hint="cs"/>
          <w:sz w:val="24"/>
          <w:szCs w:val="24"/>
          <w:rtl/>
        </w:rPr>
        <w:t>" (</w:t>
      </w:r>
      <w:hyperlink r:id="rId18"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4945/13</w:t>
        </w:r>
      </w:hyperlink>
      <w:r>
        <w:rPr>
          <w:rFonts w:cs="David" w:hint="cs"/>
          <w:sz w:val="24"/>
          <w:szCs w:val="24"/>
          <w:rtl/>
        </w:rPr>
        <w:t xml:space="preserve"> </w:t>
      </w:r>
      <w:r>
        <w:rPr>
          <w:rFonts w:cs="Miriam" w:hint="cs"/>
          <w:sz w:val="24"/>
          <w:szCs w:val="24"/>
          <w:rtl/>
        </w:rPr>
        <w:t>מדינת ישראל נ' עבד אלכרים</w:t>
      </w:r>
      <w:r>
        <w:rPr>
          <w:rFonts w:cs="David" w:hint="cs"/>
          <w:sz w:val="24"/>
          <w:szCs w:val="24"/>
          <w:rtl/>
        </w:rPr>
        <w:t xml:space="preserve"> (19.1.14) ).</w:t>
      </w:r>
      <w:r>
        <w:rPr>
          <w:rFonts w:ascii="Times New Roman" w:hAnsi="Times New Roman" w:cs="Times New Roman"/>
          <w:sz w:val="24"/>
          <w:szCs w:val="24"/>
          <w:rtl/>
        </w:rPr>
        <w:t xml:space="preserve"> </w:t>
      </w:r>
    </w:p>
    <w:p w14:paraId="47112787" w14:textId="77777777" w:rsidR="00FE78E4" w:rsidRDefault="00FE78E4" w:rsidP="00FE78E4">
      <w:pPr>
        <w:pStyle w:val="a9"/>
        <w:spacing w:line="360" w:lineRule="auto"/>
        <w:jc w:val="both"/>
        <w:rPr>
          <w:rFonts w:cs="David"/>
          <w:sz w:val="24"/>
          <w:szCs w:val="24"/>
        </w:rPr>
      </w:pPr>
    </w:p>
    <w:p w14:paraId="78263204"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בענייננו, לנסיבות מעשי הנאשם מספר פנים מחמירים: </w:t>
      </w:r>
      <w:r>
        <w:rPr>
          <w:rFonts w:cs="David" w:hint="cs"/>
          <w:b/>
          <w:bCs/>
          <w:sz w:val="24"/>
          <w:szCs w:val="24"/>
          <w:u w:val="single"/>
          <w:rtl/>
        </w:rPr>
        <w:t>ריבוי כלי הנשק והתחמושת-</w:t>
      </w:r>
      <w:r>
        <w:rPr>
          <w:rFonts w:cs="David" w:hint="cs"/>
          <w:sz w:val="24"/>
          <w:szCs w:val="24"/>
          <w:rtl/>
        </w:rPr>
        <w:t xml:space="preserve"> הנאשם החזיק בשלושה כלי נשק - שני כלי נשק התקפיים בדמות "קרל גוסטב" ו</w:t>
      </w:r>
      <w:r>
        <w:rPr>
          <w:rFonts w:cs="David"/>
          <w:sz w:val="24"/>
          <w:szCs w:val="24"/>
        </w:rPr>
        <w:t>-M-16</w:t>
      </w:r>
      <w:r>
        <w:rPr>
          <w:rFonts w:cs="David" w:hint="cs"/>
          <w:sz w:val="24"/>
          <w:szCs w:val="24"/>
          <w:rtl/>
        </w:rPr>
        <w:t xml:space="preserve">, ואקדח ברטה גנוב לצד כמות בלתי נתפסת של תחמושת מסוגים שונים ומחסניות מתאימות. </w:t>
      </w:r>
      <w:r>
        <w:rPr>
          <w:rFonts w:cs="David" w:hint="cs"/>
          <w:b/>
          <w:bCs/>
          <w:sz w:val="24"/>
          <w:szCs w:val="24"/>
          <w:u w:val="single"/>
          <w:rtl/>
        </w:rPr>
        <w:t>משך ההחזקה</w:t>
      </w:r>
      <w:r>
        <w:rPr>
          <w:rFonts w:cs="David" w:hint="cs"/>
          <w:sz w:val="24"/>
          <w:szCs w:val="24"/>
          <w:rtl/>
        </w:rPr>
        <w:t xml:space="preserve"> - ארסנל הנשק החריג הוחזק במשך תקופה ארוכה של כ-6 שנים. ניכר שמדובר בהחזקה מתוכננת ובתחזוק מתמשך של כלי הנשק הבא לידי ביטוי בהחזקת כלים לניקוי הנשק ושימונו. </w:t>
      </w:r>
    </w:p>
    <w:p w14:paraId="6C59CAB2" w14:textId="77777777" w:rsidR="00FE78E4" w:rsidRDefault="00FE78E4" w:rsidP="00FE78E4">
      <w:pPr>
        <w:pStyle w:val="a9"/>
        <w:spacing w:line="360" w:lineRule="auto"/>
        <w:jc w:val="both"/>
        <w:rPr>
          <w:rFonts w:cs="David"/>
          <w:sz w:val="24"/>
          <w:szCs w:val="24"/>
        </w:rPr>
      </w:pPr>
    </w:p>
    <w:p w14:paraId="4BC2099F"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היבט חמור נוסף העולה בנסיבות תיק זה הוא </w:t>
      </w:r>
      <w:r>
        <w:rPr>
          <w:rFonts w:cs="David" w:hint="cs"/>
          <w:b/>
          <w:bCs/>
          <w:sz w:val="24"/>
          <w:szCs w:val="24"/>
          <w:u w:val="single"/>
          <w:rtl/>
        </w:rPr>
        <w:t>החזקת הנשק והתחמושת בבית אחות הנאשם</w:t>
      </w:r>
      <w:r>
        <w:rPr>
          <w:rFonts w:cs="David" w:hint="cs"/>
          <w:sz w:val="24"/>
          <w:szCs w:val="24"/>
          <w:rtl/>
        </w:rPr>
        <w:t xml:space="preserve">, הנאשמת 2. הנאשם ניצל את טוב לבה של אחותו והקשר האמיץ ביניהם להפוך ביתה למקום מסתור למצבור הנשק והתחמושת שאסף. כלי הנשק הוחזקו בחדר השינה של הנאשמת ובגג, במשך שנים רבות, תוך סיכון עצום לבני ביתה ובעיקר לילדיה הקטנים. התנהלותו זו מקוממת  ומלמדת על התעלמות ואטימות משלומם ובטחונם הפיזי של בני משפחתו. </w:t>
      </w:r>
    </w:p>
    <w:p w14:paraId="6DF7F572" w14:textId="77777777" w:rsidR="00FE78E4" w:rsidRDefault="00FE78E4" w:rsidP="00FE78E4">
      <w:pPr>
        <w:pStyle w:val="a9"/>
        <w:spacing w:line="360" w:lineRule="auto"/>
        <w:jc w:val="both"/>
        <w:rPr>
          <w:rFonts w:cs="David"/>
          <w:sz w:val="24"/>
          <w:szCs w:val="24"/>
        </w:rPr>
      </w:pPr>
    </w:p>
    <w:p w14:paraId="5C900AB4" w14:textId="77777777" w:rsidR="00FE78E4" w:rsidRDefault="00FE78E4" w:rsidP="00FE78E4">
      <w:pPr>
        <w:pStyle w:val="a9"/>
        <w:rPr>
          <w:rFonts w:cs="David"/>
          <w:b/>
          <w:bCs/>
          <w:sz w:val="24"/>
          <w:szCs w:val="24"/>
          <w:u w:val="single"/>
          <w:rtl/>
        </w:rPr>
      </w:pPr>
      <w:r>
        <w:rPr>
          <w:rFonts w:cs="David" w:hint="cs"/>
          <w:b/>
          <w:bCs/>
          <w:sz w:val="24"/>
          <w:szCs w:val="24"/>
          <w:u w:val="single"/>
          <w:rtl/>
        </w:rPr>
        <w:t>החזקת נשק לצרכי הגנה עצמית</w:t>
      </w:r>
    </w:p>
    <w:p w14:paraId="1CF771A3"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הרקע להחזקת הנשק אינו נתון במחלוקת. כעולה מטיעוני ההגנה, הנאשם היה נתון תחת איומים קשים נוכח קשר רומנטי שניהל עם אחרת ללא הסכמת משפחתה. ב"כ המאשימה הסכים בהגינותו לקבל טענות אלו, ואף הוסיף שנבדקו במישור המודיעיני ואוששו. עם זאת, סבור שאינן יכולות לשמש צידוק להחזקת מצבור כלי נשק, לתקופה ארוכה, ובנסיבות בהם הוחזקו. </w:t>
      </w:r>
    </w:p>
    <w:p w14:paraId="5BCF3050" w14:textId="77777777" w:rsidR="00FE78E4" w:rsidRDefault="00FE78E4" w:rsidP="00FE78E4">
      <w:pPr>
        <w:pStyle w:val="a9"/>
        <w:spacing w:line="360" w:lineRule="auto"/>
        <w:jc w:val="both"/>
        <w:rPr>
          <w:rFonts w:cs="David"/>
          <w:sz w:val="24"/>
          <w:szCs w:val="24"/>
        </w:rPr>
      </w:pPr>
    </w:p>
    <w:p w14:paraId="367D4C72" w14:textId="77777777" w:rsidR="00FE78E4" w:rsidRDefault="00FE78E4" w:rsidP="007B254D">
      <w:pPr>
        <w:pStyle w:val="a9"/>
        <w:numPr>
          <w:ilvl w:val="0"/>
          <w:numId w:val="1"/>
        </w:numPr>
        <w:spacing w:line="360" w:lineRule="auto"/>
        <w:jc w:val="both"/>
        <w:rPr>
          <w:rFonts w:cs="David"/>
          <w:sz w:val="24"/>
          <w:szCs w:val="24"/>
        </w:rPr>
      </w:pPr>
      <w:r>
        <w:rPr>
          <w:rFonts w:cs="David" w:hint="cs"/>
          <w:sz w:val="24"/>
          <w:szCs w:val="24"/>
          <w:rtl/>
        </w:rPr>
        <w:t>כידוע, בעבירות הנשק מיוחסת חשיבות רבה לרקע והנסיבות אופפות ביצוען ואף סיווג חומרת העבירה נעשה בהתאם לחומרת נסיבות ביצועה, במדרג חומרה מהכבד אל הקל. (</w:t>
      </w:r>
      <w:hyperlink r:id="rId19" w:history="1">
        <w:r w:rsidR="007B254D" w:rsidRPr="007B254D">
          <w:rPr>
            <w:rFonts w:cs="David"/>
            <w:color w:val="0000FF"/>
            <w:sz w:val="24"/>
            <w:szCs w:val="24"/>
            <w:u w:val="single"/>
            <w:rtl/>
          </w:rPr>
          <w:t xml:space="preserve">ב"ש 625/82 </w:t>
        </w:r>
      </w:hyperlink>
      <w:r w:rsidR="007B254D" w:rsidRPr="007B254D">
        <w:rPr>
          <w:rFonts w:cs="David"/>
          <w:sz w:val="24"/>
          <w:szCs w:val="24"/>
          <w:u w:val="single"/>
          <w:rtl/>
        </w:rPr>
        <w:t xml:space="preserve"> </w:t>
      </w:r>
      <w:r>
        <w:rPr>
          <w:rFonts w:cs="Miriam" w:hint="cs"/>
          <w:sz w:val="24"/>
          <w:szCs w:val="24"/>
          <w:rtl/>
        </w:rPr>
        <w:t>אבו מוך נ' מדינת ישראל</w:t>
      </w:r>
      <w:r>
        <w:rPr>
          <w:rFonts w:cs="David" w:hint="cs"/>
          <w:sz w:val="24"/>
          <w:szCs w:val="24"/>
          <w:rtl/>
        </w:rPr>
        <w:t>). החזקת נשק בשל תחושת איום, ממוקמת במרכז המדרג וההתייחסות אליה מתונה יותר מהחזקת נשק למטרות פליליות או ביטחוניות.</w:t>
      </w:r>
    </w:p>
    <w:p w14:paraId="7FEA9404" w14:textId="77777777" w:rsidR="00FE78E4" w:rsidRDefault="00FE78E4" w:rsidP="00FE78E4">
      <w:pPr>
        <w:pStyle w:val="a9"/>
        <w:spacing w:line="360" w:lineRule="auto"/>
        <w:jc w:val="both"/>
        <w:rPr>
          <w:rFonts w:cs="David"/>
          <w:sz w:val="24"/>
          <w:szCs w:val="24"/>
        </w:rPr>
      </w:pPr>
    </w:p>
    <w:p w14:paraId="653D5F27"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בענייננו, גם אם אלך כברת דרך לקראת הנאשם ואתחשב במטרת החזקת הנשק המוסכמת על הצדדים, הרי  שאין בנתונים אלו כדי לספק הסבר מניח את הדעת מדוע בחר הנאשם להחזיק ארסנל נשק ותחמושת, במשך תקופה ארוכה, בנסיבות המייצרות סיכון לסביבתו.  על כן מצאתי ליתן לנתון זה משקל מוגבל בלבד. </w:t>
      </w:r>
    </w:p>
    <w:p w14:paraId="7E784530" w14:textId="77777777" w:rsidR="00FE78E4" w:rsidRDefault="00FE78E4" w:rsidP="00FE78E4">
      <w:pPr>
        <w:pStyle w:val="a9"/>
        <w:rPr>
          <w:rFonts w:cs="David"/>
          <w:sz w:val="24"/>
          <w:szCs w:val="24"/>
        </w:rPr>
      </w:pPr>
    </w:p>
    <w:p w14:paraId="67034376" w14:textId="77777777" w:rsidR="00FE78E4" w:rsidRDefault="00FE78E4" w:rsidP="00FE78E4">
      <w:pPr>
        <w:pStyle w:val="a9"/>
        <w:spacing w:line="360" w:lineRule="auto"/>
        <w:jc w:val="both"/>
        <w:rPr>
          <w:rFonts w:cs="David"/>
          <w:b/>
          <w:bCs/>
          <w:sz w:val="24"/>
          <w:szCs w:val="24"/>
          <w:u w:val="single"/>
          <w:rtl/>
        </w:rPr>
      </w:pPr>
      <w:r>
        <w:rPr>
          <w:rFonts w:cs="David" w:hint="cs"/>
          <w:b/>
          <w:bCs/>
          <w:sz w:val="24"/>
          <w:szCs w:val="24"/>
          <w:u w:val="single"/>
          <w:rtl/>
        </w:rPr>
        <w:t>קביעת מתחם העונש ההולם</w:t>
      </w:r>
    </w:p>
    <w:p w14:paraId="033FFDFB" w14:textId="77777777" w:rsidR="00FE78E4" w:rsidRDefault="00FE78E4" w:rsidP="00FE78E4">
      <w:pPr>
        <w:pStyle w:val="a9"/>
        <w:numPr>
          <w:ilvl w:val="0"/>
          <w:numId w:val="1"/>
        </w:numPr>
        <w:spacing w:line="360" w:lineRule="auto"/>
        <w:jc w:val="both"/>
        <w:rPr>
          <w:rFonts w:cs="David"/>
          <w:b/>
          <w:bCs/>
          <w:sz w:val="24"/>
          <w:szCs w:val="24"/>
        </w:rPr>
      </w:pPr>
      <w:r>
        <w:rPr>
          <w:rFonts w:cs="David" w:hint="cs"/>
          <w:sz w:val="24"/>
          <w:szCs w:val="24"/>
          <w:rtl/>
        </w:rPr>
        <w:t xml:space="preserve">מגמת ההחמרה משתקפת גם בעונשים שמוטלים על המבצעים עבירות בנשק. כך נקבע </w:t>
      </w:r>
      <w:r>
        <w:rPr>
          <w:rFonts w:cs="David" w:hint="cs"/>
          <w:sz w:val="24"/>
          <w:szCs w:val="24"/>
          <w:u w:val="single"/>
          <w:rtl/>
        </w:rPr>
        <w:t>ב</w:t>
      </w:r>
      <w:hyperlink r:id="rId20"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2718/04</w:t>
        </w:r>
      </w:hyperlink>
      <w:r>
        <w:rPr>
          <w:rFonts w:cs="David" w:hint="cs"/>
          <w:sz w:val="24"/>
          <w:szCs w:val="24"/>
          <w:u w:val="single"/>
          <w:rtl/>
        </w:rPr>
        <w:t xml:space="preserve"> </w:t>
      </w:r>
      <w:r>
        <w:rPr>
          <w:rFonts w:cs="Miriam" w:hint="cs"/>
          <w:sz w:val="24"/>
          <w:szCs w:val="24"/>
          <w:rtl/>
        </w:rPr>
        <w:t>אבו דאחל  נ' מדינת ישראל</w:t>
      </w:r>
      <w:r>
        <w:rPr>
          <w:rFonts w:cs="David" w:hint="cs"/>
          <w:sz w:val="24"/>
          <w:szCs w:val="24"/>
          <w:rtl/>
        </w:rPr>
        <w:t xml:space="preserve"> כי "</w:t>
      </w:r>
      <w:r>
        <w:rPr>
          <w:rFonts w:cs="David" w:hint="cs"/>
          <w:b/>
          <w:bCs/>
          <w:sz w:val="24"/>
          <w:szCs w:val="24"/>
          <w:rtl/>
        </w:rPr>
        <w:t>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w:t>
      </w:r>
      <w:r>
        <w:rPr>
          <w:rFonts w:cs="David" w:hint="cs"/>
          <w:sz w:val="24"/>
          <w:szCs w:val="24"/>
          <w:rtl/>
        </w:rPr>
        <w:t xml:space="preserve"> בפסיקה רבה וענפה נגזר על מחזיקי נשק, חלקם נטולי עבר פלילי, מאסר מאחורי סורג ובריח שנע בין מספר חודשים ועד 18 חודשים.</w:t>
      </w:r>
    </w:p>
    <w:p w14:paraId="48FF402E" w14:textId="77777777" w:rsidR="00FE78E4" w:rsidRDefault="00FE78E4" w:rsidP="00FE78E4">
      <w:pPr>
        <w:pStyle w:val="a9"/>
        <w:rPr>
          <w:rFonts w:cs="David"/>
          <w:sz w:val="24"/>
          <w:szCs w:val="24"/>
        </w:rPr>
      </w:pPr>
    </w:p>
    <w:p w14:paraId="034DEED2" w14:textId="77777777" w:rsidR="00FE78E4" w:rsidRDefault="00FE78E4" w:rsidP="00FE78E4">
      <w:pPr>
        <w:pStyle w:val="a9"/>
        <w:numPr>
          <w:ilvl w:val="0"/>
          <w:numId w:val="1"/>
        </w:numPr>
        <w:spacing w:line="360" w:lineRule="auto"/>
        <w:jc w:val="both"/>
        <w:rPr>
          <w:rFonts w:cs="David"/>
          <w:sz w:val="24"/>
          <w:szCs w:val="24"/>
          <w:rtl/>
        </w:rPr>
      </w:pPr>
      <w:r>
        <w:rPr>
          <w:rFonts w:cs="David" w:hint="cs"/>
          <w:b/>
          <w:bCs/>
          <w:sz w:val="24"/>
          <w:szCs w:val="24"/>
          <w:rtl/>
        </w:rPr>
        <w:t>ריבוי כלי הנשק</w:t>
      </w:r>
      <w:r>
        <w:rPr>
          <w:rFonts w:cs="David" w:hint="cs"/>
          <w:sz w:val="24"/>
          <w:szCs w:val="24"/>
          <w:rtl/>
        </w:rPr>
        <w:t xml:space="preserve"> משליך אף הוא משמעותית על רמת הענישה. ב</w:t>
      </w:r>
      <w:hyperlink r:id="rId21" w:history="1">
        <w:r w:rsidR="00A8388A" w:rsidRPr="00A8388A">
          <w:rPr>
            <w:rFonts w:cs="David" w:hint="cs"/>
            <w:color w:val="0000FF"/>
            <w:sz w:val="24"/>
            <w:szCs w:val="24"/>
            <w:u w:val="single"/>
            <w:rtl/>
          </w:rPr>
          <w:t>עפ</w:t>
        </w:r>
        <w:r w:rsidR="00A8388A" w:rsidRPr="00A8388A">
          <w:rPr>
            <w:rFonts w:cs="David"/>
            <w:color w:val="0000FF"/>
            <w:sz w:val="24"/>
            <w:szCs w:val="24"/>
            <w:u w:val="single"/>
            <w:rtl/>
          </w:rPr>
          <w:t>"</w:t>
        </w:r>
        <w:r w:rsidR="00A8388A" w:rsidRPr="00A8388A">
          <w:rPr>
            <w:rFonts w:cs="David" w:hint="cs"/>
            <w:color w:val="0000FF"/>
            <w:sz w:val="24"/>
            <w:szCs w:val="24"/>
            <w:u w:val="single"/>
            <w:rtl/>
          </w:rPr>
          <w:t>ג</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מח</w:t>
        </w:r>
        <w:r w:rsidR="00A8388A" w:rsidRPr="00A8388A">
          <w:rPr>
            <w:rFonts w:cs="David"/>
            <w:color w:val="0000FF"/>
            <w:sz w:val="24"/>
            <w:szCs w:val="24"/>
            <w:u w:val="single"/>
            <w:rtl/>
          </w:rPr>
          <w:t>-</w:t>
        </w:r>
        <w:r w:rsidR="00A8388A" w:rsidRPr="00A8388A">
          <w:rPr>
            <w:rFonts w:cs="David" w:hint="cs"/>
            <w:color w:val="0000FF"/>
            <w:sz w:val="24"/>
            <w:szCs w:val="24"/>
            <w:u w:val="single"/>
            <w:rtl/>
          </w:rPr>
          <w:t>מרכז</w:t>
        </w:r>
        <w:r w:rsidR="00A8388A" w:rsidRPr="00A8388A">
          <w:rPr>
            <w:rFonts w:cs="David"/>
            <w:color w:val="0000FF"/>
            <w:sz w:val="24"/>
            <w:szCs w:val="24"/>
            <w:u w:val="single"/>
            <w:rtl/>
          </w:rPr>
          <w:t>) 27417-11-15</w:t>
        </w:r>
      </w:hyperlink>
      <w:r>
        <w:rPr>
          <w:rFonts w:cs="David" w:hint="cs"/>
          <w:sz w:val="24"/>
          <w:szCs w:val="24"/>
          <w:u w:val="single"/>
          <w:rtl/>
        </w:rPr>
        <w:t xml:space="preserve"> </w:t>
      </w:r>
      <w:r>
        <w:rPr>
          <w:rFonts w:cs="Miriam" w:hint="cs"/>
          <w:sz w:val="24"/>
          <w:szCs w:val="24"/>
          <w:rtl/>
        </w:rPr>
        <w:t>מדינת ישראל נ' עבד אל רחים</w:t>
      </w:r>
      <w:r>
        <w:rPr>
          <w:rFonts w:cs="David" w:hint="cs"/>
          <w:sz w:val="24"/>
          <w:szCs w:val="24"/>
          <w:rtl/>
        </w:rPr>
        <w:t>, נדון עניינו של נאשם נעדר עבר פלילי שהחזיק ברובה, תת מקלע "עוזי" ותחמושת מתאימה, ונגזרו עליו 14 חודשי מאסר. בית המשפט המחוזי החמיר בעונשו, קבע מתחם ענישה שנע בין 18-36 חודשי מאסר והעמיד עונשו על 20 חודשי מאסר. עוד קבע, בדברים נכוחים שרלוונטיים גם לעניננו: כי "</w:t>
      </w:r>
      <w:r>
        <w:rPr>
          <w:rFonts w:cs="David" w:hint="cs"/>
          <w:b/>
          <w:bCs/>
          <w:sz w:val="24"/>
          <w:szCs w:val="24"/>
          <w:rtl/>
        </w:rPr>
        <w:t>מעשהו של המשיב הוא מעשה חמור אשר טומן בחובו סכנה לשלום הציבור וביטחונו ועל בתי המשפט לגלות גישה מחמירה כלפי מי שמחזיק בכלי נשק ותחמושת שנועדה לשימוש בהם, כפ שעשה המשיב. מדובר בהחזקת נשק שהיא עבירה שניתן להגדיר אותה כ"מכת מדינה" ובוודאי כ"מכת אזור" שפגיעתה בשלום הציבור וביטחונו הוא פגיעה קשה גם אם לא הוכח שנעשה שימוש פלילי בכלי הנשק שהוחזקו ע"י המשיב"</w:t>
      </w:r>
      <w:r>
        <w:rPr>
          <w:rFonts w:cs="David" w:hint="cs"/>
          <w:sz w:val="24"/>
          <w:szCs w:val="24"/>
          <w:rtl/>
        </w:rPr>
        <w:t xml:space="preserve"> (שם, עמ' 4 לפסה"ד). </w:t>
      </w:r>
    </w:p>
    <w:p w14:paraId="5FCFAB0E" w14:textId="77777777" w:rsidR="00FE78E4" w:rsidRDefault="00FE78E4" w:rsidP="00FE78E4">
      <w:pPr>
        <w:pStyle w:val="a9"/>
        <w:spacing w:line="360" w:lineRule="auto"/>
        <w:jc w:val="both"/>
        <w:rPr>
          <w:rFonts w:cs="David"/>
          <w:sz w:val="24"/>
          <w:szCs w:val="24"/>
        </w:rPr>
      </w:pPr>
    </w:p>
    <w:p w14:paraId="3CE21DD7"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הצדדים הקדישו חלק מטיעוניהם לגזר דיני ב</w:t>
      </w:r>
      <w:hyperlink r:id="rId22" w:history="1">
        <w:r w:rsidR="00A8388A" w:rsidRPr="00A8388A">
          <w:rPr>
            <w:rFonts w:cs="David" w:hint="cs"/>
            <w:color w:val="0000FF"/>
            <w:sz w:val="24"/>
            <w:szCs w:val="24"/>
            <w:u w:val="single"/>
            <w:rtl/>
          </w:rPr>
          <w:t>ת</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65958-12-15</w:t>
        </w:r>
      </w:hyperlink>
      <w:r>
        <w:rPr>
          <w:rFonts w:cs="David" w:hint="cs"/>
          <w:sz w:val="24"/>
          <w:szCs w:val="24"/>
          <w:u w:val="single"/>
          <w:rtl/>
        </w:rPr>
        <w:t xml:space="preserve"> </w:t>
      </w:r>
      <w:r>
        <w:rPr>
          <w:rFonts w:cs="Miriam" w:hint="cs"/>
          <w:sz w:val="24"/>
          <w:szCs w:val="24"/>
          <w:rtl/>
        </w:rPr>
        <w:t>מדינת ישראל נ' נור חאג' יחיא.</w:t>
      </w:r>
      <w:r>
        <w:rPr>
          <w:rFonts w:cs="David" w:hint="cs"/>
          <w:sz w:val="24"/>
          <w:szCs w:val="24"/>
          <w:rtl/>
        </w:rPr>
        <w:t xml:space="preserve"> במקרה זה נדון עניינו של נאשם שהחזיק במצבור כלי נשק דומה לזה שלפנינו. המדובר היה בנאשם נעדר עבר פלילי, שתסקירו חיובי אך נטול המלצה טיפולית. בגזר הדין קבעתי מתחם ענישה שנע בין 18-36 חודשי מאסר וגזרתי על הנאשם 20 חודשי מאסר. על החלטתי זו הוגש ערעור מטעם ההגנה (</w:t>
      </w:r>
      <w:r>
        <w:rPr>
          <w:rFonts w:cs="David" w:hint="cs"/>
          <w:sz w:val="24"/>
          <w:szCs w:val="24"/>
          <w:u w:val="single"/>
          <w:rtl/>
        </w:rPr>
        <w:t>עפ"ג (מח-מרכז), 29487-07-17</w:t>
      </w:r>
      <w:r>
        <w:rPr>
          <w:rFonts w:cs="David" w:hint="cs"/>
          <w:sz w:val="24"/>
          <w:szCs w:val="24"/>
          <w:rtl/>
        </w:rPr>
        <w:t xml:space="preserve">, </w:t>
      </w:r>
      <w:r>
        <w:rPr>
          <w:rFonts w:cs="Miriam" w:hint="cs"/>
          <w:sz w:val="24"/>
          <w:szCs w:val="24"/>
          <w:rtl/>
        </w:rPr>
        <w:t>חאג' יחיא נ' מדינת ישראל</w:t>
      </w:r>
      <w:r>
        <w:rPr>
          <w:rFonts w:cs="David" w:hint="cs"/>
          <w:sz w:val="24"/>
          <w:szCs w:val="24"/>
          <w:rtl/>
        </w:rPr>
        <w:t xml:space="preserve">, מיום 24.10.17) שנדחה. בפסק דינו  מצא בית המשפט המחוזי, שמתחם הענישה שנקבע הינו צודק והולם מדיניות הפסיקה (לקביעה זו הסכימה גם ב"כ המדינה, שם עמ' 6).  </w:t>
      </w:r>
    </w:p>
    <w:p w14:paraId="499FA536" w14:textId="77777777" w:rsidR="00FE78E4" w:rsidRDefault="00FE78E4" w:rsidP="00FE78E4">
      <w:pPr>
        <w:pStyle w:val="a9"/>
        <w:spacing w:line="360" w:lineRule="auto"/>
        <w:jc w:val="both"/>
        <w:rPr>
          <w:rFonts w:cs="David"/>
          <w:sz w:val="24"/>
          <w:szCs w:val="24"/>
        </w:rPr>
      </w:pPr>
    </w:p>
    <w:p w14:paraId="0C91D5DF"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על כן, לאחר שבחנתי נסיבות מעשי הנאשם, משך ההחזקה והפגיעה החמורה בערכים המוגנים, </w:t>
      </w:r>
      <w:r>
        <w:rPr>
          <w:rFonts w:cs="David" w:hint="cs"/>
          <w:b/>
          <w:bCs/>
          <w:sz w:val="24"/>
          <w:szCs w:val="24"/>
          <w:rtl/>
        </w:rPr>
        <w:t>מצאתי לקבוע מתחם ענישה שנע בין 20-40 חודשי מאסר</w:t>
      </w:r>
      <w:r>
        <w:rPr>
          <w:rFonts w:cs="David" w:hint="cs"/>
          <w:sz w:val="24"/>
          <w:szCs w:val="24"/>
          <w:rtl/>
        </w:rPr>
        <w:t xml:space="preserve">. </w:t>
      </w:r>
    </w:p>
    <w:p w14:paraId="51C689E7" w14:textId="77777777" w:rsidR="00FE78E4" w:rsidRDefault="00FE78E4" w:rsidP="00FE78E4">
      <w:pPr>
        <w:pStyle w:val="a9"/>
        <w:spacing w:line="360" w:lineRule="auto"/>
        <w:jc w:val="both"/>
        <w:rPr>
          <w:rFonts w:cs="David"/>
          <w:sz w:val="24"/>
          <w:szCs w:val="24"/>
          <w:u w:val="single"/>
        </w:rPr>
      </w:pPr>
    </w:p>
    <w:p w14:paraId="48A53E1B" w14:textId="77777777" w:rsidR="00FE78E4" w:rsidRDefault="00FE78E4" w:rsidP="00FE78E4">
      <w:pPr>
        <w:spacing w:line="360" w:lineRule="auto"/>
        <w:jc w:val="both"/>
        <w:rPr>
          <w:rtl/>
        </w:rPr>
      </w:pPr>
      <w:r>
        <w:rPr>
          <w:rFonts w:hint="cs"/>
          <w:b/>
          <w:bCs/>
          <w:u w:val="single"/>
          <w:rtl/>
        </w:rPr>
        <w:t>עתירת ההגנה לסטייה ממתחם הענישה לצרכי שיקום</w:t>
      </w:r>
    </w:p>
    <w:p w14:paraId="064C6DD3" w14:textId="77777777" w:rsidR="00FE78E4" w:rsidRDefault="00FE78E4" w:rsidP="00FE78E4">
      <w:pPr>
        <w:pStyle w:val="a9"/>
        <w:numPr>
          <w:ilvl w:val="0"/>
          <w:numId w:val="1"/>
        </w:numPr>
        <w:spacing w:line="360" w:lineRule="auto"/>
        <w:ind w:left="360"/>
        <w:jc w:val="both"/>
        <w:rPr>
          <w:rFonts w:cs="David"/>
          <w:sz w:val="24"/>
          <w:szCs w:val="24"/>
          <w:rtl/>
        </w:rPr>
      </w:pPr>
      <w:r>
        <w:rPr>
          <w:rFonts w:cs="David" w:hint="cs"/>
          <w:sz w:val="24"/>
          <w:szCs w:val="24"/>
          <w:rtl/>
        </w:rPr>
        <w:t xml:space="preserve">עתה, משנקבע מתחם הענישה, יש להמשיך ולבחון עתירת ההגנה לחרוג ממנו מטעמי שיקום ובהתאם להוראת </w:t>
      </w:r>
      <w:hyperlink r:id="rId23"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rtl/>
        </w:rPr>
        <w:t xml:space="preserve"> ל</w:t>
      </w:r>
      <w:hyperlink r:id="rId24" w:history="1">
        <w:r w:rsidR="00A8388A" w:rsidRPr="00A8388A">
          <w:rPr>
            <w:rFonts w:cs="David" w:hint="cs"/>
            <w:color w:val="0000FF"/>
            <w:sz w:val="24"/>
            <w:szCs w:val="24"/>
            <w:u w:val="single"/>
            <w:rtl/>
          </w:rPr>
          <w:t>חוק</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העונשין</w:t>
        </w:r>
      </w:hyperlink>
      <w:r>
        <w:rPr>
          <w:rFonts w:cs="David" w:hint="cs"/>
          <w:sz w:val="24"/>
          <w:szCs w:val="24"/>
          <w:rtl/>
        </w:rPr>
        <w:t xml:space="preserve">.  </w:t>
      </w:r>
      <w:hyperlink r:id="rId25"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rtl/>
        </w:rPr>
        <w:t xml:space="preserve"> ל</w:t>
      </w:r>
      <w:hyperlink r:id="rId26" w:history="1">
        <w:r w:rsidR="00A8388A" w:rsidRPr="00A8388A">
          <w:rPr>
            <w:rFonts w:cs="David" w:hint="cs"/>
            <w:color w:val="0000FF"/>
            <w:sz w:val="24"/>
            <w:szCs w:val="24"/>
            <w:u w:val="single"/>
            <w:rtl/>
          </w:rPr>
          <w:t>חוק</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העונשין</w:t>
        </w:r>
      </w:hyperlink>
      <w:r>
        <w:rPr>
          <w:rFonts w:cs="David" w:hint="cs"/>
          <w:sz w:val="24"/>
          <w:szCs w:val="24"/>
          <w:rtl/>
        </w:rPr>
        <w:t xml:space="preserve">  מורה כך: "</w:t>
      </w:r>
      <w:r>
        <w:rPr>
          <w:rFonts w:cs="David" w:hint="cs"/>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7" w:history="1">
        <w:r w:rsidR="00A8388A" w:rsidRPr="00A8388A">
          <w:rPr>
            <w:rFonts w:cs="David" w:hint="cs"/>
            <w:b/>
            <w:bCs/>
            <w:color w:val="0000FF"/>
            <w:sz w:val="24"/>
            <w:szCs w:val="24"/>
            <w:u w:val="single"/>
            <w:rtl/>
          </w:rPr>
          <w:t>פקודת</w:t>
        </w:r>
        <w:r w:rsidR="00A8388A" w:rsidRPr="00A8388A">
          <w:rPr>
            <w:rFonts w:cs="David"/>
            <w:b/>
            <w:bCs/>
            <w:color w:val="0000FF"/>
            <w:sz w:val="24"/>
            <w:szCs w:val="24"/>
            <w:u w:val="single"/>
            <w:rtl/>
          </w:rPr>
          <w:t xml:space="preserve"> </w:t>
        </w:r>
        <w:r w:rsidR="00A8388A" w:rsidRPr="00A8388A">
          <w:rPr>
            <w:rFonts w:cs="David" w:hint="cs"/>
            <w:b/>
            <w:bCs/>
            <w:color w:val="0000FF"/>
            <w:sz w:val="24"/>
            <w:szCs w:val="24"/>
            <w:u w:val="single"/>
            <w:rtl/>
          </w:rPr>
          <w:t>המבחן</w:t>
        </w:r>
      </w:hyperlink>
      <w:r>
        <w:rPr>
          <w:rFonts w:cs="David" w:hint="cs"/>
          <w:b/>
          <w:bCs/>
          <w:sz w:val="24"/>
          <w:szCs w:val="24"/>
          <w:rtl/>
        </w:rPr>
        <w:t xml:space="preserve"> [נוסח חדש], התשכ"ט-1969</w:t>
      </w:r>
      <w:r>
        <w:rPr>
          <w:rFonts w:cs="David" w:hint="cs"/>
          <w:sz w:val="24"/>
          <w:szCs w:val="24"/>
          <w:rtl/>
        </w:rPr>
        <w:t xml:space="preserve">." </w:t>
      </w:r>
    </w:p>
    <w:p w14:paraId="3D1DED3A" w14:textId="77777777" w:rsidR="00FE78E4" w:rsidRDefault="00FE78E4" w:rsidP="00FE78E4">
      <w:pPr>
        <w:pStyle w:val="a9"/>
        <w:rPr>
          <w:rFonts w:cs="David"/>
          <w:sz w:val="24"/>
          <w:szCs w:val="24"/>
        </w:rPr>
      </w:pPr>
    </w:p>
    <w:p w14:paraId="40229F0A"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התשובה לשאלה אילו מן המקרים ייחשבו  מקרי שיקום כמשמעותו </w:t>
      </w:r>
      <w:hyperlink r:id="rId28" w:history="1">
        <w:r w:rsidR="0044663C" w:rsidRPr="0044663C">
          <w:rPr>
            <w:rFonts w:cs="David" w:hint="cs"/>
            <w:color w:val="0000FF"/>
            <w:sz w:val="24"/>
            <w:szCs w:val="24"/>
            <w:u w:val="single"/>
            <w:rtl/>
          </w:rPr>
          <w:t>בסעיף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hyperlink>
      <w:r>
        <w:rPr>
          <w:rFonts w:cs="David" w:hint="cs"/>
          <w:sz w:val="24"/>
          <w:szCs w:val="24"/>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29"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hyperlink>
      <w:r>
        <w:rPr>
          <w:rFonts w:cs="David" w:hint="cs"/>
          <w:sz w:val="24"/>
          <w:szCs w:val="24"/>
          <w:rtl/>
        </w:rPr>
        <w:t xml:space="preserve"> לחוק מלמדת, כי לעיתים כאשר "נאשם השתקם" או כי "יש סיכוי של ממש שישתקם", עשויים שיקולי השיקום לגבור על שיקולי ההרתעה והגמול (ראו </w:t>
      </w:r>
      <w:hyperlink r:id="rId30"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7572/12</w:t>
        </w:r>
      </w:hyperlink>
      <w:r>
        <w:rPr>
          <w:rFonts w:cs="David" w:hint="cs"/>
          <w:sz w:val="24"/>
          <w:szCs w:val="24"/>
          <w:rtl/>
        </w:rPr>
        <w:t xml:space="preserve"> </w:t>
      </w:r>
      <w:r>
        <w:rPr>
          <w:rFonts w:cs="Miriam" w:hint="cs"/>
          <w:sz w:val="24"/>
          <w:szCs w:val="24"/>
          <w:rtl/>
        </w:rPr>
        <w:t>הזייל נ' מדינת ישראל</w:t>
      </w:r>
      <w:r>
        <w:rPr>
          <w:rFonts w:cs="David" w:hint="cs"/>
          <w:sz w:val="24"/>
          <w:szCs w:val="24"/>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1"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1903/13</w:t>
        </w:r>
      </w:hyperlink>
      <w:r>
        <w:rPr>
          <w:rFonts w:cs="David" w:hint="cs"/>
          <w:sz w:val="24"/>
          <w:szCs w:val="24"/>
          <w:rtl/>
        </w:rPr>
        <w:t xml:space="preserve"> </w:t>
      </w:r>
      <w:r>
        <w:rPr>
          <w:rFonts w:cs="Miriam" w:hint="cs"/>
          <w:sz w:val="24"/>
          <w:szCs w:val="24"/>
          <w:rtl/>
        </w:rPr>
        <w:t>עיאשה נ'</w:t>
      </w:r>
      <w:r>
        <w:rPr>
          <w:rFonts w:cs="David" w:hint="cs"/>
          <w:b/>
          <w:bCs/>
          <w:sz w:val="24"/>
          <w:szCs w:val="24"/>
          <w:rtl/>
        </w:rPr>
        <w:t xml:space="preserve"> </w:t>
      </w:r>
      <w:r>
        <w:rPr>
          <w:rFonts w:cs="Miriam" w:hint="cs"/>
          <w:sz w:val="24"/>
          <w:szCs w:val="24"/>
          <w:rtl/>
        </w:rPr>
        <w:t>מדינת ישראל</w:t>
      </w:r>
      <w:r>
        <w:rPr>
          <w:rFonts w:cs="David" w:hint="cs"/>
          <w:sz w:val="24"/>
          <w:szCs w:val="24"/>
          <w:rtl/>
        </w:rPr>
        <w:t xml:space="preserve"> (14.07.13)). לתסקיר שירות המבחן בהקשר זה מעמד משמעותי ביותר, אם כי כמובן שאינו מחייב את בית המשפט.  </w:t>
      </w:r>
    </w:p>
    <w:p w14:paraId="0B3C1BBA" w14:textId="77777777" w:rsidR="00FE78E4" w:rsidRDefault="00FE78E4" w:rsidP="00FE78E4">
      <w:pPr>
        <w:pStyle w:val="a9"/>
        <w:spacing w:line="360" w:lineRule="auto"/>
        <w:jc w:val="both"/>
        <w:rPr>
          <w:rFonts w:cs="David"/>
          <w:sz w:val="24"/>
          <w:szCs w:val="24"/>
        </w:rPr>
      </w:pPr>
    </w:p>
    <w:p w14:paraId="1C0060ED" w14:textId="77777777" w:rsidR="00FE78E4" w:rsidRDefault="00FE78E4" w:rsidP="00FE78E4">
      <w:pPr>
        <w:pStyle w:val="a9"/>
        <w:numPr>
          <w:ilvl w:val="0"/>
          <w:numId w:val="1"/>
        </w:numPr>
        <w:spacing w:line="360" w:lineRule="auto"/>
        <w:jc w:val="both"/>
        <w:rPr>
          <w:rFonts w:cs="David"/>
          <w:b/>
          <w:bCs/>
          <w:sz w:val="24"/>
          <w:szCs w:val="24"/>
        </w:rPr>
      </w:pPr>
      <w:r>
        <w:rPr>
          <w:rFonts w:cs="David" w:hint="cs"/>
          <w:sz w:val="24"/>
          <w:szCs w:val="24"/>
          <w:rtl/>
        </w:rPr>
        <w:t xml:space="preserve">ודוק, לא כל מקרי השיקום יובילו בהכרח למסקנה, כי אין מקום לגזור על נאשם עונש מאסר בפועל. מידת החריגה מהמתחם תלויה בשני פרמטרים מרכזיים המשפיעים הדדית האחד על רעותו: הראשון, הינו טיב ההליך השיקומי והפוטנציאל השיקומי והשני נוגע לחומרת העבירה. כך ככל שמעשי הנאשם חמורים יותר נדרש בית המשפט ליתן משקל נכבד יותר לאינטרסים הציבוריים על פני שיקולים אחרים. </w:t>
      </w:r>
    </w:p>
    <w:p w14:paraId="559319F8" w14:textId="77777777" w:rsidR="00FE78E4" w:rsidRDefault="00FE78E4" w:rsidP="00FE78E4">
      <w:pPr>
        <w:pStyle w:val="a9"/>
        <w:spacing w:line="360" w:lineRule="auto"/>
        <w:ind w:left="360"/>
        <w:jc w:val="both"/>
        <w:rPr>
          <w:rFonts w:cs="David"/>
          <w:sz w:val="24"/>
          <w:szCs w:val="24"/>
        </w:rPr>
      </w:pPr>
    </w:p>
    <w:p w14:paraId="07582FF1"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 בענייננו, מדובר בנאשם  נטול עבר פלילי, בן למשפחה חיובית ותומכת, שנקלע למצב מצוקה וחשש לחייו על רקע קשר רומנטי שניהל במועד הרלוונטי ולא התקבל בברכה ע"י משפחת האישה. טעם זה עמד ברקע ביצוע המעשים המיוחסים לו.</w:t>
      </w:r>
    </w:p>
    <w:p w14:paraId="5D33D2CB" w14:textId="77777777" w:rsidR="00FE78E4" w:rsidRPr="006D4CB2" w:rsidRDefault="00FE78E4" w:rsidP="00FE78E4">
      <w:pPr>
        <w:pStyle w:val="a9"/>
        <w:spacing w:line="360" w:lineRule="auto"/>
        <w:jc w:val="both"/>
        <w:rPr>
          <w:rFonts w:cs="David"/>
          <w:sz w:val="24"/>
          <w:szCs w:val="24"/>
        </w:rPr>
      </w:pPr>
    </w:p>
    <w:p w14:paraId="282A8FF6"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הנאשם לווה תקופה ארוכה ע"י שירות המבחן, כבר משלב המעצר כשהיה נתון תחת פיקוחם ושולב בקבוצה טיפולית לעצורי בית. שירות המבחן התרשם מנאשם שהתנהלותו יציבה בכל מישורי חייו, מהפחתה ניכרת במסוכנותו ומשיתוף פעולה מלא עם הגורמים הטיפוליים. על כן בא בהמלצה להעמידו בצו מבחן ולהמנע מלהטיל עליו מאסר ממש. </w:t>
      </w:r>
    </w:p>
    <w:p w14:paraId="03E19E85" w14:textId="77777777" w:rsidR="00FE78E4" w:rsidRDefault="00FE78E4" w:rsidP="00FE78E4">
      <w:pPr>
        <w:pStyle w:val="a9"/>
        <w:spacing w:line="360" w:lineRule="auto"/>
        <w:jc w:val="both"/>
        <w:rPr>
          <w:rFonts w:cs="David"/>
          <w:sz w:val="24"/>
          <w:szCs w:val="24"/>
        </w:rPr>
      </w:pPr>
    </w:p>
    <w:p w14:paraId="018B191B"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לצד זאת וככל הנראה נוכח צורך כן ואמיתי שעלה אצל הנאשם להעמיק ההליך הטיפולי, פנה מיוזמתו למטפל שיקומי פרטי ובמשך תקופה ארוכה מטופל ברציפות, כשהמלצות העו"ס המטפל מחזקות המלצותיו של שירות המבחן. נתונים אלו מעידים על פוטנציאל שיקומי גבוה המאפשר חריגה מהמתחם בהתאם להוראות </w:t>
      </w:r>
      <w:hyperlink r:id="rId32"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rtl/>
        </w:rPr>
        <w:t xml:space="preserve"> לחוק. </w:t>
      </w:r>
    </w:p>
    <w:p w14:paraId="504ECA8B" w14:textId="77777777" w:rsidR="00FE78E4" w:rsidRDefault="00FE78E4" w:rsidP="00FE78E4">
      <w:pPr>
        <w:pStyle w:val="a9"/>
        <w:spacing w:line="360" w:lineRule="auto"/>
        <w:jc w:val="both"/>
        <w:rPr>
          <w:rFonts w:cs="David"/>
          <w:sz w:val="24"/>
          <w:szCs w:val="24"/>
        </w:rPr>
      </w:pPr>
    </w:p>
    <w:p w14:paraId="79BD1700"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עם זאת, בשים לב לחומרת מעשי הנאשם ונסיבות ביצועם, אין מקום לסטייה לקולא ממתחם הענישה המובילה לפטור מעונש של מאסר לריצוי בפועל ואף לא להסתפקות במאסר קצר בלבד אלא להתחשבות בשיקול זה, בין מכלול השיקולים שעומדים לנגד עיני בית המשפט במקרה זה, לצורך הקלה מסוימת במשך תקופת המאסר. (</w:t>
      </w:r>
      <w:r>
        <w:rPr>
          <w:rFonts w:cs="David" w:hint="cs"/>
          <w:sz w:val="24"/>
          <w:szCs w:val="24"/>
          <w:u w:val="single"/>
          <w:rtl/>
        </w:rPr>
        <w:t xml:space="preserve">ר' </w:t>
      </w:r>
      <w:hyperlink r:id="rId33"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1370/17</w:t>
        </w:r>
      </w:hyperlink>
      <w:r>
        <w:rPr>
          <w:rFonts w:cs="David" w:hint="cs"/>
          <w:sz w:val="24"/>
          <w:szCs w:val="24"/>
          <w:u w:val="single"/>
          <w:rtl/>
        </w:rPr>
        <w:t xml:space="preserve"> </w:t>
      </w:r>
      <w:r>
        <w:rPr>
          <w:rFonts w:cs="Miriam" w:hint="cs"/>
          <w:sz w:val="24"/>
          <w:szCs w:val="24"/>
          <w:rtl/>
        </w:rPr>
        <w:t>אליהו נ' מדינת ישראל</w:t>
      </w:r>
      <w:r>
        <w:rPr>
          <w:rFonts w:cs="David" w:hint="cs"/>
          <w:sz w:val="24"/>
          <w:szCs w:val="24"/>
          <w:rtl/>
        </w:rPr>
        <w:t xml:space="preserve"> (20.4.17); </w:t>
      </w:r>
      <w:hyperlink r:id="rId34"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8095/17</w:t>
        </w:r>
      </w:hyperlink>
      <w:r>
        <w:rPr>
          <w:rFonts w:cs="David" w:hint="cs"/>
          <w:sz w:val="24"/>
          <w:szCs w:val="24"/>
          <w:rtl/>
        </w:rPr>
        <w:t xml:space="preserve"> </w:t>
      </w:r>
      <w:r>
        <w:rPr>
          <w:rFonts w:cs="Miriam" w:hint="cs"/>
          <w:sz w:val="24"/>
          <w:szCs w:val="24"/>
          <w:rtl/>
        </w:rPr>
        <w:t>סטרוסטה נ' מדינת ישראל,</w:t>
      </w:r>
      <w:r>
        <w:rPr>
          <w:rFonts w:cs="David" w:hint="cs"/>
          <w:sz w:val="24"/>
          <w:szCs w:val="24"/>
          <w:rtl/>
        </w:rPr>
        <w:t xml:space="preserve"> 26.10.17)</w:t>
      </w:r>
    </w:p>
    <w:p w14:paraId="662864DE" w14:textId="77777777" w:rsidR="00FE78E4" w:rsidRDefault="00FE78E4" w:rsidP="00FE78E4">
      <w:pPr>
        <w:pStyle w:val="a9"/>
        <w:spacing w:line="360" w:lineRule="auto"/>
        <w:jc w:val="both"/>
        <w:rPr>
          <w:rFonts w:cs="David"/>
          <w:sz w:val="24"/>
          <w:szCs w:val="24"/>
        </w:rPr>
      </w:pPr>
    </w:p>
    <w:p w14:paraId="36B27AE1"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גישה לפיה העדרו של עבר פלילי, ניהול אורח חיים תקין, שיתוף פעולה עם הגורמים הטיפוליים ורמת סיכון נמוכה מהווים בסיס ראוי להגדרת עניינו של נאשם </w:t>
      </w:r>
      <w:r>
        <w:rPr>
          <w:rFonts w:cs="David" w:hint="cs"/>
          <w:b/>
          <w:bCs/>
          <w:sz w:val="24"/>
          <w:szCs w:val="24"/>
          <w:rtl/>
        </w:rPr>
        <w:t>בעבירת נשק</w:t>
      </w:r>
      <w:r>
        <w:rPr>
          <w:rFonts w:cs="David" w:hint="cs"/>
          <w:sz w:val="24"/>
          <w:szCs w:val="24"/>
          <w:rtl/>
        </w:rPr>
        <w:t xml:space="preserve"> כמקרה שיקום, ניתן למצוא בפסיקה שונה של בית המשפט העליון, ברובה חרג בית המשפט ממתחם העונש והעמידו על תקופת מאסר קצרה יותר. כך </w:t>
      </w:r>
      <w:r>
        <w:rPr>
          <w:rFonts w:cs="David" w:hint="cs"/>
          <w:sz w:val="24"/>
          <w:szCs w:val="24"/>
          <w:u w:val="single"/>
          <w:rtl/>
        </w:rPr>
        <w:t>ב</w:t>
      </w:r>
      <w:hyperlink r:id="rId35"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1903/13</w:t>
        </w:r>
      </w:hyperlink>
      <w:r>
        <w:rPr>
          <w:rFonts w:cs="David" w:hint="cs"/>
          <w:sz w:val="24"/>
          <w:szCs w:val="24"/>
          <w:rtl/>
        </w:rPr>
        <w:t xml:space="preserve"> </w:t>
      </w:r>
      <w:r>
        <w:rPr>
          <w:rFonts w:cs="Miriam" w:hint="cs"/>
          <w:sz w:val="24"/>
          <w:szCs w:val="24"/>
          <w:rtl/>
        </w:rPr>
        <w:t>עיאשה נ' מדינת ישראל</w:t>
      </w:r>
      <w:r>
        <w:rPr>
          <w:rFonts w:cs="David" w:hint="cs"/>
          <w:sz w:val="24"/>
          <w:szCs w:val="24"/>
          <w:rtl/>
        </w:rPr>
        <w:t xml:space="preserve"> (14.7.13) דן בית המשפט (כב' הש' ארבל, כתוארה אז) בעניינו של מערער שהורשע בעבירות של קשירת קשר, החזקה ונשיאת נשק, בידוי ראיות ומסירת ידיעה כוזבת ונדון, בין היתר נוכח המלצה חיובית של שירות המבחן, למאסר בפועל בן 15 חודשים. בפסק דינו עומד בית המשפט על עברו הנקי של המערער, ניהול אורח חיים נורמטיבי, תסקיר בעל פוטנציאל שיקומי והמלצת שירות המבחן להסתפקות בעבודות שירות ומגדירם כמעידים על פוטנציאל שיקומי ממשי (שם, פ' 12). מטעמים אלו מפחית עונשו של הנאשם ומעמידו על 10 חודשי מאסר.</w:t>
      </w:r>
    </w:p>
    <w:p w14:paraId="7820E898" w14:textId="77777777" w:rsidR="00FE78E4" w:rsidRDefault="00FE78E4" w:rsidP="00FE78E4">
      <w:pPr>
        <w:pStyle w:val="a9"/>
        <w:spacing w:line="360" w:lineRule="auto"/>
        <w:jc w:val="both"/>
        <w:rPr>
          <w:rFonts w:cs="David"/>
          <w:sz w:val="24"/>
          <w:szCs w:val="24"/>
        </w:rPr>
      </w:pPr>
    </w:p>
    <w:p w14:paraId="21880DC6"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מגמה דומה נמצא גם ב</w:t>
      </w:r>
      <w:hyperlink r:id="rId36"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526/14</w:t>
        </w:r>
      </w:hyperlink>
      <w:r>
        <w:rPr>
          <w:rFonts w:cs="David" w:hint="cs"/>
          <w:sz w:val="24"/>
          <w:szCs w:val="24"/>
          <w:u w:val="single"/>
          <w:rtl/>
        </w:rPr>
        <w:t xml:space="preserve"> </w:t>
      </w:r>
      <w:r>
        <w:rPr>
          <w:rFonts w:cs="Miriam" w:hint="cs"/>
          <w:sz w:val="24"/>
          <w:szCs w:val="24"/>
          <w:rtl/>
        </w:rPr>
        <w:t>פלוני נ' מדינת ישראל</w:t>
      </w:r>
      <w:r>
        <w:rPr>
          <w:rFonts w:cs="David" w:hint="cs"/>
          <w:sz w:val="24"/>
          <w:szCs w:val="24"/>
          <w:rtl/>
        </w:rPr>
        <w:t xml:space="preserve"> (מיום 12.3.14), שם נדון עניינו של נאשם שהורשע בעבירות חמורות של סחר בנשק ונדון ל-22 חודשי מאסר. בית המשפט שדן הנאשם מצא ליתן משקל לנסיבותיו האישיות והמשפחתיות, כברת הדרך הטיפולית שעבר וסיכויי שיקומו. על אף זאת, מחליט שלא לסטות מגדרי מתחם הענישה שנע בין 18-48 חודשים אלא למקמו ברף התחתון (ראו בהרחבה פסק דינו של בית המשפט המחוזי בב"ש ב</w:t>
      </w:r>
      <w:hyperlink r:id="rId37" w:history="1">
        <w:r w:rsidR="00A8388A" w:rsidRPr="00A8388A">
          <w:rPr>
            <w:rFonts w:cs="David" w:hint="cs"/>
            <w:color w:val="0000FF"/>
            <w:sz w:val="24"/>
            <w:szCs w:val="24"/>
            <w:u w:val="single"/>
            <w:rtl/>
          </w:rPr>
          <w:t>ת</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39259-01-13</w:t>
        </w:r>
      </w:hyperlink>
      <w:r>
        <w:rPr>
          <w:rFonts w:cs="David" w:hint="cs"/>
          <w:sz w:val="24"/>
          <w:szCs w:val="24"/>
          <w:rtl/>
        </w:rPr>
        <w:t xml:space="preserve">). בית המשפט העליון מוצא שעניינו של הנאשם מגלה פוטנציאל שיקומי ממשי באופן המצדיק חריגה מסוימת מהמתחם ועל כן מקל בעונשו ומעמידו על 16 חודשי מאסר. </w:t>
      </w:r>
    </w:p>
    <w:p w14:paraId="7B8536D3" w14:textId="77777777" w:rsidR="00FE78E4" w:rsidRDefault="00FE78E4" w:rsidP="00FE78E4">
      <w:pPr>
        <w:pStyle w:val="a9"/>
        <w:spacing w:line="360" w:lineRule="auto"/>
        <w:jc w:val="both"/>
        <w:rPr>
          <w:rFonts w:cs="David"/>
          <w:sz w:val="24"/>
          <w:szCs w:val="24"/>
        </w:rPr>
      </w:pPr>
    </w:p>
    <w:p w14:paraId="40952AF2" w14:textId="77777777" w:rsidR="00FE78E4" w:rsidRDefault="00FE78E4" w:rsidP="00FE78E4">
      <w:pPr>
        <w:pStyle w:val="a9"/>
        <w:spacing w:line="360" w:lineRule="auto"/>
        <w:jc w:val="both"/>
        <w:rPr>
          <w:rFonts w:cs="David"/>
          <w:sz w:val="24"/>
          <w:szCs w:val="24"/>
          <w:rtl/>
        </w:rPr>
      </w:pPr>
      <w:r>
        <w:rPr>
          <w:rFonts w:cs="David" w:hint="cs"/>
          <w:sz w:val="24"/>
          <w:szCs w:val="24"/>
          <w:rtl/>
        </w:rPr>
        <w:t>עוד אפנה ל</w:t>
      </w:r>
      <w:hyperlink r:id="rId38"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4559/16</w:t>
        </w:r>
      </w:hyperlink>
      <w:r>
        <w:rPr>
          <w:rFonts w:cs="David" w:hint="cs"/>
          <w:sz w:val="24"/>
          <w:szCs w:val="24"/>
          <w:rtl/>
        </w:rPr>
        <w:t xml:space="preserve"> </w:t>
      </w:r>
      <w:r>
        <w:rPr>
          <w:rFonts w:cs="Miriam" w:hint="cs"/>
          <w:sz w:val="24"/>
          <w:szCs w:val="24"/>
          <w:rtl/>
        </w:rPr>
        <w:t>נוסיראת נ' מדינת ישראל</w:t>
      </w:r>
      <w:r>
        <w:rPr>
          <w:rFonts w:cs="David" w:hint="cs"/>
          <w:sz w:val="24"/>
          <w:szCs w:val="24"/>
          <w:rtl/>
        </w:rPr>
        <w:t xml:space="preserve"> (22.6.16)), שם נדחתה בקשת ערעור של המבקש שעונשו הוחמר </w:t>
      </w:r>
      <w:r>
        <w:rPr>
          <w:rFonts w:cs="Miriam" w:hint="cs"/>
          <w:sz w:val="24"/>
          <w:szCs w:val="24"/>
          <w:rtl/>
        </w:rPr>
        <w:t>(</w:t>
      </w:r>
      <w:hyperlink r:id="rId39" w:history="1">
        <w:r w:rsidR="00A8388A" w:rsidRPr="00A8388A">
          <w:rPr>
            <w:rFonts w:cs="Miriam" w:hint="cs"/>
            <w:color w:val="0000FF"/>
            <w:sz w:val="24"/>
            <w:szCs w:val="24"/>
            <w:u w:val="single"/>
            <w:rtl/>
          </w:rPr>
          <w:t>עפ</w:t>
        </w:r>
        <w:r w:rsidR="00A8388A" w:rsidRPr="00A8388A">
          <w:rPr>
            <w:rFonts w:cs="Miriam"/>
            <w:color w:val="0000FF"/>
            <w:sz w:val="24"/>
            <w:szCs w:val="24"/>
            <w:u w:val="single"/>
            <w:rtl/>
          </w:rPr>
          <w:t>"</w:t>
        </w:r>
        <w:r w:rsidR="00A8388A" w:rsidRPr="00A8388A">
          <w:rPr>
            <w:rFonts w:cs="Miriam" w:hint="cs"/>
            <w:color w:val="0000FF"/>
            <w:sz w:val="24"/>
            <w:szCs w:val="24"/>
            <w:u w:val="single"/>
            <w:rtl/>
          </w:rPr>
          <w:t>ג</w:t>
        </w:r>
        <w:r w:rsidR="00A8388A" w:rsidRPr="00A8388A">
          <w:rPr>
            <w:rFonts w:cs="Miriam"/>
            <w:color w:val="0000FF"/>
            <w:sz w:val="24"/>
            <w:szCs w:val="24"/>
            <w:u w:val="single"/>
            <w:rtl/>
          </w:rPr>
          <w:t xml:space="preserve"> 27108-01-16</w:t>
        </w:r>
      </w:hyperlink>
      <w:r>
        <w:rPr>
          <w:rFonts w:cs="David" w:hint="cs"/>
          <w:sz w:val="24"/>
          <w:szCs w:val="24"/>
          <w:u w:val="single"/>
          <w:rtl/>
        </w:rPr>
        <w:t xml:space="preserve"> מח-מרכז</w:t>
      </w:r>
      <w:r>
        <w:rPr>
          <w:rFonts w:cs="David" w:hint="cs"/>
          <w:sz w:val="24"/>
          <w:szCs w:val="24"/>
          <w:rtl/>
        </w:rPr>
        <w:t>) מ-6 חודשי עבודות שירות למאסר בן -9 חודשים. בית המשפט קבע, כי אין די בנסיבותיו האישיות של הנאשם, עברו הנקי ותסקיר חיובי במיוחד, כדי להביא לחריגה לקולא ממתחם הענישה, אף לא מטעמי שיקום ול</w:t>
      </w:r>
      <w:hyperlink r:id="rId40" w:history="1">
        <w:r w:rsidR="00A8388A" w:rsidRPr="00A8388A">
          <w:rPr>
            <w:rFonts w:cs="David" w:hint="cs"/>
            <w:color w:val="0000FF"/>
            <w:sz w:val="24"/>
            <w:szCs w:val="24"/>
            <w:u w:val="single"/>
            <w:rtl/>
          </w:rPr>
          <w:t>עפ</w:t>
        </w:r>
        <w:r w:rsidR="00A8388A" w:rsidRPr="00A8388A">
          <w:rPr>
            <w:rFonts w:cs="David"/>
            <w:color w:val="0000FF"/>
            <w:sz w:val="24"/>
            <w:szCs w:val="24"/>
            <w:u w:val="single"/>
            <w:rtl/>
          </w:rPr>
          <w:t>"</w:t>
        </w:r>
        <w:r w:rsidR="00A8388A" w:rsidRPr="00A8388A">
          <w:rPr>
            <w:rFonts w:cs="David" w:hint="cs"/>
            <w:color w:val="0000FF"/>
            <w:sz w:val="24"/>
            <w:szCs w:val="24"/>
            <w:u w:val="single"/>
            <w:rtl/>
          </w:rPr>
          <w:t>ג</w:t>
        </w:r>
        <w:r w:rsidR="00A8388A" w:rsidRPr="00A8388A">
          <w:rPr>
            <w:rFonts w:cs="David"/>
            <w:color w:val="0000FF"/>
            <w:sz w:val="24"/>
            <w:szCs w:val="24"/>
            <w:u w:val="single"/>
            <w:rtl/>
          </w:rPr>
          <w:t xml:space="preserve"> 50329-10-15</w:t>
        </w:r>
      </w:hyperlink>
      <w:r>
        <w:rPr>
          <w:rFonts w:cs="David" w:hint="cs"/>
          <w:sz w:val="24"/>
          <w:szCs w:val="24"/>
          <w:rtl/>
        </w:rPr>
        <w:t xml:space="preserve"> (מח-מרכז) </w:t>
      </w:r>
      <w:r>
        <w:rPr>
          <w:rFonts w:cs="Miriam" w:hint="cs"/>
          <w:sz w:val="24"/>
          <w:szCs w:val="24"/>
          <w:rtl/>
        </w:rPr>
        <w:t>מדינת ישראל נ' ענזי</w:t>
      </w:r>
      <w:r>
        <w:rPr>
          <w:rFonts w:cs="David" w:hint="cs"/>
          <w:b/>
          <w:bCs/>
          <w:sz w:val="24"/>
          <w:szCs w:val="24"/>
          <w:rtl/>
        </w:rPr>
        <w:t>,</w:t>
      </w:r>
      <w:r>
        <w:rPr>
          <w:rFonts w:cs="David" w:hint="cs"/>
          <w:sz w:val="24"/>
          <w:szCs w:val="24"/>
          <w:rtl/>
        </w:rPr>
        <w:t xml:space="preserve"> שם הוחמר עונשו של בגיר צעיר, נטול עבר, ששירות המבחן המליץ להימנע בעניינו ממאסר ממש, מ-6 חודשי עבודות שירות ל-10 חודשי מאסר. </w:t>
      </w:r>
    </w:p>
    <w:p w14:paraId="359D6E24" w14:textId="77777777" w:rsidR="00FE78E4" w:rsidRDefault="00FE78E4" w:rsidP="00FE78E4">
      <w:pPr>
        <w:pStyle w:val="a9"/>
        <w:spacing w:line="360" w:lineRule="auto"/>
        <w:jc w:val="both"/>
        <w:rPr>
          <w:rFonts w:cs="David"/>
          <w:sz w:val="24"/>
          <w:szCs w:val="24"/>
        </w:rPr>
      </w:pPr>
    </w:p>
    <w:p w14:paraId="739727F4" w14:textId="77777777" w:rsidR="00FE78E4" w:rsidRDefault="00FE78E4" w:rsidP="00FE78E4">
      <w:pPr>
        <w:pStyle w:val="a9"/>
        <w:spacing w:line="360" w:lineRule="auto"/>
        <w:jc w:val="both"/>
        <w:rPr>
          <w:rFonts w:cs="David"/>
          <w:b/>
          <w:bCs/>
          <w:sz w:val="24"/>
          <w:szCs w:val="24"/>
          <w:u w:val="single"/>
          <w:rtl/>
        </w:rPr>
      </w:pPr>
      <w:r>
        <w:rPr>
          <w:rFonts w:cs="David" w:hint="cs"/>
          <w:b/>
          <w:bCs/>
          <w:sz w:val="24"/>
          <w:szCs w:val="24"/>
          <w:u w:val="single"/>
          <w:rtl/>
        </w:rPr>
        <w:t>קביעת העונש המתאים</w:t>
      </w:r>
    </w:p>
    <w:p w14:paraId="08E4A36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בהנתן המתחם שנקבע, קביעתי שהנאשם פגע פגיעה עוצמתית בערכים החברתיים המוגנים ומסקנתי שניתן לחרוג ממנו חריגה מידתית, מצאתי לקבוע העונש המתאים תוך התחשבות בהליך השיקומי, עברו הנקי של הנאשם, גילו, נטילת האחריות, שהייתו הממושכת בתנאים מגבילים, הטלטלה הקשה שעבר מאז הסתבכותו בתיק זה  והמלצות הגופים הטיפוליים. עוד נתתי דעתי לכך שהסכסוך בין הצדדים הסתיים, בת זוגו דאז נישאה לאחר והנאשם מאורס כיום לאחרת. </w:t>
      </w:r>
    </w:p>
    <w:p w14:paraId="465E0960" w14:textId="77777777" w:rsidR="00FE78E4" w:rsidRDefault="00FE78E4" w:rsidP="00FE78E4">
      <w:pPr>
        <w:pStyle w:val="a9"/>
        <w:spacing w:line="360" w:lineRule="auto"/>
        <w:jc w:val="both"/>
        <w:rPr>
          <w:rFonts w:cs="David"/>
          <w:sz w:val="24"/>
          <w:szCs w:val="24"/>
        </w:rPr>
      </w:pPr>
    </w:p>
    <w:p w14:paraId="209A88F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אני דוחה טענת ההגנה, לפיה יש לראות בעונשה של אחותו, שנדונה למאסר בדרך של עבודות שירות בלבד (ואף שהתה מעל לחודש במעצר), עונש מוצא לגזירת עונשו של הנאשם. מעשיו של הנאשם חמורים וקשים משמעותית מאלו של אחותו, וצודק ב"כ המאשימה שזוקף לחובתו ניצול קשריו החמים עם אחותו לסייע לו. </w:t>
      </w:r>
    </w:p>
    <w:p w14:paraId="6385EE9B" w14:textId="77777777" w:rsidR="00FE78E4" w:rsidRDefault="00FE78E4" w:rsidP="00FE78E4">
      <w:pPr>
        <w:pStyle w:val="a9"/>
        <w:spacing w:line="360" w:lineRule="auto"/>
        <w:jc w:val="both"/>
        <w:rPr>
          <w:rFonts w:cs="David"/>
          <w:sz w:val="24"/>
          <w:szCs w:val="24"/>
        </w:rPr>
      </w:pPr>
    </w:p>
    <w:p w14:paraId="241F9FF4" w14:textId="77777777" w:rsidR="00FE78E4" w:rsidRDefault="00FE78E4" w:rsidP="00FE78E4">
      <w:pPr>
        <w:pStyle w:val="a9"/>
        <w:numPr>
          <w:ilvl w:val="0"/>
          <w:numId w:val="1"/>
        </w:numPr>
        <w:spacing w:line="360" w:lineRule="auto"/>
        <w:jc w:val="both"/>
        <w:rPr>
          <w:rFonts w:cs="David"/>
          <w:sz w:val="24"/>
          <w:szCs w:val="24"/>
        </w:rPr>
      </w:pPr>
      <w:r>
        <w:rPr>
          <w:rFonts w:cs="David" w:hint="cs"/>
          <w:b/>
          <w:bCs/>
          <w:sz w:val="24"/>
          <w:szCs w:val="24"/>
          <w:rtl/>
        </w:rPr>
        <w:t xml:space="preserve">לאור האמור לעיל, ולאחר ששקלתי את כלל השיקולים הנדרשים, אני גוזרת על הנאשם את העונשים הבאים: </w:t>
      </w:r>
    </w:p>
    <w:p w14:paraId="6C481FD7" w14:textId="77777777" w:rsidR="00FE78E4" w:rsidRDefault="00FE78E4" w:rsidP="00FE78E4">
      <w:pPr>
        <w:pStyle w:val="a9"/>
        <w:numPr>
          <w:ilvl w:val="0"/>
          <w:numId w:val="2"/>
        </w:numPr>
        <w:spacing w:line="360" w:lineRule="auto"/>
        <w:jc w:val="both"/>
        <w:rPr>
          <w:rFonts w:cs="David"/>
          <w:sz w:val="24"/>
          <w:szCs w:val="24"/>
          <w:rtl/>
        </w:rPr>
      </w:pPr>
      <w:r>
        <w:rPr>
          <w:rFonts w:cs="David" w:hint="cs"/>
          <w:sz w:val="24"/>
          <w:szCs w:val="24"/>
          <w:rtl/>
        </w:rPr>
        <w:t>16 חודשי מאסר בפועל, בניכוי ימי מעצרו 6.1.16 עד 14.2.16.</w:t>
      </w:r>
    </w:p>
    <w:p w14:paraId="25FA70E5" w14:textId="77777777" w:rsidR="00FE78E4" w:rsidRDefault="00FE78E4" w:rsidP="00FE78E4">
      <w:pPr>
        <w:pStyle w:val="a9"/>
        <w:numPr>
          <w:ilvl w:val="0"/>
          <w:numId w:val="2"/>
        </w:numPr>
        <w:spacing w:line="360" w:lineRule="auto"/>
        <w:jc w:val="both"/>
        <w:rPr>
          <w:rFonts w:cs="David"/>
          <w:sz w:val="24"/>
          <w:szCs w:val="24"/>
        </w:rPr>
      </w:pPr>
      <w:r>
        <w:rPr>
          <w:rFonts w:cs="David" w:hint="cs"/>
          <w:sz w:val="24"/>
          <w:szCs w:val="24"/>
          <w:rtl/>
        </w:rPr>
        <w:t xml:space="preserve">מאסר על תנאי בן 7 חודשים לבל יעבור הנאשם עבירת נשק תוך 3 שנים מיום שחרורו. </w:t>
      </w:r>
    </w:p>
    <w:p w14:paraId="13C9C95A" w14:textId="77777777" w:rsidR="00FE78E4" w:rsidRDefault="00FE78E4" w:rsidP="00FE78E4">
      <w:pPr>
        <w:pStyle w:val="a9"/>
        <w:numPr>
          <w:ilvl w:val="0"/>
          <w:numId w:val="2"/>
        </w:numPr>
        <w:spacing w:line="360" w:lineRule="auto"/>
        <w:jc w:val="both"/>
        <w:rPr>
          <w:rFonts w:cs="David"/>
          <w:sz w:val="24"/>
          <w:szCs w:val="24"/>
        </w:rPr>
      </w:pPr>
      <w:r>
        <w:rPr>
          <w:rFonts w:cs="David" w:hint="cs"/>
          <w:sz w:val="24"/>
          <w:szCs w:val="24"/>
          <w:rtl/>
        </w:rPr>
        <w:t xml:space="preserve">קנס בסך 5000 ₪ או 30 ימי מאסר. הקנס ישולם עד ליום 1.3.18. </w:t>
      </w:r>
    </w:p>
    <w:p w14:paraId="3F3E3219" w14:textId="77777777" w:rsidR="00FE78E4" w:rsidRDefault="00FE78E4" w:rsidP="00FE78E4">
      <w:pPr>
        <w:spacing w:line="360" w:lineRule="auto"/>
        <w:ind w:left="720"/>
        <w:jc w:val="both"/>
        <w:rPr>
          <w:rtl/>
        </w:rPr>
      </w:pPr>
      <w:r>
        <w:rPr>
          <w:rFonts w:hint="cs"/>
          <w:rtl/>
        </w:rPr>
        <w:t xml:space="preserve">משגזרתי על הנאשם עונש מאסר ממש, לא ניתן להעמידו בפיקוח שירות המבחן. עם זאת, שמעתי הבטחת המטפל הפרטי כי ימשיך בטיפול בו גם לאחר ריצוי עונשו ואני תקווה שכך ייעשה. </w:t>
      </w:r>
    </w:p>
    <w:p w14:paraId="5014CFF5" w14:textId="77777777" w:rsidR="00FE78E4" w:rsidRPr="00FE78E4" w:rsidRDefault="00FE78E4" w:rsidP="00FE78E4">
      <w:pPr>
        <w:rPr>
          <w:rFonts w:cs="Arial"/>
          <w:sz w:val="22"/>
          <w:szCs w:val="22"/>
        </w:rPr>
      </w:pPr>
    </w:p>
    <w:p w14:paraId="497AD2E7" w14:textId="77777777" w:rsidR="00FE78E4" w:rsidRPr="00BD2517" w:rsidRDefault="00FE78E4" w:rsidP="00FE78E4">
      <w:pPr>
        <w:rPr>
          <w:rtl/>
        </w:rPr>
      </w:pPr>
    </w:p>
    <w:p w14:paraId="07F9CD26" w14:textId="77777777" w:rsidR="00FE78E4" w:rsidRPr="00A8388A" w:rsidRDefault="00A8388A" w:rsidP="00FE78E4">
      <w:pPr>
        <w:rPr>
          <w:color w:val="FFFFFF"/>
          <w:sz w:val="2"/>
          <w:szCs w:val="2"/>
          <w:rtl/>
        </w:rPr>
      </w:pPr>
      <w:r w:rsidRPr="00A8388A">
        <w:rPr>
          <w:color w:val="FFFFFF"/>
          <w:sz w:val="2"/>
          <w:szCs w:val="2"/>
          <w:rtl/>
        </w:rPr>
        <w:t>5129371</w:t>
      </w:r>
    </w:p>
    <w:p w14:paraId="153FED7E" w14:textId="77777777" w:rsidR="00FE78E4" w:rsidRDefault="00A8388A" w:rsidP="00FE78E4">
      <w:pPr>
        <w:rPr>
          <w:rFonts w:cs="FrankRuehl"/>
          <w:sz w:val="28"/>
          <w:szCs w:val="28"/>
          <w:rtl/>
        </w:rPr>
      </w:pPr>
      <w:r w:rsidRPr="00A8388A">
        <w:rPr>
          <w:rFonts w:ascii="Arial" w:hAnsi="Arial"/>
          <w:color w:val="FFFFFF"/>
          <w:sz w:val="2"/>
          <w:szCs w:val="2"/>
          <w:rtl/>
        </w:rPr>
        <w:t>54678313</w:t>
      </w:r>
      <w:r>
        <w:rPr>
          <w:rFonts w:ascii="Arial" w:hAnsi="Arial"/>
          <w:rtl/>
        </w:rPr>
        <w:t xml:space="preserve">ניתן היום,  כ"ד חשוון תשע"ח, 13 נובמבר 2017, במעמד הצדדים. </w:t>
      </w:r>
    </w:p>
    <w:p w14:paraId="5086C793" w14:textId="77777777" w:rsidR="00FE78E4" w:rsidRDefault="00FE78E4" w:rsidP="00FE78E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DA33335" w14:textId="77777777" w:rsidR="00FE78E4" w:rsidRDefault="00FE78E4" w:rsidP="00FE78E4">
      <w:pPr>
        <w:jc w:val="center"/>
        <w:rPr>
          <w:rFonts w:ascii="Arial" w:hAnsi="Arial" w:cs="FrankRuehl"/>
          <w:sz w:val="28"/>
          <w:szCs w:val="28"/>
          <w:rtl/>
        </w:rPr>
      </w:pPr>
    </w:p>
    <w:p w14:paraId="58F06C2B" w14:textId="77777777" w:rsidR="00FE78E4" w:rsidRDefault="00FE78E4" w:rsidP="00FE78E4">
      <w:pPr>
        <w:rPr>
          <w:rFonts w:cs="FrankRuehl"/>
          <w:sz w:val="28"/>
          <w:szCs w:val="28"/>
          <w:rtl/>
        </w:rPr>
      </w:pPr>
    </w:p>
    <w:p w14:paraId="1A728763" w14:textId="77777777" w:rsidR="00FE78E4" w:rsidRPr="0044663C" w:rsidRDefault="0044663C" w:rsidP="00FE78E4">
      <w:pPr>
        <w:pStyle w:val="a3"/>
        <w:jc w:val="center"/>
        <w:rPr>
          <w:color w:val="FFFFFF"/>
          <w:sz w:val="2"/>
          <w:szCs w:val="2"/>
          <w:rtl/>
        </w:rPr>
      </w:pPr>
      <w:r w:rsidRPr="0044663C">
        <w:rPr>
          <w:color w:val="FFFFFF"/>
          <w:sz w:val="2"/>
          <w:szCs w:val="2"/>
          <w:rtl/>
        </w:rPr>
        <w:t>5129371</w:t>
      </w:r>
    </w:p>
    <w:p w14:paraId="36C0ABAB" w14:textId="77777777" w:rsidR="002D7B2F" w:rsidRPr="0044663C" w:rsidRDefault="0044663C" w:rsidP="00A8388A">
      <w:pPr>
        <w:keepNext/>
        <w:rPr>
          <w:rFonts w:ascii="David" w:hAnsi="David"/>
          <w:color w:val="FFFFFF"/>
          <w:sz w:val="2"/>
          <w:szCs w:val="2"/>
          <w:rtl/>
        </w:rPr>
      </w:pPr>
      <w:r w:rsidRPr="0044663C">
        <w:rPr>
          <w:rFonts w:ascii="David" w:hAnsi="David"/>
          <w:color w:val="FFFFFF"/>
          <w:sz w:val="2"/>
          <w:szCs w:val="2"/>
          <w:rtl/>
        </w:rPr>
        <w:t>54678313</w:t>
      </w:r>
    </w:p>
    <w:p w14:paraId="18869CA2" w14:textId="77777777" w:rsidR="00A8388A" w:rsidRPr="00A8388A" w:rsidRDefault="00A8388A" w:rsidP="00A8388A">
      <w:pPr>
        <w:keepNext/>
        <w:rPr>
          <w:rFonts w:ascii="David" w:hAnsi="David"/>
          <w:color w:val="000000"/>
          <w:sz w:val="22"/>
          <w:szCs w:val="22"/>
          <w:rtl/>
        </w:rPr>
      </w:pPr>
      <w:r w:rsidRPr="00A8388A">
        <w:rPr>
          <w:rFonts w:ascii="David" w:hAnsi="David"/>
          <w:color w:val="000000"/>
          <w:sz w:val="22"/>
          <w:szCs w:val="22"/>
          <w:rtl/>
        </w:rPr>
        <w:t>מרב גרינברג 54678313</w:t>
      </w:r>
    </w:p>
    <w:p w14:paraId="7F33C0B3" w14:textId="77777777" w:rsidR="00A8388A" w:rsidRDefault="00A8388A" w:rsidP="00A8388A">
      <w:r w:rsidRPr="00A8388A">
        <w:rPr>
          <w:color w:val="000000"/>
          <w:rtl/>
        </w:rPr>
        <w:t>נוסח מסמך זה כפוף לשינויי ניסוח ועריכה</w:t>
      </w:r>
    </w:p>
    <w:p w14:paraId="7F7488A9" w14:textId="77777777" w:rsidR="00A8388A" w:rsidRDefault="00A8388A" w:rsidP="00A8388A">
      <w:pPr>
        <w:rPr>
          <w:rtl/>
        </w:rPr>
      </w:pPr>
    </w:p>
    <w:p w14:paraId="34ABC27E" w14:textId="77777777" w:rsidR="00A8388A" w:rsidRDefault="00A8388A" w:rsidP="00A8388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5A7571">
        <w:rPr>
          <w:rFonts w:hint="cs"/>
          <w:color w:val="0000FF"/>
          <w:u w:val="single"/>
          <w:rtl/>
        </w:rPr>
        <w:t xml:space="preserve"> </w:t>
      </w:r>
    </w:p>
    <w:p w14:paraId="3C51226E" w14:textId="77777777" w:rsidR="0044663C" w:rsidRPr="0044663C" w:rsidRDefault="0044663C" w:rsidP="0044663C">
      <w:pPr>
        <w:keepNext/>
        <w:rPr>
          <w:rFonts w:ascii="David" w:hAnsi="David"/>
          <w:color w:val="000000"/>
          <w:sz w:val="22"/>
          <w:szCs w:val="22"/>
          <w:rtl/>
        </w:rPr>
      </w:pPr>
    </w:p>
    <w:p w14:paraId="0FA2BAD1" w14:textId="77777777" w:rsidR="00A8388A" w:rsidRPr="00A8388A" w:rsidRDefault="00A8388A" w:rsidP="0044663C">
      <w:pPr>
        <w:rPr>
          <w:color w:val="0000FF"/>
          <w:u w:val="single"/>
        </w:rPr>
      </w:pPr>
    </w:p>
    <w:sectPr w:rsidR="00A8388A" w:rsidRPr="00A8388A" w:rsidSect="0044663C">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19F8" w14:textId="77777777" w:rsidR="00B65D10" w:rsidRDefault="00B65D10" w:rsidP="002E29EF">
      <w:r>
        <w:separator/>
      </w:r>
    </w:p>
  </w:endnote>
  <w:endnote w:type="continuationSeparator" w:id="0">
    <w:p w14:paraId="764D40A1" w14:textId="77777777" w:rsidR="00B65D10" w:rsidRDefault="00B65D10" w:rsidP="002E2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EA27" w14:textId="77777777" w:rsidR="00703735" w:rsidRDefault="00703735" w:rsidP="00446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E3A506" w14:textId="77777777" w:rsidR="00703735" w:rsidRPr="0044663C" w:rsidRDefault="00703735" w:rsidP="0044663C">
    <w:pPr>
      <w:pStyle w:val="a5"/>
      <w:pBdr>
        <w:top w:val="single" w:sz="4" w:space="1" w:color="auto"/>
        <w:between w:val="single" w:sz="4" w:space="0" w:color="auto"/>
      </w:pBdr>
      <w:spacing w:after="60"/>
      <w:jc w:val="center"/>
      <w:rPr>
        <w:rFonts w:ascii="FrankRuehl" w:hAnsi="FrankRuehl" w:cs="FrankRuehl"/>
        <w:color w:val="000000"/>
      </w:rPr>
    </w:pPr>
    <w:r w:rsidRPr="004466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A250" w14:textId="77777777" w:rsidR="00703735" w:rsidRDefault="00703735" w:rsidP="00446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676F">
      <w:rPr>
        <w:rFonts w:ascii="FrankRuehl" w:hAnsi="FrankRuehl" w:cs="FrankRuehl"/>
        <w:noProof/>
        <w:rtl/>
      </w:rPr>
      <w:t>1</w:t>
    </w:r>
    <w:r>
      <w:rPr>
        <w:rFonts w:ascii="FrankRuehl" w:hAnsi="FrankRuehl" w:cs="FrankRuehl"/>
        <w:rtl/>
      </w:rPr>
      <w:fldChar w:fldCharType="end"/>
    </w:r>
  </w:p>
  <w:p w14:paraId="3E48A729" w14:textId="77777777" w:rsidR="00703735" w:rsidRPr="0044663C" w:rsidRDefault="00703735" w:rsidP="0044663C">
    <w:pPr>
      <w:pStyle w:val="a5"/>
      <w:pBdr>
        <w:top w:val="single" w:sz="4" w:space="1" w:color="auto"/>
        <w:between w:val="single" w:sz="4" w:space="0" w:color="auto"/>
      </w:pBdr>
      <w:spacing w:after="60"/>
      <w:jc w:val="center"/>
      <w:rPr>
        <w:rFonts w:ascii="FrankRuehl" w:hAnsi="FrankRuehl" w:cs="FrankRuehl"/>
        <w:color w:val="000000"/>
      </w:rPr>
    </w:pPr>
    <w:r w:rsidRPr="0044663C">
      <w:rPr>
        <w:rFonts w:ascii="FrankRuehl" w:hAnsi="FrankRuehl" w:cs="FrankRuehl"/>
        <w:color w:val="000000"/>
      </w:rPr>
      <w:pict w14:anchorId="4D716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BBC2" w14:textId="77777777" w:rsidR="00B65D10" w:rsidRDefault="00B65D10" w:rsidP="002E29EF">
      <w:r>
        <w:separator/>
      </w:r>
    </w:p>
  </w:footnote>
  <w:footnote w:type="continuationSeparator" w:id="0">
    <w:p w14:paraId="3F5CFB4E" w14:textId="77777777" w:rsidR="00B65D10" w:rsidRDefault="00B65D10" w:rsidP="002E2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18E6" w14:textId="77777777" w:rsidR="00703735" w:rsidRPr="0044663C" w:rsidRDefault="00703735" w:rsidP="00446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21459-01-16</w:t>
    </w:r>
    <w:r>
      <w:rPr>
        <w:rFonts w:ascii="David" w:hAnsi="David"/>
        <w:color w:val="000000"/>
        <w:sz w:val="22"/>
        <w:szCs w:val="22"/>
        <w:rtl/>
      </w:rPr>
      <w:tab/>
      <w:t xml:space="preserve"> מדינת ישראל נ' מחמוד נאטור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3D71" w14:textId="77777777" w:rsidR="00703735" w:rsidRPr="0044663C" w:rsidRDefault="00703735" w:rsidP="00446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21459-01-16</w:t>
    </w:r>
    <w:r>
      <w:rPr>
        <w:rFonts w:ascii="David" w:hAnsi="David"/>
        <w:color w:val="000000"/>
        <w:sz w:val="22"/>
        <w:szCs w:val="22"/>
        <w:rtl/>
      </w:rPr>
      <w:tab/>
      <w:t xml:space="preserve"> מדינת ישראל נ' מחמוד נאטור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F6C25C2"/>
    <w:multiLevelType w:val="hybridMultilevel"/>
    <w:tmpl w:val="9F7A75CC"/>
    <w:lvl w:ilvl="0" w:tplc="934AED6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9596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4771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78E4"/>
    <w:rsid w:val="001465F7"/>
    <w:rsid w:val="002D7B2F"/>
    <w:rsid w:val="002E29EF"/>
    <w:rsid w:val="003F676F"/>
    <w:rsid w:val="0044663C"/>
    <w:rsid w:val="004C33F4"/>
    <w:rsid w:val="005A7571"/>
    <w:rsid w:val="00703735"/>
    <w:rsid w:val="00793F45"/>
    <w:rsid w:val="007B254D"/>
    <w:rsid w:val="00A37397"/>
    <w:rsid w:val="00A8388A"/>
    <w:rsid w:val="00B65D10"/>
    <w:rsid w:val="00BA16A0"/>
    <w:rsid w:val="00F3207D"/>
    <w:rsid w:val="00FE78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A56507"/>
  <w15:chartTrackingRefBased/>
  <w15:docId w15:val="{FDA15B32-8983-4919-B0FB-FEC5E872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78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78E4"/>
    <w:pPr>
      <w:tabs>
        <w:tab w:val="center" w:pos="4153"/>
        <w:tab w:val="right" w:pos="8306"/>
      </w:tabs>
    </w:pPr>
  </w:style>
  <w:style w:type="character" w:customStyle="1" w:styleId="a4">
    <w:name w:val="כותרת עליונה תו"/>
    <w:link w:val="a3"/>
    <w:rsid w:val="00FE78E4"/>
    <w:rPr>
      <w:rFonts w:ascii="Times New Roman" w:eastAsia="Times New Roman" w:hAnsi="Times New Roman" w:cs="David"/>
      <w:sz w:val="24"/>
      <w:szCs w:val="24"/>
    </w:rPr>
  </w:style>
  <w:style w:type="paragraph" w:styleId="a5">
    <w:name w:val="footer"/>
    <w:basedOn w:val="a"/>
    <w:link w:val="a6"/>
    <w:rsid w:val="00FE78E4"/>
    <w:pPr>
      <w:tabs>
        <w:tab w:val="center" w:pos="4153"/>
        <w:tab w:val="right" w:pos="8306"/>
      </w:tabs>
    </w:pPr>
  </w:style>
  <w:style w:type="character" w:customStyle="1" w:styleId="a6">
    <w:name w:val="כותרת תחתונה תו"/>
    <w:link w:val="a5"/>
    <w:rsid w:val="00FE78E4"/>
    <w:rPr>
      <w:rFonts w:ascii="Times New Roman" w:eastAsia="Times New Roman" w:hAnsi="Times New Roman" w:cs="David"/>
      <w:sz w:val="24"/>
      <w:szCs w:val="24"/>
    </w:rPr>
  </w:style>
  <w:style w:type="table" w:styleId="a7">
    <w:name w:val="Table Grid"/>
    <w:basedOn w:val="a1"/>
    <w:rsid w:val="00FE78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78E4"/>
  </w:style>
  <w:style w:type="paragraph" w:styleId="a9">
    <w:name w:val="List Paragraph"/>
    <w:basedOn w:val="a"/>
    <w:qFormat/>
    <w:rsid w:val="00FE78E4"/>
    <w:pPr>
      <w:spacing w:after="160" w:line="256" w:lineRule="auto"/>
      <w:ind w:left="720"/>
      <w:contextualSpacing/>
    </w:pPr>
    <w:rPr>
      <w:rFonts w:ascii="Calibri" w:eastAsia="Calibri" w:hAnsi="Calibri" w:cs="Arial"/>
      <w:sz w:val="22"/>
      <w:szCs w:val="22"/>
    </w:rPr>
  </w:style>
  <w:style w:type="character" w:styleId="Hyperlink">
    <w:name w:val="Hyperlink"/>
    <w:rsid w:val="00FE78E4"/>
    <w:rPr>
      <w:color w:val="0000FF"/>
      <w:u w:val="single"/>
    </w:rPr>
  </w:style>
  <w:style w:type="character" w:styleId="aa">
    <w:name w:val="Unresolved Mention"/>
    <w:rsid w:val="00A838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79149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881655" TargetMode="External"/><Relationship Id="rId21" Type="http://schemas.openxmlformats.org/officeDocument/2006/relationships/hyperlink" Target="http://www.nevo.co.il/case/20723375" TargetMode="External"/><Relationship Id="rId34" Type="http://schemas.openxmlformats.org/officeDocument/2006/relationships/hyperlink" Target="http://www.nevo.co.il/case/2322623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72945" TargetMode="External"/><Relationship Id="rId29"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case/5466378" TargetMode="External"/><Relationship Id="rId40" Type="http://schemas.openxmlformats.org/officeDocument/2006/relationships/hyperlink" Target="http://www.nevo.co.il/case/2065816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745111"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11269745"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7929065" TargetMode="External"/><Relationship Id="rId31" Type="http://schemas.openxmlformats.org/officeDocument/2006/relationships/hyperlink" Target="http://www.nevo.co.il/case/682495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case/20723375" TargetMode="External"/><Relationship Id="rId22" Type="http://schemas.openxmlformats.org/officeDocument/2006/relationships/hyperlink" Target="http://www.nevo.co.il/case/20844996" TargetMode="External"/><Relationship Id="rId27" Type="http://schemas.openxmlformats.org/officeDocument/2006/relationships/hyperlink" Target="http://www.nevo.co.il/law/71553" TargetMode="External"/><Relationship Id="rId30" Type="http://schemas.openxmlformats.org/officeDocument/2006/relationships/hyperlink" Target="http://www.nevo.co.il/case/5601732" TargetMode="External"/><Relationship Id="rId35" Type="http://schemas.openxmlformats.org/officeDocument/2006/relationships/hyperlink" Target="http://www.nevo.co.il/case/6824952" TargetMode="External"/><Relationship Id="rId43" Type="http://schemas.openxmlformats.org/officeDocument/2006/relationships/header" Target="header2.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5568354"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case/22240058" TargetMode="External"/><Relationship Id="rId38" Type="http://schemas.openxmlformats.org/officeDocument/2006/relationships/hyperlink" Target="http://www.nevo.co.il/case/21475135" TargetMode="External"/><Relationship Id="rId46" Type="http://schemas.openxmlformats.org/officeDocument/2006/relationships/fontTable" Target="fontTable.xml"/><Relationship Id="rId20" Type="http://schemas.openxmlformats.org/officeDocument/2006/relationships/hyperlink" Target="http://www.nevo.co.il/case/5852404"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3186</Words>
  <Characters>15930</Characters>
  <Application>Microsoft Office Word</Application>
  <DocSecurity>0</DocSecurity>
  <Lines>132</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19078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3801200</vt:i4>
      </vt:variant>
      <vt:variant>
        <vt:i4>99</vt:i4>
      </vt:variant>
      <vt:variant>
        <vt:i4>0</vt:i4>
      </vt:variant>
      <vt:variant>
        <vt:i4>5</vt:i4>
      </vt:variant>
      <vt:variant>
        <vt:lpwstr>http://www.nevo.co.il/case/20658167</vt:lpwstr>
      </vt:variant>
      <vt:variant>
        <vt:lpwstr/>
      </vt:variant>
      <vt:variant>
        <vt:i4>4063354</vt:i4>
      </vt:variant>
      <vt:variant>
        <vt:i4>96</vt:i4>
      </vt:variant>
      <vt:variant>
        <vt:i4>0</vt:i4>
      </vt:variant>
      <vt:variant>
        <vt:i4>5</vt:i4>
      </vt:variant>
      <vt:variant>
        <vt:lpwstr>http://www.nevo.co.il/case/20881655</vt:lpwstr>
      </vt:variant>
      <vt:variant>
        <vt:lpwstr/>
      </vt:variant>
      <vt:variant>
        <vt:i4>3145843</vt:i4>
      </vt:variant>
      <vt:variant>
        <vt:i4>93</vt:i4>
      </vt:variant>
      <vt:variant>
        <vt:i4>0</vt:i4>
      </vt:variant>
      <vt:variant>
        <vt:i4>5</vt:i4>
      </vt:variant>
      <vt:variant>
        <vt:lpwstr>http://www.nevo.co.il/case/21475135</vt:lpwstr>
      </vt:variant>
      <vt:variant>
        <vt:lpwstr/>
      </vt:variant>
      <vt:variant>
        <vt:i4>3670129</vt:i4>
      </vt:variant>
      <vt:variant>
        <vt:i4>90</vt:i4>
      </vt:variant>
      <vt:variant>
        <vt:i4>0</vt:i4>
      </vt:variant>
      <vt:variant>
        <vt:i4>5</vt:i4>
      </vt:variant>
      <vt:variant>
        <vt:lpwstr>http://www.nevo.co.il/case/5466378</vt:lpwstr>
      </vt:variant>
      <vt:variant>
        <vt:lpwstr/>
      </vt:variant>
      <vt:variant>
        <vt:i4>4063348</vt:i4>
      </vt:variant>
      <vt:variant>
        <vt:i4>87</vt:i4>
      </vt:variant>
      <vt:variant>
        <vt:i4>0</vt:i4>
      </vt:variant>
      <vt:variant>
        <vt:i4>5</vt:i4>
      </vt:variant>
      <vt:variant>
        <vt:lpwstr>http://www.nevo.co.il/case/11269745</vt:lpwstr>
      </vt:variant>
      <vt:variant>
        <vt:lpwstr/>
      </vt:variant>
      <vt:variant>
        <vt:i4>4128893</vt:i4>
      </vt:variant>
      <vt:variant>
        <vt:i4>84</vt:i4>
      </vt:variant>
      <vt:variant>
        <vt:i4>0</vt:i4>
      </vt:variant>
      <vt:variant>
        <vt:i4>5</vt:i4>
      </vt:variant>
      <vt:variant>
        <vt:lpwstr>http://www.nevo.co.il/case/6824952</vt:lpwstr>
      </vt:variant>
      <vt:variant>
        <vt:lpwstr/>
      </vt:variant>
      <vt:variant>
        <vt:i4>3473527</vt:i4>
      </vt:variant>
      <vt:variant>
        <vt:i4>81</vt:i4>
      </vt:variant>
      <vt:variant>
        <vt:i4>0</vt:i4>
      </vt:variant>
      <vt:variant>
        <vt:i4>5</vt:i4>
      </vt:variant>
      <vt:variant>
        <vt:lpwstr>http://www.nevo.co.il/case/23226235</vt:lpwstr>
      </vt:variant>
      <vt:variant>
        <vt:lpwstr/>
      </vt:variant>
      <vt:variant>
        <vt:i4>3473522</vt:i4>
      </vt:variant>
      <vt:variant>
        <vt:i4>78</vt:i4>
      </vt:variant>
      <vt:variant>
        <vt:i4>0</vt:i4>
      </vt:variant>
      <vt:variant>
        <vt:i4>5</vt:i4>
      </vt:variant>
      <vt:variant>
        <vt:lpwstr>http://www.nevo.co.il/case/22240058</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3145840</vt:i4>
      </vt:variant>
      <vt:variant>
        <vt:i4>69</vt:i4>
      </vt:variant>
      <vt:variant>
        <vt:i4>0</vt:i4>
      </vt:variant>
      <vt:variant>
        <vt:i4>5</vt:i4>
      </vt:variant>
      <vt:variant>
        <vt:lpwstr>http://www.nevo.co.il/case/5601732</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8257634</vt:i4>
      </vt:variant>
      <vt:variant>
        <vt:i4>60</vt:i4>
      </vt:variant>
      <vt:variant>
        <vt:i4>0</vt:i4>
      </vt:variant>
      <vt:variant>
        <vt:i4>5</vt:i4>
      </vt:variant>
      <vt:variant>
        <vt:lpwstr>http://www.nevo.co.il/law/71553</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3604601</vt:i4>
      </vt:variant>
      <vt:variant>
        <vt:i4>45</vt:i4>
      </vt:variant>
      <vt:variant>
        <vt:i4>0</vt:i4>
      </vt:variant>
      <vt:variant>
        <vt:i4>5</vt:i4>
      </vt:variant>
      <vt:variant>
        <vt:lpwstr>http://www.nevo.co.il/case/20844996</vt:lpwstr>
      </vt:variant>
      <vt:variant>
        <vt:lpwstr/>
      </vt:variant>
      <vt:variant>
        <vt:i4>3211381</vt:i4>
      </vt:variant>
      <vt:variant>
        <vt:i4>42</vt:i4>
      </vt:variant>
      <vt:variant>
        <vt:i4>0</vt:i4>
      </vt:variant>
      <vt:variant>
        <vt:i4>5</vt:i4>
      </vt:variant>
      <vt:variant>
        <vt:lpwstr>http://www.nevo.co.il/case/20723375</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3604593</vt:i4>
      </vt:variant>
      <vt:variant>
        <vt:i4>36</vt:i4>
      </vt:variant>
      <vt:variant>
        <vt:i4>0</vt:i4>
      </vt:variant>
      <vt:variant>
        <vt:i4>5</vt:i4>
      </vt:variant>
      <vt:variant>
        <vt:lpwstr>http://www.nevo.co.il/case/17929065</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3407996</vt:i4>
      </vt:variant>
      <vt:variant>
        <vt:i4>30</vt:i4>
      </vt:variant>
      <vt:variant>
        <vt:i4>0</vt:i4>
      </vt:variant>
      <vt:variant>
        <vt:i4>5</vt:i4>
      </vt:variant>
      <vt:variant>
        <vt:lpwstr>http://www.nevo.co.il/case/5568354</vt:lpwstr>
      </vt:variant>
      <vt:variant>
        <vt:lpwstr/>
      </vt:variant>
      <vt:variant>
        <vt:i4>3997810</vt:i4>
      </vt:variant>
      <vt:variant>
        <vt:i4>27</vt:i4>
      </vt:variant>
      <vt:variant>
        <vt:i4>0</vt:i4>
      </vt:variant>
      <vt:variant>
        <vt:i4>5</vt:i4>
      </vt:variant>
      <vt:variant>
        <vt:lpwstr>http://www.nevo.co.il/case/6072945</vt:lpwstr>
      </vt:variant>
      <vt:variant>
        <vt:lpwstr/>
      </vt:variant>
      <vt:variant>
        <vt:i4>3211377</vt:i4>
      </vt:variant>
      <vt:variant>
        <vt:i4>24</vt:i4>
      </vt:variant>
      <vt:variant>
        <vt:i4>0</vt:i4>
      </vt:variant>
      <vt:variant>
        <vt:i4>5</vt:i4>
      </vt:variant>
      <vt:variant>
        <vt:lpwstr>http://www.nevo.co.il/case/20745111</vt:lpwstr>
      </vt:variant>
      <vt:variant>
        <vt:lpwstr/>
      </vt:variant>
      <vt:variant>
        <vt:i4>3211381</vt:i4>
      </vt:variant>
      <vt:variant>
        <vt:i4>21</vt:i4>
      </vt:variant>
      <vt:variant>
        <vt:i4>0</vt:i4>
      </vt:variant>
      <vt:variant>
        <vt:i4>5</vt:i4>
      </vt:variant>
      <vt:variant>
        <vt:lpwstr>http://www.nevo.co.il/case/20723375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8257634</vt:i4>
      </vt:variant>
      <vt:variant>
        <vt:i4>12</vt:i4>
      </vt:variant>
      <vt:variant>
        <vt:i4>0</vt:i4>
      </vt:variant>
      <vt:variant>
        <vt:i4>5</vt:i4>
      </vt:variant>
      <vt:variant>
        <vt:lpwstr>http://www.nevo.co.il/law/71553</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21459</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נאטור;נוהאיה נאטור </vt:lpwstr>
  </property>
  <property fmtid="{D5CDD505-2E9C-101B-9397-08002B2CF9AE}" pid="10" name="LAWYER">
    <vt:lpwstr>פאדי אסעד;שרמן;ירום הלוי;שאדי נאטור</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20171113</vt:lpwstr>
  </property>
  <property fmtid="{D5CDD505-2E9C-101B-9397-08002B2CF9AE}" pid="14" name="TYPE_N_DATE">
    <vt:lpwstr>38020171113</vt:lpwstr>
  </property>
  <property fmtid="{D5CDD505-2E9C-101B-9397-08002B2CF9AE}" pid="15" name="WORDNUMPAGES">
    <vt:lpwstr>10</vt:lpwstr>
  </property>
  <property fmtid="{D5CDD505-2E9C-101B-9397-08002B2CF9AE}" pid="16" name="TYPE_ABS_DATE">
    <vt:lpwstr>380020171113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20723375:2;20745111;6072945;5568354;7791493;17929065;5852404;20844996;5601732;6824952:2;22240058;23226235;11269745;5466378;21475135;20881655;20658167</vt:lpwstr>
  </property>
  <property fmtid="{D5CDD505-2E9C-101B-9397-08002B2CF9AE}" pid="36" name="LAWLISTTMP1">
    <vt:lpwstr>70301/144.a;040d.a:3;040d:2</vt:lpwstr>
  </property>
  <property fmtid="{D5CDD505-2E9C-101B-9397-08002B2CF9AE}" pid="37" name="LAWLISTTMP2">
    <vt:lpwstr>71553</vt:lpwstr>
  </property>
</Properties>
</file>