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260F9C" w:rsidRPr="0060630D" w14:paraId="0677345B" w14:textId="77777777" w:rsidTr="00E319EA">
        <w:trPr>
          <w:trHeight w:hRule="exact" w:val="704"/>
          <w:jc w:val="center"/>
        </w:trPr>
        <w:tc>
          <w:tcPr>
            <w:tcW w:w="8721" w:type="dxa"/>
            <w:gridSpan w:val="2"/>
          </w:tcPr>
          <w:p w14:paraId="679ADB1B" w14:textId="77777777" w:rsidR="00260F9C" w:rsidRPr="0060630D" w:rsidRDefault="00260F9C" w:rsidP="00E319EA">
            <w:pPr>
              <w:pStyle w:val="a3"/>
              <w:jc w:val="center"/>
              <w:rPr>
                <w:rFonts w:ascii="Tahoma" w:hAnsi="Tahoma" w:cs="Tahoma"/>
                <w:b/>
                <w:bCs/>
                <w:color w:val="000080"/>
                <w:rtl/>
              </w:rPr>
            </w:pPr>
            <w:bookmarkStart w:id="0" w:name="FirstLawyer"/>
            <w:bookmarkStart w:id="1" w:name="LastJudge"/>
            <w:r w:rsidRPr="0060630D">
              <w:rPr>
                <w:rFonts w:ascii="Tahoma" w:hAnsi="Tahoma" w:cs="Tahoma"/>
                <w:b/>
                <w:bCs/>
                <w:color w:val="000080"/>
                <w:rtl/>
              </w:rPr>
              <w:t>בית משפט השלום בבאר שבע</w:t>
            </w:r>
          </w:p>
          <w:p w14:paraId="3AD48821" w14:textId="77777777" w:rsidR="00260F9C" w:rsidRPr="0060630D" w:rsidRDefault="00260F9C" w:rsidP="00E319EA">
            <w:pPr>
              <w:pStyle w:val="a3"/>
              <w:jc w:val="center"/>
              <w:rPr>
                <w:rFonts w:ascii="Tahoma" w:hAnsi="Tahoma" w:cs="Tahoma"/>
                <w:color w:val="000080"/>
                <w:rtl/>
              </w:rPr>
            </w:pPr>
          </w:p>
        </w:tc>
      </w:tr>
      <w:tr w:rsidR="00260F9C" w:rsidRPr="0060630D" w14:paraId="5065CE5C" w14:textId="77777777" w:rsidTr="00E319EA">
        <w:trPr>
          <w:trHeight w:val="337"/>
          <w:jc w:val="center"/>
        </w:trPr>
        <w:tc>
          <w:tcPr>
            <w:tcW w:w="4473" w:type="dxa"/>
          </w:tcPr>
          <w:p w14:paraId="26203CC9" w14:textId="77777777" w:rsidR="00260F9C" w:rsidRPr="0060630D" w:rsidRDefault="00260F9C" w:rsidP="00E319EA">
            <w:pPr>
              <w:rPr>
                <w:b/>
                <w:bCs/>
                <w:sz w:val="26"/>
                <w:szCs w:val="26"/>
                <w:rtl/>
              </w:rPr>
            </w:pPr>
          </w:p>
        </w:tc>
        <w:tc>
          <w:tcPr>
            <w:tcW w:w="4248" w:type="dxa"/>
          </w:tcPr>
          <w:p w14:paraId="3DC8A790" w14:textId="77777777" w:rsidR="00260F9C" w:rsidRPr="0060630D" w:rsidRDefault="00260F9C" w:rsidP="00E319EA">
            <w:pPr>
              <w:pStyle w:val="a3"/>
              <w:jc w:val="right"/>
              <w:rPr>
                <w:b/>
                <w:bCs/>
                <w:sz w:val="26"/>
                <w:szCs w:val="26"/>
                <w:rtl/>
              </w:rPr>
            </w:pPr>
            <w:r w:rsidRPr="0060630D">
              <w:rPr>
                <w:rFonts w:hint="cs"/>
                <w:b/>
                <w:bCs/>
                <w:sz w:val="26"/>
                <w:szCs w:val="26"/>
                <w:rtl/>
              </w:rPr>
              <w:t>ו' טבת תשע"ח</w:t>
            </w:r>
          </w:p>
          <w:p w14:paraId="55D11029" w14:textId="77777777" w:rsidR="00260F9C" w:rsidRPr="0060630D" w:rsidRDefault="00260F9C" w:rsidP="00E319EA">
            <w:pPr>
              <w:pStyle w:val="a3"/>
              <w:jc w:val="right"/>
              <w:rPr>
                <w:b/>
                <w:bCs/>
                <w:sz w:val="26"/>
                <w:szCs w:val="26"/>
                <w:rtl/>
              </w:rPr>
            </w:pPr>
            <w:r w:rsidRPr="0060630D">
              <w:rPr>
                <w:rFonts w:hint="cs"/>
                <w:b/>
                <w:bCs/>
                <w:sz w:val="26"/>
                <w:szCs w:val="26"/>
                <w:rtl/>
              </w:rPr>
              <w:t>24 דצמבר 2017</w:t>
            </w:r>
          </w:p>
        </w:tc>
      </w:tr>
      <w:tr w:rsidR="00260F9C" w:rsidRPr="0060630D" w14:paraId="6DFB8556" w14:textId="77777777" w:rsidTr="00E319EA">
        <w:trPr>
          <w:trHeight w:val="337"/>
          <w:jc w:val="center"/>
        </w:trPr>
        <w:tc>
          <w:tcPr>
            <w:tcW w:w="8721" w:type="dxa"/>
            <w:gridSpan w:val="2"/>
          </w:tcPr>
          <w:p w14:paraId="6CAA749D" w14:textId="77777777" w:rsidR="00260F9C" w:rsidRPr="0060630D" w:rsidRDefault="0060630D" w:rsidP="00E319EA">
            <w:pPr>
              <w:rPr>
                <w:b/>
                <w:bCs/>
                <w:sz w:val="26"/>
                <w:szCs w:val="26"/>
                <w:rtl/>
              </w:rPr>
            </w:pPr>
            <w:hyperlink r:id="rId7" w:history="1">
              <w:r w:rsidRPr="0060630D">
                <w:rPr>
                  <w:b/>
                  <w:bCs/>
                  <w:color w:val="0000FF"/>
                  <w:sz w:val="26"/>
                  <w:szCs w:val="26"/>
                  <w:u w:val="single"/>
                  <w:rtl/>
                </w:rPr>
                <w:t>ת"פ 30406-04-16</w:t>
              </w:r>
            </w:hyperlink>
            <w:r w:rsidR="00260F9C" w:rsidRPr="0060630D">
              <w:rPr>
                <w:b/>
                <w:bCs/>
                <w:sz w:val="26"/>
                <w:szCs w:val="26"/>
                <w:rtl/>
              </w:rPr>
              <w:t xml:space="preserve"> מדינת ישראל נ' אבו עמאר</w:t>
            </w:r>
          </w:p>
          <w:p w14:paraId="62489907" w14:textId="77777777" w:rsidR="00260F9C" w:rsidRPr="0060630D" w:rsidRDefault="00260F9C" w:rsidP="00E319EA">
            <w:pPr>
              <w:rPr>
                <w:rtl/>
              </w:rPr>
            </w:pPr>
          </w:p>
          <w:p w14:paraId="16239443" w14:textId="77777777" w:rsidR="00260F9C" w:rsidRPr="0060630D" w:rsidRDefault="00260F9C" w:rsidP="00E319EA">
            <w:pPr>
              <w:rPr>
                <w:rtl/>
              </w:rPr>
            </w:pPr>
            <w:r w:rsidRPr="0060630D">
              <w:rPr>
                <w:rFonts w:hint="cs"/>
                <w:sz w:val="20"/>
                <w:szCs w:val="20"/>
                <w:rtl/>
              </w:rPr>
              <w:t>תיק חיצוני</w:t>
            </w:r>
            <w:r w:rsidRPr="0060630D">
              <w:rPr>
                <w:rFonts w:hint="cs"/>
                <w:rtl/>
              </w:rPr>
              <w:t xml:space="preserve">: </w:t>
            </w:r>
            <w:r w:rsidRPr="0060630D">
              <w:rPr>
                <w:sz w:val="20"/>
                <w:szCs w:val="20"/>
              </w:rPr>
              <w:t>148494/2016</w:t>
            </w:r>
          </w:p>
        </w:tc>
      </w:tr>
    </w:tbl>
    <w:p w14:paraId="65371A84" w14:textId="77777777" w:rsidR="00260F9C" w:rsidRPr="0060630D" w:rsidRDefault="00260F9C" w:rsidP="00260F9C">
      <w:pPr>
        <w:pStyle w:val="a3"/>
        <w:rPr>
          <w:rtl/>
        </w:rPr>
      </w:pPr>
      <w:r w:rsidRPr="0060630D">
        <w:rPr>
          <w:rtl/>
        </w:rPr>
        <w:t xml:space="preserve"> </w:t>
      </w:r>
    </w:p>
    <w:p w14:paraId="0E0137E9" w14:textId="77777777" w:rsidR="00260F9C" w:rsidRPr="0060630D" w:rsidRDefault="00260F9C" w:rsidP="00260F9C">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260F9C" w:rsidRPr="0060630D" w14:paraId="5FE1A46F" w14:textId="77777777" w:rsidTr="00260F9C">
        <w:trPr>
          <w:jc w:val="center"/>
        </w:trPr>
        <w:tc>
          <w:tcPr>
            <w:tcW w:w="743" w:type="dxa"/>
            <w:shd w:val="clear" w:color="auto" w:fill="auto"/>
          </w:tcPr>
          <w:p w14:paraId="5FCAA615" w14:textId="77777777" w:rsidR="00260F9C" w:rsidRPr="0060630D" w:rsidRDefault="00260F9C" w:rsidP="00260F9C">
            <w:pPr>
              <w:jc w:val="both"/>
              <w:rPr>
                <w:rFonts w:ascii="Arial" w:hAnsi="Arial"/>
                <w:b/>
                <w:bCs/>
              </w:rPr>
            </w:pPr>
            <w:r w:rsidRPr="0060630D">
              <w:rPr>
                <w:rFonts w:ascii="Arial" w:hAnsi="Arial" w:hint="cs"/>
                <w:b/>
                <w:bCs/>
                <w:rtl/>
              </w:rPr>
              <w:t>לפני</w:t>
            </w:r>
          </w:p>
        </w:tc>
        <w:tc>
          <w:tcPr>
            <w:tcW w:w="8077" w:type="dxa"/>
            <w:gridSpan w:val="2"/>
            <w:shd w:val="clear" w:color="auto" w:fill="auto"/>
          </w:tcPr>
          <w:p w14:paraId="7C52558F" w14:textId="77777777" w:rsidR="00260F9C" w:rsidRPr="0060630D" w:rsidRDefault="00260F9C" w:rsidP="00E319EA">
            <w:pPr>
              <w:rPr>
                <w:rFonts w:ascii="Arial" w:hAnsi="Arial"/>
                <w:b/>
                <w:bCs/>
                <w:rtl/>
              </w:rPr>
            </w:pPr>
            <w:r w:rsidRPr="0060630D">
              <w:rPr>
                <w:rFonts w:ascii="Arial" w:hAnsi="Arial" w:hint="cs"/>
                <w:b/>
                <w:bCs/>
                <w:rtl/>
              </w:rPr>
              <w:t>כב' ה</w:t>
            </w:r>
            <w:r w:rsidRPr="0060630D">
              <w:rPr>
                <w:rFonts w:ascii="Arial" w:hAnsi="Arial"/>
                <w:b/>
                <w:bCs/>
                <w:rtl/>
              </w:rPr>
              <w:t>שופט</w:t>
            </w:r>
            <w:r w:rsidRPr="0060630D">
              <w:rPr>
                <w:rFonts w:ascii="Arial" w:hAnsi="Arial" w:hint="cs"/>
                <w:b/>
                <w:bCs/>
                <w:rtl/>
              </w:rPr>
              <w:t xml:space="preserve">  </w:t>
            </w:r>
            <w:r w:rsidRPr="0060630D">
              <w:rPr>
                <w:rFonts w:ascii="Arial" w:hAnsi="Arial"/>
                <w:b/>
                <w:bCs/>
                <w:rtl/>
              </w:rPr>
              <w:t>רון סולקין</w:t>
            </w:r>
          </w:p>
          <w:p w14:paraId="7DA9384C" w14:textId="77777777" w:rsidR="00260F9C" w:rsidRPr="0060630D" w:rsidRDefault="00260F9C" w:rsidP="00E319EA">
            <w:pPr>
              <w:rPr>
                <w:rFonts w:ascii="Arial" w:hAnsi="Arial" w:cs="FrankRuehl"/>
                <w:sz w:val="28"/>
                <w:szCs w:val="28"/>
                <w:highlight w:val="yellow"/>
              </w:rPr>
            </w:pPr>
          </w:p>
        </w:tc>
      </w:tr>
      <w:tr w:rsidR="00260F9C" w:rsidRPr="0060630D" w14:paraId="052FB4E9" w14:textId="77777777" w:rsidTr="00260F9C">
        <w:trPr>
          <w:jc w:val="center"/>
        </w:trPr>
        <w:tc>
          <w:tcPr>
            <w:tcW w:w="3249" w:type="dxa"/>
            <w:gridSpan w:val="2"/>
            <w:shd w:val="clear" w:color="auto" w:fill="auto"/>
          </w:tcPr>
          <w:p w14:paraId="6E6E14A8" w14:textId="77777777" w:rsidR="00260F9C" w:rsidRPr="0060630D" w:rsidRDefault="00260F9C" w:rsidP="00260F9C">
            <w:pPr>
              <w:bidi w:val="0"/>
              <w:jc w:val="right"/>
              <w:rPr>
                <w:rFonts w:ascii="Arial" w:hAnsi="Arial"/>
                <w:b/>
                <w:bCs/>
                <w:sz w:val="26"/>
                <w:szCs w:val="26"/>
              </w:rPr>
            </w:pPr>
            <w:bookmarkStart w:id="2" w:name="FirstAppellant"/>
          </w:p>
          <w:p w14:paraId="101B652C" w14:textId="77777777" w:rsidR="00260F9C" w:rsidRPr="0060630D" w:rsidRDefault="00260F9C" w:rsidP="00260F9C">
            <w:pPr>
              <w:bidi w:val="0"/>
              <w:jc w:val="right"/>
              <w:rPr>
                <w:rFonts w:ascii="Arial" w:hAnsi="Arial"/>
                <w:b/>
                <w:bCs/>
                <w:sz w:val="26"/>
                <w:szCs w:val="26"/>
                <w:rtl/>
              </w:rPr>
            </w:pPr>
            <w:r w:rsidRPr="0060630D">
              <w:rPr>
                <w:rFonts w:ascii="Arial" w:hAnsi="Arial" w:hint="cs"/>
                <w:b/>
                <w:bCs/>
                <w:sz w:val="26"/>
                <w:szCs w:val="26"/>
                <w:rtl/>
              </w:rPr>
              <w:t>המאשימה</w:t>
            </w:r>
          </w:p>
        </w:tc>
        <w:tc>
          <w:tcPr>
            <w:tcW w:w="5571" w:type="dxa"/>
            <w:shd w:val="clear" w:color="auto" w:fill="auto"/>
          </w:tcPr>
          <w:p w14:paraId="06051172" w14:textId="77777777" w:rsidR="00260F9C" w:rsidRPr="0060630D" w:rsidRDefault="00260F9C" w:rsidP="00E319EA">
            <w:pPr>
              <w:rPr>
                <w:rFonts w:ascii="Arial" w:hAnsi="Arial"/>
                <w:b/>
                <w:bCs/>
                <w:sz w:val="26"/>
                <w:szCs w:val="26"/>
                <w:rtl/>
              </w:rPr>
            </w:pPr>
          </w:p>
          <w:p w14:paraId="0B7AE855" w14:textId="77777777" w:rsidR="00260F9C" w:rsidRPr="0060630D" w:rsidRDefault="00260F9C" w:rsidP="00E319EA">
            <w:pPr>
              <w:rPr>
                <w:b/>
                <w:bCs/>
                <w:sz w:val="26"/>
                <w:szCs w:val="26"/>
              </w:rPr>
            </w:pPr>
            <w:r w:rsidRPr="0060630D">
              <w:rPr>
                <w:rFonts w:ascii="Arial" w:hAnsi="Arial"/>
                <w:b/>
                <w:bCs/>
                <w:sz w:val="26"/>
                <w:szCs w:val="26"/>
                <w:rtl/>
              </w:rPr>
              <w:t>מדינת ישראל</w:t>
            </w:r>
            <w:r w:rsidRPr="0060630D">
              <w:rPr>
                <w:b/>
                <w:bCs/>
                <w:rtl/>
              </w:rPr>
              <w:t xml:space="preserve"> – פמ"</w:t>
            </w:r>
            <w:r w:rsidRPr="0060630D">
              <w:rPr>
                <w:rFonts w:hint="cs"/>
                <w:b/>
                <w:bCs/>
                <w:rtl/>
              </w:rPr>
              <w:t>ד</w:t>
            </w:r>
            <w:r w:rsidRPr="0060630D">
              <w:rPr>
                <w:b/>
                <w:bCs/>
                <w:rtl/>
              </w:rPr>
              <w:br/>
            </w:r>
            <w:r w:rsidRPr="0060630D">
              <w:rPr>
                <w:rFonts w:hint="cs"/>
                <w:b/>
                <w:bCs/>
                <w:rtl/>
              </w:rPr>
              <w:t>ע"י ב"כ מתמחה דניאל מור</w:t>
            </w:r>
          </w:p>
        </w:tc>
      </w:tr>
      <w:bookmarkEnd w:id="2"/>
      <w:tr w:rsidR="00260F9C" w:rsidRPr="0060630D" w14:paraId="1F6FBB05" w14:textId="77777777" w:rsidTr="00260F9C">
        <w:trPr>
          <w:jc w:val="center"/>
        </w:trPr>
        <w:tc>
          <w:tcPr>
            <w:tcW w:w="8820" w:type="dxa"/>
            <w:gridSpan w:val="3"/>
            <w:shd w:val="clear" w:color="auto" w:fill="auto"/>
          </w:tcPr>
          <w:p w14:paraId="123C12AF" w14:textId="77777777" w:rsidR="00260F9C" w:rsidRPr="0060630D" w:rsidRDefault="00260F9C" w:rsidP="00E319EA">
            <w:pPr>
              <w:rPr>
                <w:rFonts w:ascii="Arial" w:hAnsi="Arial"/>
                <w:b/>
                <w:bCs/>
                <w:sz w:val="26"/>
                <w:szCs w:val="26"/>
                <w:rtl/>
              </w:rPr>
            </w:pPr>
          </w:p>
          <w:p w14:paraId="25A5745B" w14:textId="77777777" w:rsidR="00260F9C" w:rsidRPr="0060630D" w:rsidRDefault="00260F9C" w:rsidP="00260F9C">
            <w:pPr>
              <w:jc w:val="center"/>
              <w:rPr>
                <w:rFonts w:ascii="Arial" w:hAnsi="Arial"/>
                <w:b/>
                <w:bCs/>
                <w:sz w:val="26"/>
                <w:szCs w:val="26"/>
                <w:rtl/>
              </w:rPr>
            </w:pPr>
            <w:r w:rsidRPr="0060630D">
              <w:rPr>
                <w:rFonts w:ascii="Arial" w:hAnsi="Arial"/>
                <w:b/>
                <w:bCs/>
                <w:sz w:val="26"/>
                <w:szCs w:val="26"/>
                <w:rtl/>
              </w:rPr>
              <w:t>נגד</w:t>
            </w:r>
          </w:p>
          <w:p w14:paraId="576D840D" w14:textId="77777777" w:rsidR="00260F9C" w:rsidRPr="0060630D" w:rsidRDefault="00260F9C" w:rsidP="00E319EA">
            <w:pPr>
              <w:rPr>
                <w:rFonts w:ascii="Arial" w:hAnsi="Arial"/>
                <w:b/>
                <w:bCs/>
                <w:sz w:val="26"/>
                <w:szCs w:val="26"/>
              </w:rPr>
            </w:pPr>
          </w:p>
        </w:tc>
      </w:tr>
      <w:tr w:rsidR="00260F9C" w:rsidRPr="0060630D" w14:paraId="0D8BA33E" w14:textId="77777777" w:rsidTr="00260F9C">
        <w:trPr>
          <w:jc w:val="center"/>
        </w:trPr>
        <w:tc>
          <w:tcPr>
            <w:tcW w:w="3249" w:type="dxa"/>
            <w:gridSpan w:val="2"/>
            <w:shd w:val="clear" w:color="auto" w:fill="auto"/>
          </w:tcPr>
          <w:p w14:paraId="1C666F8F" w14:textId="77777777" w:rsidR="00260F9C" w:rsidRPr="0060630D" w:rsidRDefault="00260F9C" w:rsidP="00E319EA">
            <w:pPr>
              <w:rPr>
                <w:rFonts w:ascii="Arial" w:hAnsi="Arial"/>
                <w:b/>
                <w:bCs/>
                <w:sz w:val="26"/>
                <w:szCs w:val="26"/>
                <w:rtl/>
              </w:rPr>
            </w:pPr>
          </w:p>
          <w:p w14:paraId="20D27208" w14:textId="77777777" w:rsidR="00260F9C" w:rsidRPr="0060630D" w:rsidRDefault="00260F9C" w:rsidP="00E319EA">
            <w:pPr>
              <w:rPr>
                <w:rFonts w:ascii="Arial" w:hAnsi="Arial"/>
                <w:b/>
                <w:bCs/>
                <w:sz w:val="26"/>
                <w:szCs w:val="26"/>
              </w:rPr>
            </w:pPr>
            <w:r w:rsidRPr="0060630D">
              <w:rPr>
                <w:rFonts w:ascii="Arial" w:hAnsi="Arial" w:hint="cs"/>
                <w:b/>
                <w:bCs/>
                <w:sz w:val="26"/>
                <w:szCs w:val="26"/>
                <w:rtl/>
              </w:rPr>
              <w:t>הנאשם</w:t>
            </w:r>
          </w:p>
        </w:tc>
        <w:tc>
          <w:tcPr>
            <w:tcW w:w="5571" w:type="dxa"/>
            <w:shd w:val="clear" w:color="auto" w:fill="auto"/>
          </w:tcPr>
          <w:p w14:paraId="446D4F68" w14:textId="77777777" w:rsidR="00260F9C" w:rsidRPr="0060630D" w:rsidRDefault="00260F9C" w:rsidP="00E319EA">
            <w:pPr>
              <w:rPr>
                <w:rFonts w:ascii="Arial" w:hAnsi="Arial"/>
                <w:b/>
                <w:bCs/>
                <w:sz w:val="26"/>
                <w:szCs w:val="26"/>
                <w:rtl/>
              </w:rPr>
            </w:pPr>
          </w:p>
          <w:p w14:paraId="308C32F5" w14:textId="77777777" w:rsidR="00260F9C" w:rsidRPr="0060630D" w:rsidRDefault="00260F9C" w:rsidP="00E319EA">
            <w:pPr>
              <w:rPr>
                <w:b/>
                <w:bCs/>
                <w:sz w:val="26"/>
                <w:szCs w:val="26"/>
                <w:rtl/>
              </w:rPr>
            </w:pPr>
            <w:r w:rsidRPr="0060630D">
              <w:rPr>
                <w:rFonts w:ascii="Arial" w:hAnsi="Arial"/>
                <w:b/>
                <w:bCs/>
                <w:sz w:val="26"/>
                <w:szCs w:val="26"/>
                <w:rtl/>
              </w:rPr>
              <w:t xml:space="preserve">זוהיר </w:t>
            </w:r>
            <w:r w:rsidRPr="0060630D">
              <w:rPr>
                <w:rFonts w:ascii="Arial" w:hAnsi="Arial" w:hint="cs"/>
                <w:b/>
                <w:bCs/>
                <w:sz w:val="26"/>
                <w:szCs w:val="26"/>
                <w:rtl/>
              </w:rPr>
              <w:t xml:space="preserve">בן חמאד </w:t>
            </w:r>
            <w:r w:rsidRPr="0060630D">
              <w:rPr>
                <w:rFonts w:ascii="Arial" w:hAnsi="Arial"/>
                <w:b/>
                <w:bCs/>
                <w:sz w:val="26"/>
                <w:szCs w:val="26"/>
                <w:rtl/>
              </w:rPr>
              <w:t>אבו עמאר</w:t>
            </w:r>
            <w:r w:rsidRPr="0060630D">
              <w:rPr>
                <w:rFonts w:ascii="Arial" w:hAnsi="Arial"/>
                <w:b/>
                <w:bCs/>
                <w:sz w:val="26"/>
                <w:szCs w:val="26"/>
                <w:rtl/>
              </w:rPr>
              <w:br/>
            </w:r>
            <w:r w:rsidRPr="0060630D">
              <w:rPr>
                <w:rFonts w:hint="cs"/>
                <w:rtl/>
              </w:rPr>
              <w:t>ע"י ב"כ עו"ד נאצר אלעטאונה</w:t>
            </w:r>
          </w:p>
        </w:tc>
      </w:tr>
    </w:tbl>
    <w:p w14:paraId="41024AE1" w14:textId="77777777" w:rsidR="00BA09D5" w:rsidRDefault="00BA09D5" w:rsidP="00260F9C">
      <w:pPr>
        <w:suppressLineNumbers/>
        <w:rPr>
          <w:rtl/>
        </w:rPr>
      </w:pPr>
      <w:bookmarkStart w:id="3" w:name="LawTable"/>
      <w:bookmarkEnd w:id="3"/>
    </w:p>
    <w:p w14:paraId="0FFF6CE9" w14:textId="77777777" w:rsidR="00BA09D5" w:rsidRPr="00BA09D5" w:rsidRDefault="00BA09D5" w:rsidP="00BA09D5">
      <w:pPr>
        <w:suppressLineNumbers/>
        <w:spacing w:after="120" w:line="240" w:lineRule="exact"/>
        <w:ind w:left="283" w:hanging="283"/>
        <w:jc w:val="both"/>
        <w:rPr>
          <w:rFonts w:ascii="FrankRuehl" w:hAnsi="FrankRuehl" w:cs="FrankRuehl"/>
          <w:rtl/>
        </w:rPr>
      </w:pPr>
    </w:p>
    <w:p w14:paraId="5501F1F2" w14:textId="77777777" w:rsidR="00BA09D5" w:rsidRPr="00BA09D5" w:rsidRDefault="00BA09D5" w:rsidP="00BA09D5">
      <w:pPr>
        <w:suppressLineNumbers/>
        <w:spacing w:after="120" w:line="240" w:lineRule="exact"/>
        <w:ind w:left="283" w:hanging="283"/>
        <w:jc w:val="both"/>
        <w:rPr>
          <w:rFonts w:ascii="FrankRuehl" w:hAnsi="FrankRuehl" w:cs="FrankRuehl"/>
          <w:rtl/>
        </w:rPr>
      </w:pPr>
      <w:r w:rsidRPr="00BA09D5">
        <w:rPr>
          <w:rFonts w:ascii="FrankRuehl" w:hAnsi="FrankRuehl" w:cs="FrankRuehl"/>
          <w:rtl/>
        </w:rPr>
        <w:t xml:space="preserve">חקיקה שאוזכרה: </w:t>
      </w:r>
    </w:p>
    <w:p w14:paraId="46ABBFCF" w14:textId="77777777" w:rsidR="00BA09D5" w:rsidRPr="00BA09D5" w:rsidRDefault="00BA09D5" w:rsidP="00BA09D5">
      <w:pPr>
        <w:suppressLineNumbers/>
        <w:spacing w:after="120" w:line="240" w:lineRule="exact"/>
        <w:ind w:left="283" w:hanging="283"/>
        <w:jc w:val="both"/>
        <w:rPr>
          <w:rFonts w:ascii="FrankRuehl" w:hAnsi="FrankRuehl" w:cs="FrankRuehl"/>
          <w:rtl/>
        </w:rPr>
      </w:pPr>
      <w:hyperlink r:id="rId8" w:history="1">
        <w:r w:rsidRPr="00BA09D5">
          <w:rPr>
            <w:rFonts w:ascii="FrankRuehl" w:hAnsi="FrankRuehl" w:cs="FrankRuehl"/>
            <w:color w:val="0000FF"/>
            <w:u w:val="single"/>
            <w:rtl/>
          </w:rPr>
          <w:t>חוק העונשין, תשל"ז-1977</w:t>
        </w:r>
      </w:hyperlink>
      <w:r w:rsidRPr="00BA09D5">
        <w:rPr>
          <w:rFonts w:ascii="FrankRuehl" w:hAnsi="FrankRuehl" w:cs="FrankRuehl"/>
          <w:rtl/>
        </w:rPr>
        <w:t xml:space="preserve">: סע'  </w:t>
      </w:r>
      <w:hyperlink r:id="rId9" w:history="1">
        <w:r w:rsidRPr="00BA09D5">
          <w:rPr>
            <w:rFonts w:ascii="FrankRuehl" w:hAnsi="FrankRuehl" w:cs="FrankRuehl"/>
            <w:color w:val="0000FF"/>
            <w:u w:val="single"/>
            <w:rtl/>
          </w:rPr>
          <w:t>144(א)</w:t>
        </w:r>
      </w:hyperlink>
      <w:r w:rsidRPr="00BA09D5">
        <w:rPr>
          <w:rFonts w:ascii="FrankRuehl" w:hAnsi="FrankRuehl" w:cs="FrankRuehl"/>
          <w:rtl/>
        </w:rPr>
        <w:t xml:space="preserve">, </w:t>
      </w:r>
      <w:hyperlink r:id="rId10" w:history="1">
        <w:r w:rsidRPr="00BA09D5">
          <w:rPr>
            <w:rFonts w:ascii="FrankRuehl" w:hAnsi="FrankRuehl" w:cs="FrankRuehl"/>
            <w:color w:val="0000FF"/>
            <w:u w:val="single"/>
            <w:rtl/>
          </w:rPr>
          <w:t>144(ב)</w:t>
        </w:r>
      </w:hyperlink>
      <w:r w:rsidRPr="00BA09D5">
        <w:rPr>
          <w:rFonts w:ascii="FrankRuehl" w:hAnsi="FrankRuehl" w:cs="FrankRuehl"/>
          <w:rtl/>
        </w:rPr>
        <w:t xml:space="preserve">, </w:t>
      </w:r>
      <w:hyperlink r:id="rId11" w:history="1">
        <w:r w:rsidRPr="00BA09D5">
          <w:rPr>
            <w:rFonts w:ascii="FrankRuehl" w:hAnsi="FrankRuehl" w:cs="FrankRuehl"/>
            <w:color w:val="0000FF"/>
            <w:u w:val="single"/>
            <w:rtl/>
          </w:rPr>
          <w:t>186</w:t>
        </w:r>
      </w:hyperlink>
      <w:r w:rsidRPr="00BA09D5">
        <w:rPr>
          <w:rFonts w:ascii="FrankRuehl" w:hAnsi="FrankRuehl" w:cs="FrankRuehl"/>
          <w:rtl/>
        </w:rPr>
        <w:t xml:space="preserve">, </w:t>
      </w:r>
      <w:hyperlink r:id="rId12" w:history="1">
        <w:r w:rsidRPr="00BA09D5">
          <w:rPr>
            <w:rFonts w:ascii="FrankRuehl" w:hAnsi="FrankRuehl" w:cs="FrankRuehl"/>
            <w:color w:val="0000FF"/>
            <w:u w:val="single"/>
            <w:rtl/>
          </w:rPr>
          <w:t>פרק ח'  א'</w:t>
        </w:r>
      </w:hyperlink>
    </w:p>
    <w:p w14:paraId="45EA3B72" w14:textId="77777777" w:rsidR="00BA09D5" w:rsidRPr="00BA09D5" w:rsidRDefault="00BA09D5" w:rsidP="00BA09D5">
      <w:pPr>
        <w:suppressLineNumbers/>
        <w:spacing w:after="120" w:line="240" w:lineRule="exact"/>
        <w:ind w:left="283" w:hanging="283"/>
        <w:jc w:val="both"/>
        <w:rPr>
          <w:rFonts w:ascii="FrankRuehl" w:hAnsi="FrankRuehl" w:cs="FrankRuehl"/>
          <w:rtl/>
        </w:rPr>
      </w:pPr>
    </w:p>
    <w:p w14:paraId="45F756AF" w14:textId="77777777" w:rsidR="00260F9C" w:rsidRPr="00BA09D5" w:rsidRDefault="00260F9C" w:rsidP="00260F9C">
      <w:pPr>
        <w:suppressLineNumbers/>
      </w:pPr>
      <w:bookmarkStart w:id="4" w:name="LawTable_End"/>
      <w:bookmarkEnd w:id="4"/>
    </w:p>
    <w:p w14:paraId="3CC56259" w14:textId="77777777" w:rsidR="0060630D" w:rsidRPr="0060630D" w:rsidRDefault="0060630D" w:rsidP="00260F9C">
      <w:pPr>
        <w:suppressLineNumbers/>
        <w:rPr>
          <w:rtl/>
        </w:rPr>
      </w:pPr>
    </w:p>
    <w:p w14:paraId="7B5AC3F3" w14:textId="77777777" w:rsidR="0060630D" w:rsidRPr="0060630D" w:rsidRDefault="0060630D" w:rsidP="00260F9C">
      <w:pPr>
        <w:suppressLineNumbers/>
        <w:rPr>
          <w:rtl/>
        </w:rPr>
      </w:pPr>
    </w:p>
    <w:p w14:paraId="641C3663" w14:textId="77777777" w:rsidR="00260F9C" w:rsidRPr="0060630D" w:rsidRDefault="00260F9C" w:rsidP="00260F9C">
      <w:pPr>
        <w:suppressLineNumbers/>
      </w:pPr>
    </w:p>
    <w:tbl>
      <w:tblPr>
        <w:bidiVisual/>
        <w:tblW w:w="8820" w:type="dxa"/>
        <w:jc w:val="center"/>
        <w:tblLook w:val="01E0" w:firstRow="1" w:lastRow="1" w:firstColumn="1" w:lastColumn="1" w:noHBand="0" w:noVBand="0"/>
      </w:tblPr>
      <w:tblGrid>
        <w:gridCol w:w="8820"/>
      </w:tblGrid>
      <w:tr w:rsidR="00260F9C" w14:paraId="206BA6E3" w14:textId="77777777" w:rsidTr="00260F9C">
        <w:trPr>
          <w:jc w:val="center"/>
        </w:trPr>
        <w:tc>
          <w:tcPr>
            <w:tcW w:w="8820" w:type="dxa"/>
            <w:shd w:val="clear" w:color="auto" w:fill="auto"/>
          </w:tcPr>
          <w:p w14:paraId="295F7093" w14:textId="77777777" w:rsidR="0060630D" w:rsidRPr="0060630D" w:rsidRDefault="0060630D" w:rsidP="0060630D">
            <w:pPr>
              <w:bidi w:val="0"/>
              <w:jc w:val="center"/>
              <w:rPr>
                <w:rFonts w:ascii="Arial" w:hAnsi="Arial"/>
                <w:b/>
                <w:bCs/>
                <w:sz w:val="28"/>
                <w:szCs w:val="28"/>
                <w:u w:val="single"/>
                <w:rtl/>
              </w:rPr>
            </w:pPr>
            <w:bookmarkStart w:id="5" w:name="PsakDin" w:colFirst="0" w:colLast="0"/>
            <w:bookmarkEnd w:id="0"/>
            <w:bookmarkEnd w:id="1"/>
            <w:r w:rsidRPr="0060630D">
              <w:rPr>
                <w:rFonts w:ascii="Arial" w:hAnsi="Arial"/>
                <w:b/>
                <w:bCs/>
                <w:sz w:val="28"/>
                <w:szCs w:val="28"/>
                <w:u w:val="single"/>
                <w:rtl/>
              </w:rPr>
              <w:t>גזר דין</w:t>
            </w:r>
          </w:p>
          <w:p w14:paraId="4D6E6D80" w14:textId="77777777" w:rsidR="00260F9C" w:rsidRPr="0060630D" w:rsidRDefault="00260F9C" w:rsidP="0060630D">
            <w:pPr>
              <w:bidi w:val="0"/>
              <w:jc w:val="center"/>
              <w:rPr>
                <w:rFonts w:ascii="Arial" w:hAnsi="Arial"/>
                <w:b/>
                <w:bCs/>
                <w:sz w:val="28"/>
                <w:szCs w:val="28"/>
                <w:u w:val="single"/>
              </w:rPr>
            </w:pPr>
          </w:p>
        </w:tc>
      </w:tr>
      <w:bookmarkEnd w:id="5"/>
    </w:tbl>
    <w:p w14:paraId="5CEE0EB5" w14:textId="77777777" w:rsidR="00260F9C" w:rsidRDefault="00260F9C" w:rsidP="00260F9C">
      <w:pPr>
        <w:spacing w:line="360" w:lineRule="auto"/>
        <w:jc w:val="both"/>
        <w:rPr>
          <w:rFonts w:ascii="Arial" w:hAnsi="Arial"/>
          <w:rtl/>
        </w:rPr>
      </w:pPr>
    </w:p>
    <w:p w14:paraId="33B71118" w14:textId="77777777" w:rsidR="00260F9C" w:rsidRPr="004513B1" w:rsidRDefault="00260F9C" w:rsidP="00260F9C">
      <w:pPr>
        <w:spacing w:line="360" w:lineRule="auto"/>
        <w:jc w:val="both"/>
        <w:rPr>
          <w:rFonts w:ascii="Arial" w:hAnsi="Arial"/>
          <w:b/>
          <w:bCs/>
          <w:rtl/>
        </w:rPr>
      </w:pPr>
      <w:r w:rsidRPr="004513B1">
        <w:rPr>
          <w:rFonts w:ascii="Arial" w:hAnsi="Arial" w:hint="cs"/>
          <w:b/>
          <w:bCs/>
          <w:rtl/>
        </w:rPr>
        <w:t>כתב האישום והסדר הטיעון</w:t>
      </w:r>
    </w:p>
    <w:p w14:paraId="1117894F" w14:textId="77777777" w:rsidR="00260F9C" w:rsidRDefault="00260F9C" w:rsidP="00260F9C">
      <w:pPr>
        <w:spacing w:line="360" w:lineRule="auto"/>
        <w:jc w:val="both"/>
        <w:rPr>
          <w:rFonts w:ascii="Arial" w:hAnsi="Arial"/>
          <w:rtl/>
        </w:rPr>
      </w:pPr>
    </w:p>
    <w:p w14:paraId="4EFB4908" w14:textId="77777777" w:rsidR="00260F9C" w:rsidRDefault="00260F9C" w:rsidP="00260F9C">
      <w:pPr>
        <w:spacing w:line="360" w:lineRule="auto"/>
        <w:jc w:val="both"/>
        <w:rPr>
          <w:rFonts w:ascii="Calibri" w:hAnsi="Calibri"/>
          <w:rtl/>
        </w:rPr>
      </w:pPr>
      <w:bookmarkStart w:id="6" w:name="ABSTRACT_START"/>
      <w:bookmarkEnd w:id="6"/>
      <w:r>
        <w:rPr>
          <w:rFonts w:ascii="Arial" w:hAnsi="Arial" w:hint="cs"/>
          <w:rtl/>
        </w:rPr>
        <w:t xml:space="preserve">הנאשם שלפני נותן את הדין בגין שתי עבירות של החזקת נשק שלא כדין, בניגוד </w:t>
      </w:r>
      <w:hyperlink r:id="rId13" w:history="1">
        <w:r w:rsidR="00BA09D5" w:rsidRPr="00BA09D5">
          <w:rPr>
            <w:rFonts w:ascii="Arial" w:hAnsi="Arial"/>
            <w:color w:val="0000FF"/>
            <w:u w:val="single"/>
            <w:rtl/>
          </w:rPr>
          <w:t>לסעיף 144(א)</w:t>
        </w:r>
      </w:hyperlink>
      <w:r>
        <w:rPr>
          <w:rFonts w:ascii="Arial" w:hAnsi="Arial" w:hint="cs"/>
          <w:rtl/>
        </w:rPr>
        <w:t xml:space="preserve"> רישא </w:t>
      </w:r>
      <w:r>
        <w:rPr>
          <w:rFonts w:ascii="Calibri" w:hAnsi="Calibri" w:hint="cs"/>
          <w:rtl/>
        </w:rPr>
        <w:t>ל</w:t>
      </w:r>
      <w:hyperlink r:id="rId14" w:history="1">
        <w:r w:rsidR="0060630D" w:rsidRPr="0060630D">
          <w:rPr>
            <w:rFonts w:ascii="Calibri" w:hAnsi="Calibri" w:hint="eastAsia"/>
            <w:color w:val="0000FF"/>
            <w:u w:val="single"/>
            <w:rtl/>
          </w:rPr>
          <w:t>חוק</w:t>
        </w:r>
        <w:r w:rsidR="0060630D" w:rsidRPr="0060630D">
          <w:rPr>
            <w:rFonts w:ascii="Calibri" w:hAnsi="Calibri"/>
            <w:color w:val="0000FF"/>
            <w:u w:val="single"/>
            <w:rtl/>
          </w:rPr>
          <w:t xml:space="preserve"> </w:t>
        </w:r>
        <w:r w:rsidR="0060630D" w:rsidRPr="0060630D">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w:t>
      </w:r>
      <w:r w:rsidRPr="00527DA7">
        <w:rPr>
          <w:rFonts w:ascii="Calibri" w:hAnsi="Calibri"/>
          <w:rtl/>
        </w:rPr>
        <w:t>19</w:t>
      </w:r>
      <w:r>
        <w:rPr>
          <w:rFonts w:ascii="Calibri" w:hAnsi="Calibri"/>
          <w:rtl/>
        </w:rPr>
        <w:t>77</w:t>
      </w:r>
      <w:r>
        <w:rPr>
          <w:rFonts w:ascii="Calibri" w:hAnsi="Calibri" w:hint="cs"/>
          <w:rtl/>
        </w:rPr>
        <w:t>.</w:t>
      </w:r>
    </w:p>
    <w:p w14:paraId="192D8DA0" w14:textId="77777777" w:rsidR="00260F9C" w:rsidRDefault="00260F9C" w:rsidP="00260F9C">
      <w:pPr>
        <w:spacing w:line="360" w:lineRule="auto"/>
        <w:jc w:val="both"/>
        <w:rPr>
          <w:rFonts w:ascii="Calibri" w:hAnsi="Calibri"/>
          <w:rtl/>
        </w:rPr>
      </w:pPr>
    </w:p>
    <w:p w14:paraId="039F052D" w14:textId="77777777" w:rsidR="00260F9C" w:rsidRDefault="00260F9C" w:rsidP="00260F9C">
      <w:pPr>
        <w:spacing w:line="360" w:lineRule="auto"/>
        <w:jc w:val="both"/>
        <w:rPr>
          <w:rFonts w:ascii="Calibri" w:hAnsi="Calibri"/>
          <w:rtl/>
        </w:rPr>
      </w:pPr>
      <w:r w:rsidRPr="00F54DC4">
        <w:rPr>
          <w:rFonts w:ascii="Calibri" w:hAnsi="Calibri" w:hint="eastAsia"/>
          <w:rtl/>
        </w:rPr>
        <w:t>בהתאם</w:t>
      </w:r>
      <w:r w:rsidRPr="00F54DC4">
        <w:rPr>
          <w:rFonts w:ascii="Calibri" w:hAnsi="Calibri"/>
          <w:rtl/>
        </w:rPr>
        <w:t xml:space="preserve"> </w:t>
      </w:r>
      <w:r w:rsidRPr="00F54DC4">
        <w:rPr>
          <w:rFonts w:ascii="Calibri" w:hAnsi="Calibri" w:hint="eastAsia"/>
          <w:rtl/>
        </w:rPr>
        <w:t>לעובדות</w:t>
      </w:r>
      <w:r w:rsidRPr="00F54DC4">
        <w:rPr>
          <w:rFonts w:ascii="Calibri" w:hAnsi="Calibri"/>
          <w:rtl/>
        </w:rPr>
        <w:t xml:space="preserve"> </w:t>
      </w:r>
      <w:r w:rsidRPr="00F54DC4">
        <w:rPr>
          <w:rFonts w:ascii="Calibri" w:hAnsi="Calibri" w:hint="eastAsia"/>
          <w:rtl/>
        </w:rPr>
        <w:t>כתב</w:t>
      </w:r>
      <w:r w:rsidRPr="00F54DC4">
        <w:rPr>
          <w:rFonts w:ascii="Calibri" w:hAnsi="Calibri"/>
          <w:rtl/>
        </w:rPr>
        <w:t xml:space="preserve"> </w:t>
      </w:r>
      <w:r w:rsidRPr="00F54DC4">
        <w:rPr>
          <w:rFonts w:ascii="Calibri" w:hAnsi="Calibri" w:hint="eastAsia"/>
          <w:rtl/>
        </w:rPr>
        <w:t>האישום</w:t>
      </w:r>
      <w:r w:rsidRPr="00F54DC4">
        <w:rPr>
          <w:rFonts w:ascii="Calibri" w:hAnsi="Calibri"/>
          <w:rtl/>
        </w:rPr>
        <w:t xml:space="preserve">, </w:t>
      </w:r>
      <w:r w:rsidRPr="00F54DC4">
        <w:rPr>
          <w:rFonts w:ascii="Calibri" w:hAnsi="Calibri" w:hint="eastAsia"/>
          <w:rtl/>
        </w:rPr>
        <w:t>בהן</w:t>
      </w:r>
      <w:r w:rsidRPr="00F54DC4">
        <w:rPr>
          <w:rFonts w:ascii="Calibri" w:hAnsi="Calibri"/>
          <w:rtl/>
        </w:rPr>
        <w:t xml:space="preserve"> </w:t>
      </w:r>
      <w:r w:rsidRPr="00F54DC4">
        <w:rPr>
          <w:rFonts w:ascii="Calibri" w:hAnsi="Calibri" w:hint="eastAsia"/>
          <w:rtl/>
        </w:rPr>
        <w:t>הורשע</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sidRPr="00F54DC4">
        <w:rPr>
          <w:rFonts w:ascii="Calibri" w:hAnsi="Calibri" w:hint="eastAsia"/>
          <w:rtl/>
        </w:rPr>
        <w:t>במסגרת</w:t>
      </w:r>
      <w:r w:rsidRPr="00F54DC4">
        <w:rPr>
          <w:rFonts w:ascii="Calibri" w:hAnsi="Calibri"/>
          <w:rtl/>
        </w:rPr>
        <w:t xml:space="preserve"> </w:t>
      </w:r>
      <w:r w:rsidRPr="00F54DC4">
        <w:rPr>
          <w:rFonts w:ascii="Calibri" w:hAnsi="Calibri" w:hint="eastAsia"/>
          <w:rtl/>
        </w:rPr>
        <w:t>הסדר</w:t>
      </w:r>
      <w:r w:rsidRPr="00F54DC4">
        <w:rPr>
          <w:rFonts w:ascii="Calibri" w:hAnsi="Calibri"/>
          <w:rtl/>
        </w:rPr>
        <w:t xml:space="preserve"> </w:t>
      </w:r>
      <w:r w:rsidRPr="00F54DC4">
        <w:rPr>
          <w:rFonts w:ascii="Calibri" w:hAnsi="Calibri" w:hint="eastAsia"/>
          <w:rtl/>
        </w:rPr>
        <w:t>טיעון</w:t>
      </w:r>
      <w:r w:rsidRPr="00F54DC4">
        <w:rPr>
          <w:rFonts w:ascii="Calibri" w:hAnsi="Calibri"/>
          <w:rtl/>
        </w:rPr>
        <w:t>,</w:t>
      </w:r>
      <w:r>
        <w:rPr>
          <w:rFonts w:ascii="Calibri" w:hAnsi="Calibri" w:hint="cs"/>
          <w:rtl/>
        </w:rPr>
        <w:t xml:space="preserve"> נתפס הנאשם, בתאריך 06/04/16, מחזיק, בתא המטען של רכבו מסוג רנו מ.ר. 88-687-10, שני כלי נשק מסוג תת מקלע מאולתר, האחד </w:t>
      </w:r>
      <w:r>
        <w:rPr>
          <w:rFonts w:ascii="Calibri" w:hAnsi="Calibri"/>
          <w:rtl/>
        </w:rPr>
        <w:t>–</w:t>
      </w:r>
      <w:r>
        <w:rPr>
          <w:rFonts w:ascii="Calibri" w:hAnsi="Calibri" w:hint="cs"/>
          <w:rtl/>
        </w:rPr>
        <w:t xml:space="preserve"> בתחתית תא המטען, אליו צמודה מחסנית ריקה והשני </w:t>
      </w:r>
      <w:r>
        <w:rPr>
          <w:rFonts w:ascii="Calibri" w:hAnsi="Calibri"/>
          <w:rtl/>
        </w:rPr>
        <w:t>–</w:t>
      </w:r>
      <w:r>
        <w:rPr>
          <w:rFonts w:ascii="Calibri" w:hAnsi="Calibri" w:hint="cs"/>
          <w:rtl/>
        </w:rPr>
        <w:t xml:space="preserve"> בתוך תיק שחור, ביחד עם שתי מחסניות.</w:t>
      </w:r>
    </w:p>
    <w:p w14:paraId="06963EDB" w14:textId="77777777" w:rsidR="00260F9C" w:rsidRDefault="00260F9C" w:rsidP="00260F9C">
      <w:pPr>
        <w:spacing w:line="360" w:lineRule="auto"/>
        <w:jc w:val="both"/>
        <w:rPr>
          <w:rFonts w:ascii="Calibri" w:hAnsi="Calibri"/>
          <w:rtl/>
        </w:rPr>
      </w:pPr>
    </w:p>
    <w:p w14:paraId="4CF6112E" w14:textId="77777777" w:rsidR="00260F9C" w:rsidRDefault="00260F9C" w:rsidP="00260F9C">
      <w:pPr>
        <w:spacing w:line="360" w:lineRule="auto"/>
        <w:jc w:val="both"/>
        <w:rPr>
          <w:rFonts w:ascii="Calibri" w:hAnsi="Calibri"/>
          <w:rtl/>
        </w:rPr>
      </w:pPr>
      <w:bookmarkStart w:id="7" w:name="ABSTRACT_END"/>
      <w:bookmarkEnd w:id="7"/>
      <w:r>
        <w:rPr>
          <w:rFonts w:ascii="Calibri" w:hAnsi="Calibri" w:hint="cs"/>
          <w:rtl/>
        </w:rPr>
        <w:lastRenderedPageBreak/>
        <w:t>תחילה, נקשר בין הצדדים הסדר, במסגרתו הודה הנאשם בעובדות והורשע בעבירות בהתאם לכתב אישום מתוקן, ואולם בהמשך, עתרו הצדדים לבטל את הכרעת הדין ולחזור בהם מהסכמותיהם, תוך שהנאשם הודה, זו הפעם, בכתב האישום המקורי.</w:t>
      </w:r>
    </w:p>
    <w:p w14:paraId="16FDDF57" w14:textId="77777777" w:rsidR="00260F9C" w:rsidRDefault="00260F9C" w:rsidP="00260F9C">
      <w:pPr>
        <w:spacing w:line="360" w:lineRule="auto"/>
        <w:jc w:val="both"/>
        <w:rPr>
          <w:rFonts w:ascii="Calibri" w:hAnsi="Calibri"/>
          <w:rtl/>
        </w:rPr>
      </w:pPr>
    </w:p>
    <w:p w14:paraId="246DC6FA" w14:textId="77777777" w:rsidR="00260F9C" w:rsidRDefault="00260F9C" w:rsidP="00260F9C">
      <w:pPr>
        <w:spacing w:line="360" w:lineRule="auto"/>
        <w:jc w:val="both"/>
        <w:rPr>
          <w:rFonts w:ascii="Calibri" w:hAnsi="Calibri"/>
          <w:rtl/>
        </w:rPr>
      </w:pPr>
      <w:r>
        <w:rPr>
          <w:rFonts w:ascii="Calibri" w:hAnsi="Calibri" w:hint="cs"/>
          <w:rtl/>
        </w:rPr>
        <w:t xml:space="preserve">הצדדים הסכימו, כי הנאשם יופנה לחקירת שירות המבחן למבוגרים, אך פרט לכך </w:t>
      </w:r>
      <w:r>
        <w:rPr>
          <w:rFonts w:ascii="Calibri" w:hAnsi="Calibri"/>
          <w:rtl/>
        </w:rPr>
        <w:t>–</w:t>
      </w:r>
      <w:r>
        <w:rPr>
          <w:rFonts w:ascii="Calibri" w:hAnsi="Calibri" w:hint="cs"/>
          <w:rtl/>
        </w:rPr>
        <w:t xml:space="preserve"> לא הגיעו להסכמה כלשהי לענין העונש.</w:t>
      </w:r>
    </w:p>
    <w:p w14:paraId="22772B68" w14:textId="77777777" w:rsidR="00260F9C" w:rsidRDefault="00260F9C" w:rsidP="00260F9C">
      <w:pPr>
        <w:spacing w:line="360" w:lineRule="auto"/>
        <w:rPr>
          <w:rFonts w:ascii="Calibri" w:hAnsi="Calibri"/>
          <w:rtl/>
        </w:rPr>
      </w:pPr>
    </w:p>
    <w:p w14:paraId="50C8EC4D" w14:textId="77777777" w:rsidR="00260F9C" w:rsidRDefault="00260F9C" w:rsidP="00260F9C">
      <w:pPr>
        <w:spacing w:line="360" w:lineRule="auto"/>
        <w:rPr>
          <w:rFonts w:ascii="Calibri" w:hAnsi="Calibri"/>
          <w:rtl/>
        </w:rPr>
      </w:pPr>
    </w:p>
    <w:p w14:paraId="471E36AA" w14:textId="77777777" w:rsidR="00260F9C" w:rsidRDefault="00260F9C" w:rsidP="00260F9C">
      <w:pPr>
        <w:spacing w:line="360" w:lineRule="auto"/>
        <w:rPr>
          <w:rFonts w:ascii="Calibri" w:hAnsi="Calibri"/>
          <w:b/>
          <w:bCs/>
          <w:rtl/>
        </w:rPr>
      </w:pPr>
      <w:r w:rsidRPr="0048039C">
        <w:rPr>
          <w:rFonts w:ascii="Calibri" w:hAnsi="Calibri" w:hint="cs"/>
          <w:b/>
          <w:bCs/>
          <w:rtl/>
        </w:rPr>
        <w:t>ראיות לעונש</w:t>
      </w:r>
    </w:p>
    <w:p w14:paraId="6D23F8CA" w14:textId="77777777" w:rsidR="00260F9C" w:rsidRDefault="00260F9C" w:rsidP="00260F9C">
      <w:pPr>
        <w:spacing w:line="360" w:lineRule="auto"/>
        <w:rPr>
          <w:rFonts w:ascii="Calibri" w:hAnsi="Calibri"/>
          <w:b/>
          <w:bCs/>
          <w:rtl/>
        </w:rPr>
      </w:pPr>
    </w:p>
    <w:p w14:paraId="180C3FD7" w14:textId="77777777" w:rsidR="00260F9C" w:rsidRDefault="00260F9C" w:rsidP="00260F9C">
      <w:pPr>
        <w:spacing w:line="360" w:lineRule="auto"/>
        <w:rPr>
          <w:rFonts w:ascii="Calibri" w:hAnsi="Calibri"/>
          <w:rtl/>
        </w:rPr>
      </w:pPr>
      <w:r>
        <w:rPr>
          <w:rFonts w:ascii="Calibri" w:hAnsi="Calibri" w:hint="cs"/>
          <w:rtl/>
        </w:rPr>
        <w:t>מי מהצדדים לא הגיש ראיות לענין העונש.</w:t>
      </w:r>
    </w:p>
    <w:p w14:paraId="28F9E8A8" w14:textId="77777777" w:rsidR="00260F9C" w:rsidRDefault="00260F9C" w:rsidP="00260F9C">
      <w:pPr>
        <w:spacing w:line="360" w:lineRule="auto"/>
        <w:rPr>
          <w:rFonts w:ascii="Calibri" w:hAnsi="Calibri"/>
          <w:rtl/>
        </w:rPr>
      </w:pPr>
    </w:p>
    <w:p w14:paraId="165F4ECC" w14:textId="77777777" w:rsidR="00260F9C" w:rsidRPr="0048039C" w:rsidRDefault="00260F9C" w:rsidP="00260F9C">
      <w:pPr>
        <w:spacing w:line="360" w:lineRule="auto"/>
        <w:rPr>
          <w:rFonts w:ascii="Calibri" w:hAnsi="Calibri"/>
          <w:b/>
          <w:bCs/>
          <w:rtl/>
        </w:rPr>
      </w:pPr>
    </w:p>
    <w:p w14:paraId="615EB2D0" w14:textId="77777777" w:rsidR="00260F9C" w:rsidRPr="0048039C" w:rsidRDefault="00260F9C" w:rsidP="00260F9C">
      <w:pPr>
        <w:spacing w:line="360" w:lineRule="auto"/>
        <w:rPr>
          <w:rFonts w:ascii="Calibri" w:hAnsi="Calibri"/>
          <w:b/>
          <w:bCs/>
          <w:rtl/>
        </w:rPr>
      </w:pPr>
      <w:r w:rsidRPr="0048039C">
        <w:rPr>
          <w:rFonts w:ascii="Calibri" w:hAnsi="Calibri" w:hint="cs"/>
          <w:b/>
          <w:bCs/>
          <w:rtl/>
        </w:rPr>
        <w:t>הערכת שירות המבחן למבוגרים</w:t>
      </w:r>
    </w:p>
    <w:p w14:paraId="08FEB314" w14:textId="77777777" w:rsidR="00260F9C" w:rsidRDefault="00260F9C" w:rsidP="00260F9C">
      <w:pPr>
        <w:spacing w:line="360" w:lineRule="auto"/>
        <w:rPr>
          <w:rFonts w:ascii="Calibri" w:hAnsi="Calibri"/>
          <w:rtl/>
        </w:rPr>
      </w:pPr>
    </w:p>
    <w:p w14:paraId="2E28ADC1" w14:textId="77777777" w:rsidR="00260F9C" w:rsidRDefault="00260F9C" w:rsidP="00260F9C">
      <w:pPr>
        <w:spacing w:line="360" w:lineRule="auto"/>
        <w:jc w:val="both"/>
        <w:rPr>
          <w:rFonts w:ascii="Calibri" w:hAnsi="Calibri"/>
          <w:rtl/>
        </w:rPr>
      </w:pPr>
      <w:r>
        <w:rPr>
          <w:rFonts w:ascii="Calibri" w:hAnsi="Calibri" w:hint="cs"/>
          <w:rtl/>
        </w:rPr>
        <w:t>בענינו של הנאשם הוגשו מספר תסקירים מטעם שירות המבחן למבוגרים.</w:t>
      </w:r>
    </w:p>
    <w:p w14:paraId="699E9463" w14:textId="77777777" w:rsidR="00260F9C" w:rsidRDefault="00260F9C" w:rsidP="00260F9C">
      <w:pPr>
        <w:spacing w:line="360" w:lineRule="auto"/>
        <w:jc w:val="both"/>
        <w:rPr>
          <w:rFonts w:ascii="Calibri" w:hAnsi="Calibri"/>
          <w:rtl/>
        </w:rPr>
      </w:pPr>
    </w:p>
    <w:p w14:paraId="03AF7A8D" w14:textId="77777777" w:rsidR="00260F9C" w:rsidRDefault="00260F9C" w:rsidP="00260F9C">
      <w:pPr>
        <w:spacing w:line="360" w:lineRule="auto"/>
        <w:jc w:val="both"/>
        <w:rPr>
          <w:rFonts w:ascii="Calibri" w:hAnsi="Calibri"/>
          <w:rtl/>
        </w:rPr>
      </w:pPr>
      <w:r>
        <w:rPr>
          <w:rFonts w:ascii="Calibri" w:hAnsi="Calibri" w:hint="cs"/>
          <w:rtl/>
        </w:rPr>
        <w:t>התסקירים מפרטים נסיבותיו האישיות, רווק, כבן 21, אינו עובד.</w:t>
      </w:r>
    </w:p>
    <w:p w14:paraId="7DFD2BDD" w14:textId="77777777" w:rsidR="00260F9C" w:rsidRDefault="00260F9C" w:rsidP="00260F9C">
      <w:pPr>
        <w:spacing w:line="360" w:lineRule="auto"/>
        <w:jc w:val="both"/>
        <w:rPr>
          <w:rFonts w:ascii="Calibri" w:hAnsi="Calibri"/>
          <w:rtl/>
        </w:rPr>
      </w:pPr>
    </w:p>
    <w:p w14:paraId="7488C9C6" w14:textId="77777777" w:rsidR="00260F9C" w:rsidRDefault="00260F9C" w:rsidP="00260F9C">
      <w:pPr>
        <w:spacing w:line="360" w:lineRule="auto"/>
        <w:jc w:val="both"/>
        <w:rPr>
          <w:rFonts w:ascii="Calibri" w:hAnsi="Calibri"/>
          <w:rtl/>
        </w:rPr>
      </w:pPr>
      <w:r>
        <w:rPr>
          <w:rFonts w:ascii="Calibri" w:hAnsi="Calibri" w:hint="cs"/>
          <w:rtl/>
        </w:rPr>
        <w:t>בן למשפחה פוליגמית.</w:t>
      </w:r>
    </w:p>
    <w:p w14:paraId="3EB1A0F3" w14:textId="77777777" w:rsidR="00260F9C" w:rsidRDefault="00260F9C" w:rsidP="00260F9C">
      <w:pPr>
        <w:spacing w:line="360" w:lineRule="auto"/>
        <w:jc w:val="both"/>
        <w:rPr>
          <w:rFonts w:ascii="Calibri" w:hAnsi="Calibri"/>
          <w:rtl/>
        </w:rPr>
      </w:pPr>
    </w:p>
    <w:p w14:paraId="3F785308" w14:textId="77777777" w:rsidR="00260F9C" w:rsidRDefault="00260F9C" w:rsidP="00260F9C">
      <w:pPr>
        <w:spacing w:line="360" w:lineRule="auto"/>
        <w:jc w:val="both"/>
        <w:rPr>
          <w:rFonts w:ascii="Calibri" w:hAnsi="Calibri"/>
          <w:rtl/>
        </w:rPr>
      </w:pPr>
      <w:r>
        <w:rPr>
          <w:rFonts w:ascii="Calibri" w:hAnsi="Calibri" w:hint="cs"/>
          <w:rtl/>
        </w:rPr>
        <w:t>האב בעל עסק עצמאי בתחום ההובלה.</w:t>
      </w:r>
    </w:p>
    <w:p w14:paraId="0616420F" w14:textId="77777777" w:rsidR="00260F9C" w:rsidRDefault="00260F9C" w:rsidP="00260F9C">
      <w:pPr>
        <w:spacing w:line="360" w:lineRule="auto"/>
        <w:jc w:val="both"/>
        <w:rPr>
          <w:rFonts w:ascii="Calibri" w:hAnsi="Calibri"/>
          <w:rtl/>
        </w:rPr>
      </w:pPr>
    </w:p>
    <w:p w14:paraId="1EF0FF5C" w14:textId="77777777" w:rsidR="00260F9C" w:rsidRDefault="00260F9C" w:rsidP="00260F9C">
      <w:pPr>
        <w:spacing w:line="360" w:lineRule="auto"/>
        <w:jc w:val="both"/>
        <w:rPr>
          <w:rFonts w:ascii="Calibri" w:hAnsi="Calibri"/>
          <w:rtl/>
        </w:rPr>
      </w:pPr>
      <w:r>
        <w:rPr>
          <w:rFonts w:ascii="Calibri" w:hAnsi="Calibri" w:hint="cs"/>
          <w:rtl/>
        </w:rPr>
        <w:t>הנאשם ניהל אורח חיים תקין והתסקיר אינו מפרט קשיים מיוחדים או מחסור, אליהם נחשף הנאשם.</w:t>
      </w:r>
    </w:p>
    <w:p w14:paraId="1E8131F5" w14:textId="77777777" w:rsidR="00260F9C" w:rsidRDefault="00260F9C" w:rsidP="00260F9C">
      <w:pPr>
        <w:spacing w:line="360" w:lineRule="auto"/>
        <w:jc w:val="both"/>
        <w:rPr>
          <w:rFonts w:ascii="Calibri" w:hAnsi="Calibri"/>
          <w:rtl/>
        </w:rPr>
      </w:pPr>
    </w:p>
    <w:p w14:paraId="5D664D0F" w14:textId="77777777" w:rsidR="00260F9C" w:rsidRDefault="00260F9C" w:rsidP="00260F9C">
      <w:pPr>
        <w:spacing w:line="360" w:lineRule="auto"/>
        <w:jc w:val="both"/>
        <w:rPr>
          <w:rFonts w:ascii="Calibri" w:hAnsi="Calibri"/>
          <w:rtl/>
        </w:rPr>
      </w:pPr>
      <w:r>
        <w:rPr>
          <w:rFonts w:ascii="Calibri" w:hAnsi="Calibri" w:hint="cs"/>
          <w:rtl/>
        </w:rPr>
        <w:t>בהתיחס לעבירה, סיפר הנאשם לקצין המבחן מספר גרסאות. תחילה מסר, כי גורמים עבריניים החליטו להחביא את כלי הנשק ברכבו.</w:t>
      </w:r>
    </w:p>
    <w:p w14:paraId="38A7161C" w14:textId="77777777" w:rsidR="00260F9C" w:rsidRDefault="00260F9C" w:rsidP="00260F9C">
      <w:pPr>
        <w:spacing w:line="360" w:lineRule="auto"/>
        <w:jc w:val="both"/>
        <w:rPr>
          <w:rFonts w:ascii="Calibri" w:hAnsi="Calibri"/>
          <w:rtl/>
        </w:rPr>
      </w:pPr>
    </w:p>
    <w:p w14:paraId="7D080BF5" w14:textId="77777777" w:rsidR="00260F9C" w:rsidRDefault="00260F9C" w:rsidP="00260F9C">
      <w:pPr>
        <w:spacing w:line="360" w:lineRule="auto"/>
        <w:jc w:val="both"/>
        <w:rPr>
          <w:rFonts w:ascii="Calibri" w:hAnsi="Calibri"/>
          <w:rtl/>
        </w:rPr>
      </w:pPr>
      <w:r>
        <w:rPr>
          <w:rFonts w:ascii="Calibri" w:hAnsi="Calibri" w:hint="cs"/>
          <w:rtl/>
        </w:rPr>
        <w:t xml:space="preserve">בהמשך, שינה התיחסותו ומסר, כי אדם שפרטיו אינם ידועים ושלא הכיר אותו הציע לו לרכוש את כלי הנשק והוא עשה זאת לצורך שימוש באירועי שמחה ובחתונות, ללא כוונות פליליות. </w:t>
      </w:r>
    </w:p>
    <w:p w14:paraId="38BFA366" w14:textId="77777777" w:rsidR="00260F9C" w:rsidRDefault="00260F9C" w:rsidP="00260F9C">
      <w:pPr>
        <w:spacing w:line="360" w:lineRule="auto"/>
        <w:jc w:val="both"/>
        <w:rPr>
          <w:rFonts w:ascii="Calibri" w:hAnsi="Calibri"/>
          <w:rtl/>
        </w:rPr>
      </w:pPr>
    </w:p>
    <w:p w14:paraId="2AEC6163" w14:textId="77777777" w:rsidR="00260F9C" w:rsidRDefault="00260F9C" w:rsidP="00260F9C">
      <w:pPr>
        <w:spacing w:line="360" w:lineRule="auto"/>
        <w:jc w:val="both"/>
        <w:rPr>
          <w:rFonts w:ascii="Calibri" w:hAnsi="Calibri"/>
          <w:rtl/>
        </w:rPr>
      </w:pPr>
      <w:r>
        <w:rPr>
          <w:rFonts w:ascii="Calibri" w:hAnsi="Calibri" w:hint="cs"/>
          <w:rtl/>
        </w:rPr>
        <w:t>שירות המבחן התרשם מהנאשם, כמי שמתקשה בהתבוננות מעמיקה באשר לגורמים שהביאוהו להסבתך בעבירות ואינו מאפשר לבחון את העומד בבסיס בחירותיו והתנהלותו.</w:t>
      </w:r>
    </w:p>
    <w:p w14:paraId="4960EAEE" w14:textId="77777777" w:rsidR="00260F9C" w:rsidRDefault="00260F9C" w:rsidP="00260F9C">
      <w:pPr>
        <w:spacing w:line="360" w:lineRule="auto"/>
        <w:jc w:val="both"/>
        <w:rPr>
          <w:rFonts w:ascii="Calibri" w:hAnsi="Calibri"/>
          <w:rtl/>
        </w:rPr>
      </w:pPr>
    </w:p>
    <w:p w14:paraId="26218FBE" w14:textId="77777777" w:rsidR="00260F9C" w:rsidRDefault="00260F9C" w:rsidP="00260F9C">
      <w:pPr>
        <w:spacing w:line="360" w:lineRule="auto"/>
        <w:jc w:val="both"/>
        <w:rPr>
          <w:rFonts w:ascii="Calibri" w:hAnsi="Calibri"/>
          <w:rtl/>
        </w:rPr>
      </w:pPr>
      <w:r>
        <w:rPr>
          <w:rFonts w:ascii="Calibri" w:hAnsi="Calibri" w:hint="cs"/>
          <w:rtl/>
        </w:rPr>
        <w:lastRenderedPageBreak/>
        <w:t xml:space="preserve">שירות המבחן התרשם מפער בין התדמית, שביקש הנאשם להציג לבין קשייו בעריכת תהליך חשבון נפש ובהתבוננות עצמית ביקורתית. </w:t>
      </w:r>
    </w:p>
    <w:p w14:paraId="70943959" w14:textId="77777777" w:rsidR="00260F9C" w:rsidRDefault="00260F9C" w:rsidP="00260F9C">
      <w:pPr>
        <w:spacing w:line="360" w:lineRule="auto"/>
        <w:rPr>
          <w:rFonts w:ascii="Calibri" w:hAnsi="Calibri"/>
          <w:rtl/>
        </w:rPr>
      </w:pPr>
    </w:p>
    <w:p w14:paraId="0168F68F" w14:textId="77777777" w:rsidR="00260F9C" w:rsidRDefault="00260F9C" w:rsidP="00260F9C">
      <w:pPr>
        <w:spacing w:line="360" w:lineRule="auto"/>
        <w:jc w:val="both"/>
        <w:rPr>
          <w:rFonts w:ascii="Calibri" w:hAnsi="Calibri"/>
          <w:rtl/>
        </w:rPr>
      </w:pPr>
      <w:r>
        <w:rPr>
          <w:rFonts w:ascii="Calibri" w:hAnsi="Calibri" w:hint="cs"/>
          <w:rtl/>
        </w:rPr>
        <w:t>שירות המבחן התרשם מהתיחסות מצמצמת ביחס לעבירות שעבר הנאשם ומעמימות באופן בו שיתף הנאשם בכל הנוגע למערכת קשריו החברתיים ולבחירותיו.</w:t>
      </w:r>
    </w:p>
    <w:p w14:paraId="32C77CBB" w14:textId="77777777" w:rsidR="00260F9C" w:rsidRDefault="00260F9C" w:rsidP="00260F9C">
      <w:pPr>
        <w:spacing w:line="360" w:lineRule="auto"/>
        <w:jc w:val="both"/>
        <w:rPr>
          <w:rFonts w:ascii="Calibri" w:hAnsi="Calibri"/>
          <w:rtl/>
        </w:rPr>
      </w:pPr>
    </w:p>
    <w:p w14:paraId="2A08CEEE" w14:textId="77777777" w:rsidR="00260F9C" w:rsidRDefault="00260F9C" w:rsidP="00260F9C">
      <w:pPr>
        <w:spacing w:line="360" w:lineRule="auto"/>
        <w:jc w:val="both"/>
        <w:rPr>
          <w:rFonts w:ascii="Calibri" w:hAnsi="Calibri"/>
          <w:rtl/>
        </w:rPr>
      </w:pPr>
      <w:r>
        <w:rPr>
          <w:rFonts w:ascii="Calibri" w:hAnsi="Calibri" w:hint="cs"/>
          <w:rtl/>
        </w:rPr>
        <w:t>שירות המבחן המליץ לדחות את הדיון, על מנת לנסות  ולהתחקות אחר מניעיו של הנאשם העומדים בבסיס העבירות ואולם, גם לאחר תקופת דחיה מצא, כי הנאשם מתקשה לבחון את פוטנציאל הפגיעה כתוצאה ממעשיו, מתאר הדברים בצורה שטחית ואת הסתבכותו בעבירות כמקרית.</w:t>
      </w:r>
    </w:p>
    <w:p w14:paraId="2EF739E5" w14:textId="77777777" w:rsidR="00260F9C" w:rsidRDefault="00260F9C" w:rsidP="00260F9C">
      <w:pPr>
        <w:spacing w:line="360" w:lineRule="auto"/>
        <w:jc w:val="both"/>
        <w:rPr>
          <w:rFonts w:ascii="Calibri" w:hAnsi="Calibri"/>
          <w:rtl/>
        </w:rPr>
      </w:pPr>
    </w:p>
    <w:p w14:paraId="5D74D594" w14:textId="77777777" w:rsidR="00260F9C" w:rsidRDefault="00260F9C" w:rsidP="00260F9C">
      <w:pPr>
        <w:spacing w:line="360" w:lineRule="auto"/>
        <w:jc w:val="both"/>
        <w:rPr>
          <w:rFonts w:ascii="Calibri" w:hAnsi="Calibri"/>
          <w:rtl/>
        </w:rPr>
      </w:pPr>
      <w:r>
        <w:rPr>
          <w:rFonts w:ascii="Calibri" w:hAnsi="Calibri" w:hint="cs"/>
          <w:rtl/>
        </w:rPr>
        <w:t>במסגרת הערכת שירות המבחן, השתלב הנאשם במספר קבוצות טיפוליות, אך גם אז, התקשה לבחון מעשיו באופן ביקורתי.</w:t>
      </w:r>
    </w:p>
    <w:p w14:paraId="6632669E" w14:textId="77777777" w:rsidR="00260F9C" w:rsidRDefault="00260F9C" w:rsidP="00260F9C">
      <w:pPr>
        <w:spacing w:line="360" w:lineRule="auto"/>
        <w:jc w:val="both"/>
        <w:rPr>
          <w:rFonts w:ascii="Calibri" w:hAnsi="Calibri"/>
          <w:rtl/>
        </w:rPr>
      </w:pPr>
    </w:p>
    <w:p w14:paraId="3697A772" w14:textId="77777777" w:rsidR="00260F9C" w:rsidRDefault="00260F9C" w:rsidP="00260F9C">
      <w:pPr>
        <w:spacing w:line="360" w:lineRule="auto"/>
        <w:jc w:val="both"/>
        <w:rPr>
          <w:rFonts w:ascii="Calibri" w:hAnsi="Calibri"/>
          <w:rtl/>
        </w:rPr>
      </w:pPr>
      <w:r>
        <w:rPr>
          <w:rFonts w:ascii="Calibri" w:hAnsi="Calibri" w:hint="cs"/>
          <w:rtl/>
        </w:rPr>
        <w:t>בסופו של דבר, בא שירות המבחן בהמלצה להשית על הנאשם רכיבי ענישה "מוחשיים" בדמות  של עונש מאסר בפועל בדרך של עבודות שירות; מאסר מותנה; קנס, ביחד עם צו מבחן.</w:t>
      </w:r>
    </w:p>
    <w:p w14:paraId="72FF9767" w14:textId="77777777" w:rsidR="00260F9C" w:rsidRDefault="00260F9C" w:rsidP="00260F9C">
      <w:pPr>
        <w:spacing w:line="360" w:lineRule="auto"/>
        <w:rPr>
          <w:rFonts w:ascii="Calibri" w:hAnsi="Calibri"/>
          <w:rtl/>
        </w:rPr>
      </w:pPr>
    </w:p>
    <w:p w14:paraId="52604633" w14:textId="77777777" w:rsidR="00260F9C" w:rsidRDefault="00260F9C" w:rsidP="00260F9C">
      <w:pPr>
        <w:spacing w:line="360" w:lineRule="auto"/>
        <w:rPr>
          <w:rFonts w:ascii="Calibri" w:hAnsi="Calibri"/>
          <w:rtl/>
        </w:rPr>
      </w:pPr>
    </w:p>
    <w:p w14:paraId="5271EF10" w14:textId="77777777" w:rsidR="00260F9C" w:rsidRPr="00A470D0" w:rsidRDefault="00260F9C" w:rsidP="00260F9C">
      <w:pPr>
        <w:spacing w:line="360" w:lineRule="auto"/>
        <w:rPr>
          <w:rFonts w:ascii="Calibri" w:hAnsi="Calibri"/>
          <w:b/>
          <w:bCs/>
          <w:rtl/>
        </w:rPr>
      </w:pPr>
      <w:r w:rsidRPr="00A470D0">
        <w:rPr>
          <w:rFonts w:ascii="Calibri" w:hAnsi="Calibri" w:hint="cs"/>
          <w:b/>
          <w:bCs/>
          <w:rtl/>
        </w:rPr>
        <w:t>טענות הצדדים</w:t>
      </w:r>
    </w:p>
    <w:p w14:paraId="77ED1F29" w14:textId="77777777" w:rsidR="00260F9C" w:rsidRDefault="00260F9C" w:rsidP="00260F9C">
      <w:pPr>
        <w:spacing w:line="360" w:lineRule="auto"/>
        <w:rPr>
          <w:rFonts w:ascii="Calibri" w:hAnsi="Calibri"/>
          <w:rtl/>
        </w:rPr>
      </w:pPr>
    </w:p>
    <w:p w14:paraId="5ED16CBE" w14:textId="77777777" w:rsidR="00260F9C" w:rsidRDefault="00260F9C" w:rsidP="00260F9C">
      <w:pPr>
        <w:spacing w:line="360" w:lineRule="auto"/>
        <w:jc w:val="both"/>
        <w:rPr>
          <w:rFonts w:ascii="Calibri" w:hAnsi="Calibri"/>
          <w:rtl/>
        </w:rPr>
      </w:pPr>
      <w:r w:rsidRPr="00A470D0">
        <w:rPr>
          <w:rFonts w:ascii="Calibri" w:hAnsi="Calibri" w:hint="cs"/>
          <w:u w:val="single"/>
          <w:rtl/>
        </w:rPr>
        <w:t>המאשימה</w:t>
      </w:r>
      <w:r>
        <w:rPr>
          <w:rFonts w:ascii="Calibri" w:hAnsi="Calibri" w:hint="cs"/>
          <w:rtl/>
        </w:rPr>
        <w:t xml:space="preserve"> הגישה טענותיה לעונש בכתב (ת/2) והשלימה אותם על פה.</w:t>
      </w:r>
    </w:p>
    <w:p w14:paraId="234590D0" w14:textId="77777777" w:rsidR="00260F9C" w:rsidRDefault="00260F9C" w:rsidP="00260F9C">
      <w:pPr>
        <w:spacing w:line="360" w:lineRule="auto"/>
        <w:jc w:val="both"/>
        <w:rPr>
          <w:rFonts w:ascii="Calibri" w:hAnsi="Calibri"/>
          <w:rtl/>
        </w:rPr>
      </w:pPr>
    </w:p>
    <w:p w14:paraId="3ED14298" w14:textId="77777777" w:rsidR="00260F9C" w:rsidRDefault="00260F9C" w:rsidP="00260F9C">
      <w:pPr>
        <w:spacing w:line="360" w:lineRule="auto"/>
        <w:jc w:val="both"/>
        <w:rPr>
          <w:rFonts w:ascii="Calibri" w:hAnsi="Calibri"/>
          <w:rtl/>
        </w:rPr>
      </w:pPr>
      <w:r>
        <w:rPr>
          <w:rFonts w:ascii="Calibri" w:hAnsi="Calibri" w:hint="cs"/>
          <w:rtl/>
        </w:rPr>
        <w:t>המאשימה הדגישה את פוטנציאל הסיכון הקטלני הנובע מהעבירות שעבר הנאשם, כאשר הנשק עלול לשמש גורמים עבריניים ואף גורמים המבקשים את רעתה של מדינת ישראל או הזוממים לעבור עבירות שנאה.</w:t>
      </w:r>
    </w:p>
    <w:p w14:paraId="7CF4A28C" w14:textId="77777777" w:rsidR="00260F9C" w:rsidRDefault="00260F9C" w:rsidP="00260F9C">
      <w:pPr>
        <w:spacing w:line="360" w:lineRule="auto"/>
        <w:jc w:val="both"/>
        <w:rPr>
          <w:rFonts w:ascii="Calibri" w:hAnsi="Calibri"/>
          <w:rtl/>
        </w:rPr>
      </w:pPr>
    </w:p>
    <w:p w14:paraId="500CD330" w14:textId="77777777" w:rsidR="00260F9C" w:rsidRDefault="00260F9C" w:rsidP="00260F9C">
      <w:pPr>
        <w:spacing w:line="360" w:lineRule="auto"/>
        <w:jc w:val="both"/>
        <w:rPr>
          <w:rFonts w:ascii="Calibri" w:hAnsi="Calibri"/>
          <w:rtl/>
        </w:rPr>
      </w:pPr>
      <w:r>
        <w:rPr>
          <w:rFonts w:ascii="Calibri" w:hAnsi="Calibri" w:hint="cs"/>
          <w:rtl/>
        </w:rPr>
        <w:t>המאשימה הדגישה, כי כלי הנשק נמצאו בכלי רכב, מוכנים לשימוש.</w:t>
      </w:r>
    </w:p>
    <w:p w14:paraId="170EBBDF" w14:textId="77777777" w:rsidR="00260F9C" w:rsidRDefault="00260F9C" w:rsidP="00260F9C">
      <w:pPr>
        <w:spacing w:line="360" w:lineRule="auto"/>
        <w:jc w:val="both"/>
        <w:rPr>
          <w:rFonts w:ascii="Calibri" w:hAnsi="Calibri"/>
          <w:rtl/>
        </w:rPr>
      </w:pPr>
    </w:p>
    <w:p w14:paraId="2B4A0EEA" w14:textId="77777777" w:rsidR="00260F9C" w:rsidRDefault="00260F9C" w:rsidP="00260F9C">
      <w:pPr>
        <w:spacing w:line="360" w:lineRule="auto"/>
        <w:jc w:val="both"/>
        <w:rPr>
          <w:rFonts w:ascii="Calibri" w:hAnsi="Calibri"/>
          <w:rtl/>
        </w:rPr>
      </w:pPr>
      <w:r>
        <w:rPr>
          <w:rFonts w:ascii="Calibri" w:hAnsi="Calibri" w:hint="cs"/>
          <w:rtl/>
        </w:rPr>
        <w:t>המאשימה הפנתה למדיניות הענישה בתקופה האחרונה, בין היתר, בעקבות הנחית פרקליט המדינה מספר 9.16, בהתאם לה עותרת התביעה להחמרה בענישה בגין עבירות נשק.</w:t>
      </w:r>
    </w:p>
    <w:p w14:paraId="532AE3A0" w14:textId="77777777" w:rsidR="00260F9C" w:rsidRDefault="00260F9C" w:rsidP="00260F9C">
      <w:pPr>
        <w:spacing w:line="360" w:lineRule="auto"/>
        <w:jc w:val="both"/>
        <w:rPr>
          <w:rFonts w:ascii="Calibri" w:hAnsi="Calibri"/>
          <w:rtl/>
        </w:rPr>
      </w:pPr>
    </w:p>
    <w:p w14:paraId="2F6B48F1" w14:textId="77777777" w:rsidR="00260F9C" w:rsidRDefault="00260F9C" w:rsidP="00260F9C">
      <w:pPr>
        <w:spacing w:line="360" w:lineRule="auto"/>
        <w:jc w:val="both"/>
        <w:rPr>
          <w:rFonts w:ascii="Calibri" w:hAnsi="Calibri"/>
          <w:rtl/>
        </w:rPr>
      </w:pPr>
      <w:r>
        <w:rPr>
          <w:rFonts w:ascii="Calibri" w:hAnsi="Calibri" w:hint="cs"/>
          <w:rtl/>
        </w:rPr>
        <w:t xml:space="preserve">לנוכח טיב כלי הנשק במקרה דנן ואופן החזקתם </w:t>
      </w:r>
      <w:r>
        <w:rPr>
          <w:rFonts w:ascii="Calibri" w:hAnsi="Calibri"/>
          <w:rtl/>
        </w:rPr>
        <w:t>–</w:t>
      </w:r>
      <w:r>
        <w:rPr>
          <w:rFonts w:ascii="Calibri" w:hAnsi="Calibri" w:hint="cs"/>
          <w:rtl/>
        </w:rPr>
        <w:t xml:space="preserve"> עתרה המאשימה למתחם ענישה שינוע בין 3 ועד 5 שנות מאסר בפועל, לצד ענישה נלווית.</w:t>
      </w:r>
    </w:p>
    <w:p w14:paraId="41DA1AE5" w14:textId="77777777" w:rsidR="00260F9C" w:rsidRDefault="00260F9C" w:rsidP="00260F9C">
      <w:pPr>
        <w:spacing w:line="360" w:lineRule="auto"/>
        <w:rPr>
          <w:rFonts w:ascii="Calibri" w:hAnsi="Calibri"/>
          <w:rtl/>
        </w:rPr>
      </w:pPr>
    </w:p>
    <w:p w14:paraId="674698C2" w14:textId="77777777" w:rsidR="00260F9C" w:rsidRDefault="00260F9C" w:rsidP="00260F9C">
      <w:pPr>
        <w:spacing w:line="360" w:lineRule="auto"/>
        <w:jc w:val="both"/>
        <w:rPr>
          <w:rFonts w:ascii="Calibri" w:hAnsi="Calibri"/>
          <w:rtl/>
        </w:rPr>
      </w:pPr>
      <w:r>
        <w:rPr>
          <w:rFonts w:ascii="Calibri" w:hAnsi="Calibri" w:hint="cs"/>
          <w:rtl/>
        </w:rPr>
        <w:t>לנוכח הודאת הנאשם באשמה, גילו הצעיר והיעדר הרשעות קודמות, עתרה המאשימה להשית על הנאשם עונש על הצד הנמוך של המתחם.</w:t>
      </w:r>
    </w:p>
    <w:p w14:paraId="1A5F34F4" w14:textId="77777777" w:rsidR="00260F9C" w:rsidRDefault="00260F9C" w:rsidP="00260F9C">
      <w:pPr>
        <w:spacing w:line="360" w:lineRule="auto"/>
        <w:jc w:val="both"/>
        <w:rPr>
          <w:rFonts w:ascii="Calibri" w:hAnsi="Calibri"/>
          <w:rtl/>
        </w:rPr>
      </w:pPr>
    </w:p>
    <w:p w14:paraId="517F2C63" w14:textId="77777777" w:rsidR="00260F9C" w:rsidRDefault="00260F9C" w:rsidP="00260F9C">
      <w:pPr>
        <w:spacing w:line="360" w:lineRule="auto"/>
        <w:jc w:val="both"/>
        <w:rPr>
          <w:rFonts w:ascii="Calibri" w:hAnsi="Calibri"/>
          <w:rtl/>
        </w:rPr>
      </w:pPr>
      <w:r>
        <w:rPr>
          <w:rFonts w:ascii="Calibri" w:hAnsi="Calibri" w:hint="cs"/>
          <w:rtl/>
        </w:rPr>
        <w:t xml:space="preserve">המאשימה עתרה לדחות המלצת שירות המבחן, אשר אינה תואמת את מתחם </w:t>
      </w:r>
      <w:r>
        <w:rPr>
          <w:rFonts w:ascii="Calibri" w:hAnsi="Calibri" w:hint="eastAsia"/>
          <w:rtl/>
        </w:rPr>
        <w:t>העני</w:t>
      </w:r>
      <w:r>
        <w:rPr>
          <w:rFonts w:ascii="Calibri" w:hAnsi="Calibri" w:hint="cs"/>
          <w:rtl/>
        </w:rPr>
        <w:t>שה שנקבע בפסיקה ואינה משקפת את האינטרס של הגנת הציבור.</w:t>
      </w:r>
    </w:p>
    <w:p w14:paraId="16D6B134" w14:textId="77777777" w:rsidR="00260F9C" w:rsidRDefault="00260F9C" w:rsidP="00260F9C">
      <w:pPr>
        <w:spacing w:line="360" w:lineRule="auto"/>
        <w:jc w:val="both"/>
        <w:rPr>
          <w:rFonts w:ascii="Calibri" w:hAnsi="Calibri"/>
          <w:rtl/>
        </w:rPr>
      </w:pPr>
    </w:p>
    <w:p w14:paraId="4558C632" w14:textId="77777777" w:rsidR="00260F9C" w:rsidRDefault="00260F9C" w:rsidP="00260F9C">
      <w:pPr>
        <w:spacing w:line="360" w:lineRule="auto"/>
        <w:jc w:val="both"/>
        <w:rPr>
          <w:rFonts w:ascii="Calibri" w:hAnsi="Calibri"/>
          <w:rtl/>
        </w:rPr>
      </w:pPr>
      <w:r w:rsidRPr="00A94F53">
        <w:rPr>
          <w:rFonts w:ascii="Calibri" w:hAnsi="Calibri" w:hint="cs"/>
          <w:u w:val="single"/>
          <w:rtl/>
        </w:rPr>
        <w:t xml:space="preserve">ההגנה </w:t>
      </w:r>
      <w:r>
        <w:rPr>
          <w:rFonts w:ascii="Calibri" w:hAnsi="Calibri" w:hint="cs"/>
          <w:rtl/>
        </w:rPr>
        <w:t>הדגישה, כי הענישה היא אינדיבידואלית.</w:t>
      </w:r>
    </w:p>
    <w:p w14:paraId="79B84FBE" w14:textId="77777777" w:rsidR="00260F9C" w:rsidRDefault="00260F9C" w:rsidP="00260F9C">
      <w:pPr>
        <w:spacing w:line="360" w:lineRule="auto"/>
        <w:jc w:val="both"/>
        <w:rPr>
          <w:rFonts w:ascii="Calibri" w:hAnsi="Calibri"/>
          <w:rtl/>
        </w:rPr>
      </w:pPr>
    </w:p>
    <w:p w14:paraId="2ED81539" w14:textId="77777777" w:rsidR="00260F9C" w:rsidRDefault="00260F9C" w:rsidP="00260F9C">
      <w:pPr>
        <w:spacing w:line="360" w:lineRule="auto"/>
        <w:jc w:val="both"/>
        <w:rPr>
          <w:rFonts w:ascii="Calibri" w:hAnsi="Calibri"/>
          <w:rtl/>
        </w:rPr>
      </w:pPr>
      <w:r>
        <w:rPr>
          <w:rFonts w:ascii="Calibri" w:hAnsi="Calibri" w:hint="cs"/>
          <w:rtl/>
        </w:rPr>
        <w:t xml:space="preserve">ההגנה מבקשת ליתן משקל משמעותי לנסיבותיו האישיות של הנאשם, צעיר שזוהי הסתבכותו הראשונה. לטענת ההגנה, נטל הנאשם אחריות והוא מבין את חומרת מעשיו. </w:t>
      </w:r>
    </w:p>
    <w:p w14:paraId="32B30672" w14:textId="77777777" w:rsidR="00260F9C" w:rsidRDefault="00260F9C" w:rsidP="00260F9C">
      <w:pPr>
        <w:spacing w:line="360" w:lineRule="auto"/>
        <w:jc w:val="both"/>
        <w:rPr>
          <w:rFonts w:ascii="Calibri" w:hAnsi="Calibri"/>
          <w:rtl/>
        </w:rPr>
      </w:pPr>
    </w:p>
    <w:p w14:paraId="190B1BFB" w14:textId="77777777" w:rsidR="00260F9C" w:rsidRDefault="00260F9C" w:rsidP="00260F9C">
      <w:pPr>
        <w:spacing w:line="360" w:lineRule="auto"/>
        <w:jc w:val="both"/>
        <w:rPr>
          <w:rFonts w:ascii="Calibri" w:hAnsi="Calibri"/>
          <w:rtl/>
        </w:rPr>
      </w:pPr>
      <w:r>
        <w:rPr>
          <w:rFonts w:ascii="Calibri" w:hAnsi="Calibri" w:hint="cs"/>
          <w:rtl/>
        </w:rPr>
        <w:t>ההגנה עותרת לחרוג לקולה ממתחם הענישה, מטעמי שיקום.</w:t>
      </w:r>
    </w:p>
    <w:p w14:paraId="5A3D3A7B" w14:textId="77777777" w:rsidR="00260F9C" w:rsidRDefault="00260F9C" w:rsidP="00260F9C">
      <w:pPr>
        <w:spacing w:line="360" w:lineRule="auto"/>
        <w:jc w:val="both"/>
        <w:rPr>
          <w:rFonts w:ascii="Calibri" w:hAnsi="Calibri"/>
          <w:rtl/>
        </w:rPr>
      </w:pPr>
    </w:p>
    <w:p w14:paraId="79F979C4" w14:textId="77777777" w:rsidR="00260F9C" w:rsidRDefault="00260F9C" w:rsidP="00260F9C">
      <w:pPr>
        <w:spacing w:line="360" w:lineRule="auto"/>
        <w:jc w:val="both"/>
        <w:rPr>
          <w:rFonts w:ascii="Calibri" w:hAnsi="Calibri"/>
          <w:rtl/>
        </w:rPr>
      </w:pPr>
      <w:r w:rsidRPr="00A94F53">
        <w:rPr>
          <w:rFonts w:ascii="Calibri" w:hAnsi="Calibri" w:hint="cs"/>
          <w:u w:val="single"/>
          <w:rtl/>
        </w:rPr>
        <w:t>בדברו האחרון</w:t>
      </w:r>
      <w:r>
        <w:rPr>
          <w:rFonts w:ascii="Calibri" w:hAnsi="Calibri" w:hint="cs"/>
          <w:rtl/>
        </w:rPr>
        <w:t>, הביע הנאשם צער על העבירות שעבר. טען שוב, כי הוא מודה בעבירות. מסר, כי הקשר עם שירות המבחן מועיל לו וכי מבקש להתחיל "חיים חדשים".</w:t>
      </w:r>
    </w:p>
    <w:p w14:paraId="72C1426B" w14:textId="77777777" w:rsidR="00260F9C" w:rsidRDefault="00260F9C" w:rsidP="00260F9C">
      <w:pPr>
        <w:spacing w:line="360" w:lineRule="auto"/>
        <w:rPr>
          <w:rFonts w:ascii="Calibri" w:hAnsi="Calibri"/>
          <w:rtl/>
        </w:rPr>
      </w:pPr>
    </w:p>
    <w:p w14:paraId="7B1E0A90" w14:textId="77777777" w:rsidR="00260F9C" w:rsidRDefault="00260F9C" w:rsidP="00260F9C">
      <w:pPr>
        <w:spacing w:line="360" w:lineRule="auto"/>
        <w:rPr>
          <w:rFonts w:ascii="Calibri" w:hAnsi="Calibri"/>
          <w:rtl/>
        </w:rPr>
      </w:pPr>
    </w:p>
    <w:p w14:paraId="4A8834B7" w14:textId="77777777" w:rsidR="00260F9C" w:rsidRDefault="00260F9C" w:rsidP="00260F9C">
      <w:pPr>
        <w:spacing w:line="360" w:lineRule="auto"/>
        <w:rPr>
          <w:rFonts w:ascii="Calibri" w:hAnsi="Calibri"/>
          <w:b/>
          <w:bCs/>
          <w:rtl/>
        </w:rPr>
      </w:pPr>
      <w:r>
        <w:rPr>
          <w:rFonts w:ascii="Calibri" w:hAnsi="Calibri" w:hint="cs"/>
          <w:b/>
          <w:bCs/>
          <w:rtl/>
        </w:rPr>
        <w:t>דיון והכרעה</w:t>
      </w:r>
    </w:p>
    <w:p w14:paraId="665B3ACD" w14:textId="77777777" w:rsidR="00260F9C" w:rsidRDefault="00260F9C" w:rsidP="00260F9C">
      <w:pPr>
        <w:spacing w:line="360" w:lineRule="auto"/>
        <w:rPr>
          <w:rFonts w:ascii="Calibri" w:hAnsi="Calibri"/>
          <w:b/>
          <w:bCs/>
          <w:rtl/>
        </w:rPr>
      </w:pPr>
    </w:p>
    <w:p w14:paraId="54EBC102" w14:textId="77777777" w:rsidR="00260F9C" w:rsidRDefault="00260F9C" w:rsidP="00260F9C">
      <w:pPr>
        <w:spacing w:line="360" w:lineRule="auto"/>
        <w:jc w:val="both"/>
        <w:rPr>
          <w:rFonts w:cs="Times New Roman"/>
        </w:rPr>
      </w:pPr>
      <w:r>
        <w:rPr>
          <w:rFonts w:hint="cs"/>
          <w:rtl/>
        </w:rPr>
        <w:t>אין צורך להכביר מילים על פוטנציאל הסיכון הנובע מאחזקת נשק חם קטלני, שלא כדין.</w:t>
      </w:r>
    </w:p>
    <w:p w14:paraId="73585133" w14:textId="77777777" w:rsidR="00260F9C" w:rsidRDefault="00260F9C" w:rsidP="00260F9C">
      <w:pPr>
        <w:spacing w:line="360" w:lineRule="auto"/>
        <w:jc w:val="both"/>
      </w:pPr>
    </w:p>
    <w:p w14:paraId="1E300BD0" w14:textId="77777777" w:rsidR="00260F9C" w:rsidRDefault="00260F9C" w:rsidP="00260F9C">
      <w:pPr>
        <w:spacing w:line="360" w:lineRule="auto"/>
        <w:jc w:val="both"/>
      </w:pPr>
      <w:r>
        <w:rPr>
          <w:rFonts w:hint="cs"/>
          <w:rtl/>
        </w:rPr>
        <w:t>כלי הנשק עלולים למצוא דרכם לפעילות שלילית, אם פלילית ואם כנגד בטחון המדינה.</w:t>
      </w:r>
    </w:p>
    <w:p w14:paraId="3441EED3" w14:textId="77777777" w:rsidR="00260F9C" w:rsidRDefault="00260F9C" w:rsidP="00260F9C">
      <w:pPr>
        <w:spacing w:line="360" w:lineRule="auto"/>
        <w:jc w:val="both"/>
        <w:rPr>
          <w:rtl/>
        </w:rPr>
      </w:pPr>
    </w:p>
    <w:p w14:paraId="6073DA56" w14:textId="77777777" w:rsidR="00260F9C" w:rsidRDefault="00260F9C" w:rsidP="00260F9C">
      <w:pPr>
        <w:spacing w:line="360" w:lineRule="auto"/>
        <w:jc w:val="both"/>
        <w:rPr>
          <w:rtl/>
        </w:rPr>
      </w:pPr>
      <w:r>
        <w:rPr>
          <w:rFonts w:hint="cs"/>
          <w:rtl/>
        </w:rPr>
        <w:t>אחזקת נשק ותחמושת על ידי מי שלא נבדק, לא נמצא מתאים ולא הוכשר לכך, בתנאים שאינם מבטיחים בידודו של הנשק מהסביבה (כיום מי שמחזיק נשק ברשיון נדרש לאחסנו בכספת מאובטחת, מאחורי שני מנעולים), עלולה להביא לסיכון שלום הציבור, גם אם אין ראיות שהוחזק לצורך פעילות שלילית, כמפורט לעיל.</w:t>
      </w:r>
    </w:p>
    <w:p w14:paraId="578BEC3C" w14:textId="77777777" w:rsidR="00260F9C" w:rsidRDefault="00260F9C" w:rsidP="00260F9C">
      <w:pPr>
        <w:spacing w:line="360" w:lineRule="auto"/>
        <w:rPr>
          <w:rtl/>
        </w:rPr>
      </w:pPr>
    </w:p>
    <w:p w14:paraId="2DF28F37" w14:textId="77777777" w:rsidR="00260F9C" w:rsidRDefault="00260F9C" w:rsidP="00260F9C">
      <w:pPr>
        <w:spacing w:line="360" w:lineRule="auto"/>
        <w:jc w:val="both"/>
        <w:rPr>
          <w:rtl/>
        </w:rPr>
      </w:pPr>
      <w:r>
        <w:rPr>
          <w:rFonts w:hint="cs"/>
          <w:rtl/>
        </w:rPr>
        <w:t>בנוסף, אחזקת נשק כאמור עלולה להביא לפגיעה בשלטון החוק ובנושאי שלטון החוק, המבצעים את תפקידם.</w:t>
      </w:r>
    </w:p>
    <w:p w14:paraId="4D6D0D84" w14:textId="77777777" w:rsidR="00260F9C" w:rsidRDefault="00260F9C" w:rsidP="00260F9C">
      <w:pPr>
        <w:spacing w:line="360" w:lineRule="auto"/>
        <w:jc w:val="both"/>
        <w:rPr>
          <w:rtl/>
        </w:rPr>
      </w:pPr>
    </w:p>
    <w:p w14:paraId="6BAC674E" w14:textId="77777777" w:rsidR="00260F9C" w:rsidRDefault="00260F9C" w:rsidP="00260F9C">
      <w:pPr>
        <w:spacing w:line="360" w:lineRule="auto"/>
        <w:jc w:val="both"/>
        <w:rPr>
          <w:rtl/>
        </w:rPr>
      </w:pPr>
      <w:r>
        <w:rPr>
          <w:rFonts w:hint="cs"/>
          <w:rtl/>
        </w:rPr>
        <w:t xml:space="preserve">בפסק הדין </w:t>
      </w:r>
      <w:hyperlink r:id="rId15" w:history="1">
        <w:r w:rsidR="0060630D" w:rsidRPr="0060630D">
          <w:rPr>
            <w:color w:val="0000FF"/>
            <w:u w:val="single"/>
            <w:rtl/>
          </w:rPr>
          <w:t>ע.פ. 3288/14</w:t>
        </w:r>
      </w:hyperlink>
      <w:r>
        <w:rPr>
          <w:rFonts w:hint="cs"/>
          <w:rtl/>
        </w:rPr>
        <w:t xml:space="preserve"> </w:t>
      </w:r>
      <w:r>
        <w:rPr>
          <w:rFonts w:hint="cs"/>
          <w:b/>
          <w:bCs/>
          <w:rtl/>
        </w:rPr>
        <w:t>מדינת ישראל נ' קריספל</w:t>
      </w:r>
      <w:r>
        <w:rPr>
          <w:rFonts w:hint="cs"/>
          <w:rtl/>
        </w:rPr>
        <w:t xml:space="preserve"> (פורסם במאגרים), נאמר: </w:t>
      </w:r>
    </w:p>
    <w:p w14:paraId="5003F9D2" w14:textId="77777777" w:rsidR="00260F9C" w:rsidRDefault="00260F9C" w:rsidP="00260F9C">
      <w:pPr>
        <w:spacing w:line="360" w:lineRule="auto"/>
        <w:jc w:val="both"/>
        <w:rPr>
          <w:rtl/>
        </w:rPr>
      </w:pPr>
    </w:p>
    <w:p w14:paraId="4393C914" w14:textId="77777777" w:rsidR="00260F9C" w:rsidRDefault="00260F9C" w:rsidP="00260F9C">
      <w:pPr>
        <w:spacing w:line="360" w:lineRule="auto"/>
        <w:jc w:val="both"/>
        <w:rPr>
          <w:rFonts w:cs="Aharoni"/>
          <w:rtl/>
        </w:rPr>
      </w:pPr>
      <w:r>
        <w:rPr>
          <w:rFonts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1795CB4D" w14:textId="77777777" w:rsidR="00260F9C" w:rsidRDefault="00260F9C" w:rsidP="00260F9C">
      <w:pPr>
        <w:spacing w:line="360" w:lineRule="auto"/>
        <w:jc w:val="both"/>
        <w:rPr>
          <w:rtl/>
        </w:rPr>
      </w:pPr>
    </w:p>
    <w:p w14:paraId="68A503F0" w14:textId="77777777" w:rsidR="00260F9C" w:rsidRDefault="00260F9C" w:rsidP="00260F9C">
      <w:pPr>
        <w:spacing w:line="360" w:lineRule="auto"/>
        <w:jc w:val="both"/>
        <w:rPr>
          <w:rtl/>
        </w:rPr>
      </w:pPr>
      <w:r>
        <w:rPr>
          <w:rFonts w:hint="cs"/>
          <w:rtl/>
        </w:rPr>
        <w:t xml:space="preserve">בפסק הדין </w:t>
      </w:r>
      <w:hyperlink r:id="rId16" w:history="1">
        <w:r w:rsidR="0060630D" w:rsidRPr="0060630D">
          <w:rPr>
            <w:color w:val="0000FF"/>
            <w:u w:val="single"/>
            <w:rtl/>
          </w:rPr>
          <w:t>ע.פ. 4945/13</w:t>
        </w:r>
      </w:hyperlink>
      <w:r>
        <w:rPr>
          <w:rFonts w:hint="cs"/>
          <w:rtl/>
        </w:rPr>
        <w:t xml:space="preserve"> </w:t>
      </w:r>
      <w:r>
        <w:rPr>
          <w:rFonts w:hint="cs"/>
          <w:b/>
          <w:bCs/>
          <w:rtl/>
        </w:rPr>
        <w:t>סלימאן, נ' מדינת ישראל</w:t>
      </w:r>
      <w:r>
        <w:rPr>
          <w:rFonts w:hint="cs"/>
          <w:rtl/>
        </w:rPr>
        <w:t xml:space="preserve"> (פורסם במאגרים), נאמר:</w:t>
      </w:r>
    </w:p>
    <w:p w14:paraId="1D950C85" w14:textId="77777777" w:rsidR="00260F9C" w:rsidRDefault="00260F9C" w:rsidP="00260F9C">
      <w:pPr>
        <w:spacing w:line="360" w:lineRule="auto"/>
        <w:jc w:val="both"/>
        <w:rPr>
          <w:rtl/>
        </w:rPr>
      </w:pPr>
    </w:p>
    <w:p w14:paraId="7A0E073B" w14:textId="77777777" w:rsidR="00260F9C" w:rsidRDefault="00260F9C" w:rsidP="00260F9C">
      <w:pPr>
        <w:spacing w:line="360" w:lineRule="auto"/>
        <w:jc w:val="both"/>
        <w:rPr>
          <w:rFonts w:cs="Aharoni"/>
          <w:rtl/>
        </w:rPr>
      </w:pPr>
      <w:r>
        <w:rPr>
          <w:rFonts w:cs="Aharoni" w:hint="cs"/>
          <w:rtl/>
        </w:rPr>
        <w:t>... התגלגלותם של כלי נשק מיד ליד ללא פיקוח עלולה להוביל להגעתם בדרך לא דרך לגורמים פליליים ועוינים. אין לדעת מה יעלה בגורלם של</w:t>
      </w:r>
      <w:r w:rsidR="0060630D">
        <w:rPr>
          <w:rFonts w:cs="Aharoni" w:hint="cs"/>
          <w:rtl/>
        </w:rPr>
        <w:t xml:space="preserve"> </w:t>
      </w:r>
      <w:r>
        <w:rPr>
          <w:rFonts w:cs="Aharoni" w:hint="cs"/>
          <w:rtl/>
        </w:rPr>
        <w:t xml:space="preserve"> ולאלו תוצאות הרסניות יובילו. ודוק: הסיכון שנשקף לשלום הציבור צריך להילקח בחשבון על ידי כל מי שמחזיק בידו נשק שלא כדין, </w:t>
      </w:r>
      <w:r w:rsidRPr="005814CB">
        <w:rPr>
          <w:rFonts w:cs="Aharoni" w:hint="cs"/>
          <w:u w:val="single"/>
          <w:rtl/>
        </w:rPr>
        <w:t>גם אם אינו מחזיק בו למטרת ביצוען של עבירות אחרות</w:t>
      </w:r>
      <w:r>
        <w:rPr>
          <w:rFonts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07385620" w14:textId="77777777" w:rsidR="00260F9C" w:rsidRDefault="00260F9C" w:rsidP="00260F9C">
      <w:pPr>
        <w:spacing w:line="360" w:lineRule="auto"/>
        <w:jc w:val="both"/>
        <w:rPr>
          <w:rFonts w:cs="Aharoni"/>
          <w:rtl/>
        </w:rPr>
      </w:pPr>
      <w:r>
        <w:rPr>
          <w:rFonts w:cs="Aharoni" w:hint="cs"/>
          <w:rtl/>
        </w:rPr>
        <w:t>[ההדגשה אינה במקור].</w:t>
      </w:r>
    </w:p>
    <w:p w14:paraId="174CCE7D" w14:textId="77777777" w:rsidR="00260F9C" w:rsidRDefault="00260F9C" w:rsidP="00260F9C">
      <w:pPr>
        <w:spacing w:line="360" w:lineRule="auto"/>
        <w:jc w:val="both"/>
        <w:rPr>
          <w:rtl/>
        </w:rPr>
      </w:pPr>
    </w:p>
    <w:p w14:paraId="789A421C" w14:textId="77777777" w:rsidR="00260F9C" w:rsidRDefault="00260F9C" w:rsidP="00260F9C">
      <w:pPr>
        <w:spacing w:line="360" w:lineRule="auto"/>
        <w:jc w:val="both"/>
        <w:rPr>
          <w:rtl/>
        </w:rPr>
      </w:pPr>
      <w:r>
        <w:rPr>
          <w:rFonts w:hint="cs"/>
          <w:rtl/>
        </w:rPr>
        <w:t xml:space="preserve">בשורה של פסקי דין נקבע, כי </w:t>
      </w:r>
      <w:r>
        <w:rPr>
          <w:rFonts w:hint="cs"/>
          <w:u w:val="single"/>
          <w:rtl/>
        </w:rPr>
        <w:t>חומרת הסיכון הנשקף מעבירות אלה, מחיבת השתת עונשי מאסר בפועל בגין עבירות אלה וזאת גם כאשר המדובר, לכאורה, במי שמנהל אורח חיים נורמטיבי ואין לחובתו הרשעות קודמות</w:t>
      </w:r>
      <w:r>
        <w:rPr>
          <w:rFonts w:hint="cs"/>
          <w:rtl/>
        </w:rPr>
        <w:t xml:space="preserve">. ראו </w:t>
      </w:r>
      <w:hyperlink r:id="rId17" w:history="1">
        <w:r w:rsidR="0060630D" w:rsidRPr="0060630D">
          <w:rPr>
            <w:color w:val="0000FF"/>
            <w:u w:val="single"/>
            <w:rtl/>
          </w:rPr>
          <w:t>רע"פ 2718/04</w:t>
        </w:r>
      </w:hyperlink>
      <w:r>
        <w:rPr>
          <w:rFonts w:hint="cs"/>
          <w:rtl/>
        </w:rPr>
        <w:t xml:space="preserve"> </w:t>
      </w:r>
      <w:r>
        <w:rPr>
          <w:rFonts w:hint="cs"/>
          <w:b/>
          <w:bCs/>
          <w:rtl/>
        </w:rPr>
        <w:t>אבו דאחל נ' מדינת ישראל</w:t>
      </w:r>
      <w:r>
        <w:rPr>
          <w:rFonts w:hint="cs"/>
          <w:rtl/>
        </w:rPr>
        <w:t xml:space="preserve"> (פורסם במאגרים):</w:t>
      </w:r>
    </w:p>
    <w:p w14:paraId="50E72EEC" w14:textId="77777777" w:rsidR="00260F9C" w:rsidRDefault="00260F9C" w:rsidP="00260F9C">
      <w:pPr>
        <w:spacing w:line="360" w:lineRule="auto"/>
        <w:jc w:val="both"/>
        <w:rPr>
          <w:rtl/>
        </w:rPr>
      </w:pPr>
    </w:p>
    <w:p w14:paraId="4FFFEC39" w14:textId="77777777" w:rsidR="00260F9C" w:rsidRDefault="00260F9C" w:rsidP="00260F9C">
      <w:pPr>
        <w:spacing w:line="360" w:lineRule="auto"/>
        <w:jc w:val="both"/>
        <w:rPr>
          <w:rFonts w:cs="Aharoni"/>
          <w:rtl/>
        </w:rPr>
      </w:pPr>
      <w:r>
        <w:rPr>
          <w:rFonts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28163467" w14:textId="77777777" w:rsidR="00260F9C" w:rsidRDefault="00260F9C" w:rsidP="00260F9C">
      <w:pPr>
        <w:spacing w:line="360" w:lineRule="auto"/>
        <w:jc w:val="both"/>
        <w:rPr>
          <w:rFonts w:cs="Aharoni"/>
          <w:rtl/>
        </w:rPr>
      </w:pPr>
    </w:p>
    <w:p w14:paraId="76E52A42" w14:textId="77777777" w:rsidR="00260F9C" w:rsidRDefault="00260F9C" w:rsidP="00260F9C">
      <w:pPr>
        <w:spacing w:line="360" w:lineRule="auto"/>
        <w:jc w:val="both"/>
        <w:rPr>
          <w:rtl/>
        </w:rPr>
      </w:pPr>
      <w:r>
        <w:rPr>
          <w:rFonts w:hint="cs"/>
          <w:rtl/>
        </w:rPr>
        <w:t xml:space="preserve">עוד ראו </w:t>
      </w:r>
      <w:hyperlink r:id="rId18" w:history="1">
        <w:r w:rsidR="0060630D" w:rsidRPr="0060630D">
          <w:rPr>
            <w:color w:val="0000FF"/>
            <w:u w:val="single"/>
            <w:rtl/>
          </w:rPr>
          <w:t>ע.פ. 5220/09</w:t>
        </w:r>
      </w:hyperlink>
      <w:r>
        <w:rPr>
          <w:rFonts w:hint="cs"/>
          <w:rtl/>
        </w:rPr>
        <w:t xml:space="preserve"> </w:t>
      </w:r>
      <w:r>
        <w:rPr>
          <w:rFonts w:hint="cs"/>
          <w:b/>
          <w:bCs/>
          <w:rtl/>
        </w:rPr>
        <w:t xml:space="preserve">עוואודה נ' מדינת ישראל </w:t>
      </w:r>
      <w:r>
        <w:rPr>
          <w:rFonts w:hint="cs"/>
          <w:rtl/>
        </w:rPr>
        <w:t>(פורסם במאגרים):</w:t>
      </w:r>
    </w:p>
    <w:p w14:paraId="509313D2" w14:textId="77777777" w:rsidR="00260F9C" w:rsidRDefault="00260F9C" w:rsidP="00260F9C">
      <w:pPr>
        <w:spacing w:line="360" w:lineRule="auto"/>
        <w:rPr>
          <w:rtl/>
        </w:rPr>
      </w:pPr>
    </w:p>
    <w:p w14:paraId="356C4438" w14:textId="77777777" w:rsidR="00260F9C" w:rsidRDefault="00260F9C" w:rsidP="00260F9C">
      <w:pPr>
        <w:spacing w:line="360" w:lineRule="auto"/>
        <w:jc w:val="both"/>
        <w:rPr>
          <w:rFonts w:cs="Aharoni"/>
          <w:rtl/>
        </w:rPr>
      </w:pPr>
      <w:r>
        <w:rPr>
          <w:rFonts w:cs="Aharoni" w:hint="cs"/>
          <w:rtl/>
        </w:rPr>
        <w:t xml:space="preserve">אשר על כן משכבר נקבע הכלל לפיו </w:t>
      </w:r>
      <w:r w:rsidRPr="005814CB">
        <w:rPr>
          <w:rFonts w:cs="Aharoni" w:hint="cs"/>
          <w:u w:val="single"/>
          <w:rtl/>
        </w:rPr>
        <w:t>ככלל יש לאסור את המבצעים עבירה זו, גם אם מדובר בעבירה ראשונה</w:t>
      </w:r>
      <w:r>
        <w:rPr>
          <w:rFonts w:cs="Aharoni" w:hint="cs"/>
          <w:rtl/>
        </w:rPr>
        <w:t>, מאחורי סורג ובריח, ואילו אורך התקופה כלול בנסיבות הספציפיות של העושה והמעשה.</w:t>
      </w:r>
    </w:p>
    <w:p w14:paraId="1581E586" w14:textId="77777777" w:rsidR="00260F9C" w:rsidRDefault="00260F9C" w:rsidP="00260F9C">
      <w:pPr>
        <w:spacing w:line="360" w:lineRule="auto"/>
        <w:jc w:val="both"/>
        <w:rPr>
          <w:rFonts w:cs="Aharoni"/>
          <w:rtl/>
        </w:rPr>
      </w:pPr>
    </w:p>
    <w:p w14:paraId="334EFC9A" w14:textId="77777777" w:rsidR="00260F9C" w:rsidRDefault="00260F9C" w:rsidP="00260F9C">
      <w:pPr>
        <w:spacing w:line="360" w:lineRule="auto"/>
        <w:jc w:val="both"/>
        <w:rPr>
          <w:rFonts w:cs="Aharoni"/>
          <w:rtl/>
        </w:rPr>
      </w:pPr>
      <w:r>
        <w:rPr>
          <w:rFonts w:cs="Aharoni" w:hint="cs"/>
          <w:rtl/>
        </w:rPr>
        <w:t>[ההדגשה אינה במקור].</w:t>
      </w:r>
    </w:p>
    <w:p w14:paraId="783D7F40" w14:textId="77777777" w:rsidR="00260F9C" w:rsidRDefault="00260F9C" w:rsidP="00260F9C">
      <w:pPr>
        <w:spacing w:line="360" w:lineRule="auto"/>
        <w:jc w:val="both"/>
        <w:rPr>
          <w:rtl/>
        </w:rPr>
      </w:pPr>
    </w:p>
    <w:p w14:paraId="6A47BC40" w14:textId="77777777" w:rsidR="00260F9C" w:rsidRDefault="00260F9C" w:rsidP="00260F9C">
      <w:pPr>
        <w:spacing w:line="360" w:lineRule="auto"/>
        <w:jc w:val="both"/>
        <w:rPr>
          <w:rtl/>
        </w:rPr>
      </w:pPr>
      <w:r>
        <w:rPr>
          <w:rFonts w:hint="cs"/>
          <w:rtl/>
        </w:rPr>
        <w:t xml:space="preserve">אשר למתחם הענישה, בפסק הדין </w:t>
      </w:r>
      <w:hyperlink r:id="rId19" w:history="1">
        <w:r w:rsidR="0060630D" w:rsidRPr="0060630D">
          <w:rPr>
            <w:color w:val="0000FF"/>
            <w:u w:val="single"/>
            <w:rtl/>
          </w:rPr>
          <w:t>עפ"ג 23419-01-17</w:t>
        </w:r>
      </w:hyperlink>
      <w:r>
        <w:rPr>
          <w:rFonts w:hint="cs"/>
          <w:b/>
          <w:bCs/>
          <w:rtl/>
        </w:rPr>
        <w:t xml:space="preserve"> מדינת ישראל נ' זניד ואח'</w:t>
      </w:r>
      <w:r>
        <w:rPr>
          <w:rFonts w:hint="cs"/>
          <w:rtl/>
        </w:rPr>
        <w:t xml:space="preserve"> (פורסם במאגרים), נדון ערעור המדינה בענינם של שני משיבים, האחד נתפס מחזיק אקדח בקוטר 9 מ"מ ביחד עם מחסנית ובה 17</w:t>
      </w:r>
      <w:r w:rsidR="0060630D">
        <w:rPr>
          <w:rFonts w:hint="cs"/>
          <w:rtl/>
        </w:rPr>
        <w:t xml:space="preserve"> </w:t>
      </w:r>
      <w:r>
        <w:rPr>
          <w:rFonts w:hint="cs"/>
          <w:rtl/>
        </w:rPr>
        <w:t xml:space="preserve"> כדורים; וכן רובה סער מאולתר דמוי </w:t>
      </w:r>
      <w:r>
        <w:t>M16</w:t>
      </w:r>
      <w:r>
        <w:rPr>
          <w:rFonts w:hint="cs"/>
          <w:rtl/>
        </w:rPr>
        <w:t xml:space="preserve"> עם מחסנית ובה 28 כדורים; השני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5D0DC2C8" w14:textId="77777777" w:rsidR="00260F9C" w:rsidRDefault="00260F9C" w:rsidP="00260F9C">
      <w:pPr>
        <w:spacing w:line="360" w:lineRule="auto"/>
        <w:jc w:val="both"/>
        <w:rPr>
          <w:rtl/>
        </w:rPr>
      </w:pPr>
      <w:r>
        <w:rPr>
          <w:rFonts w:hint="cs"/>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hint="cs"/>
          <w:u w:val="single"/>
          <w:rtl/>
        </w:rPr>
        <w:t>המתחמים שנקבעו על ידי בית משפט השלום נמוכים יתר על המידה</w:t>
      </w:r>
      <w:r>
        <w:rPr>
          <w:rFonts w:hint="cs"/>
          <w:rtl/>
        </w:rPr>
        <w:t xml:space="preserve">. </w:t>
      </w:r>
    </w:p>
    <w:p w14:paraId="73F66332" w14:textId="77777777" w:rsidR="00260F9C" w:rsidRDefault="00260F9C" w:rsidP="00260F9C">
      <w:pPr>
        <w:spacing w:line="360" w:lineRule="auto"/>
        <w:jc w:val="both"/>
        <w:rPr>
          <w:rtl/>
        </w:rPr>
      </w:pPr>
    </w:p>
    <w:p w14:paraId="4E486E9F" w14:textId="77777777" w:rsidR="00260F9C" w:rsidRDefault="00260F9C" w:rsidP="00260F9C">
      <w:pPr>
        <w:spacing w:line="360" w:lineRule="auto"/>
        <w:jc w:val="both"/>
        <w:rPr>
          <w:rtl/>
        </w:rPr>
      </w:pPr>
      <w:r>
        <w:rPr>
          <w:rFonts w:hint="cs"/>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אחזקת כלי נשק מאולתר </w:t>
      </w:r>
      <w:r w:rsidRPr="005814CB">
        <w:rPr>
          <w:rFonts w:hint="cs"/>
          <w:u w:val="single"/>
          <w:rtl/>
        </w:rPr>
        <w:t>אחד</w:t>
      </w:r>
      <w:r>
        <w:rPr>
          <w:rFonts w:hint="cs"/>
          <w:rtl/>
        </w:rPr>
        <w:t xml:space="preserve"> מסוג תת מקלע בצירוף מחסנית ובה 10 כדורים. ראו </w:t>
      </w:r>
      <w:hyperlink r:id="rId20" w:history="1">
        <w:r w:rsidR="0060630D" w:rsidRPr="0060630D">
          <w:rPr>
            <w:color w:val="0000FF"/>
            <w:u w:val="single"/>
            <w:rtl/>
          </w:rPr>
          <w:t>ת.פ 7544-11-16</w:t>
        </w:r>
      </w:hyperlink>
      <w:r>
        <w:rPr>
          <w:rFonts w:hint="cs"/>
          <w:rtl/>
        </w:rPr>
        <w:t xml:space="preserve"> </w:t>
      </w:r>
      <w:r>
        <w:rPr>
          <w:rFonts w:hint="cs"/>
          <w:b/>
          <w:bCs/>
          <w:rtl/>
        </w:rPr>
        <w:t xml:space="preserve">מדינת ישראל נ' אלאסד </w:t>
      </w:r>
      <w:r>
        <w:rPr>
          <w:rFonts w:hint="cs"/>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1" w:history="1">
        <w:r w:rsidR="0060630D" w:rsidRPr="0060630D">
          <w:rPr>
            <w:color w:val="0000FF"/>
            <w:u w:val="single"/>
            <w:rtl/>
          </w:rPr>
          <w:t>עפ"ג 22885-05-17</w:t>
        </w:r>
      </w:hyperlink>
      <w:r>
        <w:rPr>
          <w:rFonts w:hint="cs"/>
          <w:rtl/>
        </w:rPr>
        <w:t xml:space="preserve"> </w:t>
      </w:r>
      <w:r>
        <w:rPr>
          <w:rFonts w:hint="cs"/>
          <w:b/>
          <w:bCs/>
          <w:rtl/>
        </w:rPr>
        <w:t>אלאסד נ' מדינת ישראל</w:t>
      </w:r>
      <w:r>
        <w:rPr>
          <w:rFonts w:hint="cs"/>
          <w:rtl/>
        </w:rPr>
        <w:t xml:space="preserve"> (פורסם במאגרים).</w:t>
      </w:r>
    </w:p>
    <w:p w14:paraId="4BC8B489" w14:textId="77777777" w:rsidR="00260F9C" w:rsidRDefault="00260F9C" w:rsidP="00260F9C">
      <w:pPr>
        <w:spacing w:line="360" w:lineRule="auto"/>
        <w:jc w:val="both"/>
        <w:rPr>
          <w:rtl/>
        </w:rPr>
      </w:pPr>
    </w:p>
    <w:p w14:paraId="6DC2BF63" w14:textId="77777777" w:rsidR="00260F9C" w:rsidRDefault="00260F9C" w:rsidP="00260F9C">
      <w:pPr>
        <w:spacing w:line="360" w:lineRule="auto"/>
        <w:jc w:val="both"/>
        <w:rPr>
          <w:rtl/>
        </w:rPr>
      </w:pPr>
      <w:r>
        <w:rPr>
          <w:rFonts w:hint="cs"/>
          <w:rtl/>
        </w:rPr>
        <w:t xml:space="preserve">בפסק הדין </w:t>
      </w:r>
      <w:hyperlink r:id="rId22" w:history="1">
        <w:r w:rsidR="0060630D" w:rsidRPr="0060630D">
          <w:rPr>
            <w:color w:val="0000FF"/>
            <w:u w:val="single"/>
            <w:rtl/>
          </w:rPr>
          <w:t>ע.פ. 4945/13</w:t>
        </w:r>
      </w:hyperlink>
      <w:r>
        <w:rPr>
          <w:rFonts w:hint="cs"/>
          <w:rtl/>
        </w:rPr>
        <w:t xml:space="preserve"> </w:t>
      </w:r>
      <w:r>
        <w:rPr>
          <w:rFonts w:hint="cs"/>
          <w:b/>
          <w:bCs/>
          <w:rtl/>
        </w:rPr>
        <w:t>מדינת ישראל נ' סלימאן</w:t>
      </w:r>
      <w:r>
        <w:rPr>
          <w:rFonts w:hint="cs"/>
          <w:rtl/>
        </w:rPr>
        <w:t xml:space="preserve"> (פורסם במאגרים), אושר מתחם ענישה שינוע בין שנה ועד 3 שנות מאסר, בגין אחזקת כלי נשק</w:t>
      </w:r>
      <w:r w:rsidR="0060630D">
        <w:rPr>
          <w:rFonts w:hint="cs"/>
          <w:rtl/>
        </w:rPr>
        <w:t xml:space="preserve"> </w:t>
      </w:r>
      <w:r>
        <w:rPr>
          <w:rFonts w:hint="cs"/>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63352E13" w14:textId="77777777" w:rsidR="00260F9C" w:rsidRDefault="00260F9C" w:rsidP="00260F9C">
      <w:pPr>
        <w:spacing w:line="360" w:lineRule="auto"/>
        <w:rPr>
          <w:rtl/>
        </w:rPr>
      </w:pPr>
    </w:p>
    <w:p w14:paraId="0A358B83" w14:textId="77777777" w:rsidR="00260F9C" w:rsidRDefault="00260F9C" w:rsidP="00260F9C">
      <w:pPr>
        <w:spacing w:line="360" w:lineRule="auto"/>
        <w:jc w:val="both"/>
        <w:rPr>
          <w:rtl/>
        </w:rPr>
      </w:pPr>
      <w:r>
        <w:rPr>
          <w:rFonts w:hint="cs"/>
          <w:rtl/>
        </w:rPr>
        <w:t xml:space="preserve">בית המשפט העליון ציין, כי ראוי לקבוע ענשים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3" w:history="1">
        <w:r w:rsidR="00BA09D5" w:rsidRPr="00BA09D5">
          <w:rPr>
            <w:color w:val="0000FF"/>
            <w:u w:val="single"/>
            <w:rtl/>
          </w:rPr>
          <w:t>לסעיף 144(ב)</w:t>
        </w:r>
      </w:hyperlink>
      <w:r>
        <w:rPr>
          <w:rFonts w:hint="cs"/>
          <w:rtl/>
        </w:rPr>
        <w:t xml:space="preserve"> ל</w:t>
      </w:r>
      <w:hyperlink r:id="rId24" w:history="1">
        <w:r w:rsidR="0060630D" w:rsidRPr="0060630D">
          <w:rPr>
            <w:color w:val="0000FF"/>
            <w:u w:val="single"/>
            <w:rtl/>
          </w:rPr>
          <w:t>חוק העונשין</w:t>
        </w:r>
      </w:hyperlink>
      <w:r>
        <w:rPr>
          <w:rFonts w:hint="cs"/>
          <w:rtl/>
        </w:rPr>
        <w:t>, תשל"ז-1977.</w:t>
      </w:r>
    </w:p>
    <w:p w14:paraId="4335D6B0" w14:textId="77777777" w:rsidR="00260F9C" w:rsidRDefault="00260F9C" w:rsidP="00260F9C">
      <w:pPr>
        <w:spacing w:line="360" w:lineRule="auto"/>
        <w:jc w:val="both"/>
        <w:rPr>
          <w:rtl/>
        </w:rPr>
      </w:pPr>
    </w:p>
    <w:p w14:paraId="0379FD53" w14:textId="77777777" w:rsidR="00260F9C" w:rsidRDefault="00260F9C" w:rsidP="00260F9C">
      <w:pPr>
        <w:spacing w:line="360" w:lineRule="auto"/>
        <w:jc w:val="both"/>
        <w:rPr>
          <w:rtl/>
        </w:rPr>
      </w:pPr>
      <w:r>
        <w:rPr>
          <w:rFonts w:hint="cs"/>
          <w:rtl/>
        </w:rPr>
        <w:t xml:space="preserve">לפני חדשים ספורים, ניתן, בבית משפט זה, גזר דין, </w:t>
      </w:r>
      <w:hyperlink r:id="rId25" w:history="1">
        <w:r w:rsidR="0060630D" w:rsidRPr="0060630D">
          <w:rPr>
            <w:color w:val="0000FF"/>
            <w:u w:val="single"/>
            <w:rtl/>
          </w:rPr>
          <w:t>ת.פ. 32560-12-16</w:t>
        </w:r>
      </w:hyperlink>
      <w:r>
        <w:rPr>
          <w:rFonts w:hint="cs"/>
          <w:rtl/>
        </w:rPr>
        <w:t xml:space="preserve"> </w:t>
      </w:r>
      <w:r>
        <w:rPr>
          <w:rFonts w:hint="cs"/>
          <w:b/>
          <w:bCs/>
          <w:rtl/>
        </w:rPr>
        <w:t>מדינת ישראל נ' אלסאריעה (</w:t>
      </w:r>
      <w:r>
        <w:rPr>
          <w:rFonts w:hint="cs"/>
          <w:rtl/>
        </w:rPr>
        <w:t>פורסם במאגרים). שם, נדון נאשם בגין עבירה של נסיון להחזקת אקדח מסוג ברטה (העבירה תוקנה לנסיון, במסגרת הסדר טעון, בשל כך שהנשק לא היה תקין), וכן תת מקלע מאולתר, כשכלי הנשק הוחזקו בביתו של הנאשם שם, לעונש מאסר בן 20 חדשים בפועל. זאת, במסגרת מתחם כולל שנע בין 18 עד 42 חדשי מאסר.</w:t>
      </w:r>
    </w:p>
    <w:p w14:paraId="79F81564" w14:textId="77777777" w:rsidR="00260F9C" w:rsidRDefault="00260F9C" w:rsidP="00260F9C">
      <w:pPr>
        <w:spacing w:line="360" w:lineRule="auto"/>
        <w:jc w:val="both"/>
        <w:rPr>
          <w:rtl/>
        </w:rPr>
      </w:pPr>
    </w:p>
    <w:p w14:paraId="3D599F08" w14:textId="77777777" w:rsidR="00260F9C" w:rsidRDefault="00260F9C" w:rsidP="00260F9C">
      <w:pPr>
        <w:spacing w:line="360" w:lineRule="auto"/>
        <w:jc w:val="both"/>
        <w:rPr>
          <w:b/>
          <w:bCs/>
          <w:u w:val="single"/>
          <w:rtl/>
        </w:rPr>
      </w:pPr>
      <w:r>
        <w:rPr>
          <w:rFonts w:hint="cs"/>
          <w:b/>
          <w:bCs/>
          <w:u w:val="single"/>
          <w:rtl/>
        </w:rPr>
        <w:t xml:space="preserve">בשבתו כבית משפט לערעורים פליליים, דחה בית המשפט המחוזי, הרכב אב"ד כב' הנשיאה ר' יפה-כץ, ערעור ההגנה על חומרת העונש, תוך שמצא, כי נסיבותיו האישיות של המערער, אשר, ממש כמו במקרה דנן, היה צעיר ללא עבר פלילי וכמו במקרה דנן </w:t>
      </w:r>
      <w:r>
        <w:rPr>
          <w:b/>
          <w:bCs/>
          <w:u w:val="single"/>
          <w:rtl/>
        </w:rPr>
        <w:t>–</w:t>
      </w:r>
      <w:r>
        <w:rPr>
          <w:rFonts w:hint="cs"/>
          <w:b/>
          <w:bCs/>
          <w:u w:val="single"/>
          <w:rtl/>
        </w:rPr>
        <w:t xml:space="preserve"> לא היו אינדיקציות על שימוש פלילי או אחר המתוכן בנשק </w:t>
      </w:r>
      <w:r>
        <w:rPr>
          <w:b/>
          <w:bCs/>
          <w:u w:val="single"/>
          <w:rtl/>
        </w:rPr>
        <w:t>–</w:t>
      </w:r>
      <w:r>
        <w:rPr>
          <w:rFonts w:hint="cs"/>
          <w:b/>
          <w:bCs/>
          <w:u w:val="single"/>
          <w:rtl/>
        </w:rPr>
        <w:t xml:space="preserve"> נדחות מפני האינטרס הציבורי של מיגור העבירות מסוג זה.</w:t>
      </w:r>
    </w:p>
    <w:p w14:paraId="3236B991" w14:textId="77777777" w:rsidR="00260F9C" w:rsidRDefault="00260F9C" w:rsidP="00260F9C">
      <w:pPr>
        <w:spacing w:line="360" w:lineRule="auto"/>
        <w:jc w:val="both"/>
        <w:rPr>
          <w:b/>
          <w:bCs/>
          <w:u w:val="single"/>
          <w:rtl/>
        </w:rPr>
      </w:pPr>
    </w:p>
    <w:p w14:paraId="7879CA56" w14:textId="77777777" w:rsidR="00260F9C" w:rsidRDefault="00260F9C" w:rsidP="00260F9C">
      <w:pPr>
        <w:spacing w:line="360" w:lineRule="auto"/>
        <w:jc w:val="both"/>
        <w:rPr>
          <w:rtl/>
        </w:rPr>
      </w:pPr>
      <w:r>
        <w:rPr>
          <w:rFonts w:hint="cs"/>
          <w:rtl/>
        </w:rPr>
        <w:t>יצוין, גם באותו מקרה, בא שירות המבחן בהמלצה להשית עונש מאסר לריצוי בדרך של עבודות שירות.</w:t>
      </w:r>
    </w:p>
    <w:p w14:paraId="73543D33" w14:textId="77777777" w:rsidR="00260F9C" w:rsidRDefault="00260F9C" w:rsidP="00260F9C">
      <w:pPr>
        <w:spacing w:line="360" w:lineRule="auto"/>
        <w:jc w:val="both"/>
        <w:rPr>
          <w:rtl/>
        </w:rPr>
      </w:pPr>
    </w:p>
    <w:p w14:paraId="01BCC664" w14:textId="77777777" w:rsidR="00260F9C" w:rsidRPr="00DC7909" w:rsidRDefault="00260F9C" w:rsidP="00260F9C">
      <w:pPr>
        <w:spacing w:line="360" w:lineRule="auto"/>
        <w:jc w:val="both"/>
        <w:rPr>
          <w:b/>
          <w:bCs/>
          <w:rtl/>
        </w:rPr>
      </w:pPr>
      <w:r w:rsidRPr="005814CB">
        <w:rPr>
          <w:rFonts w:hint="cs"/>
          <w:b/>
          <w:bCs/>
          <w:u w:val="single"/>
          <w:rtl/>
        </w:rPr>
        <w:t>פסק הדין בערעור זה ניתן לפני מספר שבועות</w:t>
      </w:r>
      <w:r w:rsidRPr="00DC7909">
        <w:rPr>
          <w:rFonts w:hint="cs"/>
          <w:b/>
          <w:bCs/>
          <w:rtl/>
        </w:rPr>
        <w:t>.</w:t>
      </w:r>
    </w:p>
    <w:p w14:paraId="42139D5B" w14:textId="77777777" w:rsidR="00260F9C" w:rsidRDefault="00260F9C" w:rsidP="00260F9C">
      <w:pPr>
        <w:spacing w:line="360" w:lineRule="auto"/>
        <w:jc w:val="both"/>
        <w:rPr>
          <w:rtl/>
        </w:rPr>
      </w:pPr>
    </w:p>
    <w:p w14:paraId="05887A4A" w14:textId="77777777" w:rsidR="00260F9C" w:rsidRPr="00464B5A" w:rsidRDefault="00260F9C" w:rsidP="00260F9C">
      <w:pPr>
        <w:spacing w:line="360" w:lineRule="auto"/>
        <w:jc w:val="both"/>
        <w:rPr>
          <w:rtl/>
        </w:rPr>
      </w:pPr>
    </w:p>
    <w:p w14:paraId="5FC82546" w14:textId="77777777" w:rsidR="00260F9C" w:rsidRDefault="00260F9C" w:rsidP="00260F9C">
      <w:pPr>
        <w:spacing w:line="360" w:lineRule="auto"/>
        <w:jc w:val="both"/>
        <w:rPr>
          <w:rtl/>
        </w:rPr>
      </w:pPr>
      <w:r>
        <w:rPr>
          <w:rFonts w:hint="cs"/>
          <w:rtl/>
        </w:rPr>
        <w:t xml:space="preserve">לאחרונה, פורסמה הנחית פרקליט המדינה מס' </w:t>
      </w:r>
      <w:r w:rsidR="0060630D">
        <w:rPr>
          <w:rFonts w:hint="cs"/>
          <w:rtl/>
        </w:rPr>
        <w:t xml:space="preserve"> </w:t>
      </w:r>
      <w:r>
        <w:rPr>
          <w:rFonts w:hint="cs"/>
          <w:rtl/>
        </w:rPr>
        <w:t xml:space="preserve">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אחזקה של רובה סער או תת מקלע – ברמה אחת לפני הרמה החמורה ביותר. לנוכח הפסיקה שנזכרה באותה הנחיה, הונחתה התביעה הכללית לטעון למתחם שינוע בין שנתיים עד 4 שנות מאסר בפועל בגין כל עבירה בודדת של אחזקת רובה או תת מקלע. </w:t>
      </w:r>
    </w:p>
    <w:p w14:paraId="1C4AD7B5" w14:textId="77777777" w:rsidR="00260F9C" w:rsidRDefault="00260F9C" w:rsidP="00260F9C">
      <w:pPr>
        <w:spacing w:line="360" w:lineRule="auto"/>
        <w:rPr>
          <w:rtl/>
        </w:rPr>
      </w:pPr>
    </w:p>
    <w:p w14:paraId="7E41F618" w14:textId="77777777" w:rsidR="00260F9C" w:rsidRDefault="00260F9C" w:rsidP="00260F9C">
      <w:pPr>
        <w:spacing w:line="360" w:lineRule="auto"/>
        <w:jc w:val="both"/>
        <w:rPr>
          <w:rtl/>
        </w:rPr>
      </w:pPr>
      <w:r>
        <w:rPr>
          <w:rFonts w:hint="cs"/>
          <w:rtl/>
        </w:rPr>
        <w:t xml:space="preserve">הצורך בהחמרת הענישה נומק במספר הרב של עבירות, פליליות וכאלה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Pr>
          <w:rFonts w:hint="cs"/>
          <w:u w:val="single"/>
          <w:rtl/>
        </w:rPr>
        <w:t>פליליים</w:t>
      </w:r>
      <w:r>
        <w:rPr>
          <w:rFonts w:hint="cs"/>
          <w:rtl/>
        </w:rPr>
        <w:t xml:space="preserve"> באמצעות נשק חם. זאת, מבלי לקחת בחשבון פיגועים על רקע בטחוני או עבירות שנאה.</w:t>
      </w:r>
    </w:p>
    <w:p w14:paraId="438AF187" w14:textId="77777777" w:rsidR="00260F9C" w:rsidRDefault="00260F9C" w:rsidP="00260F9C">
      <w:pPr>
        <w:spacing w:line="360" w:lineRule="auto"/>
        <w:jc w:val="both"/>
        <w:rPr>
          <w:rtl/>
        </w:rPr>
      </w:pPr>
    </w:p>
    <w:p w14:paraId="446096CB" w14:textId="77777777" w:rsidR="00260F9C" w:rsidRDefault="00260F9C" w:rsidP="00260F9C">
      <w:pPr>
        <w:spacing w:line="360" w:lineRule="auto"/>
        <w:jc w:val="both"/>
        <w:rPr>
          <w:rtl/>
        </w:rPr>
      </w:pPr>
      <w:r>
        <w:rPr>
          <w:rFonts w:hint="cs"/>
          <w:rtl/>
        </w:rPr>
        <w:t xml:space="preserve">לאור כל האמור, מוצא בית המשפט לקבוע, בגין כל עבירה של אחזקת נשק אוטומטי, מסוג רובה סער או תת מקלע – מתחם ענישה שינוע בין שנה ועד שלוש שנות מאסר בפועל. כאשר המדובר בשתי עבירות </w:t>
      </w:r>
      <w:r>
        <w:rPr>
          <w:rtl/>
        </w:rPr>
        <w:t>–</w:t>
      </w:r>
      <w:r>
        <w:rPr>
          <w:rFonts w:hint="cs"/>
          <w:rtl/>
        </w:rPr>
        <w:t xml:space="preserve"> היינו אחזקת שני כלי נשק מסוג תת מקלע מאולתר </w:t>
      </w:r>
      <w:r>
        <w:rPr>
          <w:rtl/>
        </w:rPr>
        <w:t>–</w:t>
      </w:r>
      <w:r>
        <w:rPr>
          <w:rFonts w:hint="cs"/>
          <w:rtl/>
        </w:rPr>
        <w:t xml:space="preserve"> לנוכח כך, שהוחזקו יחדיו, יורה בית המשפט על חפיפה מסוימת בין המתחמים, כשהמתחם הכולל ינוע בין שנתיים ועד ארבע שנות מאסר.</w:t>
      </w:r>
    </w:p>
    <w:p w14:paraId="4885BFEA" w14:textId="77777777" w:rsidR="00260F9C" w:rsidRPr="00260F9C" w:rsidRDefault="00260F9C" w:rsidP="00260F9C">
      <w:pPr>
        <w:spacing w:line="360" w:lineRule="auto"/>
        <w:jc w:val="both"/>
        <w:rPr>
          <w:rFonts w:eastAsia="Calibri"/>
          <w:rtl/>
        </w:rPr>
      </w:pPr>
    </w:p>
    <w:p w14:paraId="4E204980" w14:textId="77777777" w:rsidR="00260F9C" w:rsidRDefault="00260F9C" w:rsidP="00260F9C">
      <w:pPr>
        <w:spacing w:line="360" w:lineRule="auto"/>
        <w:jc w:val="both"/>
        <w:rPr>
          <w:rtl/>
        </w:rPr>
      </w:pPr>
    </w:p>
    <w:p w14:paraId="47B09701" w14:textId="77777777" w:rsidR="00260F9C" w:rsidRDefault="00260F9C" w:rsidP="00260F9C">
      <w:pPr>
        <w:spacing w:line="360" w:lineRule="auto"/>
        <w:jc w:val="both"/>
        <w:rPr>
          <w:b/>
          <w:bCs/>
          <w:rtl/>
        </w:rPr>
      </w:pPr>
      <w:r>
        <w:rPr>
          <w:rFonts w:hint="cs"/>
          <w:b/>
          <w:bCs/>
          <w:rtl/>
        </w:rPr>
        <w:t xml:space="preserve">אשר לקביעת הענישה הספציפית במסגרת המתחם: </w:t>
      </w:r>
    </w:p>
    <w:p w14:paraId="5C9DE398" w14:textId="77777777" w:rsidR="00260F9C" w:rsidRDefault="00260F9C" w:rsidP="00260F9C">
      <w:pPr>
        <w:spacing w:line="360" w:lineRule="auto"/>
        <w:jc w:val="both"/>
        <w:rPr>
          <w:rtl/>
        </w:rPr>
      </w:pPr>
    </w:p>
    <w:p w14:paraId="30311D14" w14:textId="77777777" w:rsidR="00260F9C" w:rsidRDefault="00260F9C" w:rsidP="00260F9C">
      <w:pPr>
        <w:spacing w:line="360" w:lineRule="auto"/>
        <w:jc w:val="both"/>
        <w:rPr>
          <w:rtl/>
        </w:rPr>
      </w:pPr>
      <w:r>
        <w:rPr>
          <w:rFonts w:hint="cs"/>
          <w:rtl/>
        </w:rPr>
        <w:t>הנאשם רכש שני כלי נשק שונים, בצירוף מחסניות, והחזיקם בכלי רכב, נגישים ומוכנים לשימוש.</w:t>
      </w:r>
    </w:p>
    <w:p w14:paraId="67356074" w14:textId="77777777" w:rsidR="00260F9C" w:rsidRDefault="00260F9C" w:rsidP="00260F9C">
      <w:pPr>
        <w:spacing w:line="360" w:lineRule="auto"/>
        <w:jc w:val="both"/>
        <w:rPr>
          <w:rtl/>
        </w:rPr>
      </w:pPr>
    </w:p>
    <w:p w14:paraId="05C23A54" w14:textId="77777777" w:rsidR="00260F9C" w:rsidRDefault="00260F9C" w:rsidP="00260F9C">
      <w:pPr>
        <w:spacing w:line="360" w:lineRule="auto"/>
        <w:jc w:val="both"/>
        <w:rPr>
          <w:rtl/>
        </w:rPr>
      </w:pPr>
      <w:r>
        <w:rPr>
          <w:rFonts w:hint="cs"/>
          <w:rtl/>
        </w:rPr>
        <w:t xml:space="preserve">הנימוקים שמסר הנאשם בפני שירות המבחן לאחזקת כלי הנשק </w:t>
      </w:r>
      <w:r>
        <w:rPr>
          <w:rtl/>
        </w:rPr>
        <w:t>–</w:t>
      </w:r>
      <w:r>
        <w:rPr>
          <w:rFonts w:hint="cs"/>
          <w:rtl/>
        </w:rPr>
        <w:t xml:space="preserve"> כי מטרתו היתה ירי בחתונות ובאירועים </w:t>
      </w:r>
      <w:r>
        <w:rPr>
          <w:rtl/>
        </w:rPr>
        <w:t>–</w:t>
      </w:r>
      <w:r>
        <w:rPr>
          <w:rFonts w:hint="cs"/>
          <w:rtl/>
        </w:rPr>
        <w:t xml:space="preserve"> אין בהם כדי להפחית מחומרת העבירות. הרי לא יכולה להיות מחלוקת, כי אין בכך בבחינת הצדקה לאחזקה של כלי נשק בלתי חוקיים, ואין צורך להכביר מילים, על סכנת הפגיעה באזרחים חפים מפשע כתוצאה מירי בלתי מבוקר, גם אם הירי היה באירוע משמח. </w:t>
      </w:r>
    </w:p>
    <w:p w14:paraId="0744697B" w14:textId="77777777" w:rsidR="00260F9C" w:rsidRDefault="00260F9C" w:rsidP="00260F9C">
      <w:pPr>
        <w:spacing w:line="360" w:lineRule="auto"/>
        <w:jc w:val="both"/>
        <w:rPr>
          <w:rtl/>
        </w:rPr>
      </w:pPr>
    </w:p>
    <w:p w14:paraId="668F59AA" w14:textId="77777777" w:rsidR="00260F9C" w:rsidRDefault="00260F9C" w:rsidP="00260F9C">
      <w:pPr>
        <w:spacing w:line="360" w:lineRule="auto"/>
        <w:jc w:val="both"/>
        <w:rPr>
          <w:rtl/>
        </w:rPr>
      </w:pPr>
      <w:r>
        <w:rPr>
          <w:rFonts w:hint="cs"/>
          <w:rtl/>
        </w:rPr>
        <w:t>מעבר לאמור, ספק אם</w:t>
      </w:r>
      <w:r w:rsidR="0060630D">
        <w:rPr>
          <w:rFonts w:hint="cs"/>
          <w:rtl/>
        </w:rPr>
        <w:t xml:space="preserve"> </w:t>
      </w:r>
      <w:r>
        <w:rPr>
          <w:rFonts w:hint="cs"/>
          <w:rtl/>
        </w:rPr>
        <w:t xml:space="preserve"> יש ליתן משקל כלשהו לגרסה זו של הנאשם, באשר אינה נתמכת בראיות. קשה להסביר רכישה של </w:t>
      </w:r>
      <w:r>
        <w:rPr>
          <w:rFonts w:hint="cs"/>
          <w:u w:val="single"/>
          <w:rtl/>
        </w:rPr>
        <w:t>שני</w:t>
      </w:r>
      <w:r>
        <w:rPr>
          <w:rFonts w:hint="cs"/>
          <w:rtl/>
        </w:rPr>
        <w:t xml:space="preserve"> כלי נשק, ביחוד כלי נשק </w:t>
      </w:r>
      <w:r w:rsidRPr="002B4F06">
        <w:rPr>
          <w:rFonts w:hint="cs"/>
          <w:u w:val="single"/>
          <w:rtl/>
        </w:rPr>
        <w:t>אוטומטיים</w:t>
      </w:r>
      <w:r>
        <w:rPr>
          <w:rFonts w:hint="cs"/>
          <w:rtl/>
        </w:rPr>
        <w:t xml:space="preserve">, מסוג </w:t>
      </w:r>
      <w:r w:rsidRPr="00E443AE">
        <w:rPr>
          <w:rFonts w:hint="cs"/>
          <w:u w:val="single"/>
          <w:rtl/>
        </w:rPr>
        <w:t>תת מקלע</w:t>
      </w:r>
      <w:r>
        <w:rPr>
          <w:rFonts w:hint="cs"/>
          <w:rtl/>
        </w:rPr>
        <w:t xml:space="preserve">, לצורך זה. </w:t>
      </w:r>
    </w:p>
    <w:p w14:paraId="246FC1A0" w14:textId="77777777" w:rsidR="00260F9C" w:rsidRDefault="00260F9C" w:rsidP="00260F9C">
      <w:pPr>
        <w:spacing w:line="360" w:lineRule="auto"/>
        <w:jc w:val="both"/>
        <w:rPr>
          <w:rtl/>
        </w:rPr>
      </w:pPr>
    </w:p>
    <w:p w14:paraId="6E63DC0E" w14:textId="77777777" w:rsidR="00260F9C" w:rsidRDefault="00260F9C" w:rsidP="00260F9C">
      <w:pPr>
        <w:spacing w:line="360" w:lineRule="auto"/>
        <w:jc w:val="both"/>
        <w:rPr>
          <w:rtl/>
        </w:rPr>
      </w:pPr>
      <w:r>
        <w:rPr>
          <w:rFonts w:hint="cs"/>
          <w:rtl/>
        </w:rPr>
        <w:t xml:space="preserve">הוסף לאמור, הנאשם שינה את גרסותיו בשירות המבחן, כאשר תחילה מסר, כי אחרים בלתי ידועים הניחו את כלי הנשק ברכבו ורק בשלב מאוחר יותר עלתה גרסתו זו, כאשר  שירות המבחן למבוגרים אף מצא לציין, כי הנאשם </w:t>
      </w:r>
      <w:r>
        <w:rPr>
          <w:rFonts w:hint="cs"/>
          <w:u w:val="single"/>
          <w:rtl/>
        </w:rPr>
        <w:t>נוקט בעמדה מצמצמת וכי לא עלה בידו להתחקות אחר מניעיו לעבירות.</w:t>
      </w:r>
    </w:p>
    <w:p w14:paraId="07FE097D" w14:textId="77777777" w:rsidR="00260F9C" w:rsidRDefault="00260F9C" w:rsidP="00260F9C">
      <w:pPr>
        <w:spacing w:line="360" w:lineRule="auto"/>
        <w:jc w:val="both"/>
        <w:rPr>
          <w:rtl/>
        </w:rPr>
      </w:pPr>
    </w:p>
    <w:p w14:paraId="37BEB263" w14:textId="77777777" w:rsidR="00260F9C" w:rsidRDefault="00260F9C" w:rsidP="00260F9C">
      <w:pPr>
        <w:spacing w:line="360" w:lineRule="auto"/>
        <w:jc w:val="both"/>
        <w:rPr>
          <w:rtl/>
        </w:rPr>
      </w:pPr>
      <w:r>
        <w:rPr>
          <w:rFonts w:hint="cs"/>
          <w:rtl/>
        </w:rPr>
        <w:t>נקיטת הנאשם בגישה מצמצמת, שינוי הגרסאות ותפישותיו המקלות ביחס לעבירות שעבר, יש בהם בבחינת נתון המצביע לכיוון החמרה מסוימת במסגרת מתחם הענישה. אם ימנע בית המשפט מלהחמיר עמו, יהיה זה בשל הנימוקים הבאים:</w:t>
      </w:r>
    </w:p>
    <w:p w14:paraId="29CE5FBA" w14:textId="77777777" w:rsidR="00260F9C" w:rsidRDefault="00260F9C" w:rsidP="00260F9C">
      <w:pPr>
        <w:spacing w:line="360" w:lineRule="auto"/>
        <w:jc w:val="both"/>
        <w:rPr>
          <w:rtl/>
        </w:rPr>
      </w:pPr>
    </w:p>
    <w:p w14:paraId="6D3B1B4A" w14:textId="77777777" w:rsidR="00260F9C" w:rsidRDefault="00260F9C" w:rsidP="00260F9C">
      <w:pPr>
        <w:spacing w:line="360" w:lineRule="auto"/>
        <w:jc w:val="both"/>
        <w:rPr>
          <w:rtl/>
        </w:rPr>
      </w:pPr>
      <w:r>
        <w:rPr>
          <w:rFonts w:hint="cs"/>
          <w:rtl/>
        </w:rPr>
        <w:t xml:space="preserve">הנאשם הודה בעבירות, כפי נוסחן בכתב האישום המקורי, בבית המשפט. </w:t>
      </w:r>
    </w:p>
    <w:p w14:paraId="0F92D2FB" w14:textId="77777777" w:rsidR="00260F9C" w:rsidRDefault="00260F9C" w:rsidP="00260F9C">
      <w:pPr>
        <w:spacing w:line="360" w:lineRule="auto"/>
        <w:jc w:val="both"/>
        <w:rPr>
          <w:rtl/>
        </w:rPr>
      </w:pPr>
    </w:p>
    <w:p w14:paraId="0EB4ACA5" w14:textId="77777777" w:rsidR="00260F9C" w:rsidRDefault="00260F9C" w:rsidP="00260F9C">
      <w:pPr>
        <w:spacing w:line="360" w:lineRule="auto"/>
        <w:jc w:val="both"/>
        <w:rPr>
          <w:rtl/>
        </w:rPr>
      </w:pPr>
      <w:r>
        <w:rPr>
          <w:rFonts w:hint="cs"/>
          <w:rtl/>
        </w:rPr>
        <w:t>לא הוצגו ראיות או אינדיקציות על כוונה לשימוש שלילי בנשק שנתפס.</w:t>
      </w:r>
    </w:p>
    <w:p w14:paraId="444FF807" w14:textId="77777777" w:rsidR="00260F9C" w:rsidRDefault="00260F9C" w:rsidP="00260F9C">
      <w:pPr>
        <w:spacing w:line="360" w:lineRule="auto"/>
        <w:rPr>
          <w:rtl/>
        </w:rPr>
      </w:pPr>
    </w:p>
    <w:p w14:paraId="4AEB0653" w14:textId="77777777" w:rsidR="00260F9C" w:rsidRDefault="00260F9C" w:rsidP="00260F9C">
      <w:pPr>
        <w:spacing w:line="360" w:lineRule="auto"/>
        <w:jc w:val="both"/>
        <w:rPr>
          <w:rtl/>
        </w:rPr>
      </w:pPr>
      <w:r>
        <w:rPr>
          <w:rFonts w:hint="cs"/>
          <w:rtl/>
        </w:rPr>
        <w:t xml:space="preserve">עד למעצרו, לא נתפס הנאשם מסתבך עם החוק. </w:t>
      </w:r>
    </w:p>
    <w:p w14:paraId="355E7991" w14:textId="77777777" w:rsidR="00260F9C" w:rsidRDefault="00260F9C" w:rsidP="00260F9C">
      <w:pPr>
        <w:spacing w:line="360" w:lineRule="auto"/>
        <w:jc w:val="both"/>
        <w:rPr>
          <w:rtl/>
        </w:rPr>
      </w:pPr>
    </w:p>
    <w:p w14:paraId="046A7A3C" w14:textId="77777777" w:rsidR="00260F9C" w:rsidRDefault="00260F9C" w:rsidP="00260F9C">
      <w:pPr>
        <w:spacing w:line="360" w:lineRule="auto"/>
        <w:jc w:val="both"/>
        <w:rPr>
          <w:rtl/>
        </w:rPr>
      </w:pPr>
      <w:r>
        <w:rPr>
          <w:rFonts w:hint="cs"/>
          <w:rtl/>
        </w:rPr>
        <w:t>כל אלה מצביעים לכיוון ענישה על הרף הנמוך של המתחם שנקבע.</w:t>
      </w:r>
    </w:p>
    <w:p w14:paraId="03DFF903" w14:textId="77777777" w:rsidR="00260F9C" w:rsidRDefault="00260F9C" w:rsidP="00260F9C">
      <w:pPr>
        <w:spacing w:line="360" w:lineRule="auto"/>
        <w:jc w:val="both"/>
        <w:rPr>
          <w:rtl/>
        </w:rPr>
      </w:pPr>
    </w:p>
    <w:p w14:paraId="426097D2" w14:textId="77777777" w:rsidR="00260F9C" w:rsidRDefault="00260F9C" w:rsidP="00260F9C">
      <w:pPr>
        <w:spacing w:line="360" w:lineRule="auto"/>
        <w:jc w:val="both"/>
        <w:rPr>
          <w:rtl/>
        </w:rPr>
      </w:pPr>
      <w:r>
        <w:rPr>
          <w:rFonts w:hint="cs"/>
          <w:rtl/>
        </w:rPr>
        <w:t xml:space="preserve">אשר להמלצתו הענשית של שירות המבחן בסיפא לתסקיר – מוצא בית המשפט, כי זו אינה עומדת כלל במסגרת מתחם הענישה הנוהג בדין. </w:t>
      </w:r>
    </w:p>
    <w:p w14:paraId="0EAD21D1" w14:textId="77777777" w:rsidR="00260F9C" w:rsidRDefault="00260F9C" w:rsidP="00260F9C">
      <w:pPr>
        <w:spacing w:line="360" w:lineRule="auto"/>
        <w:jc w:val="both"/>
        <w:rPr>
          <w:rtl/>
        </w:rPr>
      </w:pPr>
    </w:p>
    <w:p w14:paraId="22F71031" w14:textId="77777777" w:rsidR="00260F9C" w:rsidRDefault="00260F9C" w:rsidP="00260F9C">
      <w:pPr>
        <w:spacing w:line="360" w:lineRule="auto"/>
        <w:jc w:val="both"/>
        <w:rPr>
          <w:rtl/>
        </w:rPr>
      </w:pPr>
      <w:r>
        <w:rPr>
          <w:rFonts w:hint="cs"/>
          <w:rtl/>
        </w:rPr>
        <w:t xml:space="preserve">כאמור, עמדה זו נתקבלה גם על ידי בית משפט המחוזי בפסק דינו האחרון בפרשת </w:t>
      </w:r>
      <w:r w:rsidRPr="002B4F06">
        <w:rPr>
          <w:rFonts w:hint="cs"/>
          <w:b/>
          <w:bCs/>
          <w:rtl/>
        </w:rPr>
        <w:t>אלסראעיה</w:t>
      </w:r>
      <w:r>
        <w:rPr>
          <w:rFonts w:hint="cs"/>
          <w:rtl/>
        </w:rPr>
        <w:t xml:space="preserve"> (</w:t>
      </w:r>
      <w:hyperlink r:id="rId26" w:history="1">
        <w:r w:rsidR="0060630D" w:rsidRPr="0060630D">
          <w:rPr>
            <w:color w:val="0000FF"/>
            <w:u w:val="single"/>
            <w:rtl/>
          </w:rPr>
          <w:t>עפ"ג 26496-09-17</w:t>
        </w:r>
      </w:hyperlink>
      <w:r>
        <w:rPr>
          <w:rFonts w:hint="cs"/>
          <w:rtl/>
        </w:rPr>
        <w:t>).</w:t>
      </w:r>
    </w:p>
    <w:p w14:paraId="7B34E34A" w14:textId="77777777" w:rsidR="00260F9C" w:rsidRDefault="00260F9C" w:rsidP="00260F9C">
      <w:pPr>
        <w:spacing w:line="360" w:lineRule="auto"/>
        <w:jc w:val="both"/>
        <w:rPr>
          <w:rtl/>
        </w:rPr>
      </w:pPr>
    </w:p>
    <w:p w14:paraId="370096A1" w14:textId="77777777" w:rsidR="00260F9C" w:rsidRDefault="00260F9C" w:rsidP="00260F9C">
      <w:pPr>
        <w:spacing w:line="360" w:lineRule="auto"/>
        <w:jc w:val="both"/>
        <w:rPr>
          <w:rtl/>
        </w:rPr>
      </w:pPr>
      <w:r>
        <w:rPr>
          <w:rFonts w:hint="cs"/>
          <w:rtl/>
        </w:rPr>
        <w:t xml:space="preserve">אשר לבקשת ההגנה, כי בית המשפט יחרוג לקולה ממתחם הענישה </w:t>
      </w:r>
      <w:r>
        <w:rPr>
          <w:rtl/>
        </w:rPr>
        <w:t>–</w:t>
      </w:r>
      <w:r>
        <w:rPr>
          <w:rFonts w:hint="cs"/>
          <w:rtl/>
        </w:rPr>
        <w:t xml:space="preserve"> בהתאם לדין, חריגה ממתחם הענישה אפשרית מטעמי שיקום בלבד. דא עקא, במקרה דנן, אין עולה מהתסקירים או מטעוני הצדדים כל מצוקה חריגה ממנה סובל הנאשם, המצדיקה שיקומו. ההיפך הוא הנכון, כאמור, מסר הנאשם לעורכת התסקיר, כי גדל במשפחה נורמטיבית, אבי המשפחה בעל עסק ואין עולה אף מדברי הנאשם, כי נקלע לעבור העבירות כתוצאה מצורך מיוחד או מהתמכרות כשלהי.</w:t>
      </w:r>
    </w:p>
    <w:p w14:paraId="2C9F64FF" w14:textId="77777777" w:rsidR="00260F9C" w:rsidRDefault="00260F9C" w:rsidP="00260F9C">
      <w:pPr>
        <w:spacing w:line="360" w:lineRule="auto"/>
        <w:jc w:val="both"/>
        <w:rPr>
          <w:rtl/>
        </w:rPr>
      </w:pPr>
    </w:p>
    <w:p w14:paraId="79F2618D" w14:textId="77777777" w:rsidR="00260F9C" w:rsidRDefault="00260F9C" w:rsidP="00260F9C">
      <w:pPr>
        <w:spacing w:line="360" w:lineRule="auto"/>
        <w:jc w:val="both"/>
        <w:rPr>
          <w:rtl/>
        </w:rPr>
      </w:pPr>
      <w:r>
        <w:rPr>
          <w:rFonts w:hint="cs"/>
          <w:rtl/>
        </w:rPr>
        <w:t xml:space="preserve">הגם שבסופו של דבר נאות הנאשם להשתלב בהליך טיפולי </w:t>
      </w:r>
      <w:r>
        <w:rPr>
          <w:rtl/>
        </w:rPr>
        <w:t>–</w:t>
      </w:r>
      <w:r>
        <w:rPr>
          <w:rFonts w:hint="cs"/>
          <w:rtl/>
        </w:rPr>
        <w:t xml:space="preserve"> הרי אין זה בבחינת מילת קסם המצדיקה חריגה ממתחם הענישה, כאשר אין עולה כלל צורך מיוחד בשיקום.</w:t>
      </w:r>
    </w:p>
    <w:p w14:paraId="62955309" w14:textId="77777777" w:rsidR="00260F9C" w:rsidRDefault="00260F9C" w:rsidP="00260F9C">
      <w:pPr>
        <w:spacing w:line="360" w:lineRule="auto"/>
        <w:jc w:val="both"/>
        <w:rPr>
          <w:rtl/>
        </w:rPr>
      </w:pPr>
    </w:p>
    <w:p w14:paraId="159F6101" w14:textId="77777777" w:rsidR="00260F9C" w:rsidRPr="002B4F06" w:rsidRDefault="00260F9C" w:rsidP="00260F9C">
      <w:pPr>
        <w:spacing w:line="360" w:lineRule="auto"/>
        <w:jc w:val="both"/>
        <w:rPr>
          <w:rFonts w:ascii="Arial" w:hAnsi="Arial" w:cs="Arial"/>
        </w:rPr>
      </w:pPr>
      <w:r w:rsidRPr="002B4F06">
        <w:rPr>
          <w:rFonts w:hint="cs"/>
          <w:rtl/>
        </w:rPr>
        <w:t xml:space="preserve">כפי שנפסק לא פעם, הליך שיקומי, אם גם משמעותי ואינטנסיבי, </w:t>
      </w:r>
      <w:r>
        <w:rPr>
          <w:rFonts w:hint="cs"/>
          <w:rtl/>
        </w:rPr>
        <w:t>בו השתתף נאשם</w:t>
      </w:r>
      <w:r w:rsidRPr="002B4F06">
        <w:rPr>
          <w:rFonts w:hint="cs"/>
          <w:rtl/>
        </w:rPr>
        <w:t xml:space="preserve"> - אינו חזות הכל, וראו, לענין זה, </w:t>
      </w:r>
      <w:hyperlink r:id="rId27" w:history="1">
        <w:r w:rsidR="0060630D" w:rsidRPr="0060630D">
          <w:rPr>
            <w:color w:val="0000FF"/>
            <w:u w:val="single"/>
            <w:rtl/>
          </w:rPr>
          <w:t>ע"פ 6237/10</w:t>
        </w:r>
      </w:hyperlink>
      <w:r w:rsidRPr="002B4F06">
        <w:rPr>
          <w:rFonts w:hint="cs"/>
          <w:b/>
          <w:bCs/>
          <w:rtl/>
        </w:rPr>
        <w:t xml:space="preserve"> פלוני נ' מדינת ישראל</w:t>
      </w:r>
      <w:r w:rsidRPr="002B4F06">
        <w:rPr>
          <w:rFonts w:hint="cs"/>
          <w:rtl/>
        </w:rPr>
        <w:t xml:space="preserve"> (פורסם במאגרים): </w:t>
      </w:r>
    </w:p>
    <w:p w14:paraId="1E5929F3" w14:textId="77777777" w:rsidR="00260F9C" w:rsidRDefault="00260F9C" w:rsidP="00260F9C">
      <w:pPr>
        <w:spacing w:line="360" w:lineRule="auto"/>
        <w:jc w:val="both"/>
        <w:rPr>
          <w:rFonts w:ascii="Calibri" w:hAnsi="Calibri"/>
          <w:sz w:val="28"/>
          <w:szCs w:val="28"/>
        </w:rPr>
      </w:pPr>
    </w:p>
    <w:p w14:paraId="5DAB06CC" w14:textId="77777777" w:rsidR="00260F9C" w:rsidRPr="002B4F06" w:rsidRDefault="00260F9C" w:rsidP="00260F9C">
      <w:pPr>
        <w:spacing w:line="360" w:lineRule="auto"/>
        <w:jc w:val="both"/>
        <w:rPr>
          <w:rFonts w:cs="Aharoni"/>
        </w:rPr>
      </w:pPr>
      <w:r w:rsidRPr="002B4F06">
        <w:rPr>
          <w:rFonts w:cs="Aharoni" w:hint="cs"/>
          <w:b/>
          <w:bCs/>
          <w:rtl/>
        </w:rPr>
        <w:t xml:space="preserve">אמנם ניכר, כי ההליך הטיפולי שעבר המערער חולל בו שינוי מסוים, שאף הביא להפחתת רמת המסוכנות שיוחסה לו. אין להקל ראש בהליך זה, אך אין בו כדי לבטל את העבירות בהן הורשע ואת חומרתן (ראו </w:t>
      </w:r>
      <w:hyperlink r:id="rId28" w:history="1">
        <w:r w:rsidR="0060630D" w:rsidRPr="0060630D">
          <w:rPr>
            <w:rFonts w:cs="Aharoni"/>
            <w:b/>
            <w:bCs/>
            <w:color w:val="0000FF"/>
            <w:u w:val="single"/>
            <w:rtl/>
          </w:rPr>
          <w:t>ע"פ 7037/10</w:t>
        </w:r>
      </w:hyperlink>
      <w:r w:rsidRPr="002B4F06">
        <w:rPr>
          <w:rFonts w:cs="Aharoni" w:hint="cs"/>
          <w:b/>
          <w:bCs/>
          <w:rtl/>
        </w:rPr>
        <w:t xml:space="preserve"> פלוני נ' מדינת ישראל). טוען המערער, כי שגה בית המשפט קמא בכך שלא העדיף בעניינו את אינטרס השיקום. אכן יש ליתן חשיבות לשיקומו של מי שנאשם בפלילים, אך שיקול זה אינו עומד לבדו, ועל בתי המשפט להידרש לצדו לשיקולים אחרים (</w:t>
      </w:r>
      <w:hyperlink r:id="rId29" w:history="1">
        <w:r w:rsidR="0060630D" w:rsidRPr="0060630D">
          <w:rPr>
            <w:rFonts w:cs="Aharoni"/>
            <w:b/>
            <w:bCs/>
            <w:color w:val="0000FF"/>
            <w:u w:val="single"/>
            <w:rtl/>
          </w:rPr>
          <w:t>רע"ב 1730/10</w:t>
        </w:r>
      </w:hyperlink>
      <w:r w:rsidRPr="002B4F06">
        <w:rPr>
          <w:rFonts w:cs="Aharoni" w:hint="cs"/>
          <w:b/>
          <w:bCs/>
          <w:rtl/>
        </w:rPr>
        <w:t xml:space="preserve"> תורג'מן נ' היועץ המשפטי לממשלה). בענייננו, יש לתת את הדעת, בין היתר, לאינטרס הציבורי שבהרתעת המערער וזולתו מפני הישנותן של עבירות מעין אלה, ולצורך להביע את סלידת החברה מן המעשים (</w:t>
      </w:r>
      <w:hyperlink r:id="rId30" w:history="1">
        <w:r w:rsidR="0060630D" w:rsidRPr="0060630D">
          <w:rPr>
            <w:rFonts w:cs="Aharoni"/>
            <w:b/>
            <w:bCs/>
            <w:color w:val="0000FF"/>
            <w:u w:val="single"/>
            <w:rtl/>
          </w:rPr>
          <w:t>ע"פ 10673/04</w:t>
        </w:r>
      </w:hyperlink>
      <w:r w:rsidRPr="002B4F06">
        <w:rPr>
          <w:rFonts w:cs="Aharoni" w:hint="cs"/>
          <w:b/>
          <w:bCs/>
          <w:rtl/>
        </w:rPr>
        <w:t xml:space="preserve"> </w:t>
      </w:r>
      <w:r>
        <w:rPr>
          <w:rFonts w:cs="Aharoni" w:hint="cs"/>
          <w:b/>
          <w:bCs/>
          <w:rtl/>
        </w:rPr>
        <w:t>פלוני נ' מדינת ישראל).</w:t>
      </w:r>
    </w:p>
    <w:p w14:paraId="0530B0CE" w14:textId="77777777" w:rsidR="00260F9C" w:rsidRDefault="00260F9C" w:rsidP="00260F9C">
      <w:pPr>
        <w:spacing w:line="360" w:lineRule="auto"/>
        <w:jc w:val="both"/>
        <w:rPr>
          <w:rtl/>
        </w:rPr>
      </w:pPr>
    </w:p>
    <w:p w14:paraId="37FB8981" w14:textId="77777777" w:rsidR="00260F9C" w:rsidRDefault="00260F9C" w:rsidP="00260F9C">
      <w:pPr>
        <w:spacing w:line="360" w:lineRule="auto"/>
        <w:jc w:val="both"/>
        <w:rPr>
          <w:rtl/>
        </w:rPr>
      </w:pPr>
      <w:r>
        <w:rPr>
          <w:rFonts w:hint="cs"/>
          <w:rtl/>
        </w:rPr>
        <w:t>בנסיבות אלה, אין בנמצא כל עילה לחרוג ממתחם הענישה.</w:t>
      </w:r>
    </w:p>
    <w:p w14:paraId="47D6FC52" w14:textId="77777777" w:rsidR="00260F9C" w:rsidRDefault="00260F9C" w:rsidP="00260F9C">
      <w:pPr>
        <w:spacing w:line="360" w:lineRule="auto"/>
        <w:jc w:val="both"/>
        <w:rPr>
          <w:rtl/>
        </w:rPr>
      </w:pPr>
    </w:p>
    <w:p w14:paraId="1D9AA331" w14:textId="77777777" w:rsidR="00260F9C" w:rsidRDefault="00260F9C" w:rsidP="00260F9C">
      <w:pPr>
        <w:spacing w:line="360" w:lineRule="auto"/>
        <w:jc w:val="both"/>
        <w:rPr>
          <w:rtl/>
        </w:rPr>
      </w:pPr>
      <w:r>
        <w:rPr>
          <w:rFonts w:hint="cs"/>
          <w:rtl/>
        </w:rPr>
        <w:t>באיזון בין השיקולים השונים לחומרה ולקולה, בהיעדר הסתבכויות קודמות, מוצא בית המשפט להשית על הנאשם עונש מאסר בפועל על הצד הנמוך של מתחם הענישה שנקבע לעיל.</w:t>
      </w:r>
    </w:p>
    <w:p w14:paraId="50735AA1" w14:textId="77777777" w:rsidR="00260F9C" w:rsidRDefault="00260F9C" w:rsidP="00260F9C">
      <w:pPr>
        <w:spacing w:line="360" w:lineRule="auto"/>
        <w:jc w:val="both"/>
        <w:rPr>
          <w:rtl/>
        </w:rPr>
      </w:pPr>
    </w:p>
    <w:p w14:paraId="7468A56E" w14:textId="77777777" w:rsidR="00260F9C" w:rsidRDefault="00260F9C" w:rsidP="00260F9C">
      <w:pPr>
        <w:spacing w:line="360" w:lineRule="auto"/>
        <w:jc w:val="both"/>
        <w:rPr>
          <w:rtl/>
        </w:rPr>
      </w:pPr>
      <w:r>
        <w:rPr>
          <w:rFonts w:hint="cs"/>
          <w:rtl/>
        </w:rPr>
        <w:t xml:space="preserve">לנוכח כך שהמדובר בכלי הנשק שלהם שווי כלכלי לא מבוטל, מוצא בית המשפט להשית עיצום כספי, בסדר גודל דומה לזה שהוטל במקרים שפורטו לעיל (בפרשת </w:t>
      </w:r>
      <w:r w:rsidRPr="0003203A">
        <w:rPr>
          <w:rFonts w:hint="cs"/>
          <w:b/>
          <w:bCs/>
          <w:rtl/>
        </w:rPr>
        <w:t>אלסראעיה</w:t>
      </w:r>
      <w:r>
        <w:rPr>
          <w:rFonts w:hint="cs"/>
          <w:rtl/>
        </w:rPr>
        <w:t xml:space="preserve"> דלעיל, הושת עיצום כספי מסוג קנס בסך 12,000 ₪,  ובית המשפט המחוזי לא מצא עילה להתערב בכך. יצוין, כי שם המדובר היה באחזקת תת מקלע אחד ואקדח פגום, כך שבמקרה דנן,  יושת עיצום כספי מעט גבוה יותר).</w:t>
      </w:r>
    </w:p>
    <w:p w14:paraId="6D9F7015" w14:textId="77777777" w:rsidR="00260F9C" w:rsidRDefault="00260F9C" w:rsidP="00260F9C">
      <w:pPr>
        <w:spacing w:line="360" w:lineRule="auto"/>
        <w:jc w:val="both"/>
        <w:rPr>
          <w:rtl/>
        </w:rPr>
      </w:pPr>
    </w:p>
    <w:p w14:paraId="189BD10A" w14:textId="77777777" w:rsidR="00260F9C" w:rsidRDefault="00260F9C" w:rsidP="00260F9C">
      <w:pPr>
        <w:spacing w:line="360" w:lineRule="auto"/>
        <w:jc w:val="both"/>
        <w:rPr>
          <w:rtl/>
        </w:rPr>
      </w:pPr>
      <w:r>
        <w:rPr>
          <w:rFonts w:hint="cs"/>
          <w:rtl/>
        </w:rPr>
        <w:t>משלא הובררו עד תום מניעי הנאשם להחזקת כלי הנשק – מוצא בית המשפט גם להשית מאסר מותנה מרתיע.</w:t>
      </w:r>
    </w:p>
    <w:p w14:paraId="2CAF2667" w14:textId="77777777" w:rsidR="00260F9C" w:rsidRDefault="00260F9C" w:rsidP="00260F9C">
      <w:pPr>
        <w:spacing w:line="360" w:lineRule="auto"/>
        <w:jc w:val="both"/>
        <w:rPr>
          <w:rtl/>
        </w:rPr>
      </w:pPr>
    </w:p>
    <w:p w14:paraId="566118FB" w14:textId="77777777" w:rsidR="00260F9C" w:rsidRDefault="00260F9C" w:rsidP="00260F9C">
      <w:pPr>
        <w:spacing w:line="360" w:lineRule="auto"/>
        <w:jc w:val="both"/>
        <w:rPr>
          <w:rtl/>
        </w:rPr>
      </w:pPr>
    </w:p>
    <w:p w14:paraId="66082DAC" w14:textId="77777777" w:rsidR="00260F9C" w:rsidRDefault="00260F9C" w:rsidP="00260F9C">
      <w:pPr>
        <w:spacing w:line="360" w:lineRule="auto"/>
        <w:jc w:val="both"/>
        <w:rPr>
          <w:rtl/>
        </w:rPr>
      </w:pPr>
    </w:p>
    <w:p w14:paraId="62CD0D2D" w14:textId="77777777" w:rsidR="00260F9C" w:rsidRDefault="00260F9C" w:rsidP="00260F9C">
      <w:pPr>
        <w:spacing w:line="360" w:lineRule="auto"/>
        <w:jc w:val="both"/>
        <w:rPr>
          <w:rtl/>
        </w:rPr>
      </w:pPr>
      <w:r>
        <w:rPr>
          <w:rFonts w:hint="cs"/>
          <w:rtl/>
        </w:rPr>
        <w:t>בית המשפט דן את הנאשם לענשים כדלקמן:</w:t>
      </w:r>
    </w:p>
    <w:p w14:paraId="6F7F748D" w14:textId="77777777" w:rsidR="00260F9C" w:rsidRDefault="00260F9C" w:rsidP="00260F9C">
      <w:pPr>
        <w:spacing w:line="360" w:lineRule="auto"/>
        <w:jc w:val="both"/>
        <w:rPr>
          <w:rtl/>
        </w:rPr>
      </w:pPr>
    </w:p>
    <w:p w14:paraId="07A73312" w14:textId="77777777" w:rsidR="00260F9C" w:rsidRDefault="00260F9C" w:rsidP="00260F9C">
      <w:pPr>
        <w:numPr>
          <w:ilvl w:val="0"/>
          <w:numId w:val="1"/>
        </w:numPr>
        <w:spacing w:line="360" w:lineRule="auto"/>
        <w:contextualSpacing/>
        <w:jc w:val="both"/>
        <w:rPr>
          <w:rtl/>
        </w:rPr>
      </w:pPr>
      <w:r>
        <w:rPr>
          <w:rFonts w:hint="cs"/>
          <w:rtl/>
        </w:rPr>
        <w:t>שנתיים מאסר בפועל, בניכוי ימי מעצרו, ככל שקיימים, בהתאם לרישומי שב"ס;</w:t>
      </w:r>
    </w:p>
    <w:p w14:paraId="345EF81B" w14:textId="77777777" w:rsidR="00260F9C" w:rsidRDefault="00260F9C" w:rsidP="00260F9C">
      <w:pPr>
        <w:spacing w:line="360" w:lineRule="auto"/>
        <w:jc w:val="both"/>
        <w:rPr>
          <w:rtl/>
        </w:rPr>
      </w:pPr>
    </w:p>
    <w:p w14:paraId="3A60F0FC" w14:textId="77777777" w:rsidR="00260F9C" w:rsidRDefault="00260F9C" w:rsidP="00260F9C">
      <w:pPr>
        <w:numPr>
          <w:ilvl w:val="0"/>
          <w:numId w:val="1"/>
        </w:numPr>
        <w:spacing w:line="360" w:lineRule="auto"/>
        <w:contextualSpacing/>
        <w:jc w:val="both"/>
        <w:rPr>
          <w:rtl/>
        </w:rPr>
      </w:pPr>
      <w:r>
        <w:rPr>
          <w:rFonts w:hint="cs"/>
          <w:rtl/>
        </w:rPr>
        <w:t>12 חדשי מאסר על תנאי למשך 3 שנים מיום שחרורו של הנאשם ממאסרו, שהנאשם לא יעבור עבירה בניגוד ל</w:t>
      </w:r>
      <w:hyperlink r:id="rId31" w:history="1">
        <w:r w:rsidR="0060630D" w:rsidRPr="0060630D">
          <w:rPr>
            <w:color w:val="0000FF"/>
            <w:u w:val="single"/>
            <w:rtl/>
          </w:rPr>
          <w:t>חוק העונשין</w:t>
        </w:r>
      </w:hyperlink>
      <w:r>
        <w:rPr>
          <w:rFonts w:hint="cs"/>
          <w:rtl/>
        </w:rPr>
        <w:t xml:space="preserve">, תשל"ז-1977, </w:t>
      </w:r>
      <w:hyperlink r:id="rId32" w:history="1">
        <w:r w:rsidR="00BA09D5" w:rsidRPr="00BA09D5">
          <w:rPr>
            <w:color w:val="0000FF"/>
            <w:u w:val="single"/>
            <w:rtl/>
          </w:rPr>
          <w:t>פרק ח' סימן א'</w:t>
        </w:r>
      </w:hyperlink>
      <w:r>
        <w:rPr>
          <w:rFonts w:hint="cs"/>
          <w:rtl/>
        </w:rPr>
        <w:t xml:space="preserve">, למעט עבירה בניגוד </w:t>
      </w:r>
      <w:hyperlink r:id="rId33" w:history="1">
        <w:r w:rsidR="00BA09D5" w:rsidRPr="00BA09D5">
          <w:rPr>
            <w:color w:val="0000FF"/>
            <w:u w:val="single"/>
            <w:rtl/>
          </w:rPr>
          <w:t>לסעיף 144(א)</w:t>
        </w:r>
      </w:hyperlink>
      <w:r>
        <w:rPr>
          <w:rFonts w:hint="cs"/>
          <w:rtl/>
        </w:rPr>
        <w:t xml:space="preserve"> סיפא לאותו חוק;</w:t>
      </w:r>
    </w:p>
    <w:p w14:paraId="3409D0D5" w14:textId="77777777" w:rsidR="00260F9C" w:rsidRDefault="00260F9C" w:rsidP="00260F9C">
      <w:pPr>
        <w:spacing w:line="360" w:lineRule="auto"/>
        <w:jc w:val="both"/>
        <w:rPr>
          <w:rtl/>
        </w:rPr>
      </w:pPr>
    </w:p>
    <w:p w14:paraId="779D5AAF" w14:textId="77777777" w:rsidR="00260F9C" w:rsidRDefault="00260F9C" w:rsidP="00260F9C">
      <w:pPr>
        <w:numPr>
          <w:ilvl w:val="0"/>
          <w:numId w:val="1"/>
        </w:numPr>
        <w:spacing w:line="360" w:lineRule="auto"/>
        <w:contextualSpacing/>
        <w:jc w:val="both"/>
        <w:rPr>
          <w:rtl/>
        </w:rPr>
      </w:pPr>
      <w:r>
        <w:rPr>
          <w:rFonts w:hint="cs"/>
          <w:rtl/>
        </w:rPr>
        <w:t>7 חדשי מאסר על תנאי למשך 3 שנים מיום שחרורו של הנאשם ממאסרו, שהנאשם לא יעבור עבירה בניגוד ל</w:t>
      </w:r>
      <w:hyperlink r:id="rId34" w:history="1">
        <w:r w:rsidR="0060630D" w:rsidRPr="0060630D">
          <w:rPr>
            <w:color w:val="0000FF"/>
            <w:u w:val="single"/>
            <w:rtl/>
          </w:rPr>
          <w:t>חוק העונשין</w:t>
        </w:r>
      </w:hyperlink>
      <w:r>
        <w:rPr>
          <w:rFonts w:hint="cs"/>
          <w:rtl/>
        </w:rPr>
        <w:t xml:space="preserve">, תשל"ז-1977, </w:t>
      </w:r>
      <w:hyperlink r:id="rId35" w:history="1">
        <w:r w:rsidR="00BA09D5" w:rsidRPr="00BA09D5">
          <w:rPr>
            <w:color w:val="0000FF"/>
            <w:u w:val="single"/>
            <w:rtl/>
          </w:rPr>
          <w:t>סעיף 144(א)</w:t>
        </w:r>
      </w:hyperlink>
      <w:r>
        <w:rPr>
          <w:rFonts w:hint="cs"/>
          <w:rtl/>
        </w:rPr>
        <w:t xml:space="preserve"> סיפא או </w:t>
      </w:r>
      <w:hyperlink r:id="rId36" w:history="1">
        <w:r w:rsidR="00BA09D5" w:rsidRPr="00BA09D5">
          <w:rPr>
            <w:color w:val="0000FF"/>
            <w:u w:val="single"/>
            <w:rtl/>
          </w:rPr>
          <w:t>סעיף 186</w:t>
        </w:r>
      </w:hyperlink>
      <w:r>
        <w:rPr>
          <w:rFonts w:hint="cs"/>
          <w:rtl/>
        </w:rPr>
        <w:t>;</w:t>
      </w:r>
    </w:p>
    <w:p w14:paraId="6AACED93" w14:textId="77777777" w:rsidR="00260F9C" w:rsidRDefault="00260F9C" w:rsidP="00260F9C">
      <w:pPr>
        <w:spacing w:line="360" w:lineRule="auto"/>
        <w:jc w:val="both"/>
        <w:rPr>
          <w:rtl/>
        </w:rPr>
      </w:pPr>
    </w:p>
    <w:p w14:paraId="0722FFF1" w14:textId="77777777" w:rsidR="00260F9C" w:rsidRDefault="00260F9C" w:rsidP="00260F9C">
      <w:pPr>
        <w:numPr>
          <w:ilvl w:val="0"/>
          <w:numId w:val="1"/>
        </w:numPr>
        <w:spacing w:line="360" w:lineRule="auto"/>
        <w:contextualSpacing/>
        <w:jc w:val="both"/>
        <w:rPr>
          <w:rtl/>
        </w:rPr>
      </w:pPr>
      <w:r>
        <w:rPr>
          <w:rFonts w:hint="cs"/>
          <w:rtl/>
        </w:rPr>
        <w:t>קנס בסך 15,000 ₪ או 120 ימי מאסר תמורתו. הקנס ישולם עד ליום 31/12/18.</w:t>
      </w:r>
    </w:p>
    <w:p w14:paraId="64C1645D" w14:textId="77777777" w:rsidR="00260F9C" w:rsidRDefault="00260F9C" w:rsidP="00260F9C">
      <w:pPr>
        <w:spacing w:line="360" w:lineRule="auto"/>
        <w:jc w:val="both"/>
        <w:rPr>
          <w:rtl/>
        </w:rPr>
      </w:pPr>
    </w:p>
    <w:p w14:paraId="6A343D3E" w14:textId="77777777" w:rsidR="00260F9C" w:rsidRDefault="00260F9C" w:rsidP="00260F9C">
      <w:pPr>
        <w:spacing w:line="360" w:lineRule="auto"/>
        <w:jc w:val="both"/>
        <w:rPr>
          <w:rtl/>
        </w:rPr>
      </w:pPr>
      <w:r>
        <w:rPr>
          <w:rFonts w:hint="cs"/>
          <w:rtl/>
        </w:rPr>
        <w:t>הנאשם יתיצב לריצוי ענשו כעת.</w:t>
      </w:r>
    </w:p>
    <w:p w14:paraId="711E5E38" w14:textId="77777777" w:rsidR="00260F9C" w:rsidRPr="0060630D" w:rsidRDefault="0060630D" w:rsidP="00260F9C">
      <w:pPr>
        <w:spacing w:line="360" w:lineRule="auto"/>
        <w:jc w:val="both"/>
        <w:rPr>
          <w:color w:val="FFFFFF"/>
          <w:sz w:val="2"/>
          <w:szCs w:val="2"/>
          <w:rtl/>
        </w:rPr>
      </w:pPr>
      <w:r w:rsidRPr="0060630D">
        <w:rPr>
          <w:color w:val="FFFFFF"/>
          <w:sz w:val="2"/>
          <w:szCs w:val="2"/>
          <w:rtl/>
        </w:rPr>
        <w:t>5129371</w:t>
      </w:r>
    </w:p>
    <w:p w14:paraId="35117D5C" w14:textId="77777777" w:rsidR="00260F9C" w:rsidRDefault="0060630D" w:rsidP="00260F9C">
      <w:pPr>
        <w:spacing w:after="160" w:line="360" w:lineRule="auto"/>
        <w:rPr>
          <w:rtl/>
        </w:rPr>
      </w:pPr>
      <w:r w:rsidRPr="0060630D">
        <w:rPr>
          <w:color w:val="FFFFFF"/>
          <w:sz w:val="2"/>
          <w:szCs w:val="2"/>
          <w:rtl/>
        </w:rPr>
        <w:t>54678313</w:t>
      </w:r>
      <w:r w:rsidR="00260F9C">
        <w:rPr>
          <w:rFonts w:hint="cs"/>
          <w:rtl/>
        </w:rPr>
        <w:t>עותק גזר הדין יועבר לשירות המבחן למבוגרים.</w:t>
      </w:r>
    </w:p>
    <w:p w14:paraId="7B03055D" w14:textId="77777777" w:rsidR="00260F9C" w:rsidRPr="00A5568A" w:rsidRDefault="00260F9C" w:rsidP="00260F9C">
      <w:pPr>
        <w:spacing w:after="160" w:line="360" w:lineRule="auto"/>
        <w:rPr>
          <w:rtl/>
        </w:rPr>
      </w:pPr>
      <w:r>
        <w:rPr>
          <w:rFonts w:hint="cs"/>
          <w:rtl/>
        </w:rPr>
        <w:t>הודעה זכות הערעור.</w:t>
      </w:r>
    </w:p>
    <w:p w14:paraId="3DF1C3E9" w14:textId="77777777" w:rsidR="00260F9C" w:rsidRDefault="0060630D" w:rsidP="00260F9C">
      <w:pPr>
        <w:spacing w:line="360" w:lineRule="auto"/>
        <w:jc w:val="both"/>
        <w:rPr>
          <w:rFonts w:ascii="Arial" w:hAnsi="Arial"/>
          <w:rtl/>
        </w:rPr>
      </w:pPr>
      <w:r>
        <w:rPr>
          <w:rFonts w:ascii="Arial" w:hAnsi="Arial"/>
          <w:rtl/>
        </w:rPr>
        <w:t xml:space="preserve">ניתנה היום, ו' טבת תשע"ח, 24 דצמבר 2017, במעמד הצדדים. </w:t>
      </w:r>
    </w:p>
    <w:p w14:paraId="7EF596AF" w14:textId="77777777" w:rsidR="00260F9C" w:rsidRDefault="00260F9C" w:rsidP="00260F9C">
      <w:pPr>
        <w:spacing w:line="360" w:lineRule="auto"/>
        <w:ind w:left="3600" w:firstLine="720"/>
        <w:jc w:val="center"/>
      </w:pPr>
      <w:r>
        <w:rPr>
          <w:rtl/>
        </w:rPr>
        <w:t xml:space="preserve">     </w:t>
      </w:r>
    </w:p>
    <w:p w14:paraId="2EA2BDFF" w14:textId="77777777" w:rsidR="00260F9C" w:rsidRPr="00BA09D5" w:rsidRDefault="00BA09D5" w:rsidP="00260F9C">
      <w:pPr>
        <w:spacing w:line="360" w:lineRule="auto"/>
        <w:ind w:left="3600" w:firstLine="720"/>
        <w:jc w:val="center"/>
        <w:rPr>
          <w:rFonts w:ascii="Arial" w:hAnsi="Arial"/>
          <w:color w:val="FFFFFF"/>
          <w:sz w:val="2"/>
          <w:szCs w:val="2"/>
          <w:rtl/>
        </w:rPr>
      </w:pPr>
      <w:r w:rsidRPr="00BA09D5">
        <w:rPr>
          <w:rFonts w:ascii="Arial" w:hAnsi="Arial"/>
          <w:color w:val="FFFFFF"/>
          <w:sz w:val="2"/>
          <w:szCs w:val="2"/>
          <w:rtl/>
        </w:rPr>
        <w:t>5129371</w:t>
      </w:r>
    </w:p>
    <w:p w14:paraId="345FB462" w14:textId="77777777" w:rsidR="002D7B2F" w:rsidRPr="00BA09D5" w:rsidRDefault="00BA09D5" w:rsidP="0060630D">
      <w:pPr>
        <w:keepNext/>
        <w:rPr>
          <w:rFonts w:ascii="David" w:hAnsi="David" w:hint="cs"/>
          <w:color w:val="FFFFFF"/>
          <w:sz w:val="2"/>
          <w:szCs w:val="2"/>
          <w:rtl/>
        </w:rPr>
      </w:pPr>
      <w:r w:rsidRPr="00BA09D5">
        <w:rPr>
          <w:rFonts w:ascii="David" w:hAnsi="David"/>
          <w:color w:val="FFFFFF"/>
          <w:sz w:val="2"/>
          <w:szCs w:val="2"/>
          <w:rtl/>
        </w:rPr>
        <w:t>54678313</w:t>
      </w:r>
    </w:p>
    <w:p w14:paraId="5697D7C9" w14:textId="77777777" w:rsidR="0060630D" w:rsidRPr="0060630D" w:rsidRDefault="0060630D" w:rsidP="0060630D">
      <w:pPr>
        <w:keepNext/>
        <w:rPr>
          <w:rFonts w:ascii="David" w:hAnsi="David"/>
          <w:color w:val="000000"/>
          <w:sz w:val="22"/>
          <w:szCs w:val="22"/>
          <w:rtl/>
        </w:rPr>
      </w:pPr>
      <w:r w:rsidRPr="0060630D">
        <w:rPr>
          <w:rFonts w:ascii="David" w:hAnsi="David"/>
          <w:color w:val="000000"/>
          <w:sz w:val="22"/>
          <w:szCs w:val="22"/>
          <w:rtl/>
        </w:rPr>
        <w:t>רון סולקין 54678313</w:t>
      </w:r>
    </w:p>
    <w:p w14:paraId="1A3E1F1A" w14:textId="77777777" w:rsidR="0060630D" w:rsidRDefault="0060630D" w:rsidP="0060630D">
      <w:r w:rsidRPr="0060630D">
        <w:rPr>
          <w:color w:val="000000"/>
          <w:rtl/>
        </w:rPr>
        <w:t>נוסח מסמך זה כפוף לשינויי ניסוח ועריכה</w:t>
      </w:r>
    </w:p>
    <w:p w14:paraId="5C3BDD32" w14:textId="77777777" w:rsidR="0060630D" w:rsidRDefault="0060630D" w:rsidP="0060630D">
      <w:pPr>
        <w:rPr>
          <w:rtl/>
        </w:rPr>
      </w:pPr>
    </w:p>
    <w:p w14:paraId="7FA19C34" w14:textId="77777777" w:rsidR="0060630D" w:rsidRDefault="0060630D" w:rsidP="0060630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5F27D4F" w14:textId="77777777" w:rsidR="0060630D" w:rsidRPr="0060630D" w:rsidRDefault="0060630D" w:rsidP="00BA09D5">
      <w:pPr>
        <w:rPr>
          <w:rFonts w:hint="cs"/>
          <w:color w:val="0000FF"/>
          <w:u w:val="single"/>
        </w:rPr>
      </w:pPr>
    </w:p>
    <w:sectPr w:rsidR="0060630D" w:rsidRPr="0060630D" w:rsidSect="00BA09D5">
      <w:headerReference w:type="even" r:id="rId38"/>
      <w:headerReference w:type="default" r:id="rId39"/>
      <w:footerReference w:type="even" r:id="rId40"/>
      <w:footerReference w:type="default" r:id="rId41"/>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23CC" w14:textId="77777777" w:rsidR="00922B23" w:rsidRDefault="00922B23" w:rsidP="00952C6C">
      <w:r>
        <w:separator/>
      </w:r>
    </w:p>
  </w:endnote>
  <w:endnote w:type="continuationSeparator" w:id="0">
    <w:p w14:paraId="3F14C8A5" w14:textId="77777777" w:rsidR="00922B23" w:rsidRDefault="00922B23" w:rsidP="0095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3E7B" w14:textId="77777777" w:rsidR="00922B23" w:rsidRDefault="00922B23" w:rsidP="00BA09D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F2E680" w14:textId="77777777" w:rsidR="00922B23" w:rsidRPr="00BA09D5" w:rsidRDefault="00922B23" w:rsidP="00BA09D5">
    <w:pPr>
      <w:pStyle w:val="a5"/>
      <w:pBdr>
        <w:top w:val="single" w:sz="4" w:space="1" w:color="auto"/>
        <w:between w:val="single" w:sz="4" w:space="0" w:color="auto"/>
      </w:pBdr>
      <w:spacing w:after="60"/>
      <w:jc w:val="center"/>
      <w:rPr>
        <w:rFonts w:ascii="FrankRuehl" w:hAnsi="FrankRuehl" w:cs="FrankRuehl"/>
        <w:color w:val="000000"/>
      </w:rPr>
    </w:pPr>
    <w:r w:rsidRPr="00BA09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FF19" w14:textId="77777777" w:rsidR="00922B23" w:rsidRDefault="00922B23" w:rsidP="00BA09D5">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74BEF">
      <w:rPr>
        <w:rStyle w:val="a8"/>
        <w:rFonts w:ascii="FrankRuehl" w:hAnsi="FrankRuehl" w:cs="FrankRuehl"/>
        <w:noProof/>
        <w:rtl/>
      </w:rPr>
      <w:t>1</w:t>
    </w:r>
    <w:r>
      <w:rPr>
        <w:rStyle w:val="a8"/>
        <w:rFonts w:ascii="FrankRuehl" w:hAnsi="FrankRuehl" w:cs="FrankRuehl"/>
        <w:rtl/>
      </w:rPr>
      <w:fldChar w:fldCharType="end"/>
    </w:r>
  </w:p>
  <w:p w14:paraId="511A352D" w14:textId="77777777" w:rsidR="00922B23" w:rsidRPr="00BA09D5" w:rsidRDefault="00922B23" w:rsidP="00BA09D5">
    <w:pPr>
      <w:pStyle w:val="a5"/>
      <w:pBdr>
        <w:top w:val="single" w:sz="4" w:space="1" w:color="auto"/>
        <w:between w:val="single" w:sz="4" w:space="0" w:color="auto"/>
      </w:pBdr>
      <w:spacing w:after="60"/>
      <w:jc w:val="center"/>
      <w:rPr>
        <w:rStyle w:val="a8"/>
        <w:rFonts w:ascii="FrankRuehl" w:hAnsi="FrankRuehl" w:cs="FrankRuehl" w:hint="cs"/>
        <w:color w:val="000000"/>
      </w:rPr>
    </w:pPr>
    <w:r w:rsidRPr="00BA09D5">
      <w:rPr>
        <w:rStyle w:val="a8"/>
        <w:rFonts w:ascii="FrankRuehl" w:hAnsi="FrankRuehl" w:cs="FrankRuehl" w:hint="cs"/>
        <w:color w:val="000000"/>
      </w:rPr>
      <w:pict w14:anchorId="35309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2DB76" w14:textId="77777777" w:rsidR="00922B23" w:rsidRDefault="00922B23" w:rsidP="00952C6C">
      <w:r>
        <w:separator/>
      </w:r>
    </w:p>
  </w:footnote>
  <w:footnote w:type="continuationSeparator" w:id="0">
    <w:p w14:paraId="4339EF16" w14:textId="77777777" w:rsidR="00922B23" w:rsidRDefault="00922B23" w:rsidP="00952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F2DD" w14:textId="77777777" w:rsidR="00922B23" w:rsidRPr="00BA09D5" w:rsidRDefault="00922B23" w:rsidP="00BA09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30406-04-16</w:t>
    </w:r>
    <w:r>
      <w:rPr>
        <w:rFonts w:ascii="David" w:hAnsi="David"/>
        <w:color w:val="000000"/>
        <w:sz w:val="22"/>
        <w:szCs w:val="22"/>
        <w:rtl/>
      </w:rPr>
      <w:tab/>
      <w:t xml:space="preserve"> מדינת ישראל  נ' זוהיר בן חמאד אבו עמאר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50A4" w14:textId="77777777" w:rsidR="00922B23" w:rsidRPr="00BA09D5" w:rsidRDefault="00922B23" w:rsidP="00BA09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30406-04-16</w:t>
    </w:r>
    <w:r>
      <w:rPr>
        <w:rFonts w:ascii="David" w:hAnsi="David"/>
        <w:color w:val="000000"/>
        <w:sz w:val="22"/>
        <w:szCs w:val="22"/>
        <w:rtl/>
      </w:rPr>
      <w:tab/>
      <w:t xml:space="preserve"> מדינת ישראל  נ' זוהיר בן חמאד אבו עמאר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6B51"/>
    <w:multiLevelType w:val="hybridMultilevel"/>
    <w:tmpl w:val="AA5E652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4834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0F9C"/>
    <w:rsid w:val="00260F9C"/>
    <w:rsid w:val="00274BEF"/>
    <w:rsid w:val="002D7B2F"/>
    <w:rsid w:val="004063F3"/>
    <w:rsid w:val="004A44AC"/>
    <w:rsid w:val="0060630D"/>
    <w:rsid w:val="00871EE8"/>
    <w:rsid w:val="00922B23"/>
    <w:rsid w:val="00952C6C"/>
    <w:rsid w:val="00BA09D5"/>
    <w:rsid w:val="00BA16A0"/>
    <w:rsid w:val="00BD6DDC"/>
    <w:rsid w:val="00E319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76482AB"/>
  <w15:chartTrackingRefBased/>
  <w15:docId w15:val="{C87AC2D0-E94A-403F-AA30-89E9305D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0F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0F9C"/>
    <w:pPr>
      <w:tabs>
        <w:tab w:val="center" w:pos="4153"/>
        <w:tab w:val="right" w:pos="8306"/>
      </w:tabs>
    </w:pPr>
  </w:style>
  <w:style w:type="character" w:customStyle="1" w:styleId="a4">
    <w:name w:val="כותרת עליונה תו"/>
    <w:link w:val="a3"/>
    <w:rsid w:val="00260F9C"/>
    <w:rPr>
      <w:rFonts w:ascii="Times New Roman" w:eastAsia="Times New Roman" w:hAnsi="Times New Roman" w:cs="David"/>
      <w:sz w:val="24"/>
      <w:szCs w:val="24"/>
    </w:rPr>
  </w:style>
  <w:style w:type="paragraph" w:styleId="a5">
    <w:name w:val="footer"/>
    <w:basedOn w:val="a"/>
    <w:link w:val="a6"/>
    <w:rsid w:val="00260F9C"/>
    <w:pPr>
      <w:tabs>
        <w:tab w:val="center" w:pos="4153"/>
        <w:tab w:val="right" w:pos="8306"/>
      </w:tabs>
    </w:pPr>
  </w:style>
  <w:style w:type="character" w:customStyle="1" w:styleId="a6">
    <w:name w:val="כותרת תחתונה תו"/>
    <w:link w:val="a5"/>
    <w:rsid w:val="00260F9C"/>
    <w:rPr>
      <w:rFonts w:ascii="Times New Roman" w:eastAsia="Times New Roman" w:hAnsi="Times New Roman" w:cs="David"/>
      <w:sz w:val="24"/>
      <w:szCs w:val="24"/>
    </w:rPr>
  </w:style>
  <w:style w:type="table" w:styleId="a7">
    <w:name w:val="Table Grid"/>
    <w:basedOn w:val="a1"/>
    <w:rsid w:val="00260F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60F9C"/>
    <w:rPr>
      <w:noProof w:val="0"/>
    </w:rPr>
  </w:style>
  <w:style w:type="character" w:styleId="Hyperlink">
    <w:name w:val="Hyperlink"/>
    <w:rsid w:val="00260F9C"/>
    <w:rPr>
      <w:noProof w:val="0"/>
      <w:color w:val="0000FF"/>
      <w:u w:val="single"/>
    </w:rPr>
  </w:style>
  <w:style w:type="character" w:styleId="a9">
    <w:name w:val="line number"/>
    <w:rsid w:val="0060630D"/>
  </w:style>
  <w:style w:type="character" w:styleId="aa">
    <w:name w:val="Unresolved Mention"/>
    <w:rsid w:val="006063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2976374" TargetMode="External"/><Relationship Id="rId39" Type="http://schemas.openxmlformats.org/officeDocument/2006/relationships/header" Target="header2.xml"/><Relationship Id="rId21" Type="http://schemas.openxmlformats.org/officeDocument/2006/relationships/hyperlink" Target="http://www.nevo.co.il/case/22607175"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case/21303448" TargetMode="Externa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2001830" TargetMode="External"/><Relationship Id="rId29" Type="http://schemas.openxmlformats.org/officeDocument/2006/relationships/hyperlink" Target="http://www.nevo.co.il/case/5787503"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hCaS"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6247546" TargetMode="External"/><Relationship Id="rId36" Type="http://schemas.openxmlformats.org/officeDocument/2006/relationships/hyperlink" Target="http://www.nevo.co.il/law/70301/186"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6246956" TargetMode="External"/><Relationship Id="rId30" Type="http://schemas.openxmlformats.org/officeDocument/2006/relationships/hyperlink" Target="http://www.nevo.co.il/case/6173204" TargetMode="External"/><Relationship Id="rId35" Type="http://schemas.openxmlformats.org/officeDocument/2006/relationships/hyperlink" Target="http://www.nevo.co.il/law/70301/144.a" TargetMode="External"/><Relationship Id="rId43"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hCaS"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144.a"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2643</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15830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7143524</vt:i4>
      </vt:variant>
      <vt:variant>
        <vt:i4>87</vt:i4>
      </vt:variant>
      <vt:variant>
        <vt:i4>0</vt:i4>
      </vt:variant>
      <vt:variant>
        <vt:i4>5</vt:i4>
      </vt:variant>
      <vt:variant>
        <vt:lpwstr>http://www.nevo.co.il/law/70301/186</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4522076</vt:i4>
      </vt:variant>
      <vt:variant>
        <vt:i4>75</vt:i4>
      </vt:variant>
      <vt:variant>
        <vt:i4>0</vt:i4>
      </vt:variant>
      <vt:variant>
        <vt:i4>5</vt:i4>
      </vt:variant>
      <vt:variant>
        <vt:lpwstr>http://www.nevo.co.il/law/70301/hCaS</vt:lpwstr>
      </vt:variant>
      <vt:variant>
        <vt:lpwstr/>
      </vt:variant>
      <vt:variant>
        <vt:i4>7995492</vt:i4>
      </vt:variant>
      <vt:variant>
        <vt:i4>72</vt:i4>
      </vt:variant>
      <vt:variant>
        <vt:i4>0</vt:i4>
      </vt:variant>
      <vt:variant>
        <vt:i4>5</vt:i4>
      </vt:variant>
      <vt:variant>
        <vt:lpwstr>http://www.nevo.co.il/law/70301</vt:lpwstr>
      </vt:variant>
      <vt:variant>
        <vt:lpwstr/>
      </vt:variant>
      <vt:variant>
        <vt:i4>3604598</vt:i4>
      </vt:variant>
      <vt:variant>
        <vt:i4>69</vt:i4>
      </vt:variant>
      <vt:variant>
        <vt:i4>0</vt:i4>
      </vt:variant>
      <vt:variant>
        <vt:i4>5</vt:i4>
      </vt:variant>
      <vt:variant>
        <vt:lpwstr>http://www.nevo.co.il/case/6173204</vt:lpwstr>
      </vt:variant>
      <vt:variant>
        <vt:lpwstr/>
      </vt:variant>
      <vt:variant>
        <vt:i4>3866740</vt:i4>
      </vt:variant>
      <vt:variant>
        <vt:i4>66</vt:i4>
      </vt:variant>
      <vt:variant>
        <vt:i4>0</vt:i4>
      </vt:variant>
      <vt:variant>
        <vt:i4>5</vt:i4>
      </vt:variant>
      <vt:variant>
        <vt:lpwstr>http://www.nevo.co.il/case/5787503</vt:lpwstr>
      </vt:variant>
      <vt:variant>
        <vt:lpwstr/>
      </vt:variant>
      <vt:variant>
        <vt:i4>3211381</vt:i4>
      </vt:variant>
      <vt:variant>
        <vt:i4>63</vt:i4>
      </vt:variant>
      <vt:variant>
        <vt:i4>0</vt:i4>
      </vt:variant>
      <vt:variant>
        <vt:i4>5</vt:i4>
      </vt:variant>
      <vt:variant>
        <vt:lpwstr>http://www.nevo.co.il/case/6247546</vt:lpwstr>
      </vt:variant>
      <vt:variant>
        <vt:lpwstr/>
      </vt:variant>
      <vt:variant>
        <vt:i4>3997813</vt:i4>
      </vt:variant>
      <vt:variant>
        <vt:i4>60</vt:i4>
      </vt:variant>
      <vt:variant>
        <vt:i4>0</vt:i4>
      </vt:variant>
      <vt:variant>
        <vt:i4>5</vt:i4>
      </vt:variant>
      <vt:variant>
        <vt:lpwstr>http://www.nevo.co.il/case/6246956</vt:lpwstr>
      </vt:variant>
      <vt:variant>
        <vt:lpwstr/>
      </vt:variant>
      <vt:variant>
        <vt:i4>3801202</vt:i4>
      </vt:variant>
      <vt:variant>
        <vt:i4>57</vt:i4>
      </vt:variant>
      <vt:variant>
        <vt:i4>0</vt:i4>
      </vt:variant>
      <vt:variant>
        <vt:i4>5</vt:i4>
      </vt:variant>
      <vt:variant>
        <vt:lpwstr>http://www.nevo.co.il/case/22976374</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4522076</vt:i4>
      </vt:variant>
      <vt:variant>
        <vt:i4>15</vt:i4>
      </vt:variant>
      <vt:variant>
        <vt:i4>0</vt:i4>
      </vt:variant>
      <vt:variant>
        <vt:i4>5</vt:i4>
      </vt:variant>
      <vt:variant>
        <vt:lpwstr>http://www.nevo.co.il/law/70301/hCaS</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3539057</vt:i4>
      </vt:variant>
      <vt:variant>
        <vt:i4>0</vt:i4>
      </vt:variant>
      <vt:variant>
        <vt:i4>0</vt:i4>
      </vt:variant>
      <vt:variant>
        <vt:i4>5</vt:i4>
      </vt:variant>
      <vt:variant>
        <vt:lpwstr>http://www.nevo.co.il/case/21303448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2024-01-07T12:06:00Z</dcterms:created>
  <dcterms:modified xsi:type="dcterms:W3CDTF">2024-01-07T12:06:00Z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30406</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זוהיר בן חמאד אבו עמאר</vt:lpwstr>
  </property>
  <property fmtid="{D5CDD505-2E9C-101B-9397-08002B2CF9AE}" pid="10" name="LAWYER">
    <vt:lpwstr>דניאל מור;נאצר אלעטאונה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20171224</vt:lpwstr>
  </property>
  <property fmtid="{D5CDD505-2E9C-101B-9397-08002B2CF9AE}" pid="14" name="TYPE_N_DATE">
    <vt:lpwstr>38020171224</vt:lpwstr>
  </property>
  <property fmtid="{D5CDD505-2E9C-101B-9397-08002B2CF9AE}" pid="15" name="CASESLISTTMP1">
    <vt:lpwstr>21303448;16913730;7791493:2;5852404;6000182;22112345;22001830;22607175;21778276;22976374;6246956;6247546;5787503;6173204</vt:lpwstr>
  </property>
  <property fmtid="{D5CDD505-2E9C-101B-9397-08002B2CF9AE}" pid="16" name="WORDNUMPAGES">
    <vt:lpwstr>10</vt:lpwstr>
  </property>
  <property fmtid="{D5CDD505-2E9C-101B-9397-08002B2CF9AE}" pid="17" name="TYPE_ABS_DATE">
    <vt:lpwstr>380020171224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70301/144.a:3;144.b;hCaS;186</vt:lpwstr>
  </property>
</Properties>
</file>