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4473"/>
        <w:gridCol w:w="4248"/>
      </w:tblGrid>
      <w:tr w:rsidR="00B87E1A" w:rsidRPr="00B87E1A" w14:paraId="5FF54B79" w14:textId="77777777" w:rsidTr="0067681A">
        <w:trPr>
          <w:trHeight w:hRule="exact" w:val="704"/>
          <w:jc w:val="center"/>
        </w:trPr>
        <w:tc>
          <w:tcPr>
            <w:tcW w:w="8721" w:type="dxa"/>
            <w:gridSpan w:val="2"/>
          </w:tcPr>
          <w:p w14:paraId="3537B7A0" w14:textId="77777777" w:rsidR="00B87E1A" w:rsidRPr="00B87E1A" w:rsidRDefault="00B87E1A" w:rsidP="0067681A">
            <w:pPr>
              <w:pStyle w:val="a3"/>
              <w:jc w:val="center"/>
              <w:rPr>
                <w:rFonts w:ascii="Tahoma" w:hAnsi="Tahoma" w:cs="Tahoma"/>
                <w:b/>
                <w:bCs/>
                <w:noProof w:val="0"/>
                <w:color w:val="000080"/>
                <w:rtl/>
              </w:rPr>
            </w:pPr>
            <w:bookmarkStart w:id="0" w:name="FirstLawyer"/>
            <w:bookmarkStart w:id="1" w:name="LastJudge"/>
            <w:r w:rsidRPr="00B87E1A">
              <w:rPr>
                <w:rFonts w:ascii="Tahoma" w:hAnsi="Tahoma" w:cs="Tahoma"/>
                <w:b/>
                <w:bCs/>
                <w:noProof w:val="0"/>
                <w:color w:val="000080"/>
                <w:rtl/>
              </w:rPr>
              <w:t>בית משפט השלום בבאר שבע</w:t>
            </w:r>
          </w:p>
          <w:p w14:paraId="358C3C62" w14:textId="77777777" w:rsidR="00B87E1A" w:rsidRPr="00B87E1A" w:rsidRDefault="00B87E1A" w:rsidP="0067681A">
            <w:pPr>
              <w:pStyle w:val="a3"/>
              <w:jc w:val="center"/>
              <w:rPr>
                <w:rFonts w:ascii="Tahoma" w:hAnsi="Tahoma" w:cs="Tahoma"/>
                <w:noProof w:val="0"/>
                <w:color w:val="000080"/>
                <w:rtl/>
              </w:rPr>
            </w:pPr>
          </w:p>
        </w:tc>
      </w:tr>
      <w:tr w:rsidR="00B87E1A" w:rsidRPr="00B87E1A" w14:paraId="3A0FA2F3" w14:textId="77777777" w:rsidTr="0067681A">
        <w:trPr>
          <w:trHeight w:val="337"/>
          <w:jc w:val="center"/>
        </w:trPr>
        <w:tc>
          <w:tcPr>
            <w:tcW w:w="4473" w:type="dxa"/>
          </w:tcPr>
          <w:p w14:paraId="605D52EC" w14:textId="77777777" w:rsidR="00B87E1A" w:rsidRPr="00B87E1A" w:rsidRDefault="00B87E1A" w:rsidP="0067681A">
            <w:pPr>
              <w:rPr>
                <w:b/>
                <w:bCs/>
                <w:noProof w:val="0"/>
                <w:sz w:val="26"/>
                <w:szCs w:val="26"/>
                <w:rtl/>
              </w:rPr>
            </w:pPr>
          </w:p>
        </w:tc>
        <w:tc>
          <w:tcPr>
            <w:tcW w:w="4248" w:type="dxa"/>
          </w:tcPr>
          <w:p w14:paraId="77430C23" w14:textId="77777777" w:rsidR="00B87E1A" w:rsidRPr="00B87E1A" w:rsidRDefault="00B87E1A" w:rsidP="0067681A">
            <w:pPr>
              <w:pStyle w:val="a3"/>
              <w:jc w:val="right"/>
              <w:rPr>
                <w:b/>
                <w:bCs/>
                <w:noProof w:val="0"/>
                <w:sz w:val="26"/>
                <w:szCs w:val="26"/>
                <w:rtl/>
              </w:rPr>
            </w:pPr>
            <w:r w:rsidRPr="00B87E1A">
              <w:rPr>
                <w:b/>
                <w:bCs/>
                <w:noProof w:val="0"/>
                <w:sz w:val="26"/>
                <w:szCs w:val="26"/>
                <w:rtl/>
              </w:rPr>
              <w:t>י"ח טבת תש"פ</w:t>
            </w:r>
          </w:p>
          <w:p w14:paraId="623583D6" w14:textId="77777777" w:rsidR="00B87E1A" w:rsidRPr="00B87E1A" w:rsidRDefault="00B87E1A" w:rsidP="0067681A">
            <w:pPr>
              <w:pStyle w:val="a3"/>
              <w:jc w:val="right"/>
              <w:rPr>
                <w:b/>
                <w:bCs/>
                <w:noProof w:val="0"/>
                <w:sz w:val="26"/>
                <w:szCs w:val="26"/>
                <w:rtl/>
              </w:rPr>
            </w:pPr>
            <w:r w:rsidRPr="00B87E1A">
              <w:rPr>
                <w:b/>
                <w:bCs/>
                <w:noProof w:val="0"/>
                <w:sz w:val="26"/>
                <w:szCs w:val="26"/>
                <w:rtl/>
              </w:rPr>
              <w:t>15 ינואר 2020</w:t>
            </w:r>
          </w:p>
        </w:tc>
      </w:tr>
      <w:tr w:rsidR="00B87E1A" w:rsidRPr="00B87E1A" w14:paraId="09134CC1" w14:textId="77777777" w:rsidTr="0067681A">
        <w:trPr>
          <w:trHeight w:val="337"/>
          <w:jc w:val="center"/>
        </w:trPr>
        <w:tc>
          <w:tcPr>
            <w:tcW w:w="8721" w:type="dxa"/>
            <w:gridSpan w:val="2"/>
          </w:tcPr>
          <w:p w14:paraId="04EB27F0" w14:textId="77777777" w:rsidR="00B87E1A" w:rsidRPr="00B87E1A" w:rsidRDefault="00B87E1A" w:rsidP="0067681A">
            <w:pPr>
              <w:rPr>
                <w:b/>
                <w:bCs/>
                <w:noProof w:val="0"/>
                <w:sz w:val="26"/>
                <w:szCs w:val="26"/>
                <w:rtl/>
              </w:rPr>
            </w:pPr>
            <w:r w:rsidRPr="00B87E1A">
              <w:rPr>
                <w:b/>
                <w:bCs/>
                <w:noProof w:val="0"/>
                <w:sz w:val="26"/>
                <w:szCs w:val="26"/>
                <w:rtl/>
              </w:rPr>
              <w:t>ת"פ 19417-11-16 מדינת ישראל נ' אבו אלקיעאן</w:t>
            </w:r>
          </w:p>
          <w:p w14:paraId="4C67C5A1" w14:textId="77777777" w:rsidR="00B87E1A" w:rsidRPr="00B87E1A" w:rsidRDefault="00B87E1A" w:rsidP="0067681A">
            <w:pPr>
              <w:rPr>
                <w:noProof w:val="0"/>
                <w:rtl/>
              </w:rPr>
            </w:pPr>
          </w:p>
          <w:p w14:paraId="4415881B" w14:textId="77777777" w:rsidR="00B87E1A" w:rsidRPr="00B87E1A" w:rsidRDefault="00B87E1A" w:rsidP="0067681A">
            <w:pPr>
              <w:rPr>
                <w:noProof w:val="0"/>
                <w:rtl/>
              </w:rPr>
            </w:pPr>
            <w:r w:rsidRPr="00B87E1A">
              <w:rPr>
                <w:noProof w:val="0"/>
                <w:sz w:val="20"/>
                <w:szCs w:val="20"/>
                <w:rtl/>
              </w:rPr>
              <w:t>תיק חיצוני</w:t>
            </w:r>
            <w:r w:rsidRPr="00B87E1A">
              <w:rPr>
                <w:noProof w:val="0"/>
                <w:rtl/>
              </w:rPr>
              <w:t xml:space="preserve">: </w:t>
            </w:r>
            <w:r w:rsidRPr="00B87E1A">
              <w:rPr>
                <w:sz w:val="20"/>
                <w:szCs w:val="20"/>
              </w:rPr>
              <w:t>6608/16</w:t>
            </w:r>
          </w:p>
        </w:tc>
      </w:tr>
    </w:tbl>
    <w:p w14:paraId="44742C87" w14:textId="77777777" w:rsidR="00B87E1A" w:rsidRPr="00B87E1A" w:rsidRDefault="00B87E1A" w:rsidP="00B87E1A">
      <w:pPr>
        <w:pStyle w:val="a3"/>
        <w:rPr>
          <w:noProof w:val="0"/>
          <w:rtl/>
        </w:rPr>
      </w:pPr>
      <w:r w:rsidRPr="00B87E1A">
        <w:rPr>
          <w:noProof w:val="0"/>
          <w:rtl/>
        </w:rPr>
        <w:t xml:space="preserve"> </w:t>
      </w:r>
    </w:p>
    <w:tbl>
      <w:tblPr>
        <w:bidiVisual/>
        <w:tblW w:w="8820" w:type="dxa"/>
        <w:jc w:val="center"/>
        <w:tblLook w:val="01E0" w:firstRow="1" w:lastRow="1" w:firstColumn="1" w:lastColumn="1" w:noHBand="0" w:noVBand="0"/>
      </w:tblPr>
      <w:tblGrid>
        <w:gridCol w:w="743"/>
        <w:gridCol w:w="2506"/>
        <w:gridCol w:w="5571"/>
      </w:tblGrid>
      <w:tr w:rsidR="00FF3818" w:rsidRPr="00B87E1A" w14:paraId="158A64CC" w14:textId="77777777" w:rsidTr="00732FD5">
        <w:trPr>
          <w:jc w:val="center"/>
        </w:trPr>
        <w:tc>
          <w:tcPr>
            <w:tcW w:w="743" w:type="dxa"/>
          </w:tcPr>
          <w:p w14:paraId="37DD1B86" w14:textId="77777777" w:rsidR="00FF3818" w:rsidRPr="00A70772" w:rsidRDefault="00FF3818" w:rsidP="00A70772">
            <w:pPr>
              <w:spacing w:before="120" w:after="120" w:line="240" w:lineRule="exact"/>
              <w:jc w:val="both"/>
              <w:rPr>
                <w:rFonts w:ascii="Arial" w:hAnsi="Arial"/>
                <w:b/>
                <w:bCs/>
                <w:sz w:val="26"/>
                <w:szCs w:val="26"/>
              </w:rPr>
            </w:pPr>
            <w:r w:rsidRPr="00A70772">
              <w:rPr>
                <w:rFonts w:ascii="Arial" w:hAnsi="Arial"/>
                <w:b/>
                <w:bCs/>
                <w:noProof w:val="0"/>
                <w:sz w:val="26"/>
                <w:szCs w:val="26"/>
                <w:rtl/>
              </w:rPr>
              <w:t>לפני</w:t>
            </w:r>
          </w:p>
        </w:tc>
        <w:tc>
          <w:tcPr>
            <w:tcW w:w="8077" w:type="dxa"/>
            <w:gridSpan w:val="2"/>
          </w:tcPr>
          <w:p w14:paraId="3875AD69" w14:textId="77777777" w:rsidR="00FF3818" w:rsidRPr="00A70772" w:rsidRDefault="00FF3818" w:rsidP="00A70772">
            <w:pPr>
              <w:spacing w:before="120" w:after="120" w:line="240" w:lineRule="exact"/>
              <w:rPr>
                <w:rFonts w:ascii="Arial" w:hAnsi="Arial" w:cs="FrankRuehl"/>
                <w:sz w:val="26"/>
                <w:szCs w:val="26"/>
                <w:highlight w:val="yellow"/>
              </w:rPr>
            </w:pPr>
            <w:r w:rsidRPr="00A70772">
              <w:rPr>
                <w:rFonts w:ascii="Arial" w:hAnsi="Arial"/>
                <w:b/>
                <w:bCs/>
                <w:noProof w:val="0"/>
                <w:sz w:val="26"/>
                <w:szCs w:val="26"/>
                <w:rtl/>
              </w:rPr>
              <w:t>כב' השופט  רון סולקין</w:t>
            </w:r>
          </w:p>
        </w:tc>
      </w:tr>
      <w:tr w:rsidR="00FF3818" w:rsidRPr="00B87E1A" w14:paraId="71BFAB05" w14:textId="77777777" w:rsidTr="00732FD5">
        <w:trPr>
          <w:jc w:val="center"/>
        </w:trPr>
        <w:tc>
          <w:tcPr>
            <w:tcW w:w="3249" w:type="dxa"/>
            <w:gridSpan w:val="2"/>
          </w:tcPr>
          <w:p w14:paraId="79499CCE" w14:textId="77777777" w:rsidR="00FF3818" w:rsidRPr="00A70772" w:rsidRDefault="00FF3818" w:rsidP="005C7C48">
            <w:pPr>
              <w:bidi w:val="0"/>
              <w:spacing w:before="120" w:after="120" w:line="240" w:lineRule="exact"/>
              <w:jc w:val="right"/>
              <w:rPr>
                <w:rFonts w:ascii="Arial" w:hAnsi="Arial"/>
                <w:b/>
                <w:bCs/>
                <w:noProof w:val="0"/>
                <w:sz w:val="26"/>
                <w:szCs w:val="26"/>
                <w:rtl/>
              </w:rPr>
            </w:pPr>
            <w:bookmarkStart w:id="2" w:name="FirstAppellant"/>
            <w:r w:rsidRPr="00A70772">
              <w:rPr>
                <w:rFonts w:ascii="Arial" w:hAnsi="Arial"/>
                <w:b/>
                <w:bCs/>
                <w:noProof w:val="0"/>
                <w:sz w:val="26"/>
                <w:szCs w:val="26"/>
                <w:rtl/>
              </w:rPr>
              <w:t>המאשימה</w:t>
            </w:r>
          </w:p>
        </w:tc>
        <w:tc>
          <w:tcPr>
            <w:tcW w:w="5571" w:type="dxa"/>
          </w:tcPr>
          <w:p w14:paraId="18117B9B" w14:textId="77777777" w:rsidR="00FF3818" w:rsidRPr="00A70772" w:rsidRDefault="00FF3818" w:rsidP="005C7C48">
            <w:pPr>
              <w:spacing w:before="120" w:after="120" w:line="240" w:lineRule="exact"/>
              <w:rPr>
                <w:b/>
                <w:bCs/>
                <w:noProof w:val="0"/>
                <w:sz w:val="26"/>
                <w:szCs w:val="26"/>
              </w:rPr>
            </w:pPr>
            <w:r w:rsidRPr="00A70772">
              <w:rPr>
                <w:rFonts w:ascii="Arial" w:hAnsi="Arial"/>
                <w:b/>
                <w:bCs/>
                <w:noProof w:val="0"/>
                <w:sz w:val="26"/>
                <w:szCs w:val="26"/>
                <w:rtl/>
              </w:rPr>
              <w:t>מדינת ישראל</w:t>
            </w:r>
            <w:r w:rsidRPr="00A70772">
              <w:rPr>
                <w:b/>
                <w:bCs/>
                <w:noProof w:val="0"/>
                <w:sz w:val="26"/>
                <w:szCs w:val="26"/>
                <w:rtl/>
              </w:rPr>
              <w:t xml:space="preserve"> – פמ"ד </w:t>
            </w:r>
            <w:r w:rsidRPr="00A70772">
              <w:rPr>
                <w:b/>
                <w:bCs/>
                <w:noProof w:val="0"/>
                <w:sz w:val="26"/>
                <w:szCs w:val="26"/>
                <w:rtl/>
              </w:rPr>
              <w:br/>
              <w:t xml:space="preserve">ע"י ב"כ עו"ד שאול ציון </w:t>
            </w:r>
          </w:p>
        </w:tc>
      </w:tr>
      <w:bookmarkEnd w:id="2"/>
      <w:tr w:rsidR="00FF3818" w:rsidRPr="00B87E1A" w14:paraId="5B40A2EA" w14:textId="77777777" w:rsidTr="00732FD5">
        <w:trPr>
          <w:jc w:val="center"/>
        </w:trPr>
        <w:tc>
          <w:tcPr>
            <w:tcW w:w="8820" w:type="dxa"/>
            <w:gridSpan w:val="3"/>
          </w:tcPr>
          <w:p w14:paraId="6110C41E" w14:textId="77777777" w:rsidR="00FF3818" w:rsidRPr="00A70772" w:rsidRDefault="00FF3818" w:rsidP="00A70772">
            <w:pPr>
              <w:spacing w:before="240" w:after="240" w:line="240" w:lineRule="exact"/>
              <w:jc w:val="center"/>
              <w:rPr>
                <w:rFonts w:ascii="Arial" w:hAnsi="Arial" w:hint="cs"/>
                <w:b/>
                <w:bCs/>
                <w:noProof w:val="0"/>
                <w:sz w:val="26"/>
                <w:szCs w:val="26"/>
              </w:rPr>
            </w:pPr>
            <w:r w:rsidRPr="00A70772">
              <w:rPr>
                <w:rFonts w:ascii="Arial" w:hAnsi="Arial"/>
                <w:b/>
                <w:bCs/>
                <w:noProof w:val="0"/>
                <w:sz w:val="26"/>
                <w:szCs w:val="26"/>
                <w:rtl/>
              </w:rPr>
              <w:t>נגד</w:t>
            </w:r>
          </w:p>
        </w:tc>
      </w:tr>
      <w:tr w:rsidR="00FF3818" w:rsidRPr="00B87E1A" w14:paraId="70C04538" w14:textId="77777777" w:rsidTr="00732FD5">
        <w:trPr>
          <w:jc w:val="center"/>
        </w:trPr>
        <w:tc>
          <w:tcPr>
            <w:tcW w:w="3249" w:type="dxa"/>
            <w:gridSpan w:val="2"/>
          </w:tcPr>
          <w:p w14:paraId="59B6DA0D" w14:textId="77777777" w:rsidR="00FF3818" w:rsidRPr="00A70772" w:rsidRDefault="00FF3818" w:rsidP="00A70772">
            <w:pPr>
              <w:spacing w:before="120" w:after="120" w:line="240" w:lineRule="exact"/>
              <w:rPr>
                <w:rFonts w:ascii="Arial" w:hAnsi="Arial"/>
                <w:b/>
                <w:bCs/>
                <w:noProof w:val="0"/>
                <w:sz w:val="26"/>
                <w:szCs w:val="26"/>
              </w:rPr>
            </w:pPr>
            <w:r w:rsidRPr="00A70772">
              <w:rPr>
                <w:rFonts w:ascii="Arial" w:hAnsi="Arial"/>
                <w:b/>
                <w:bCs/>
                <w:noProof w:val="0"/>
                <w:sz w:val="26"/>
                <w:szCs w:val="26"/>
                <w:rtl/>
              </w:rPr>
              <w:t>הנאשם</w:t>
            </w:r>
          </w:p>
        </w:tc>
        <w:tc>
          <w:tcPr>
            <w:tcW w:w="5571" w:type="dxa"/>
          </w:tcPr>
          <w:p w14:paraId="56D805E7" w14:textId="77777777" w:rsidR="00FF3818" w:rsidRPr="00A70772" w:rsidRDefault="00FF3818" w:rsidP="00A70772">
            <w:pPr>
              <w:spacing w:before="120" w:after="120" w:line="240" w:lineRule="exact"/>
              <w:rPr>
                <w:b/>
                <w:bCs/>
                <w:noProof w:val="0"/>
                <w:sz w:val="26"/>
                <w:szCs w:val="26"/>
                <w:rtl/>
              </w:rPr>
            </w:pPr>
            <w:r w:rsidRPr="00A70772">
              <w:rPr>
                <w:rFonts w:ascii="Arial" w:hAnsi="Arial"/>
                <w:b/>
                <w:bCs/>
                <w:noProof w:val="0"/>
                <w:sz w:val="26"/>
                <w:szCs w:val="26"/>
                <w:rtl/>
              </w:rPr>
              <w:t>וספי בן מחמד אבו אלקיעאן</w:t>
            </w:r>
          </w:p>
          <w:p w14:paraId="38675F50" w14:textId="77777777" w:rsidR="00FF3818" w:rsidRPr="00A70772" w:rsidRDefault="00FF3818" w:rsidP="00A70772">
            <w:pPr>
              <w:spacing w:before="120" w:after="120" w:line="240" w:lineRule="exact"/>
              <w:rPr>
                <w:b/>
                <w:bCs/>
                <w:noProof w:val="0"/>
                <w:sz w:val="26"/>
                <w:szCs w:val="26"/>
                <w:rtl/>
              </w:rPr>
            </w:pPr>
            <w:r w:rsidRPr="00A70772">
              <w:rPr>
                <w:b/>
                <w:bCs/>
                <w:noProof w:val="0"/>
                <w:sz w:val="26"/>
                <w:szCs w:val="26"/>
                <w:rtl/>
              </w:rPr>
              <w:t>ע"י ב"כ עו"ד דרויש נאשף</w:t>
            </w:r>
          </w:p>
        </w:tc>
      </w:tr>
    </w:tbl>
    <w:p w14:paraId="1B2C6849" w14:textId="77777777" w:rsidR="00FF3818" w:rsidRPr="00B87E1A" w:rsidRDefault="00FF3818" w:rsidP="00BB5D7F">
      <w:pPr>
        <w:suppressLineNumbers/>
        <w:spacing w:line="360" w:lineRule="auto"/>
        <w:rPr>
          <w:rFonts w:hint="cs"/>
          <w:rtl/>
        </w:rPr>
      </w:pPr>
    </w:p>
    <w:p w14:paraId="11A98493" w14:textId="77777777" w:rsidR="003B4331" w:rsidRPr="003B4331" w:rsidRDefault="003B4331" w:rsidP="003B4331">
      <w:pPr>
        <w:suppressLineNumbers/>
        <w:spacing w:before="120" w:after="120" w:line="240" w:lineRule="exact"/>
        <w:ind w:left="283" w:hanging="283"/>
        <w:jc w:val="both"/>
        <w:rPr>
          <w:rFonts w:ascii="FrankRuehl" w:hAnsi="FrankRuehl" w:cs="FrankRuehl"/>
        </w:rPr>
      </w:pPr>
      <w:bookmarkStart w:id="3" w:name="LawTable"/>
      <w:bookmarkEnd w:id="3"/>
      <w:r w:rsidRPr="003B4331">
        <w:rPr>
          <w:rFonts w:ascii="FrankRuehl" w:hAnsi="FrankRuehl" w:cs="FrankRuehl"/>
          <w:rtl/>
        </w:rPr>
        <w:t xml:space="preserve">חקיקה שאוזכרה: </w:t>
      </w:r>
    </w:p>
    <w:p w14:paraId="2F4FBCE4" w14:textId="77777777" w:rsidR="003B4331" w:rsidRPr="003B4331" w:rsidRDefault="003B4331" w:rsidP="003B4331">
      <w:pPr>
        <w:suppressLineNumbers/>
        <w:spacing w:before="120" w:after="120" w:line="240" w:lineRule="exact"/>
        <w:ind w:left="283" w:hanging="283"/>
        <w:jc w:val="both"/>
        <w:rPr>
          <w:rFonts w:ascii="FrankRuehl" w:hAnsi="FrankRuehl" w:cs="FrankRuehl"/>
        </w:rPr>
      </w:pPr>
      <w:hyperlink r:id="rId8" w:history="1">
        <w:r w:rsidRPr="003B4331">
          <w:rPr>
            <w:rFonts w:ascii="FrankRuehl" w:hAnsi="FrankRuehl" w:cs="FrankRuehl"/>
            <w:color w:val="0000FF"/>
            <w:u w:val="single"/>
            <w:rtl/>
          </w:rPr>
          <w:t>חוק העונשין, תשל"ז-1977</w:t>
        </w:r>
      </w:hyperlink>
      <w:r w:rsidRPr="003B4331">
        <w:rPr>
          <w:rFonts w:ascii="FrankRuehl" w:hAnsi="FrankRuehl" w:cs="FrankRuehl"/>
        </w:rPr>
        <w:t xml:space="preserve">: </w:t>
      </w:r>
      <w:r w:rsidRPr="003B4331">
        <w:rPr>
          <w:rFonts w:ascii="FrankRuehl" w:hAnsi="FrankRuehl" w:cs="FrankRuehl"/>
          <w:rtl/>
        </w:rPr>
        <w:t>סע</w:t>
      </w:r>
      <w:r w:rsidRPr="003B4331">
        <w:rPr>
          <w:rFonts w:ascii="FrankRuehl" w:hAnsi="FrankRuehl" w:cs="FrankRuehl"/>
        </w:rPr>
        <w:t xml:space="preserve">'  </w:t>
      </w:r>
      <w:hyperlink r:id="rId9" w:history="1">
        <w:r w:rsidRPr="003B4331">
          <w:rPr>
            <w:rFonts w:ascii="FrankRuehl" w:hAnsi="FrankRuehl" w:cs="FrankRuehl"/>
            <w:color w:val="0000FF"/>
            <w:u w:val="single"/>
          </w:rPr>
          <w:t>144</w:t>
        </w:r>
      </w:hyperlink>
      <w:r w:rsidRPr="003B4331">
        <w:rPr>
          <w:rFonts w:ascii="FrankRuehl" w:hAnsi="FrankRuehl" w:cs="FrankRuehl"/>
        </w:rPr>
        <w:t xml:space="preserve">, </w:t>
      </w:r>
      <w:hyperlink r:id="rId10" w:history="1">
        <w:r w:rsidRPr="003B4331">
          <w:rPr>
            <w:rFonts w:ascii="FrankRuehl" w:hAnsi="FrankRuehl" w:cs="FrankRuehl"/>
            <w:color w:val="0000FF"/>
            <w:u w:val="single"/>
          </w:rPr>
          <w:t>144(</w:t>
        </w:r>
        <w:r w:rsidRPr="003B4331">
          <w:rPr>
            <w:rFonts w:ascii="FrankRuehl" w:hAnsi="FrankRuehl" w:cs="FrankRuehl"/>
            <w:color w:val="0000FF"/>
            <w:u w:val="single"/>
            <w:rtl/>
          </w:rPr>
          <w:t>א</w:t>
        </w:r>
        <w:r w:rsidRPr="003B4331">
          <w:rPr>
            <w:rFonts w:ascii="FrankRuehl" w:hAnsi="FrankRuehl" w:cs="FrankRuehl"/>
            <w:color w:val="0000FF"/>
            <w:u w:val="single"/>
          </w:rPr>
          <w:t>)</w:t>
        </w:r>
      </w:hyperlink>
      <w:r w:rsidRPr="003B4331">
        <w:rPr>
          <w:rFonts w:ascii="FrankRuehl" w:hAnsi="FrankRuehl" w:cs="FrankRuehl"/>
        </w:rPr>
        <w:t xml:space="preserve">, </w:t>
      </w:r>
      <w:hyperlink r:id="rId11" w:history="1">
        <w:r w:rsidRPr="003B4331">
          <w:rPr>
            <w:rFonts w:ascii="FrankRuehl" w:hAnsi="FrankRuehl" w:cs="FrankRuehl"/>
            <w:color w:val="0000FF"/>
            <w:u w:val="single"/>
          </w:rPr>
          <w:t>144(</w:t>
        </w:r>
        <w:r w:rsidRPr="003B4331">
          <w:rPr>
            <w:rFonts w:ascii="FrankRuehl" w:hAnsi="FrankRuehl" w:cs="FrankRuehl"/>
            <w:color w:val="0000FF"/>
            <w:u w:val="single"/>
            <w:rtl/>
          </w:rPr>
          <w:t>ב</w:t>
        </w:r>
        <w:r w:rsidRPr="003B4331">
          <w:rPr>
            <w:rFonts w:ascii="FrankRuehl" w:hAnsi="FrankRuehl" w:cs="FrankRuehl"/>
            <w:color w:val="0000FF"/>
            <w:u w:val="single"/>
          </w:rPr>
          <w:t>)</w:t>
        </w:r>
      </w:hyperlink>
      <w:r w:rsidRPr="003B4331">
        <w:rPr>
          <w:rFonts w:ascii="FrankRuehl" w:hAnsi="FrankRuehl" w:cs="FrankRuehl"/>
        </w:rPr>
        <w:t xml:space="preserve">, </w:t>
      </w:r>
      <w:hyperlink r:id="rId12" w:history="1">
        <w:r w:rsidRPr="003B4331">
          <w:rPr>
            <w:rFonts w:ascii="FrankRuehl" w:hAnsi="FrankRuehl" w:cs="FrankRuehl"/>
            <w:color w:val="0000FF"/>
            <w:u w:val="single"/>
          </w:rPr>
          <w:t>186</w:t>
        </w:r>
      </w:hyperlink>
    </w:p>
    <w:p w14:paraId="210E473A" w14:textId="77777777" w:rsidR="00183C96" w:rsidRDefault="00183C96" w:rsidP="003B4331">
      <w:pPr>
        <w:suppressLineNumbers/>
        <w:spacing w:line="360" w:lineRule="auto"/>
        <w:rPr>
          <w:rFonts w:hint="cs"/>
          <w:rtl/>
        </w:rPr>
      </w:pPr>
      <w:bookmarkStart w:id="4" w:name="LawTable_End"/>
      <w:bookmarkEnd w:id="4"/>
    </w:p>
    <w:p w14:paraId="3BCF5217" w14:textId="77777777" w:rsidR="008B0521" w:rsidRPr="008B0521" w:rsidRDefault="008B0521" w:rsidP="008B0521">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sidRPr="008B0521">
        <w:rPr>
          <w:rFonts w:cs="FrankRuehl" w:hint="cs"/>
          <w:szCs w:val="26"/>
          <w:rtl/>
        </w:rPr>
        <w:t>מיני-רציו:</w:t>
      </w:r>
    </w:p>
    <w:p w14:paraId="1B8D03EA" w14:textId="77777777" w:rsidR="008B0521" w:rsidRPr="008B0521" w:rsidRDefault="008B0521" w:rsidP="008B0521">
      <w:pPr>
        <w:pBdr>
          <w:top w:val="single" w:sz="4" w:space="1" w:color="auto"/>
          <w:bottom w:val="single" w:sz="4" w:space="1" w:color="auto"/>
        </w:pBdr>
        <w:spacing w:after="120" w:line="320" w:lineRule="exact"/>
        <w:jc w:val="both"/>
        <w:rPr>
          <w:rFonts w:cs="FrankRuehl" w:hint="cs"/>
          <w:szCs w:val="26"/>
          <w:rtl/>
        </w:rPr>
      </w:pPr>
      <w:r w:rsidRPr="008B0521">
        <w:rPr>
          <w:rFonts w:cs="FrankRuehl" w:hint="cs"/>
          <w:szCs w:val="26"/>
          <w:rtl/>
        </w:rPr>
        <w:t>* הנאשם, שהורשע</w:t>
      </w:r>
      <w:r w:rsidRPr="008B0521">
        <w:rPr>
          <w:rFonts w:cs="FrankRuehl"/>
          <w:szCs w:val="26"/>
          <w:rtl/>
        </w:rPr>
        <w:t xml:space="preserve"> </w:t>
      </w:r>
      <w:r w:rsidRPr="008B0521">
        <w:rPr>
          <w:rFonts w:cs="FrankRuehl" w:hint="cs"/>
          <w:szCs w:val="26"/>
          <w:rtl/>
        </w:rPr>
        <w:t>ב</w:t>
      </w:r>
      <w:r w:rsidRPr="008B0521">
        <w:rPr>
          <w:rFonts w:cs="FrankRuehl"/>
          <w:szCs w:val="26"/>
          <w:rtl/>
        </w:rPr>
        <w:t>עבירות של החזקת נשק ותחמושת שלא כדין,</w:t>
      </w:r>
      <w:r w:rsidRPr="008B0521">
        <w:rPr>
          <w:rFonts w:cs="FrankRuehl" w:hint="cs"/>
          <w:szCs w:val="26"/>
          <w:rtl/>
        </w:rPr>
        <w:t xml:space="preserve"> נדון ל</w:t>
      </w:r>
      <w:r>
        <w:rPr>
          <w:rFonts w:cs="FrankRuehl" w:hint="cs"/>
          <w:szCs w:val="26"/>
          <w:rtl/>
        </w:rPr>
        <w:t>-</w:t>
      </w:r>
      <w:r w:rsidRPr="008B0521">
        <w:rPr>
          <w:rFonts w:cs="FrankRuehl"/>
          <w:szCs w:val="26"/>
          <w:rtl/>
        </w:rPr>
        <w:t xml:space="preserve">15 חודשי מאסר בפועל, </w:t>
      </w:r>
      <w:r w:rsidRPr="008B0521">
        <w:rPr>
          <w:rFonts w:cs="FrankRuehl" w:hint="cs"/>
          <w:szCs w:val="26"/>
          <w:rtl/>
        </w:rPr>
        <w:t>לצד מאסר מותנה ו</w:t>
      </w:r>
      <w:r w:rsidRPr="008B0521">
        <w:rPr>
          <w:rFonts w:cs="FrankRuehl"/>
          <w:szCs w:val="26"/>
          <w:rtl/>
        </w:rPr>
        <w:t>קנס.</w:t>
      </w:r>
    </w:p>
    <w:p w14:paraId="0BDBED65" w14:textId="77777777" w:rsidR="008B0521" w:rsidRPr="008B0521" w:rsidRDefault="008B0521" w:rsidP="008B0521">
      <w:pPr>
        <w:pBdr>
          <w:top w:val="single" w:sz="4" w:space="1" w:color="auto"/>
          <w:bottom w:val="single" w:sz="4" w:space="1" w:color="auto"/>
        </w:pBdr>
        <w:spacing w:after="120" w:line="320" w:lineRule="exact"/>
        <w:jc w:val="both"/>
        <w:rPr>
          <w:rFonts w:cs="FrankRuehl" w:hint="cs"/>
          <w:szCs w:val="26"/>
          <w:rtl/>
        </w:rPr>
      </w:pPr>
      <w:r w:rsidRPr="008B0521">
        <w:rPr>
          <w:rFonts w:cs="FrankRuehl" w:hint="cs"/>
          <w:szCs w:val="26"/>
          <w:rtl/>
        </w:rPr>
        <w:t xml:space="preserve">* </w:t>
      </w:r>
      <w:r w:rsidRPr="008B0521">
        <w:rPr>
          <w:rFonts w:cs="FrankRuehl"/>
          <w:szCs w:val="26"/>
          <w:rtl/>
        </w:rPr>
        <w:t>עונשין – ענישה – מדיניות ענישה: עבירות נשק</w:t>
      </w:r>
    </w:p>
    <w:p w14:paraId="0F2EF6D0" w14:textId="77777777" w:rsidR="008B0521" w:rsidRPr="008B0521" w:rsidRDefault="008B0521" w:rsidP="008B0521">
      <w:pPr>
        <w:pBdr>
          <w:top w:val="single" w:sz="4" w:space="1" w:color="auto"/>
          <w:bottom w:val="single" w:sz="4" w:space="1" w:color="auto"/>
        </w:pBdr>
        <w:spacing w:after="120" w:line="320" w:lineRule="exact"/>
        <w:jc w:val="both"/>
        <w:rPr>
          <w:rFonts w:cs="FrankRuehl" w:hint="cs"/>
          <w:szCs w:val="26"/>
          <w:rtl/>
        </w:rPr>
      </w:pPr>
      <w:r w:rsidRPr="008B0521">
        <w:rPr>
          <w:rFonts w:cs="FrankRuehl" w:hint="cs"/>
          <w:szCs w:val="26"/>
          <w:rtl/>
        </w:rPr>
        <w:t xml:space="preserve">* </w:t>
      </w:r>
      <w:r w:rsidRPr="008B0521">
        <w:rPr>
          <w:rFonts w:cs="FrankRuehl"/>
          <w:szCs w:val="26"/>
          <w:rtl/>
        </w:rPr>
        <w:t>עונשין – עבירות – נשק</w:t>
      </w:r>
    </w:p>
    <w:p w14:paraId="17BF491B" w14:textId="77777777" w:rsidR="008B0521" w:rsidRPr="008B0521" w:rsidRDefault="008B0521" w:rsidP="008B0521">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064457C" w14:textId="77777777" w:rsidR="008B0521" w:rsidRPr="008B0521" w:rsidRDefault="008B0521" w:rsidP="008B0521">
      <w:pPr>
        <w:pBdr>
          <w:top w:val="single" w:sz="4" w:space="1" w:color="auto"/>
          <w:bottom w:val="single" w:sz="4" w:space="1" w:color="auto"/>
        </w:pBdr>
        <w:spacing w:after="120" w:line="320" w:lineRule="exact"/>
        <w:jc w:val="both"/>
        <w:rPr>
          <w:rFonts w:cs="FrankRuehl"/>
          <w:szCs w:val="26"/>
          <w:rtl/>
        </w:rPr>
      </w:pPr>
      <w:r w:rsidRPr="008B0521">
        <w:rPr>
          <w:rFonts w:cs="FrankRuehl"/>
          <w:szCs w:val="26"/>
          <w:rtl/>
        </w:rPr>
        <w:t xml:space="preserve">הנאשם נותן את הדין בגין עבירות של החזקת נשק ותחמושת שלא כדין, בניגוד </w:t>
      </w:r>
      <w:hyperlink r:id="rId13" w:history="1">
        <w:r w:rsidRPr="008B0521">
          <w:rPr>
            <w:rFonts w:cs="FrankRuehl"/>
            <w:szCs w:val="26"/>
            <w:rtl/>
          </w:rPr>
          <w:t>לסעיף 144(א)</w:t>
        </w:r>
      </w:hyperlink>
      <w:r w:rsidRPr="008B0521">
        <w:rPr>
          <w:rFonts w:cs="FrankRuehl"/>
          <w:szCs w:val="26"/>
          <w:rtl/>
        </w:rPr>
        <w:t xml:space="preserve"> רישא וסיפא ל</w:t>
      </w:r>
      <w:hyperlink r:id="rId14" w:history="1">
        <w:r w:rsidRPr="008B0521">
          <w:rPr>
            <w:rFonts w:cs="FrankRuehl"/>
            <w:szCs w:val="26"/>
            <w:rtl/>
          </w:rPr>
          <w:t>חוק העונשין</w:t>
        </w:r>
      </w:hyperlink>
      <w:r w:rsidRPr="008B0521">
        <w:rPr>
          <w:rFonts w:cs="FrankRuehl"/>
          <w:szCs w:val="26"/>
          <w:rtl/>
        </w:rPr>
        <w:t xml:space="preserve">. </w:t>
      </w:r>
    </w:p>
    <w:p w14:paraId="41CA741F" w14:textId="77777777" w:rsidR="008B0521" w:rsidRPr="008B0521" w:rsidRDefault="008B0521" w:rsidP="008B0521">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ED5AD72" w14:textId="77777777" w:rsidR="008B0521" w:rsidRPr="008B0521" w:rsidRDefault="008B0521" w:rsidP="008B0521">
      <w:pPr>
        <w:pBdr>
          <w:top w:val="single" w:sz="4" w:space="1" w:color="auto"/>
          <w:bottom w:val="single" w:sz="4" w:space="1" w:color="auto"/>
        </w:pBdr>
        <w:spacing w:after="120" w:line="320" w:lineRule="exact"/>
        <w:jc w:val="both"/>
        <w:rPr>
          <w:rFonts w:cs="FrankRuehl" w:hint="cs"/>
          <w:szCs w:val="26"/>
          <w:rtl/>
        </w:rPr>
      </w:pPr>
      <w:r w:rsidRPr="008B0521">
        <w:rPr>
          <w:rFonts w:cs="FrankRuehl" w:hint="cs"/>
          <w:szCs w:val="26"/>
          <w:rtl/>
        </w:rPr>
        <w:t>בית המשפט גזר את דינו של הנאשם, ופסק כלהלן:</w:t>
      </w:r>
    </w:p>
    <w:p w14:paraId="366B9C45" w14:textId="77777777" w:rsidR="008B0521" w:rsidRPr="008B0521" w:rsidRDefault="008B0521" w:rsidP="008B0521">
      <w:pPr>
        <w:pBdr>
          <w:top w:val="single" w:sz="4" w:space="1" w:color="auto"/>
          <w:bottom w:val="single" w:sz="4" w:space="1" w:color="auto"/>
        </w:pBdr>
        <w:spacing w:after="120" w:line="320" w:lineRule="exact"/>
        <w:jc w:val="both"/>
        <w:rPr>
          <w:rFonts w:cs="FrankRuehl"/>
          <w:szCs w:val="26"/>
          <w:rtl/>
        </w:rPr>
      </w:pPr>
      <w:r w:rsidRPr="008B0521">
        <w:rPr>
          <w:rFonts w:cs="FrankRuehl"/>
          <w:szCs w:val="26"/>
          <w:rtl/>
        </w:rPr>
        <w:t>אין צורך להכביר מילים על פוטנציאל הסיכון הנובע מהחזקת נשק חם קטלני, שלא כדין.</w:t>
      </w:r>
      <w:r w:rsidRPr="008B0521">
        <w:rPr>
          <w:rFonts w:cs="FrankRuehl" w:hint="cs"/>
          <w:szCs w:val="26"/>
          <w:rtl/>
        </w:rPr>
        <w:t xml:space="preserve"> </w:t>
      </w:r>
      <w:r w:rsidRPr="008B0521">
        <w:rPr>
          <w:rFonts w:cs="FrankRuehl"/>
          <w:szCs w:val="26"/>
          <w:rtl/>
        </w:rPr>
        <w:t>כלי הנשק עלול למצוא דרכו לפעילות שלילית, אם פלילית ואם נגד בטחון המדינה.</w:t>
      </w:r>
      <w:r w:rsidRPr="008B0521">
        <w:rPr>
          <w:rFonts w:cs="FrankRuehl" w:hint="cs"/>
          <w:szCs w:val="26"/>
          <w:rtl/>
        </w:rPr>
        <w:t xml:space="preserve"> </w:t>
      </w:r>
      <w:r w:rsidRPr="008B0521">
        <w:rPr>
          <w:rFonts w:cs="FrankRuehl"/>
          <w:szCs w:val="26"/>
          <w:rtl/>
        </w:rPr>
        <w:t>בשורה של פסקי דין נקבע, כי חומרת הסיכון הנשקף מעבירות אלה, מחייבת השתת עונשי מאסר בפועל בגין עבירות אלה וזאת גם כאשר המדובר, לכאורה, במי שמנהל אורח חיים נורמטיבי ואין לחובתו הרשעות קודמות. על אחת כמה וכמה פוטנציאל הסיכון כאשר כלי נשק חם מוחזק בתוך רכב.</w:t>
      </w:r>
    </w:p>
    <w:p w14:paraId="5956E333" w14:textId="77777777" w:rsidR="008B0521" w:rsidRPr="008B0521" w:rsidRDefault="008B0521" w:rsidP="008B0521">
      <w:pPr>
        <w:pBdr>
          <w:top w:val="single" w:sz="4" w:space="1" w:color="auto"/>
          <w:bottom w:val="single" w:sz="4" w:space="1" w:color="auto"/>
        </w:pBdr>
        <w:spacing w:after="120" w:line="320" w:lineRule="exact"/>
        <w:jc w:val="both"/>
        <w:rPr>
          <w:rFonts w:cs="FrankRuehl"/>
          <w:szCs w:val="26"/>
          <w:rtl/>
        </w:rPr>
      </w:pPr>
      <w:r w:rsidRPr="008B0521">
        <w:rPr>
          <w:rFonts w:cs="FrankRuehl" w:hint="cs"/>
          <w:szCs w:val="26"/>
          <w:rtl/>
        </w:rPr>
        <w:lastRenderedPageBreak/>
        <w:t>יש</w:t>
      </w:r>
      <w:r w:rsidRPr="008B0521">
        <w:rPr>
          <w:rFonts w:cs="FrankRuehl"/>
          <w:szCs w:val="26"/>
          <w:rtl/>
        </w:rPr>
        <w:t xml:space="preserve"> לקבוע מתחם ענישה, בכל הנוגע לאחזקת נשק חם קצר, מסוג אקדח – חצי אוטומטי, שהוא מוחזק בלווית תחמושת מתאימה, במחסנית, מוכן לשימוש, בתוך כלי רכב – כך שינוע בין 15 עד 30 חודשי מאסר בפועל.</w:t>
      </w:r>
    </w:p>
    <w:p w14:paraId="7556F716" w14:textId="77777777" w:rsidR="008B0521" w:rsidRPr="008B0521" w:rsidRDefault="008B0521" w:rsidP="008B0521">
      <w:pPr>
        <w:pBdr>
          <w:top w:val="single" w:sz="4" w:space="1" w:color="auto"/>
          <w:bottom w:val="single" w:sz="4" w:space="1" w:color="auto"/>
        </w:pBdr>
        <w:spacing w:after="120" w:line="320" w:lineRule="exact"/>
        <w:jc w:val="both"/>
        <w:rPr>
          <w:rFonts w:cs="FrankRuehl"/>
          <w:szCs w:val="26"/>
          <w:rtl/>
        </w:rPr>
      </w:pPr>
      <w:r w:rsidRPr="008B0521">
        <w:rPr>
          <w:rFonts w:cs="FrankRuehl"/>
          <w:szCs w:val="26"/>
          <w:rtl/>
        </w:rPr>
        <w:t>אם תימשך העלי</w:t>
      </w:r>
      <w:r w:rsidRPr="008B0521">
        <w:rPr>
          <w:rFonts w:cs="FrankRuehl" w:hint="cs"/>
          <w:szCs w:val="26"/>
          <w:rtl/>
        </w:rPr>
        <w:t>י</w:t>
      </w:r>
      <w:r w:rsidRPr="008B0521">
        <w:rPr>
          <w:rFonts w:cs="FrankRuehl"/>
          <w:szCs w:val="26"/>
          <w:rtl/>
        </w:rPr>
        <w:t xml:space="preserve">ה במספר כתבי האישום המוגשים בגין עבירה זו, </w:t>
      </w:r>
      <w:r w:rsidRPr="008B0521">
        <w:rPr>
          <w:rFonts w:cs="FrankRuehl" w:hint="cs"/>
          <w:szCs w:val="26"/>
          <w:rtl/>
        </w:rPr>
        <w:t>י</w:t>
      </w:r>
      <w:r w:rsidRPr="008B0521">
        <w:rPr>
          <w:rFonts w:cs="FrankRuehl"/>
          <w:szCs w:val="26"/>
          <w:rtl/>
        </w:rPr>
        <w:t>יתכן שנכון יהיה לדון גם בהחמרה נוספת של המתחם, כפי המבוקש על ידי התביעה.</w:t>
      </w:r>
    </w:p>
    <w:p w14:paraId="245205D9" w14:textId="77777777" w:rsidR="008B0521" w:rsidRPr="008B0521" w:rsidRDefault="008B0521" w:rsidP="008B0521">
      <w:pPr>
        <w:pBdr>
          <w:top w:val="single" w:sz="4" w:space="1" w:color="auto"/>
          <w:bottom w:val="single" w:sz="4" w:space="1" w:color="auto"/>
        </w:pBdr>
        <w:spacing w:after="120" w:line="320" w:lineRule="exact"/>
        <w:jc w:val="both"/>
        <w:rPr>
          <w:rFonts w:cs="FrankRuehl" w:hint="cs"/>
          <w:szCs w:val="26"/>
          <w:rtl/>
        </w:rPr>
      </w:pPr>
      <w:r w:rsidRPr="008B0521">
        <w:rPr>
          <w:rFonts w:cs="FrankRuehl"/>
          <w:szCs w:val="26"/>
          <w:rtl/>
        </w:rPr>
        <w:t xml:space="preserve">לנוכח השיקולים לקולה, ובעיקר – שירותו הצבאי של הנאשם והיעדר הרשעות קודמות – יושת עונש על הרף הנמוך ביותר של מתחם הענישה. </w:t>
      </w:r>
      <w:r w:rsidRPr="008B0521">
        <w:rPr>
          <w:rFonts w:cs="FrankRuehl" w:hint="cs"/>
          <w:szCs w:val="26"/>
          <w:rtl/>
        </w:rPr>
        <w:t xml:space="preserve">יש להטיל על הנאשם </w:t>
      </w:r>
      <w:r w:rsidRPr="008B0521">
        <w:rPr>
          <w:rFonts w:cs="FrankRuehl"/>
          <w:szCs w:val="26"/>
          <w:rtl/>
        </w:rPr>
        <w:t xml:space="preserve">15 חודשי מאסר בפועל, </w:t>
      </w:r>
      <w:r w:rsidRPr="008B0521">
        <w:rPr>
          <w:rFonts w:cs="FrankRuehl" w:hint="cs"/>
          <w:szCs w:val="26"/>
          <w:rtl/>
        </w:rPr>
        <w:t>שני מאסרים מותנים ו</w:t>
      </w:r>
      <w:r w:rsidRPr="008B0521">
        <w:rPr>
          <w:rFonts w:cs="FrankRuehl"/>
          <w:szCs w:val="26"/>
          <w:rtl/>
        </w:rPr>
        <w:t>קנס בסך 10,000 ₪.</w:t>
      </w:r>
    </w:p>
    <w:p w14:paraId="79B71D3C" w14:textId="77777777" w:rsidR="008B0521" w:rsidRDefault="008B0521" w:rsidP="003B4331">
      <w:pPr>
        <w:suppressLineNumbers/>
        <w:spacing w:line="360" w:lineRule="auto"/>
        <w:rPr>
          <w:rFonts w:hint="cs"/>
          <w:rtl/>
        </w:rPr>
      </w:pPr>
      <w:bookmarkStart w:id="6" w:name="ABSTRACT_END"/>
      <w:bookmarkEnd w:id="6"/>
    </w:p>
    <w:tbl>
      <w:tblPr>
        <w:bidiVisual/>
        <w:tblW w:w="8820" w:type="dxa"/>
        <w:jc w:val="center"/>
        <w:tblLook w:val="01E0" w:firstRow="1" w:lastRow="1" w:firstColumn="1" w:lastColumn="1" w:noHBand="0" w:noVBand="0"/>
      </w:tblPr>
      <w:tblGrid>
        <w:gridCol w:w="8820"/>
      </w:tblGrid>
      <w:tr w:rsidR="00FF3818" w14:paraId="1A8535D2" w14:textId="77777777" w:rsidTr="00732FD5">
        <w:trPr>
          <w:jc w:val="center"/>
        </w:trPr>
        <w:tc>
          <w:tcPr>
            <w:tcW w:w="8820" w:type="dxa"/>
          </w:tcPr>
          <w:p w14:paraId="00E98AF9" w14:textId="77777777" w:rsidR="00FF3818" w:rsidRPr="00B87E1A" w:rsidRDefault="00B87E1A" w:rsidP="00B87E1A">
            <w:pPr>
              <w:bidi w:val="0"/>
              <w:spacing w:line="360" w:lineRule="auto"/>
              <w:jc w:val="center"/>
              <w:rPr>
                <w:rFonts w:ascii="Arial" w:hAnsi="Arial"/>
                <w:b/>
                <w:bCs/>
                <w:noProof w:val="0"/>
                <w:sz w:val="28"/>
                <w:szCs w:val="28"/>
                <w:u w:val="single"/>
              </w:rPr>
            </w:pPr>
            <w:bookmarkStart w:id="7" w:name="PsakDin" w:colFirst="0" w:colLast="0"/>
            <w:bookmarkEnd w:id="0"/>
            <w:bookmarkEnd w:id="1"/>
            <w:r w:rsidRPr="00B87E1A">
              <w:rPr>
                <w:rFonts w:ascii="Arial" w:hAnsi="Arial"/>
                <w:b/>
                <w:bCs/>
                <w:noProof w:val="0"/>
                <w:sz w:val="28"/>
                <w:szCs w:val="28"/>
                <w:u w:val="single"/>
                <w:rtl/>
              </w:rPr>
              <w:t>גזר דין</w:t>
            </w:r>
          </w:p>
        </w:tc>
      </w:tr>
      <w:bookmarkEnd w:id="7"/>
    </w:tbl>
    <w:p w14:paraId="036E7816" w14:textId="77777777" w:rsidR="00FF3818" w:rsidRDefault="00FF3818" w:rsidP="00BB5D7F">
      <w:pPr>
        <w:spacing w:line="360" w:lineRule="auto"/>
        <w:jc w:val="both"/>
        <w:rPr>
          <w:rFonts w:ascii="Arial" w:hAnsi="Arial"/>
          <w:noProof w:val="0"/>
          <w:rtl/>
        </w:rPr>
      </w:pPr>
    </w:p>
    <w:p w14:paraId="400184D9" w14:textId="77777777" w:rsidR="00FF3818" w:rsidRPr="003140C9" w:rsidRDefault="00FF3818" w:rsidP="00BB5D7F">
      <w:pPr>
        <w:spacing w:line="360" w:lineRule="auto"/>
        <w:jc w:val="both"/>
        <w:rPr>
          <w:rFonts w:ascii="Arial" w:hAnsi="Arial" w:cs="Arial"/>
          <w:b/>
          <w:bCs/>
          <w:noProof w:val="0"/>
        </w:rPr>
      </w:pPr>
      <w:r w:rsidRPr="003140C9">
        <w:rPr>
          <w:rFonts w:ascii="David" w:hAnsi="David"/>
          <w:b/>
          <w:bCs/>
          <w:noProof w:val="0"/>
          <w:rtl/>
        </w:rPr>
        <w:t>כתב האישום והשתלשלות ההליך</w:t>
      </w:r>
    </w:p>
    <w:p w14:paraId="15525868" w14:textId="77777777" w:rsidR="00FF3818" w:rsidRPr="003140C9" w:rsidRDefault="00FF3818" w:rsidP="00BB5D7F">
      <w:pPr>
        <w:spacing w:line="360" w:lineRule="auto"/>
        <w:jc w:val="both"/>
        <w:rPr>
          <w:rFonts w:ascii="David" w:hAnsi="David"/>
          <w:noProof w:val="0"/>
        </w:rPr>
      </w:pPr>
    </w:p>
    <w:p w14:paraId="1316483A" w14:textId="77777777" w:rsidR="00FF3818" w:rsidRPr="003140C9" w:rsidRDefault="00FF3818" w:rsidP="00BB5D7F">
      <w:pPr>
        <w:spacing w:line="360" w:lineRule="auto"/>
        <w:jc w:val="both"/>
        <w:rPr>
          <w:rFonts w:ascii="David" w:hAnsi="David" w:hint="cs"/>
          <w:noProof w:val="0"/>
          <w:rtl/>
        </w:rPr>
      </w:pPr>
      <w:r>
        <w:rPr>
          <w:rFonts w:ascii="David" w:hAnsi="David"/>
          <w:noProof w:val="0"/>
          <w:rtl/>
        </w:rPr>
        <w:t xml:space="preserve">הנאשם שלפני נותן את הדין בגין </w:t>
      </w:r>
      <w:r w:rsidRPr="003140C9">
        <w:rPr>
          <w:rFonts w:ascii="David" w:hAnsi="David"/>
          <w:noProof w:val="0"/>
          <w:rtl/>
        </w:rPr>
        <w:t xml:space="preserve">עבירות של החזקת נשק ותחמושת שלא כדין, בניגוד </w:t>
      </w:r>
      <w:hyperlink r:id="rId15" w:history="1">
        <w:r w:rsidR="00183C96" w:rsidRPr="00183C96">
          <w:rPr>
            <w:rFonts w:ascii="David" w:hAnsi="David"/>
            <w:noProof w:val="0"/>
            <w:color w:val="0000FF"/>
            <w:u w:val="single"/>
            <w:rtl/>
          </w:rPr>
          <w:t>לסעיף 144(א)</w:t>
        </w:r>
      </w:hyperlink>
      <w:r w:rsidRPr="003140C9">
        <w:rPr>
          <w:rFonts w:ascii="David" w:hAnsi="David"/>
          <w:noProof w:val="0"/>
          <w:rtl/>
        </w:rPr>
        <w:t xml:space="preserve"> רישא וסיפא ל</w:t>
      </w:r>
      <w:hyperlink r:id="rId16" w:history="1">
        <w:r w:rsidR="00B87E1A" w:rsidRPr="00B87E1A">
          <w:rPr>
            <w:rFonts w:ascii="David" w:hAnsi="David"/>
            <w:noProof w:val="0"/>
            <w:color w:val="0000FF"/>
            <w:u w:val="single"/>
            <w:rtl/>
          </w:rPr>
          <w:t>חוק העונשין</w:t>
        </w:r>
      </w:hyperlink>
      <w:r w:rsidRPr="003140C9">
        <w:rPr>
          <w:rFonts w:ascii="David" w:hAnsi="David"/>
          <w:noProof w:val="0"/>
          <w:rtl/>
        </w:rPr>
        <w:t xml:space="preserve">, תשל"ז-1977. </w:t>
      </w:r>
    </w:p>
    <w:p w14:paraId="58DDA69F" w14:textId="77777777" w:rsidR="00FF3818" w:rsidRPr="003140C9" w:rsidRDefault="00FF3818" w:rsidP="00BB5D7F">
      <w:pPr>
        <w:spacing w:line="360" w:lineRule="auto"/>
        <w:jc w:val="both"/>
        <w:rPr>
          <w:rFonts w:ascii="David" w:hAnsi="David"/>
          <w:noProof w:val="0"/>
          <w:rtl/>
        </w:rPr>
      </w:pPr>
    </w:p>
    <w:p w14:paraId="4A4DFB87" w14:textId="77777777" w:rsidR="00FF3818" w:rsidRPr="003140C9" w:rsidRDefault="00FF3818" w:rsidP="00BB5D7F">
      <w:pPr>
        <w:spacing w:line="360" w:lineRule="auto"/>
        <w:jc w:val="both"/>
        <w:rPr>
          <w:rFonts w:ascii="David" w:hAnsi="David"/>
          <w:noProof w:val="0"/>
          <w:rtl/>
        </w:rPr>
      </w:pPr>
      <w:r w:rsidRPr="003140C9">
        <w:rPr>
          <w:rFonts w:ascii="David" w:hAnsi="David"/>
          <w:noProof w:val="0"/>
          <w:rtl/>
        </w:rPr>
        <w:t xml:space="preserve">בהתאם לעובדות כתב האישום המתוקן (תיקון פרוצדורלי) נתפס הנאשם, בתאריך 26.10.16, סמוך לשעה 05:00 בבוקר, מחזיק בנשק חם מסוג אקדח ברטה, חצי אוטומטי, מודל </w:t>
      </w:r>
      <w:r w:rsidRPr="003140C9">
        <w:rPr>
          <w:rFonts w:ascii="Calibri" w:hAnsi="Calibri" w:cs="Calibri"/>
          <w:noProof w:val="0"/>
        </w:rPr>
        <w:t>F84</w:t>
      </w:r>
      <w:r w:rsidRPr="003140C9">
        <w:rPr>
          <w:rFonts w:ascii="David" w:hAnsi="David"/>
          <w:noProof w:val="0"/>
          <w:rtl/>
        </w:rPr>
        <w:t xml:space="preserve">, קליבר 9 מ"מ קצר, מספר סידורי </w:t>
      </w:r>
      <w:r w:rsidRPr="003140C9">
        <w:rPr>
          <w:rFonts w:ascii="Calibri" w:hAnsi="Calibri" w:cs="Calibri"/>
          <w:noProof w:val="0"/>
        </w:rPr>
        <w:t>D79906Y</w:t>
      </w:r>
      <w:r w:rsidRPr="003140C9">
        <w:rPr>
          <w:rFonts w:ascii="David" w:hAnsi="David"/>
          <w:noProof w:val="0"/>
          <w:rtl/>
        </w:rPr>
        <w:t xml:space="preserve">, בצירוף מחסנית ובה כדורים. </w:t>
      </w:r>
    </w:p>
    <w:p w14:paraId="2CB734BF" w14:textId="77777777" w:rsidR="00FF3818" w:rsidRPr="003140C9" w:rsidRDefault="00FF3818" w:rsidP="00BB5D7F">
      <w:pPr>
        <w:spacing w:line="360" w:lineRule="auto"/>
        <w:jc w:val="both"/>
        <w:rPr>
          <w:rFonts w:ascii="David" w:hAnsi="David"/>
          <w:noProof w:val="0"/>
          <w:rtl/>
        </w:rPr>
      </w:pPr>
    </w:p>
    <w:p w14:paraId="0B6F60E7" w14:textId="77777777" w:rsidR="00FF3818" w:rsidRPr="003140C9" w:rsidRDefault="00FF3818" w:rsidP="00BB5D7F">
      <w:pPr>
        <w:spacing w:line="360" w:lineRule="auto"/>
        <w:jc w:val="both"/>
        <w:rPr>
          <w:rFonts w:ascii="David" w:hAnsi="David"/>
          <w:noProof w:val="0"/>
          <w:rtl/>
        </w:rPr>
      </w:pPr>
      <w:r w:rsidRPr="003140C9">
        <w:rPr>
          <w:rFonts w:ascii="David" w:hAnsi="David"/>
          <w:noProof w:val="0"/>
          <w:rtl/>
        </w:rPr>
        <w:t>הנשק הוחזק מתחת לכיסא הנהג ברכב אותו החזיק הנאשם, מסוג מרצדס, מ.ר</w:t>
      </w:r>
      <w:r>
        <w:rPr>
          <w:rFonts w:ascii="David" w:hAnsi="David"/>
          <w:noProof w:val="0"/>
          <w:rtl/>
        </w:rPr>
        <w:t>.</w:t>
      </w:r>
      <w:r w:rsidRPr="003140C9">
        <w:rPr>
          <w:rFonts w:ascii="David" w:hAnsi="David"/>
          <w:noProof w:val="0"/>
          <w:rtl/>
        </w:rPr>
        <w:t xml:space="preserve"> 53-321-59. </w:t>
      </w:r>
    </w:p>
    <w:p w14:paraId="4AE52568" w14:textId="77777777" w:rsidR="00FF3818" w:rsidRPr="003140C9" w:rsidRDefault="00FF3818" w:rsidP="00BB5D7F">
      <w:pPr>
        <w:spacing w:line="360" w:lineRule="auto"/>
        <w:jc w:val="both"/>
        <w:rPr>
          <w:rFonts w:ascii="David" w:hAnsi="David"/>
          <w:noProof w:val="0"/>
          <w:rtl/>
        </w:rPr>
      </w:pPr>
    </w:p>
    <w:p w14:paraId="53D8D60E" w14:textId="77777777" w:rsidR="00FF3818" w:rsidRPr="003140C9" w:rsidRDefault="00FF3818" w:rsidP="00BB5D7F">
      <w:pPr>
        <w:spacing w:line="360" w:lineRule="auto"/>
        <w:jc w:val="both"/>
        <w:rPr>
          <w:rFonts w:ascii="David" w:hAnsi="David"/>
          <w:noProof w:val="0"/>
          <w:rtl/>
        </w:rPr>
      </w:pPr>
      <w:r w:rsidRPr="003140C9">
        <w:rPr>
          <w:rFonts w:ascii="David" w:hAnsi="David"/>
          <w:noProof w:val="0"/>
          <w:rtl/>
        </w:rPr>
        <w:t xml:space="preserve">לאחר הליך של דיון מקדמי וכן סיום ההליכים המקדמיים – כפרה ההגנה באשמה. במענה לכתב האישום, הודה הנאשם בתפיסת הנשק, במקום ובזמן המתואר בכתב האישום אך טען, כי מעולם לא החזיק בנשק ולא ידע על קיומו. </w:t>
      </w:r>
    </w:p>
    <w:p w14:paraId="4098B7AB" w14:textId="77777777" w:rsidR="00FF3818" w:rsidRPr="003140C9" w:rsidRDefault="00FF3818" w:rsidP="00BB5D7F">
      <w:pPr>
        <w:spacing w:line="360" w:lineRule="auto"/>
        <w:rPr>
          <w:rFonts w:ascii="Arial" w:hAnsi="Arial" w:cs="Arial"/>
          <w:noProof w:val="0"/>
          <w:sz w:val="22"/>
          <w:szCs w:val="22"/>
          <w:rtl/>
        </w:rPr>
      </w:pPr>
    </w:p>
    <w:p w14:paraId="3DCAFA21" w14:textId="77777777" w:rsidR="00FF3818" w:rsidRDefault="00FF3818" w:rsidP="007456EB">
      <w:pPr>
        <w:spacing w:line="360" w:lineRule="auto"/>
        <w:jc w:val="both"/>
        <w:rPr>
          <w:rFonts w:ascii="David" w:hAnsi="David"/>
          <w:noProof w:val="0"/>
          <w:rtl/>
        </w:rPr>
      </w:pPr>
      <w:r w:rsidRPr="003140C9">
        <w:rPr>
          <w:rFonts w:ascii="David" w:hAnsi="David"/>
          <w:noProof w:val="0"/>
          <w:rtl/>
        </w:rPr>
        <w:t xml:space="preserve">שמיעת הראיות בתיק זה הסתיימה, לאחר מספר דיונים שבוטלו מטעמים שונים הקשורים בהגנה (לרבות </w:t>
      </w:r>
      <w:r>
        <w:rPr>
          <w:rFonts w:ascii="David" w:hAnsi="David"/>
          <w:noProof w:val="0"/>
          <w:rtl/>
        </w:rPr>
        <w:t xml:space="preserve">אי התייצבות הנאשם; אי התייצבות </w:t>
      </w:r>
      <w:r w:rsidRPr="003140C9">
        <w:rPr>
          <w:rFonts w:ascii="David" w:hAnsi="David"/>
          <w:noProof w:val="0"/>
          <w:rtl/>
        </w:rPr>
        <w:t xml:space="preserve">עד מטעם ההגנה; טענת הסניגור כי אינו חש בטוב), </w:t>
      </w:r>
      <w:r>
        <w:rPr>
          <w:rFonts w:ascii="David" w:hAnsi="David"/>
          <w:noProof w:val="0"/>
          <w:rtl/>
        </w:rPr>
        <w:t xml:space="preserve">לאחר שההגנה לא הגישה סיכומיה, גם לאחר מספר רב של ארכות שניתנו, וגם לאחר חיוב הסניגור בהוצאות אישיות – ניתנה, בדלית ברירה, הכרעת דין בהעדר סיכומי ההגנה והנאשם הורשע בעובדות ובעבירות שבכתב האישום, לאחר שנקבע, כי עלה בידי התביעה הכללית להוכיחן ברמת הראיות הנדרשת במשפט פלילי. </w:t>
      </w:r>
    </w:p>
    <w:p w14:paraId="2EEAAA1E" w14:textId="77777777" w:rsidR="00FF3818" w:rsidRDefault="00FF3818" w:rsidP="00BB5D7F">
      <w:pPr>
        <w:spacing w:line="360" w:lineRule="auto"/>
        <w:jc w:val="both"/>
        <w:rPr>
          <w:rFonts w:ascii="David" w:hAnsi="David"/>
          <w:noProof w:val="0"/>
          <w:rtl/>
        </w:rPr>
      </w:pPr>
    </w:p>
    <w:p w14:paraId="7B8D0A7A" w14:textId="77777777" w:rsidR="00FF3818" w:rsidRDefault="00FF3818" w:rsidP="005D4DAF">
      <w:pPr>
        <w:spacing w:line="360" w:lineRule="auto"/>
        <w:jc w:val="both"/>
        <w:rPr>
          <w:rFonts w:ascii="David" w:hAnsi="David"/>
          <w:noProof w:val="0"/>
          <w:rtl/>
        </w:rPr>
      </w:pPr>
      <w:r>
        <w:rPr>
          <w:rFonts w:ascii="David" w:hAnsi="David"/>
          <w:noProof w:val="0"/>
          <w:rtl/>
        </w:rPr>
        <w:lastRenderedPageBreak/>
        <w:t>לאחר מתן הכרעת הדין – עתרה ההגנה לארכה על מנת לשקול, האם תבקש להפנות הנאשם לחקירת שירות המבחן למבוגרים. גם לאחר מכן – נדחו מספר דיונים, שוב, מסיבות הקשורות להגנה, בין היתר לאור הטענה , כי הנאשם מבקש להחליף את ייצוגו (בסופו של דבר לא הוחלף הייצוג) וכן לאור טענת ההגנה, כי מבקשת להביא עדים לעניין העונש (בסופו של דבר – לא הובאו).</w:t>
      </w:r>
    </w:p>
    <w:p w14:paraId="6CD7D265" w14:textId="77777777" w:rsidR="00FF3818" w:rsidRDefault="00FF3818" w:rsidP="00BB5D7F">
      <w:pPr>
        <w:spacing w:line="360" w:lineRule="auto"/>
        <w:jc w:val="both"/>
        <w:rPr>
          <w:rFonts w:ascii="David" w:hAnsi="David"/>
          <w:noProof w:val="0"/>
          <w:rtl/>
        </w:rPr>
      </w:pPr>
    </w:p>
    <w:p w14:paraId="2EAF5212" w14:textId="77777777" w:rsidR="00FF3818" w:rsidRDefault="00FF3818" w:rsidP="00BB5D7F">
      <w:pPr>
        <w:spacing w:line="360" w:lineRule="auto"/>
        <w:jc w:val="both"/>
        <w:rPr>
          <w:rFonts w:ascii="David" w:hAnsi="David"/>
          <w:noProof w:val="0"/>
          <w:rtl/>
        </w:rPr>
      </w:pPr>
      <w:r>
        <w:rPr>
          <w:rFonts w:ascii="David" w:hAnsi="David"/>
          <w:noProof w:val="0"/>
          <w:rtl/>
        </w:rPr>
        <w:t>דיונים נוספים נדחו בשל אילוצים אישיים או משפחתיים של הסניגור.</w:t>
      </w:r>
    </w:p>
    <w:p w14:paraId="16EC4D3D" w14:textId="77777777" w:rsidR="00FF3818" w:rsidRDefault="00FF3818" w:rsidP="00BB5D7F">
      <w:pPr>
        <w:spacing w:line="360" w:lineRule="auto"/>
        <w:jc w:val="both"/>
        <w:rPr>
          <w:rFonts w:ascii="David" w:hAnsi="David"/>
          <w:noProof w:val="0"/>
          <w:rtl/>
        </w:rPr>
      </w:pPr>
    </w:p>
    <w:p w14:paraId="025BE8B1" w14:textId="77777777" w:rsidR="00FF3818" w:rsidRDefault="00FF3818" w:rsidP="005F6938">
      <w:pPr>
        <w:spacing w:line="360" w:lineRule="auto"/>
        <w:jc w:val="both"/>
        <w:rPr>
          <w:rFonts w:ascii="David" w:hAnsi="David"/>
          <w:noProof w:val="0"/>
          <w:rtl/>
        </w:rPr>
      </w:pPr>
      <w:r>
        <w:rPr>
          <w:rFonts w:ascii="David" w:hAnsi="David"/>
          <w:noProof w:val="0"/>
          <w:rtl/>
        </w:rPr>
        <w:t>בסופו של דבר פרשת העונש, תוך אי-קבלת בקשה מטעם ההגנה לדחות המועד פעם נוספת, ודחית בקשתה להפנות הנאשם לחקירת שירות המבחן למבוגרים – משלא עשתה כן במועדים, שנקצבו לשם כך.</w:t>
      </w:r>
    </w:p>
    <w:p w14:paraId="1AFA8560" w14:textId="77777777" w:rsidR="00FF3818" w:rsidRDefault="00FF3818" w:rsidP="00BB5D7F">
      <w:pPr>
        <w:spacing w:line="360" w:lineRule="auto"/>
        <w:jc w:val="both"/>
        <w:rPr>
          <w:rFonts w:ascii="David" w:hAnsi="David"/>
          <w:noProof w:val="0"/>
          <w:rtl/>
        </w:rPr>
      </w:pPr>
    </w:p>
    <w:p w14:paraId="17DB7AC3" w14:textId="77777777" w:rsidR="00FF3818" w:rsidRPr="003140C9" w:rsidRDefault="00FF3818" w:rsidP="00BB5D7F">
      <w:pPr>
        <w:spacing w:line="360" w:lineRule="auto"/>
        <w:jc w:val="both"/>
        <w:rPr>
          <w:rFonts w:ascii="David" w:hAnsi="David"/>
          <w:noProof w:val="0"/>
          <w:rtl/>
        </w:rPr>
      </w:pPr>
      <w:r>
        <w:rPr>
          <w:rFonts w:ascii="David" w:hAnsi="David"/>
          <w:noProof w:val="0"/>
          <w:rtl/>
        </w:rPr>
        <w:t>מכאן – גזר דין זה.</w:t>
      </w:r>
    </w:p>
    <w:p w14:paraId="5A014EE0" w14:textId="77777777" w:rsidR="00FF3818" w:rsidRDefault="00FF3818" w:rsidP="00BB5D7F">
      <w:pPr>
        <w:spacing w:line="360" w:lineRule="auto"/>
        <w:rPr>
          <w:rFonts w:ascii="David" w:hAnsi="David"/>
          <w:noProof w:val="0"/>
          <w:rtl/>
        </w:rPr>
      </w:pPr>
    </w:p>
    <w:p w14:paraId="7F3BBE83" w14:textId="77777777" w:rsidR="00FF3818" w:rsidRDefault="00FF3818" w:rsidP="00BB5D7F">
      <w:pPr>
        <w:spacing w:line="360" w:lineRule="auto"/>
        <w:rPr>
          <w:rFonts w:ascii="David" w:hAnsi="David"/>
          <w:noProof w:val="0"/>
          <w:rtl/>
        </w:rPr>
      </w:pPr>
    </w:p>
    <w:p w14:paraId="3208B14F" w14:textId="77777777" w:rsidR="00FF3818" w:rsidRDefault="00FF3818" w:rsidP="00BB5D7F">
      <w:pPr>
        <w:spacing w:line="360" w:lineRule="auto"/>
        <w:rPr>
          <w:rFonts w:ascii="David" w:hAnsi="David"/>
          <w:b/>
          <w:bCs/>
          <w:noProof w:val="0"/>
          <w:rtl/>
        </w:rPr>
      </w:pPr>
      <w:r>
        <w:rPr>
          <w:rFonts w:ascii="David" w:hAnsi="David"/>
          <w:b/>
          <w:bCs/>
          <w:noProof w:val="0"/>
          <w:rtl/>
        </w:rPr>
        <w:t>ראיות לעונש</w:t>
      </w:r>
    </w:p>
    <w:p w14:paraId="1286F826" w14:textId="77777777" w:rsidR="00FF3818" w:rsidRDefault="00FF3818" w:rsidP="00BB5D7F">
      <w:pPr>
        <w:spacing w:line="360" w:lineRule="auto"/>
        <w:rPr>
          <w:rFonts w:ascii="David" w:hAnsi="David"/>
          <w:b/>
          <w:bCs/>
          <w:noProof w:val="0"/>
          <w:rtl/>
        </w:rPr>
      </w:pPr>
    </w:p>
    <w:p w14:paraId="5EEA721D" w14:textId="77777777" w:rsidR="00FF3818" w:rsidRDefault="00FF3818" w:rsidP="00BB5D7F">
      <w:pPr>
        <w:spacing w:line="360" w:lineRule="auto"/>
        <w:rPr>
          <w:rFonts w:ascii="David" w:hAnsi="David"/>
          <w:noProof w:val="0"/>
          <w:rtl/>
        </w:rPr>
      </w:pPr>
      <w:r w:rsidRPr="00626487">
        <w:rPr>
          <w:rFonts w:ascii="David" w:hAnsi="David"/>
          <w:noProof w:val="0"/>
          <w:u w:val="single"/>
          <w:rtl/>
        </w:rPr>
        <w:t>התביעה</w:t>
      </w:r>
      <w:r>
        <w:rPr>
          <w:rFonts w:ascii="David" w:hAnsi="David"/>
          <w:noProof w:val="0"/>
          <w:rtl/>
        </w:rPr>
        <w:t xml:space="preserve"> לא הגישה ראיות לעניין העונש בתיק זה.</w:t>
      </w:r>
    </w:p>
    <w:p w14:paraId="6328B819" w14:textId="77777777" w:rsidR="00FF3818" w:rsidRDefault="00FF3818" w:rsidP="00BB5D7F">
      <w:pPr>
        <w:spacing w:line="360" w:lineRule="auto"/>
        <w:rPr>
          <w:rFonts w:ascii="David" w:hAnsi="David"/>
          <w:noProof w:val="0"/>
          <w:rtl/>
        </w:rPr>
      </w:pPr>
    </w:p>
    <w:p w14:paraId="2C2B70B3" w14:textId="77777777" w:rsidR="00FF3818" w:rsidRDefault="00FF3818" w:rsidP="00BB5D7F">
      <w:pPr>
        <w:spacing w:line="360" w:lineRule="auto"/>
        <w:rPr>
          <w:rFonts w:ascii="David" w:hAnsi="David"/>
          <w:noProof w:val="0"/>
          <w:rtl/>
        </w:rPr>
      </w:pPr>
    </w:p>
    <w:p w14:paraId="198F3FCC" w14:textId="77777777" w:rsidR="00FF3818" w:rsidRDefault="00FF3818" w:rsidP="00BB5D7F">
      <w:pPr>
        <w:spacing w:line="360" w:lineRule="auto"/>
        <w:rPr>
          <w:rFonts w:ascii="David" w:hAnsi="David"/>
          <w:noProof w:val="0"/>
          <w:rtl/>
        </w:rPr>
      </w:pPr>
    </w:p>
    <w:p w14:paraId="278F3480" w14:textId="77777777" w:rsidR="00FF3818" w:rsidRDefault="00FF3818" w:rsidP="00BB5D7F">
      <w:pPr>
        <w:spacing w:line="360" w:lineRule="auto"/>
        <w:rPr>
          <w:rFonts w:ascii="David" w:hAnsi="David"/>
          <w:noProof w:val="0"/>
          <w:rtl/>
        </w:rPr>
      </w:pPr>
      <w:r w:rsidRPr="00626487">
        <w:rPr>
          <w:rFonts w:ascii="David" w:hAnsi="David"/>
          <w:noProof w:val="0"/>
          <w:u w:val="single"/>
          <w:rtl/>
        </w:rPr>
        <w:t>ההגנה</w:t>
      </w:r>
      <w:r>
        <w:rPr>
          <w:rFonts w:ascii="David" w:hAnsi="David"/>
          <w:noProof w:val="0"/>
          <w:rtl/>
        </w:rPr>
        <w:t xml:space="preserve"> הגישה מוצגים לעניין העונש, כדלקמן:</w:t>
      </w:r>
    </w:p>
    <w:p w14:paraId="3BDDDF9A" w14:textId="77777777" w:rsidR="00FF3818" w:rsidRDefault="00FF3818" w:rsidP="00BB5D7F">
      <w:pPr>
        <w:spacing w:line="360" w:lineRule="auto"/>
        <w:rPr>
          <w:rFonts w:ascii="David" w:hAnsi="David"/>
          <w:noProof w:val="0"/>
          <w:rtl/>
        </w:rPr>
      </w:pPr>
    </w:p>
    <w:p w14:paraId="49D7ED43" w14:textId="77777777" w:rsidR="00FF3818" w:rsidRDefault="00FF3818" w:rsidP="00BB5D7F">
      <w:pPr>
        <w:pStyle w:val="ListParagraph"/>
        <w:numPr>
          <w:ilvl w:val="0"/>
          <w:numId w:val="1"/>
        </w:numPr>
        <w:spacing w:line="360" w:lineRule="auto"/>
        <w:rPr>
          <w:rFonts w:ascii="David" w:hAnsi="David"/>
          <w:noProof w:val="0"/>
        </w:rPr>
      </w:pPr>
      <w:r>
        <w:rPr>
          <w:rFonts w:ascii="David" w:hAnsi="David"/>
          <w:noProof w:val="0"/>
          <w:rtl/>
        </w:rPr>
        <w:t>אישור על שירות לאומי אזרחי בנוגע לבנו של הנאשם – נ/1;</w:t>
      </w:r>
    </w:p>
    <w:p w14:paraId="7BB606C4" w14:textId="77777777" w:rsidR="00FF3818" w:rsidRDefault="00FF3818" w:rsidP="00BB5D7F">
      <w:pPr>
        <w:pStyle w:val="ListParagraph"/>
        <w:numPr>
          <w:ilvl w:val="0"/>
          <w:numId w:val="1"/>
        </w:numPr>
        <w:spacing w:line="360" w:lineRule="auto"/>
        <w:rPr>
          <w:rFonts w:ascii="David" w:hAnsi="David"/>
          <w:noProof w:val="0"/>
        </w:rPr>
      </w:pPr>
      <w:r>
        <w:rPr>
          <w:rFonts w:ascii="David" w:hAnsi="David"/>
          <w:noProof w:val="0"/>
          <w:rtl/>
        </w:rPr>
        <w:t>מסמכי מל"ל בנוגע לבתו של הנאשם, על פיהן הוכרה בתו כנכה והוא זכאי לקצבאות שונות בעבורה – נ/2;</w:t>
      </w:r>
    </w:p>
    <w:p w14:paraId="112E8ED5" w14:textId="77777777" w:rsidR="00FF3818" w:rsidRDefault="00FF3818" w:rsidP="00BB5D7F">
      <w:pPr>
        <w:pStyle w:val="ListParagraph"/>
        <w:numPr>
          <w:ilvl w:val="0"/>
          <w:numId w:val="1"/>
        </w:numPr>
        <w:spacing w:line="360" w:lineRule="auto"/>
        <w:rPr>
          <w:rFonts w:ascii="David" w:hAnsi="David"/>
          <w:noProof w:val="0"/>
        </w:rPr>
      </w:pPr>
      <w:r>
        <w:rPr>
          <w:rFonts w:ascii="David" w:hAnsi="David"/>
          <w:noProof w:val="0"/>
          <w:rtl/>
        </w:rPr>
        <w:t xml:space="preserve"> אישור על ניכוי מס בעסק שבבעלות הנאשם, בתחום שירותי סיכה ורחיצה – נ/3;</w:t>
      </w:r>
    </w:p>
    <w:p w14:paraId="422A3E25" w14:textId="77777777" w:rsidR="00FF3818" w:rsidRDefault="00FF3818" w:rsidP="005D4DAF">
      <w:pPr>
        <w:pStyle w:val="ListParagraph"/>
        <w:numPr>
          <w:ilvl w:val="0"/>
          <w:numId w:val="1"/>
        </w:numPr>
        <w:spacing w:line="360" w:lineRule="auto"/>
        <w:rPr>
          <w:rFonts w:ascii="David" w:hAnsi="David"/>
          <w:noProof w:val="0"/>
        </w:rPr>
      </w:pPr>
      <w:r>
        <w:rPr>
          <w:rFonts w:ascii="David" w:hAnsi="David"/>
          <w:noProof w:val="0"/>
          <w:rtl/>
        </w:rPr>
        <w:t>תעודת שחרור מצה"ל בנוגע לנאשם – נ/4. על פי המפורט בה – השתחרר מצה"ל, לאחר שירות, מלא. מפקדי הנאשם העריכו את התנהגותו כראויה לשבח;</w:t>
      </w:r>
    </w:p>
    <w:p w14:paraId="699EF731" w14:textId="77777777" w:rsidR="00FF3818" w:rsidRDefault="00FF3818" w:rsidP="00BB5D7F">
      <w:pPr>
        <w:pStyle w:val="ListParagraph"/>
        <w:numPr>
          <w:ilvl w:val="0"/>
          <w:numId w:val="1"/>
        </w:numPr>
        <w:spacing w:line="360" w:lineRule="auto"/>
        <w:rPr>
          <w:rFonts w:ascii="David" w:hAnsi="David"/>
          <w:noProof w:val="0"/>
        </w:rPr>
      </w:pPr>
      <w:r>
        <w:rPr>
          <w:rFonts w:ascii="David" w:hAnsi="David"/>
          <w:noProof w:val="0"/>
          <w:rtl/>
        </w:rPr>
        <w:t>פסק דין המעניק לנאשם ולרעייתו אפוטרפסות על אחד מילדיו, שאינו מסוגל לנהל עניינו בעצמו – נ/5;</w:t>
      </w:r>
    </w:p>
    <w:p w14:paraId="127E0645" w14:textId="77777777" w:rsidR="00FF3818" w:rsidRDefault="00FF3818" w:rsidP="00BB5D7F">
      <w:pPr>
        <w:pStyle w:val="ListParagraph"/>
        <w:numPr>
          <w:ilvl w:val="0"/>
          <w:numId w:val="1"/>
        </w:numPr>
        <w:spacing w:line="360" w:lineRule="auto"/>
        <w:rPr>
          <w:rFonts w:ascii="David" w:hAnsi="David"/>
          <w:noProof w:val="0"/>
        </w:rPr>
      </w:pPr>
      <w:r w:rsidRPr="00DF1EE4">
        <w:rPr>
          <w:rFonts w:ascii="David" w:hAnsi="David"/>
          <w:noProof w:val="0"/>
          <w:rtl/>
        </w:rPr>
        <w:t>מכתבים מראש מועצת חורה – מר חאבס אלעטאונה, וכן קרוב משפחתו של הנאשם – ראש המשפחה המורחבת – מר סאלם ג'אעבר אבו אלקיעאן</w:t>
      </w:r>
      <w:r>
        <w:rPr>
          <w:rFonts w:ascii="David" w:hAnsi="David"/>
          <w:noProof w:val="0"/>
          <w:rtl/>
        </w:rPr>
        <w:t xml:space="preserve"> – נ/6.</w:t>
      </w:r>
      <w:r w:rsidRPr="00DF1EE4">
        <w:rPr>
          <w:rFonts w:ascii="David" w:hAnsi="David"/>
          <w:noProof w:val="0"/>
          <w:rtl/>
        </w:rPr>
        <w:t xml:space="preserve"> על פי המפורט במכתבים </w:t>
      </w:r>
      <w:r>
        <w:rPr>
          <w:rFonts w:ascii="David" w:hAnsi="David"/>
          <w:noProof w:val="0"/>
          <w:rtl/>
        </w:rPr>
        <w:t xml:space="preserve">– מפרט הנאשם בעצמו כראש פלג, המונה 300 נפשות, בתוך המשפחה; </w:t>
      </w:r>
      <w:r w:rsidRPr="00B850C1">
        <w:rPr>
          <w:rFonts w:ascii="David" w:hAnsi="David"/>
          <w:noProof w:val="0"/>
          <w:rtl/>
        </w:rPr>
        <w:t>פעיל חברתי, לרבות בוועד ההורים ביישוב;</w:t>
      </w:r>
      <w:r>
        <w:rPr>
          <w:rFonts w:ascii="David" w:hAnsi="David"/>
          <w:noProof w:val="0"/>
          <w:rtl/>
        </w:rPr>
        <w:t xml:space="preserve"> </w:t>
      </w:r>
      <w:r w:rsidRPr="00B850C1">
        <w:rPr>
          <w:rFonts w:ascii="David" w:hAnsi="David"/>
          <w:noProof w:val="0"/>
          <w:rtl/>
        </w:rPr>
        <w:t>משמש כמגשר ליישוב סכסוכים ונחשב א</w:t>
      </w:r>
      <w:r>
        <w:rPr>
          <w:rFonts w:ascii="David" w:hAnsi="David"/>
          <w:noProof w:val="0"/>
          <w:rtl/>
        </w:rPr>
        <w:t>דם חיוני למועצה וליישוב;</w:t>
      </w:r>
    </w:p>
    <w:p w14:paraId="07C33506" w14:textId="77777777" w:rsidR="00FF3818" w:rsidRDefault="00FF3818" w:rsidP="00BB5D7F">
      <w:pPr>
        <w:pStyle w:val="ListParagraph"/>
        <w:numPr>
          <w:ilvl w:val="0"/>
          <w:numId w:val="1"/>
        </w:numPr>
        <w:spacing w:line="360" w:lineRule="auto"/>
        <w:rPr>
          <w:rFonts w:ascii="David" w:hAnsi="David"/>
          <w:noProof w:val="0"/>
        </w:rPr>
      </w:pPr>
      <w:r>
        <w:rPr>
          <w:rFonts w:ascii="David" w:hAnsi="David"/>
          <w:noProof w:val="0"/>
          <w:rtl/>
        </w:rPr>
        <w:t>חוות דעת פרטית פסיכו-סוציאלית-קרימינולוגית – נ/7. על פי המפורט בחוות הדעת, מנהל הנאשם חיים נורמטיביים; נשוי לבת דודה מדרגה ראשונה ומטופל ב-7 ילדים, חלקם בעלי צרכים מיוחדים; שירת בצה"ל לרבות כלוחם; מנהל עסקים משפחתיים בתחום סחר בכלי רכב.</w:t>
      </w:r>
    </w:p>
    <w:p w14:paraId="66D5E43F" w14:textId="77777777" w:rsidR="00FF3818" w:rsidRDefault="00FF3818" w:rsidP="00BB5D7F">
      <w:pPr>
        <w:pStyle w:val="ListParagraph"/>
        <w:spacing w:line="360" w:lineRule="auto"/>
        <w:rPr>
          <w:rFonts w:ascii="David" w:hAnsi="David"/>
          <w:noProof w:val="0"/>
        </w:rPr>
      </w:pPr>
    </w:p>
    <w:p w14:paraId="36A22026" w14:textId="77777777" w:rsidR="00FF3818" w:rsidRDefault="00FF3818" w:rsidP="005D4DAF">
      <w:pPr>
        <w:spacing w:line="360" w:lineRule="auto"/>
        <w:ind w:left="720"/>
        <w:rPr>
          <w:rFonts w:ascii="David" w:hAnsi="David"/>
          <w:noProof w:val="0"/>
          <w:rtl/>
        </w:rPr>
      </w:pPr>
      <w:r>
        <w:rPr>
          <w:rFonts w:ascii="David" w:hAnsi="David"/>
          <w:noProof w:val="0"/>
          <w:rtl/>
        </w:rPr>
        <w:t xml:space="preserve">הנאשם הודה בעבירה המיוחסת לו בשיחה עם הקרימינולוגית הפרטית. טען בפניה, כי שגה באופן ניהול ההליך המשפטי, בכך שבחר שלא להודות בעבירה, זאת, מתוך חוסר נסיונו בהליכים משפטיים. גילה עמדות נורמטיביות. </w:t>
      </w:r>
    </w:p>
    <w:p w14:paraId="04B834CA" w14:textId="77777777" w:rsidR="00FF3818" w:rsidRDefault="00FF3818" w:rsidP="00BB5D7F">
      <w:pPr>
        <w:spacing w:line="360" w:lineRule="auto"/>
        <w:ind w:left="360" w:firstLine="360"/>
        <w:rPr>
          <w:rFonts w:ascii="David" w:hAnsi="David"/>
          <w:noProof w:val="0"/>
          <w:rtl/>
        </w:rPr>
      </w:pPr>
    </w:p>
    <w:p w14:paraId="29CDDAD6" w14:textId="77777777" w:rsidR="00FF3818" w:rsidRDefault="00FF3818" w:rsidP="00BB5D7F">
      <w:pPr>
        <w:spacing w:line="360" w:lineRule="auto"/>
        <w:ind w:left="720"/>
        <w:rPr>
          <w:rFonts w:ascii="David" w:hAnsi="David"/>
          <w:noProof w:val="0"/>
          <w:rtl/>
        </w:rPr>
      </w:pPr>
      <w:r>
        <w:rPr>
          <w:rFonts w:ascii="David" w:hAnsi="David"/>
          <w:noProof w:val="0"/>
          <w:rtl/>
        </w:rPr>
        <w:t>הקרימינולוגית הפרטית התרשמה, כי מדובר באדם שאין לו דפוסים עברייניים. לנוכח נטילת אחריות על מעשיו – המליצה לשלבו בטיפול פסיכו-סוציאלי, בו ירכוש כלים להתנהגות נכונה בעת לחץ, שיאפשרו ביטוי רגשותיו ועיבוד קשיו הרגשיים.</w:t>
      </w:r>
    </w:p>
    <w:p w14:paraId="59511916" w14:textId="77777777" w:rsidR="00FF3818" w:rsidRDefault="00FF3818" w:rsidP="00BB5D7F">
      <w:pPr>
        <w:spacing w:line="360" w:lineRule="auto"/>
        <w:ind w:left="720"/>
        <w:rPr>
          <w:rFonts w:ascii="David" w:hAnsi="David"/>
          <w:noProof w:val="0"/>
          <w:rtl/>
        </w:rPr>
      </w:pPr>
    </w:p>
    <w:p w14:paraId="173C3690" w14:textId="77777777" w:rsidR="00FF3818" w:rsidRDefault="00FF3818" w:rsidP="00BB5D7F">
      <w:pPr>
        <w:spacing w:line="360" w:lineRule="auto"/>
        <w:ind w:left="720"/>
        <w:rPr>
          <w:rFonts w:ascii="David" w:hAnsi="David"/>
          <w:noProof w:val="0"/>
          <w:rtl/>
        </w:rPr>
      </w:pPr>
      <w:r>
        <w:rPr>
          <w:rFonts w:ascii="David" w:hAnsi="David"/>
          <w:noProof w:val="0"/>
          <w:rtl/>
        </w:rPr>
        <w:t>עוד ציינה זאת, כי עונש מאסר בפועל צפוי להביא לרגרסיה במצבו בהתאם ל"אפקט הקרימינוגני".</w:t>
      </w:r>
    </w:p>
    <w:p w14:paraId="7C05F66B" w14:textId="77777777" w:rsidR="00FF3818" w:rsidRPr="00D24E85" w:rsidRDefault="00FF3818" w:rsidP="00BB5D7F">
      <w:pPr>
        <w:spacing w:line="360" w:lineRule="auto"/>
        <w:rPr>
          <w:rFonts w:ascii="David" w:hAnsi="David"/>
          <w:b/>
          <w:bCs/>
          <w:noProof w:val="0"/>
          <w:rtl/>
        </w:rPr>
      </w:pPr>
      <w:r w:rsidRPr="00D24E85">
        <w:rPr>
          <w:rFonts w:ascii="David" w:hAnsi="David"/>
          <w:b/>
          <w:bCs/>
          <w:noProof w:val="0"/>
          <w:rtl/>
        </w:rPr>
        <w:t>טענות הצדדים</w:t>
      </w:r>
    </w:p>
    <w:p w14:paraId="0BCB6B59" w14:textId="77777777" w:rsidR="00FF3818" w:rsidRDefault="00FF3818" w:rsidP="00BB5D7F">
      <w:pPr>
        <w:spacing w:line="360" w:lineRule="auto"/>
        <w:ind w:left="360" w:firstLine="360"/>
        <w:rPr>
          <w:rFonts w:ascii="David" w:hAnsi="David"/>
          <w:noProof w:val="0"/>
          <w:rtl/>
        </w:rPr>
      </w:pPr>
    </w:p>
    <w:p w14:paraId="15E1EE35" w14:textId="77777777" w:rsidR="00FF3818" w:rsidRDefault="00FF3818" w:rsidP="00BB5D7F">
      <w:pPr>
        <w:spacing w:line="360" w:lineRule="auto"/>
        <w:rPr>
          <w:rFonts w:ascii="David" w:hAnsi="David"/>
          <w:noProof w:val="0"/>
          <w:rtl/>
        </w:rPr>
      </w:pPr>
      <w:r w:rsidRPr="00626487">
        <w:rPr>
          <w:rFonts w:ascii="David" w:hAnsi="David"/>
          <w:noProof w:val="0"/>
          <w:u w:val="single"/>
          <w:rtl/>
        </w:rPr>
        <w:t>התביעה</w:t>
      </w:r>
      <w:r>
        <w:rPr>
          <w:rFonts w:ascii="David" w:hAnsi="David"/>
          <w:noProof w:val="0"/>
          <w:rtl/>
        </w:rPr>
        <w:t xml:space="preserve"> הגישה טענותיה לעונש בכתב (ת/24) ואף השלימה אותן על-פה.</w:t>
      </w:r>
    </w:p>
    <w:p w14:paraId="177C1590" w14:textId="77777777" w:rsidR="00FF3818" w:rsidRDefault="00FF3818" w:rsidP="00BB5D7F">
      <w:pPr>
        <w:spacing w:line="360" w:lineRule="auto"/>
        <w:rPr>
          <w:rFonts w:ascii="David" w:hAnsi="David"/>
          <w:noProof w:val="0"/>
          <w:rtl/>
        </w:rPr>
      </w:pPr>
    </w:p>
    <w:p w14:paraId="0E53F288" w14:textId="77777777" w:rsidR="00FF3818" w:rsidRDefault="00FF3818" w:rsidP="00BB5D7F">
      <w:pPr>
        <w:spacing w:line="360" w:lineRule="auto"/>
        <w:rPr>
          <w:rFonts w:ascii="David" w:hAnsi="David"/>
          <w:noProof w:val="0"/>
          <w:rtl/>
        </w:rPr>
      </w:pPr>
      <w:r>
        <w:rPr>
          <w:rFonts w:ascii="David" w:hAnsi="David"/>
          <w:noProof w:val="0"/>
          <w:rtl/>
        </w:rPr>
        <w:t>התביעה הדגישה את הסיכון לשלום הציבור ולבטחונו כתוצאה מאחזקת כלי נשק בלתי חוקיים – הן מתוך החשש, כי ישמשו לפעילות זדונית והן מחשש לתאונות.</w:t>
      </w:r>
    </w:p>
    <w:p w14:paraId="458C0E3E" w14:textId="77777777" w:rsidR="00FF3818" w:rsidRDefault="00FF3818" w:rsidP="00BB5D7F">
      <w:pPr>
        <w:spacing w:line="360" w:lineRule="auto"/>
        <w:rPr>
          <w:rFonts w:ascii="David" w:hAnsi="David"/>
          <w:noProof w:val="0"/>
          <w:rtl/>
        </w:rPr>
      </w:pPr>
    </w:p>
    <w:p w14:paraId="290B3B43" w14:textId="77777777" w:rsidR="00FF3818" w:rsidRDefault="00FF3818" w:rsidP="00BB5D7F">
      <w:pPr>
        <w:spacing w:line="360" w:lineRule="auto"/>
        <w:rPr>
          <w:rFonts w:ascii="David" w:hAnsi="David"/>
          <w:noProof w:val="0"/>
          <w:rtl/>
        </w:rPr>
      </w:pPr>
      <w:r>
        <w:rPr>
          <w:rFonts w:ascii="David" w:hAnsi="David"/>
          <w:noProof w:val="0"/>
          <w:rtl/>
        </w:rPr>
        <w:t>התביעה הדגישה, כי הנשק הוחזק בצירוף תחמושת – מחסנית טעונה.</w:t>
      </w:r>
    </w:p>
    <w:p w14:paraId="2EED51E8" w14:textId="77777777" w:rsidR="00FF3818" w:rsidRDefault="00FF3818" w:rsidP="00BB5D7F">
      <w:pPr>
        <w:spacing w:line="360" w:lineRule="auto"/>
        <w:rPr>
          <w:rFonts w:ascii="David" w:hAnsi="David"/>
          <w:noProof w:val="0"/>
          <w:rtl/>
        </w:rPr>
      </w:pPr>
    </w:p>
    <w:p w14:paraId="616BFF94" w14:textId="77777777" w:rsidR="00FF3818" w:rsidRDefault="00FF3818" w:rsidP="00BB5D7F">
      <w:pPr>
        <w:spacing w:line="360" w:lineRule="auto"/>
        <w:rPr>
          <w:rFonts w:ascii="David" w:hAnsi="David"/>
          <w:noProof w:val="0"/>
          <w:rtl/>
        </w:rPr>
      </w:pPr>
      <w:r>
        <w:rPr>
          <w:rFonts w:ascii="David" w:hAnsi="David"/>
          <w:noProof w:val="0"/>
          <w:rtl/>
        </w:rPr>
        <w:t>עוד נטען, כי הנשק הוחזק במקום בו קיימת נגישות לבני המשפחה, לרבות ילדים.</w:t>
      </w:r>
    </w:p>
    <w:p w14:paraId="0738C9DB" w14:textId="77777777" w:rsidR="00FF3818" w:rsidRDefault="00FF3818" w:rsidP="00BB5D7F">
      <w:pPr>
        <w:spacing w:line="360" w:lineRule="auto"/>
        <w:rPr>
          <w:rFonts w:ascii="David" w:hAnsi="David"/>
          <w:noProof w:val="0"/>
          <w:rtl/>
        </w:rPr>
      </w:pPr>
    </w:p>
    <w:p w14:paraId="28A4780E" w14:textId="77777777" w:rsidR="00FF3818" w:rsidRDefault="00FF3818" w:rsidP="00BB5D7F">
      <w:pPr>
        <w:spacing w:line="360" w:lineRule="auto"/>
        <w:rPr>
          <w:rFonts w:ascii="David" w:hAnsi="David"/>
          <w:noProof w:val="0"/>
          <w:rtl/>
        </w:rPr>
      </w:pPr>
      <w:r>
        <w:rPr>
          <w:rFonts w:ascii="David" w:hAnsi="David"/>
          <w:noProof w:val="0"/>
          <w:rtl/>
        </w:rPr>
        <w:t>התביעה טענה, כי המדובר ב"מכת מדינה".</w:t>
      </w:r>
    </w:p>
    <w:p w14:paraId="489E6BFB" w14:textId="77777777" w:rsidR="00FF3818" w:rsidRDefault="00FF3818" w:rsidP="00BB5D7F">
      <w:pPr>
        <w:spacing w:line="360" w:lineRule="auto"/>
        <w:rPr>
          <w:rFonts w:ascii="David" w:hAnsi="David"/>
          <w:noProof w:val="0"/>
          <w:rtl/>
        </w:rPr>
      </w:pPr>
    </w:p>
    <w:p w14:paraId="00A14D2F" w14:textId="77777777" w:rsidR="00FF3818" w:rsidRDefault="00FF3818" w:rsidP="00BB5D7F">
      <w:pPr>
        <w:spacing w:line="360" w:lineRule="auto"/>
        <w:rPr>
          <w:rFonts w:ascii="David" w:hAnsi="David"/>
          <w:noProof w:val="0"/>
          <w:rtl/>
        </w:rPr>
      </w:pPr>
      <w:r>
        <w:rPr>
          <w:rFonts w:ascii="David" w:hAnsi="David"/>
          <w:noProof w:val="0"/>
          <w:rtl/>
        </w:rPr>
        <w:t>התביעה טוענת למתחם ענישה, שינוע בין 18 – 36 חודשי מאסר בפועל בגין החזקת הנשק והתחמושת יחדיו.</w:t>
      </w:r>
    </w:p>
    <w:p w14:paraId="471AC51D" w14:textId="77777777" w:rsidR="00FF3818" w:rsidRDefault="00FF3818" w:rsidP="00BB5D7F">
      <w:pPr>
        <w:spacing w:line="360" w:lineRule="auto"/>
        <w:rPr>
          <w:rFonts w:ascii="David" w:hAnsi="David"/>
          <w:noProof w:val="0"/>
          <w:rtl/>
        </w:rPr>
      </w:pPr>
    </w:p>
    <w:p w14:paraId="6908B67C" w14:textId="77777777" w:rsidR="00FF3818" w:rsidRDefault="00FF3818" w:rsidP="00BB5D7F">
      <w:pPr>
        <w:spacing w:line="360" w:lineRule="auto"/>
        <w:rPr>
          <w:rFonts w:ascii="David" w:hAnsi="David"/>
          <w:noProof w:val="0"/>
          <w:rtl/>
        </w:rPr>
      </w:pPr>
      <w:r>
        <w:rPr>
          <w:rFonts w:ascii="David" w:hAnsi="David"/>
          <w:noProof w:val="0"/>
          <w:rtl/>
        </w:rPr>
        <w:t>במסגרת המתחם – עותרת התביעה לענישה על החלק התחתון של המתחם, אך לא ברף הנמוך ממש.</w:t>
      </w:r>
    </w:p>
    <w:p w14:paraId="0E4DAD42" w14:textId="77777777" w:rsidR="00FF3818" w:rsidRDefault="00FF3818" w:rsidP="00BB5D7F">
      <w:pPr>
        <w:spacing w:line="360" w:lineRule="auto"/>
        <w:rPr>
          <w:rFonts w:ascii="David" w:hAnsi="David"/>
          <w:noProof w:val="0"/>
          <w:rtl/>
        </w:rPr>
      </w:pPr>
    </w:p>
    <w:p w14:paraId="54FC7A44" w14:textId="77777777" w:rsidR="00FF3818" w:rsidRDefault="00FF3818" w:rsidP="005D4DAF">
      <w:pPr>
        <w:spacing w:line="360" w:lineRule="auto"/>
        <w:rPr>
          <w:rFonts w:ascii="David" w:hAnsi="David"/>
          <w:noProof w:val="0"/>
          <w:rtl/>
        </w:rPr>
      </w:pPr>
      <w:r>
        <w:rPr>
          <w:rFonts w:ascii="David" w:hAnsi="David"/>
          <w:noProof w:val="0"/>
          <w:rtl/>
        </w:rPr>
        <w:t>עוד עותרת להשית על הנאשם קנס משמעותי ומאסר מותנה מרתיע.</w:t>
      </w:r>
    </w:p>
    <w:p w14:paraId="74EB72DE" w14:textId="77777777" w:rsidR="00FF3818" w:rsidRDefault="00FF3818" w:rsidP="00BB5D7F">
      <w:pPr>
        <w:spacing w:line="360" w:lineRule="auto"/>
        <w:rPr>
          <w:rFonts w:ascii="David" w:hAnsi="David"/>
          <w:noProof w:val="0"/>
          <w:rtl/>
        </w:rPr>
      </w:pPr>
    </w:p>
    <w:p w14:paraId="07A2ABA2" w14:textId="77777777" w:rsidR="00FF3818" w:rsidRDefault="00FF3818" w:rsidP="00BB5D7F">
      <w:pPr>
        <w:spacing w:line="360" w:lineRule="auto"/>
        <w:rPr>
          <w:rFonts w:ascii="David" w:hAnsi="David"/>
          <w:noProof w:val="0"/>
          <w:rtl/>
        </w:rPr>
      </w:pPr>
      <w:r>
        <w:rPr>
          <w:rFonts w:ascii="David" w:hAnsi="David"/>
          <w:noProof w:val="0"/>
          <w:rtl/>
        </w:rPr>
        <w:t xml:space="preserve">כן עותרת התביעה לחילוט הרכב בו החוזק הנשק הבלתי חוקי. </w:t>
      </w:r>
    </w:p>
    <w:p w14:paraId="069F186F" w14:textId="77777777" w:rsidR="00FF3818" w:rsidRDefault="00FF3818" w:rsidP="00BB5D7F">
      <w:pPr>
        <w:spacing w:line="360" w:lineRule="auto"/>
        <w:rPr>
          <w:rFonts w:ascii="David" w:hAnsi="David"/>
          <w:noProof w:val="0"/>
          <w:rtl/>
        </w:rPr>
      </w:pPr>
    </w:p>
    <w:p w14:paraId="2078FEBE" w14:textId="77777777" w:rsidR="00FF3818" w:rsidRDefault="00FF3818" w:rsidP="00BB5D7F">
      <w:pPr>
        <w:spacing w:line="360" w:lineRule="auto"/>
        <w:rPr>
          <w:rFonts w:ascii="David" w:hAnsi="David"/>
          <w:noProof w:val="0"/>
          <w:rtl/>
        </w:rPr>
      </w:pPr>
      <w:r>
        <w:rPr>
          <w:rFonts w:ascii="David" w:hAnsi="David"/>
          <w:noProof w:val="0"/>
          <w:rtl/>
        </w:rPr>
        <w:t>התביעה מבקשת שלא ליתן משקל לחוות הדעת הפרטית – נ/7, לאחר שהנאשם לא הופנה לחקירות שירות המבחן למבוגרים.</w:t>
      </w:r>
    </w:p>
    <w:p w14:paraId="5CD17D23" w14:textId="77777777" w:rsidR="00FF3818" w:rsidRDefault="00FF3818" w:rsidP="00BB5D7F">
      <w:pPr>
        <w:spacing w:line="360" w:lineRule="auto"/>
        <w:rPr>
          <w:rFonts w:ascii="David" w:hAnsi="David"/>
          <w:noProof w:val="0"/>
          <w:rtl/>
        </w:rPr>
      </w:pPr>
    </w:p>
    <w:p w14:paraId="6BBA97CE" w14:textId="77777777" w:rsidR="00FF3818" w:rsidRDefault="00FF3818" w:rsidP="00BB5D7F">
      <w:pPr>
        <w:spacing w:line="360" w:lineRule="auto"/>
        <w:rPr>
          <w:rFonts w:ascii="David" w:hAnsi="David"/>
          <w:noProof w:val="0"/>
          <w:rtl/>
        </w:rPr>
      </w:pPr>
      <w:r w:rsidRPr="00626487">
        <w:rPr>
          <w:rFonts w:ascii="David" w:hAnsi="David"/>
          <w:noProof w:val="0"/>
          <w:u w:val="single"/>
          <w:rtl/>
        </w:rPr>
        <w:t>ההגנה</w:t>
      </w:r>
      <w:r>
        <w:rPr>
          <w:rFonts w:ascii="David" w:hAnsi="David"/>
          <w:noProof w:val="0"/>
          <w:rtl/>
        </w:rPr>
        <w:t xml:space="preserve"> הסכימה, כי קיימת חשיבות להיאבק בתופעה של החזקת נשק בלתי חוקי וכן התגברות האלימות בחברה הערבית, אך טענה, כי הדבר צריך להיעשות בדרך של חינוך ולא בענישה.</w:t>
      </w:r>
    </w:p>
    <w:p w14:paraId="705EAFD8" w14:textId="77777777" w:rsidR="00FF3818" w:rsidRDefault="00FF3818" w:rsidP="00BB5D7F">
      <w:pPr>
        <w:spacing w:line="360" w:lineRule="auto"/>
        <w:rPr>
          <w:rFonts w:ascii="David" w:hAnsi="David"/>
          <w:noProof w:val="0"/>
          <w:rtl/>
        </w:rPr>
      </w:pPr>
    </w:p>
    <w:p w14:paraId="7B8CF4F7" w14:textId="77777777" w:rsidR="00FF3818" w:rsidRDefault="00FF3818" w:rsidP="00BB5D7F">
      <w:pPr>
        <w:spacing w:line="360" w:lineRule="auto"/>
        <w:rPr>
          <w:rFonts w:ascii="David" w:hAnsi="David"/>
          <w:noProof w:val="0"/>
          <w:rtl/>
        </w:rPr>
      </w:pPr>
      <w:r>
        <w:rPr>
          <w:rFonts w:ascii="David" w:hAnsi="David"/>
          <w:noProof w:val="0"/>
          <w:rtl/>
        </w:rPr>
        <w:t>הגנה טענה, כי מתחם הענישה , בגין העבירה – נמוך מזה הנטען על ידי התביעה.</w:t>
      </w:r>
    </w:p>
    <w:p w14:paraId="699E9F8A" w14:textId="77777777" w:rsidR="00FF3818" w:rsidRDefault="00FF3818" w:rsidP="00D3532D">
      <w:pPr>
        <w:spacing w:line="360" w:lineRule="auto"/>
        <w:rPr>
          <w:rFonts w:ascii="David" w:hAnsi="David"/>
          <w:noProof w:val="0"/>
          <w:rtl/>
        </w:rPr>
      </w:pPr>
      <w:r>
        <w:rPr>
          <w:rFonts w:ascii="David" w:hAnsi="David"/>
          <w:noProof w:val="0"/>
          <w:rtl/>
        </w:rPr>
        <w:t xml:space="preserve">ההגנה ביקשה, שלא להביא לחובת הנאשם, העובדה, כי בחר לנהל את התיק וייחסה זאת לייעוץ המשפטי שקיבל הנאשם (יצוין, הסניגור הוא אשר ייצג את הנאשם לאורך ההליך). ההגנה הפנתה לגזר דין, שניתן בבית משפט זה </w:t>
      </w:r>
      <w:hyperlink r:id="rId17" w:history="1">
        <w:r w:rsidR="00B87E1A" w:rsidRPr="00B87E1A">
          <w:rPr>
            <w:rFonts w:ascii="David" w:hAnsi="David"/>
            <w:noProof w:val="0"/>
            <w:color w:val="0000FF"/>
            <w:u w:val="single"/>
            <w:rtl/>
          </w:rPr>
          <w:t>ת"פ 47445-08-17</w:t>
        </w:r>
      </w:hyperlink>
      <w:r>
        <w:rPr>
          <w:rFonts w:ascii="David" w:hAnsi="David"/>
          <w:noProof w:val="0"/>
          <w:rtl/>
        </w:rPr>
        <w:t xml:space="preserve"> </w:t>
      </w:r>
      <w:r>
        <w:rPr>
          <w:rFonts w:ascii="David" w:hAnsi="David"/>
          <w:b/>
          <w:bCs/>
          <w:noProof w:val="0"/>
          <w:rtl/>
        </w:rPr>
        <w:t>מדינת ישראל נ' גבועה</w:t>
      </w:r>
      <w:r>
        <w:rPr>
          <w:rFonts w:ascii="David" w:hAnsi="David"/>
          <w:noProof w:val="0"/>
          <w:rtl/>
        </w:rPr>
        <w:t xml:space="preserve">, </w:t>
      </w:r>
      <w:r w:rsidR="00A70772" w:rsidRPr="00A70772">
        <w:rPr>
          <w:noProof w:val="0"/>
          <w:sz w:val="22"/>
          <w:rtl/>
        </w:rPr>
        <w:t xml:space="preserve">[פורסם בנבו] </w:t>
      </w:r>
      <w:r>
        <w:rPr>
          <w:rFonts w:ascii="David" w:hAnsi="David"/>
          <w:noProof w:val="0"/>
          <w:rtl/>
        </w:rPr>
        <w:t xml:space="preserve">בו נדון נאשם לעונש שיקומי בגין אחזקת נשק חם. </w:t>
      </w:r>
    </w:p>
    <w:p w14:paraId="055B5C0F" w14:textId="77777777" w:rsidR="00FF3818" w:rsidRDefault="00FF3818" w:rsidP="00BB5D7F">
      <w:pPr>
        <w:spacing w:line="360" w:lineRule="auto"/>
        <w:rPr>
          <w:rFonts w:ascii="David" w:hAnsi="David"/>
          <w:noProof w:val="0"/>
          <w:rtl/>
        </w:rPr>
      </w:pPr>
    </w:p>
    <w:p w14:paraId="1CE766A5" w14:textId="77777777" w:rsidR="00FF3818" w:rsidRDefault="00FF3818" w:rsidP="00BB5D7F">
      <w:pPr>
        <w:spacing w:line="360" w:lineRule="auto"/>
        <w:rPr>
          <w:rFonts w:ascii="David" w:hAnsi="David"/>
          <w:noProof w:val="0"/>
          <w:rtl/>
        </w:rPr>
      </w:pPr>
      <w:r>
        <w:rPr>
          <w:rFonts w:ascii="David" w:hAnsi="David"/>
          <w:noProof w:val="0"/>
          <w:rtl/>
        </w:rPr>
        <w:t>ההגנה עתרה לחרוג ממתחם הנאשם בעניינו של הנאשם, מטעמי שיקום, ולהסתפק במאסר, שירוצה בדרך של עבודות שירות.</w:t>
      </w:r>
    </w:p>
    <w:p w14:paraId="74598E72" w14:textId="77777777" w:rsidR="00FF3818" w:rsidRDefault="00FF3818" w:rsidP="00BB5D7F">
      <w:pPr>
        <w:spacing w:line="360" w:lineRule="auto"/>
        <w:rPr>
          <w:rFonts w:ascii="David" w:hAnsi="David"/>
          <w:noProof w:val="0"/>
          <w:rtl/>
        </w:rPr>
      </w:pPr>
    </w:p>
    <w:p w14:paraId="2ABAA8B2" w14:textId="77777777" w:rsidR="00FF3818" w:rsidRDefault="00FF3818" w:rsidP="00BB5D7F">
      <w:pPr>
        <w:spacing w:line="360" w:lineRule="auto"/>
        <w:rPr>
          <w:rFonts w:ascii="David" w:hAnsi="David"/>
          <w:noProof w:val="0"/>
          <w:rtl/>
        </w:rPr>
      </w:pPr>
      <w:r w:rsidRPr="00626487">
        <w:rPr>
          <w:rFonts w:ascii="David" w:hAnsi="David"/>
          <w:noProof w:val="0"/>
          <w:u w:val="single"/>
          <w:rtl/>
        </w:rPr>
        <w:t>בדברו האחרון</w:t>
      </w:r>
      <w:r>
        <w:rPr>
          <w:rFonts w:ascii="David" w:hAnsi="David"/>
          <w:noProof w:val="0"/>
          <w:rtl/>
        </w:rPr>
        <w:t>, הביע הנאשם צער על מעשיו. חזר וטען, כי האקדח של בנו והוסיף, כי נטל אותו לרשותו ושם אותו ברכב, תוף חשש, שמי מילדיו יעשה עמו משהו.</w:t>
      </w:r>
    </w:p>
    <w:p w14:paraId="55E6831D" w14:textId="77777777" w:rsidR="00FF3818" w:rsidRDefault="00FF3818" w:rsidP="00BB5D7F">
      <w:pPr>
        <w:spacing w:line="360" w:lineRule="auto"/>
        <w:rPr>
          <w:rFonts w:ascii="David" w:hAnsi="David"/>
          <w:noProof w:val="0"/>
          <w:rtl/>
        </w:rPr>
      </w:pPr>
      <w:r>
        <w:rPr>
          <w:rFonts w:ascii="David" w:hAnsi="David"/>
          <w:noProof w:val="0"/>
          <w:rtl/>
        </w:rPr>
        <w:t>לדבריו, מסר כי האקדח אינו שלו לאור יעוץ מפשטי שקיבל והיום – אינו יודע מה לומר.</w:t>
      </w:r>
    </w:p>
    <w:p w14:paraId="0740D032" w14:textId="77777777" w:rsidR="00FF3818" w:rsidRDefault="00FF3818" w:rsidP="00BB5D7F">
      <w:pPr>
        <w:spacing w:line="360" w:lineRule="auto"/>
        <w:rPr>
          <w:rFonts w:ascii="David" w:hAnsi="David"/>
          <w:noProof w:val="0"/>
          <w:rtl/>
        </w:rPr>
      </w:pPr>
    </w:p>
    <w:p w14:paraId="5C7FCDC7" w14:textId="77777777" w:rsidR="00FF3818" w:rsidRDefault="00FF3818" w:rsidP="00BB5D7F">
      <w:pPr>
        <w:spacing w:line="360" w:lineRule="auto"/>
        <w:rPr>
          <w:rFonts w:ascii="David" w:hAnsi="David"/>
          <w:noProof w:val="0"/>
          <w:rtl/>
        </w:rPr>
      </w:pPr>
      <w:r>
        <w:rPr>
          <w:rFonts w:ascii="David" w:hAnsi="David"/>
          <w:noProof w:val="0"/>
          <w:rtl/>
        </w:rPr>
        <w:t>הנאשם סיפר על נסיבותיו האישיות, לרבות שניהם מילדיו, הסובלים מנכות, כשההורים משמשים כאפוטרופסים שלהם.</w:t>
      </w:r>
    </w:p>
    <w:p w14:paraId="2E062D4D" w14:textId="77777777" w:rsidR="00FF3818" w:rsidRDefault="00FF3818" w:rsidP="00BB5D7F">
      <w:pPr>
        <w:spacing w:line="360" w:lineRule="auto"/>
        <w:rPr>
          <w:rFonts w:ascii="David" w:hAnsi="David"/>
          <w:noProof w:val="0"/>
          <w:rtl/>
        </w:rPr>
      </w:pPr>
    </w:p>
    <w:p w14:paraId="3E04ACED" w14:textId="77777777" w:rsidR="00FF3818" w:rsidRDefault="00FF3818" w:rsidP="00BB5D7F">
      <w:pPr>
        <w:spacing w:line="360" w:lineRule="auto"/>
        <w:rPr>
          <w:rFonts w:ascii="David" w:hAnsi="David"/>
          <w:noProof w:val="0"/>
          <w:rtl/>
        </w:rPr>
      </w:pPr>
      <w:r>
        <w:rPr>
          <w:rFonts w:ascii="David" w:hAnsi="David"/>
          <w:noProof w:val="0"/>
          <w:rtl/>
        </w:rPr>
        <w:t>הנאשם סיפר, כי יש לו מגרש מכוניות וגם עסק לרחיצת מכוניות.</w:t>
      </w:r>
    </w:p>
    <w:p w14:paraId="546AE4A7" w14:textId="77777777" w:rsidR="00FF3818" w:rsidRDefault="00FF3818" w:rsidP="00BB5D7F">
      <w:pPr>
        <w:spacing w:line="360" w:lineRule="auto"/>
        <w:rPr>
          <w:rFonts w:ascii="David" w:hAnsi="David"/>
          <w:noProof w:val="0"/>
          <w:rtl/>
        </w:rPr>
      </w:pPr>
    </w:p>
    <w:p w14:paraId="23D2AB5E" w14:textId="77777777" w:rsidR="00FF3818" w:rsidRDefault="00FF3818" w:rsidP="00BB5D7F">
      <w:pPr>
        <w:spacing w:line="360" w:lineRule="auto"/>
        <w:rPr>
          <w:rFonts w:ascii="David" w:hAnsi="David"/>
          <w:noProof w:val="0"/>
          <w:rtl/>
        </w:rPr>
      </w:pPr>
    </w:p>
    <w:p w14:paraId="640500AD" w14:textId="77777777" w:rsidR="00FF3818" w:rsidRPr="0006346F" w:rsidRDefault="00FF3818" w:rsidP="00BB5D7F">
      <w:pPr>
        <w:spacing w:line="360" w:lineRule="auto"/>
        <w:rPr>
          <w:rFonts w:ascii="David" w:hAnsi="David"/>
          <w:b/>
          <w:bCs/>
          <w:noProof w:val="0"/>
          <w:rtl/>
        </w:rPr>
      </w:pPr>
      <w:r w:rsidRPr="0006346F">
        <w:rPr>
          <w:rFonts w:ascii="David" w:hAnsi="David"/>
          <w:b/>
          <w:bCs/>
          <w:noProof w:val="0"/>
          <w:rtl/>
        </w:rPr>
        <w:t>דיון והכרעה</w:t>
      </w:r>
    </w:p>
    <w:p w14:paraId="2EF7CA49" w14:textId="77777777" w:rsidR="00FF3818" w:rsidRPr="004048FD" w:rsidRDefault="00FF3818" w:rsidP="00BB5D7F">
      <w:pPr>
        <w:spacing w:line="360" w:lineRule="auto"/>
        <w:rPr>
          <w:rFonts w:ascii="David" w:hAnsi="David"/>
          <w:noProof w:val="0"/>
          <w:rtl/>
        </w:rPr>
      </w:pPr>
    </w:p>
    <w:p w14:paraId="73181966" w14:textId="77777777" w:rsidR="00FF3818" w:rsidRPr="00BF41F7" w:rsidRDefault="00FF3818" w:rsidP="00BB5D7F">
      <w:pPr>
        <w:spacing w:line="360" w:lineRule="auto"/>
        <w:jc w:val="both"/>
        <w:rPr>
          <w:rFonts w:ascii="David" w:hAnsi="David"/>
          <w:noProof w:val="0"/>
        </w:rPr>
      </w:pPr>
      <w:r w:rsidRPr="00BF41F7">
        <w:rPr>
          <w:rFonts w:ascii="David" w:hAnsi="David"/>
          <w:noProof w:val="0"/>
          <w:rtl/>
        </w:rPr>
        <w:t>אין צורך להכביר מילים על פוטנציאל הסיכון הנובע מהחזקת נשק חם קטלני, שלא כדין.</w:t>
      </w:r>
    </w:p>
    <w:p w14:paraId="7E9357CF" w14:textId="77777777" w:rsidR="00FF3818" w:rsidRPr="00BF41F7" w:rsidRDefault="00FF3818" w:rsidP="00BB5D7F">
      <w:pPr>
        <w:spacing w:line="360" w:lineRule="auto"/>
        <w:jc w:val="both"/>
        <w:rPr>
          <w:rFonts w:ascii="Arial" w:hAnsi="Arial" w:cs="Arial"/>
          <w:noProof w:val="0"/>
        </w:rPr>
      </w:pPr>
    </w:p>
    <w:p w14:paraId="759CA6D8" w14:textId="77777777" w:rsidR="00FF3818" w:rsidRPr="00BF41F7" w:rsidRDefault="00FF3818" w:rsidP="00BB5D7F">
      <w:pPr>
        <w:spacing w:line="360" w:lineRule="auto"/>
        <w:jc w:val="both"/>
        <w:rPr>
          <w:rFonts w:ascii="Arial" w:hAnsi="Arial" w:cs="Arial"/>
          <w:noProof w:val="0"/>
          <w:rtl/>
        </w:rPr>
      </w:pPr>
      <w:r w:rsidRPr="00BF41F7">
        <w:rPr>
          <w:rFonts w:ascii="David" w:hAnsi="David"/>
          <w:noProof w:val="0"/>
          <w:rtl/>
        </w:rPr>
        <w:t>כלי הנשק עלול למצוא דרכו לפעילות שלילית, אם פלילית ואם נגד בטחון המדינה.</w:t>
      </w:r>
    </w:p>
    <w:p w14:paraId="15B9960C" w14:textId="77777777" w:rsidR="00FF3818" w:rsidRPr="00BF41F7" w:rsidRDefault="00FF3818" w:rsidP="00BB5D7F">
      <w:pPr>
        <w:spacing w:line="360" w:lineRule="auto"/>
        <w:jc w:val="both"/>
        <w:rPr>
          <w:rFonts w:ascii="Arial" w:hAnsi="Arial" w:cs="Arial"/>
          <w:noProof w:val="0"/>
          <w:rtl/>
        </w:rPr>
      </w:pPr>
    </w:p>
    <w:p w14:paraId="0BBDFB4B" w14:textId="77777777" w:rsidR="00FF3818" w:rsidRPr="00BF41F7" w:rsidRDefault="00FF3818" w:rsidP="00BB5D7F">
      <w:pPr>
        <w:spacing w:line="360" w:lineRule="auto"/>
        <w:jc w:val="both"/>
        <w:rPr>
          <w:rFonts w:ascii="Arial" w:hAnsi="Arial" w:cs="Arial"/>
          <w:noProof w:val="0"/>
        </w:rPr>
      </w:pPr>
      <w:r w:rsidRPr="00BF41F7">
        <w:rPr>
          <w:rFonts w:ascii="David" w:hAnsi="David"/>
          <w:noProof w:val="0"/>
          <w:rtl/>
        </w:rPr>
        <w:t>החזקת נשק על ידי מי שלא נבדק, לא נמצא מתאים ולא הוכשר לכך, בתנאים שאינם מבטיחים בידודו של הנשק מהסביבה (כיום</w:t>
      </w:r>
      <w:r>
        <w:rPr>
          <w:rFonts w:ascii="David" w:hAnsi="David"/>
          <w:noProof w:val="0"/>
          <w:rtl/>
        </w:rPr>
        <w:t>,</w:t>
      </w:r>
      <w:r w:rsidRPr="00BF41F7">
        <w:rPr>
          <w:rFonts w:ascii="David" w:hAnsi="David"/>
          <w:noProof w:val="0"/>
          <w:rtl/>
        </w:rPr>
        <w:t xml:space="preserve"> מי שמחזיק נשק ברישיון נדרש לאפסנו בכספת מאובטחת, מאחורי שני מנעולים), עלולה להביא לסיכון שלום הציבור, גם אם אין ראיות שהוחזק לצורך פעילות שלילית, כמפורט לעיל.</w:t>
      </w:r>
    </w:p>
    <w:p w14:paraId="125E10D0" w14:textId="77777777" w:rsidR="00FF3818" w:rsidRPr="00BF41F7" w:rsidRDefault="00FF3818" w:rsidP="00BB5D7F">
      <w:pPr>
        <w:spacing w:line="360" w:lineRule="auto"/>
        <w:jc w:val="both"/>
        <w:rPr>
          <w:rFonts w:cs="Times New Roman"/>
          <w:noProof w:val="0"/>
        </w:rPr>
      </w:pPr>
    </w:p>
    <w:p w14:paraId="3DB7C79D" w14:textId="77777777" w:rsidR="00FF3818" w:rsidRPr="00BF41F7" w:rsidRDefault="00FF3818" w:rsidP="00BB5D7F">
      <w:pPr>
        <w:spacing w:line="360" w:lineRule="auto"/>
        <w:jc w:val="both"/>
        <w:rPr>
          <w:rFonts w:cs="Times New Roman"/>
          <w:noProof w:val="0"/>
          <w:rtl/>
        </w:rPr>
      </w:pPr>
      <w:r w:rsidRPr="00BF41F7">
        <w:rPr>
          <w:rFonts w:ascii="David" w:hAnsi="David"/>
          <w:noProof w:val="0"/>
          <w:rtl/>
        </w:rPr>
        <w:t>בנוסף, החזקת נשק כאמור עלולה להביא לפגיעה בשלטון החוק ובנושאי שלטון החוק, המבצעים את תפקידם.</w:t>
      </w:r>
    </w:p>
    <w:p w14:paraId="4E71B9E3" w14:textId="77777777" w:rsidR="00FF3818" w:rsidRPr="00BF41F7" w:rsidRDefault="00FF3818" w:rsidP="00BB5D7F">
      <w:pPr>
        <w:spacing w:line="360" w:lineRule="auto"/>
        <w:jc w:val="both"/>
        <w:rPr>
          <w:rFonts w:cs="Times New Roman"/>
          <w:noProof w:val="0"/>
        </w:rPr>
      </w:pPr>
    </w:p>
    <w:p w14:paraId="7BF509DC" w14:textId="77777777" w:rsidR="00FF3818" w:rsidRPr="00BF41F7" w:rsidRDefault="00FF3818" w:rsidP="00A70772">
      <w:pPr>
        <w:spacing w:line="360" w:lineRule="auto"/>
        <w:jc w:val="both"/>
        <w:rPr>
          <w:rFonts w:ascii="David" w:hAnsi="David"/>
          <w:noProof w:val="0"/>
        </w:rPr>
      </w:pPr>
      <w:r w:rsidRPr="00BF41F7">
        <w:rPr>
          <w:rFonts w:ascii="David" w:hAnsi="David"/>
          <w:noProof w:val="0"/>
          <w:rtl/>
        </w:rPr>
        <w:t xml:space="preserve">בפסק הדין </w:t>
      </w:r>
      <w:hyperlink r:id="rId18" w:history="1">
        <w:r w:rsidR="00B87E1A" w:rsidRPr="00B87E1A">
          <w:rPr>
            <w:rFonts w:ascii="David" w:hAnsi="David"/>
            <w:noProof w:val="0"/>
            <w:color w:val="0000FF"/>
            <w:u w:val="single"/>
            <w:rtl/>
          </w:rPr>
          <w:t>ע.פ. 3288/14</w:t>
        </w:r>
      </w:hyperlink>
      <w:r w:rsidRPr="00BF41F7">
        <w:rPr>
          <w:rFonts w:ascii="David" w:hAnsi="David"/>
          <w:noProof w:val="0"/>
          <w:rtl/>
        </w:rPr>
        <w:t xml:space="preserve"> </w:t>
      </w:r>
      <w:r w:rsidRPr="00BF41F7">
        <w:rPr>
          <w:rFonts w:ascii="David" w:hAnsi="David"/>
          <w:b/>
          <w:bCs/>
          <w:noProof w:val="0"/>
          <w:rtl/>
        </w:rPr>
        <w:t>מדינת ישראל נ' קריספל</w:t>
      </w:r>
      <w:r w:rsidRPr="00BF41F7">
        <w:rPr>
          <w:rFonts w:ascii="David" w:hAnsi="David"/>
          <w:noProof w:val="0"/>
          <w:rtl/>
        </w:rPr>
        <w:t xml:space="preserve"> (פורסם במאגרים)</w:t>
      </w:r>
      <w:r w:rsidR="00A70772">
        <w:rPr>
          <w:rFonts w:ascii="David" w:hAnsi="David" w:hint="cs"/>
          <w:noProof w:val="0"/>
          <w:rtl/>
        </w:rPr>
        <w:t xml:space="preserve">, </w:t>
      </w:r>
      <w:r w:rsidR="00A70772" w:rsidRPr="00A70772">
        <w:rPr>
          <w:noProof w:val="0"/>
          <w:sz w:val="22"/>
          <w:rtl/>
        </w:rPr>
        <w:t>[פורסם בנבו]</w:t>
      </w:r>
      <w:r w:rsidRPr="00BF41F7">
        <w:rPr>
          <w:rFonts w:ascii="David" w:hAnsi="David"/>
          <w:noProof w:val="0"/>
          <w:rtl/>
        </w:rPr>
        <w:t xml:space="preserve">, נאמר: </w:t>
      </w:r>
    </w:p>
    <w:p w14:paraId="0288394F" w14:textId="77777777" w:rsidR="00FF3818" w:rsidRPr="00BF41F7" w:rsidRDefault="00FF3818" w:rsidP="00BB5D7F">
      <w:pPr>
        <w:spacing w:line="360" w:lineRule="auto"/>
        <w:jc w:val="both"/>
        <w:rPr>
          <w:rFonts w:ascii="David" w:hAnsi="David"/>
          <w:noProof w:val="0"/>
        </w:rPr>
      </w:pPr>
    </w:p>
    <w:p w14:paraId="3F0B2CE5" w14:textId="77777777" w:rsidR="00FF3818" w:rsidRPr="00BF41F7" w:rsidRDefault="00FF3818" w:rsidP="00BB5D7F">
      <w:pPr>
        <w:spacing w:line="360" w:lineRule="auto"/>
        <w:jc w:val="both"/>
        <w:rPr>
          <w:rFonts w:ascii="Aharoni" w:hAnsi="Aharoni" w:cs="Aharoni"/>
          <w:noProof w:val="0"/>
        </w:rPr>
      </w:pPr>
      <w:r w:rsidRPr="00BF41F7">
        <w:rPr>
          <w:rFonts w:ascii="Aharoni" w:hAnsi="Aharoni" w:cs="Aharoni"/>
          <w:noProof w:val="0"/>
          <w:rtl/>
        </w:rPr>
        <w:t>בשל פוטנציאל ההרס הטמון בכלי נשק, הכולל גם אפשרות לפגיעה עיוורת באנשים מן הישוב, מתפקידו של בית המשפט להרתיע אף מפני עבירת החזקת נשק שלא כדין. זאת, כדי לבלום את שרשרת העבירות בשלב ראשוני.</w:t>
      </w:r>
    </w:p>
    <w:p w14:paraId="2AC61294" w14:textId="77777777" w:rsidR="00FF3818" w:rsidRPr="00BF41F7" w:rsidRDefault="00FF3818" w:rsidP="00BB5D7F">
      <w:pPr>
        <w:spacing w:line="360" w:lineRule="auto"/>
        <w:jc w:val="both"/>
        <w:rPr>
          <w:rFonts w:ascii="David" w:hAnsi="David"/>
          <w:noProof w:val="0"/>
          <w:rtl/>
        </w:rPr>
      </w:pPr>
    </w:p>
    <w:p w14:paraId="0BC389E4" w14:textId="77777777" w:rsidR="00FF3818" w:rsidRPr="00BF41F7" w:rsidRDefault="00FF3818" w:rsidP="00A70772">
      <w:pPr>
        <w:spacing w:line="360" w:lineRule="auto"/>
        <w:jc w:val="both"/>
        <w:rPr>
          <w:rFonts w:ascii="David" w:hAnsi="David"/>
          <w:noProof w:val="0"/>
          <w:rtl/>
        </w:rPr>
      </w:pPr>
      <w:r w:rsidRPr="00BF41F7">
        <w:rPr>
          <w:rFonts w:ascii="David" w:hAnsi="David"/>
          <w:noProof w:val="0"/>
          <w:rtl/>
        </w:rPr>
        <w:t xml:space="preserve">בפסק הדין </w:t>
      </w:r>
      <w:hyperlink r:id="rId19" w:history="1">
        <w:r w:rsidR="00B87E1A" w:rsidRPr="00B87E1A">
          <w:rPr>
            <w:rFonts w:ascii="David" w:hAnsi="David"/>
            <w:noProof w:val="0"/>
            <w:color w:val="0000FF"/>
            <w:u w:val="single"/>
            <w:rtl/>
          </w:rPr>
          <w:t>ע.פ. 4945/13</w:t>
        </w:r>
      </w:hyperlink>
      <w:r w:rsidRPr="00BF41F7">
        <w:rPr>
          <w:rFonts w:ascii="David" w:hAnsi="David"/>
          <w:noProof w:val="0"/>
          <w:rtl/>
        </w:rPr>
        <w:t xml:space="preserve"> </w:t>
      </w:r>
      <w:r w:rsidRPr="00BF41F7">
        <w:rPr>
          <w:rFonts w:ascii="David" w:hAnsi="David"/>
          <w:b/>
          <w:bCs/>
          <w:noProof w:val="0"/>
          <w:rtl/>
        </w:rPr>
        <w:t>סלימאן, נ' מדינת ישראל</w:t>
      </w:r>
      <w:r w:rsidRPr="00BF41F7">
        <w:rPr>
          <w:rFonts w:ascii="David" w:hAnsi="David"/>
          <w:noProof w:val="0"/>
          <w:rtl/>
        </w:rPr>
        <w:t xml:space="preserve"> (פורסם במאגרים)</w:t>
      </w:r>
      <w:r w:rsidR="00A70772">
        <w:rPr>
          <w:rFonts w:ascii="David" w:hAnsi="David" w:hint="cs"/>
          <w:noProof w:val="0"/>
          <w:rtl/>
        </w:rPr>
        <w:t xml:space="preserve">, </w:t>
      </w:r>
      <w:r w:rsidR="00A70772" w:rsidRPr="00A70772">
        <w:rPr>
          <w:noProof w:val="0"/>
          <w:sz w:val="22"/>
          <w:rtl/>
        </w:rPr>
        <w:t>[פורסם בנבו]</w:t>
      </w:r>
      <w:r w:rsidRPr="00BF41F7">
        <w:rPr>
          <w:rFonts w:ascii="David" w:hAnsi="David"/>
          <w:noProof w:val="0"/>
          <w:rtl/>
        </w:rPr>
        <w:t>, נאמר:</w:t>
      </w:r>
    </w:p>
    <w:p w14:paraId="678DA64D" w14:textId="77777777" w:rsidR="00FF3818" w:rsidRPr="00BF41F7" w:rsidRDefault="00FF3818" w:rsidP="00BB5D7F">
      <w:pPr>
        <w:spacing w:line="360" w:lineRule="auto"/>
        <w:jc w:val="both"/>
        <w:rPr>
          <w:rFonts w:ascii="David" w:hAnsi="David"/>
          <w:noProof w:val="0"/>
          <w:rtl/>
        </w:rPr>
      </w:pPr>
    </w:p>
    <w:p w14:paraId="4031B3D6" w14:textId="77777777" w:rsidR="00FF3818" w:rsidRPr="00BF41F7" w:rsidRDefault="00FF3818" w:rsidP="00BB5D7F">
      <w:pPr>
        <w:spacing w:line="360" w:lineRule="auto"/>
        <w:jc w:val="both"/>
        <w:rPr>
          <w:rFonts w:ascii="Aharoni" w:hAnsi="Aharoni" w:cs="Aharoni"/>
          <w:noProof w:val="0"/>
          <w:rtl/>
        </w:rPr>
      </w:pPr>
      <w:r w:rsidRPr="00BF41F7">
        <w:rPr>
          <w:rFonts w:ascii="Aharoni" w:hAnsi="Aharoni" w:cs="Aharoni"/>
          <w:noProof w:val="0"/>
          <w:rtl/>
        </w:rPr>
        <w:t>... התגלגלותם של כלי נשק מיד ליד ללא פיקוח עלולה להוביל להגעתם בדרך לא דרך לגורמים פליליים ועוינים. אין לדעת מה יעלה בגורלם של</w:t>
      </w:r>
      <w:r w:rsidR="00B87E1A">
        <w:rPr>
          <w:rFonts w:ascii="Aharoni" w:hAnsi="Aharoni" w:cs="Aharoni"/>
          <w:noProof w:val="0"/>
          <w:rtl/>
        </w:rPr>
        <w:t xml:space="preserve"> </w:t>
      </w:r>
      <w:r w:rsidRPr="00BF41F7">
        <w:rPr>
          <w:rFonts w:ascii="Aharoni" w:hAnsi="Aharoni" w:cs="Aharoni"/>
          <w:noProof w:val="0"/>
          <w:rtl/>
        </w:rPr>
        <w:t xml:space="preserve"> ולאלו תוצאות הרסניות יובילו. ודוק: הסיכון שנשקף לשלום הציבור צריך להילקח בחשבון על ידי כל מי שמחזיק בידו נשק שלא כדין, </w:t>
      </w:r>
      <w:r w:rsidRPr="00BF41F7">
        <w:rPr>
          <w:rFonts w:ascii="Aharoni" w:hAnsi="Aharoni" w:cs="Aharoni"/>
          <w:noProof w:val="0"/>
          <w:u w:val="single"/>
          <w:rtl/>
        </w:rPr>
        <w:t>גם אם אינו מחזיק בו למטרת ביצוען של עבירות אחרות</w:t>
      </w:r>
      <w:r w:rsidRPr="00BF41F7">
        <w:rPr>
          <w:rFonts w:ascii="Aharoni" w:hAnsi="Aharoni" w:cs="Aharoni"/>
          <w:noProof w:val="0"/>
          <w:rtl/>
        </w:rPr>
        <w:t>.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p>
    <w:p w14:paraId="4DCCE6BE" w14:textId="77777777" w:rsidR="00FF3818" w:rsidRPr="00BF41F7" w:rsidRDefault="00FF3818" w:rsidP="00BB5D7F">
      <w:pPr>
        <w:spacing w:line="360" w:lineRule="auto"/>
        <w:jc w:val="both"/>
        <w:rPr>
          <w:rFonts w:ascii="David" w:hAnsi="David"/>
          <w:noProof w:val="0"/>
          <w:rtl/>
        </w:rPr>
      </w:pPr>
      <w:r w:rsidRPr="00BF41F7">
        <w:rPr>
          <w:rFonts w:ascii="David" w:hAnsi="David"/>
          <w:noProof w:val="0"/>
          <w:rtl/>
        </w:rPr>
        <w:t>[ההדגשה אינה במקור].</w:t>
      </w:r>
    </w:p>
    <w:p w14:paraId="48BCE43C" w14:textId="77777777" w:rsidR="00FF3818" w:rsidRPr="00BF41F7" w:rsidRDefault="00FF3818" w:rsidP="00BB5D7F">
      <w:pPr>
        <w:spacing w:line="360" w:lineRule="auto"/>
        <w:jc w:val="both"/>
        <w:rPr>
          <w:rFonts w:ascii="David" w:hAnsi="David"/>
          <w:noProof w:val="0"/>
          <w:rtl/>
        </w:rPr>
      </w:pPr>
    </w:p>
    <w:p w14:paraId="118CAA24" w14:textId="77777777" w:rsidR="00FF3818" w:rsidRPr="00BF41F7" w:rsidRDefault="00FF3818" w:rsidP="00A70772">
      <w:pPr>
        <w:spacing w:line="360" w:lineRule="auto"/>
        <w:jc w:val="both"/>
        <w:rPr>
          <w:rFonts w:ascii="David" w:hAnsi="David"/>
          <w:noProof w:val="0"/>
          <w:rtl/>
        </w:rPr>
      </w:pPr>
      <w:r w:rsidRPr="00BF41F7">
        <w:rPr>
          <w:rFonts w:ascii="David" w:hAnsi="David"/>
          <w:noProof w:val="0"/>
          <w:rtl/>
        </w:rPr>
        <w:t xml:space="preserve">בשורה של פסקי דין נקבע, כי </w:t>
      </w:r>
      <w:r w:rsidRPr="00BF41F7">
        <w:rPr>
          <w:rFonts w:ascii="David" w:hAnsi="David"/>
          <w:noProof w:val="0"/>
          <w:u w:val="single"/>
          <w:rtl/>
        </w:rPr>
        <w:t>חומרת הסיכון הנשקף מעבירות אלה, מחייבת השתת עונשי מאסר בפועל בגין עבירות אלה וזאת גם כאשר המדובר, לכאורה, במי שמנהל אורח חיים נורמטיבי ואין לחובתו הרשעות קודמות</w:t>
      </w:r>
      <w:r w:rsidRPr="00BF41F7">
        <w:rPr>
          <w:rFonts w:ascii="David" w:hAnsi="David"/>
          <w:noProof w:val="0"/>
          <w:rtl/>
        </w:rPr>
        <w:t xml:space="preserve">. ראו </w:t>
      </w:r>
      <w:hyperlink r:id="rId20" w:history="1">
        <w:r w:rsidR="00B87E1A" w:rsidRPr="00B87E1A">
          <w:rPr>
            <w:rFonts w:ascii="David" w:hAnsi="David"/>
            <w:noProof w:val="0"/>
            <w:color w:val="0000FF"/>
            <w:u w:val="single"/>
            <w:rtl/>
          </w:rPr>
          <w:t>רע"פ 2718/04</w:t>
        </w:r>
      </w:hyperlink>
      <w:r w:rsidRPr="00BF41F7">
        <w:rPr>
          <w:rFonts w:ascii="David" w:hAnsi="David"/>
          <w:noProof w:val="0"/>
          <w:rtl/>
        </w:rPr>
        <w:t xml:space="preserve"> </w:t>
      </w:r>
      <w:r w:rsidRPr="00BF41F7">
        <w:rPr>
          <w:rFonts w:ascii="David" w:hAnsi="David"/>
          <w:b/>
          <w:bCs/>
          <w:noProof w:val="0"/>
          <w:rtl/>
        </w:rPr>
        <w:t>אבו דאחל נ' מדינת ישראל</w:t>
      </w:r>
      <w:r w:rsidRPr="00BF41F7">
        <w:rPr>
          <w:rFonts w:ascii="David" w:hAnsi="David"/>
          <w:noProof w:val="0"/>
          <w:rtl/>
        </w:rPr>
        <w:t xml:space="preserve"> (פורסם במאגרים)</w:t>
      </w:r>
      <w:r w:rsidR="00A70772">
        <w:rPr>
          <w:rFonts w:ascii="David" w:hAnsi="David" w:hint="cs"/>
          <w:noProof w:val="0"/>
          <w:rtl/>
        </w:rPr>
        <w:t xml:space="preserve"> </w:t>
      </w:r>
      <w:r w:rsidR="00A70772" w:rsidRPr="00A70772">
        <w:rPr>
          <w:noProof w:val="0"/>
          <w:sz w:val="22"/>
          <w:rtl/>
        </w:rPr>
        <w:t>[פורסם בנבו]</w:t>
      </w:r>
      <w:r w:rsidRPr="00BF41F7">
        <w:rPr>
          <w:rFonts w:ascii="David" w:hAnsi="David"/>
          <w:noProof w:val="0"/>
          <w:rtl/>
        </w:rPr>
        <w:t>:</w:t>
      </w:r>
    </w:p>
    <w:p w14:paraId="5C67E079" w14:textId="77777777" w:rsidR="00FF3818" w:rsidRPr="00BF41F7" w:rsidRDefault="00FF3818" w:rsidP="00BB5D7F">
      <w:pPr>
        <w:spacing w:line="360" w:lineRule="auto"/>
        <w:jc w:val="both"/>
        <w:rPr>
          <w:rFonts w:ascii="David" w:hAnsi="David"/>
          <w:noProof w:val="0"/>
          <w:rtl/>
        </w:rPr>
      </w:pPr>
    </w:p>
    <w:p w14:paraId="181B610B" w14:textId="77777777" w:rsidR="00FF3818" w:rsidRPr="00BF41F7" w:rsidRDefault="00FF3818" w:rsidP="00BB5D7F">
      <w:pPr>
        <w:spacing w:line="360" w:lineRule="auto"/>
        <w:jc w:val="both"/>
        <w:rPr>
          <w:rFonts w:ascii="Aharoni" w:hAnsi="Aharoni" w:cs="Aharoni"/>
          <w:noProof w:val="0"/>
          <w:rtl/>
        </w:rPr>
      </w:pPr>
      <w:r w:rsidRPr="00BF41F7">
        <w:rPr>
          <w:rFonts w:ascii="Aharoni" w:hAnsi="Aharoni" w:cs="Aharoni"/>
          <w:noProof w:val="0"/>
          <w:rtl/>
        </w:rPr>
        <w:t>יוער כי הסכנה הטמונה בעבירה החמורה של החזקת נשק מצדיקה הטלת עונשי מאסר לריצוי בפועל גם על מי שזו עבירתו הראשונה. בבוא בית 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w:t>
      </w:r>
    </w:p>
    <w:p w14:paraId="6D66A9BA" w14:textId="77777777" w:rsidR="00FF3818" w:rsidRDefault="00FF3818" w:rsidP="00BB5D7F">
      <w:pPr>
        <w:spacing w:line="360" w:lineRule="auto"/>
        <w:jc w:val="both"/>
        <w:rPr>
          <w:rFonts w:ascii="David" w:hAnsi="David"/>
          <w:noProof w:val="0"/>
          <w:rtl/>
        </w:rPr>
      </w:pPr>
    </w:p>
    <w:p w14:paraId="168A3065" w14:textId="77777777" w:rsidR="00FF3818" w:rsidRPr="00BF41F7" w:rsidRDefault="00FF3818" w:rsidP="00BB5D7F">
      <w:pPr>
        <w:spacing w:line="360" w:lineRule="auto"/>
        <w:jc w:val="both"/>
        <w:rPr>
          <w:rFonts w:ascii="David" w:hAnsi="David"/>
          <w:noProof w:val="0"/>
          <w:rtl/>
        </w:rPr>
      </w:pPr>
    </w:p>
    <w:p w14:paraId="4E6F54DA" w14:textId="77777777" w:rsidR="00FF3818" w:rsidRPr="00BF41F7" w:rsidRDefault="00FF3818" w:rsidP="00A70772">
      <w:pPr>
        <w:spacing w:line="360" w:lineRule="auto"/>
        <w:jc w:val="both"/>
        <w:rPr>
          <w:rFonts w:ascii="David" w:hAnsi="David"/>
          <w:noProof w:val="0"/>
          <w:rtl/>
        </w:rPr>
      </w:pPr>
      <w:r w:rsidRPr="00BF41F7">
        <w:rPr>
          <w:rFonts w:ascii="David" w:hAnsi="David"/>
          <w:noProof w:val="0"/>
          <w:rtl/>
        </w:rPr>
        <w:t xml:space="preserve">עוד ראו </w:t>
      </w:r>
      <w:hyperlink r:id="rId21" w:history="1">
        <w:r w:rsidR="00B87E1A" w:rsidRPr="00B87E1A">
          <w:rPr>
            <w:rFonts w:ascii="David" w:hAnsi="David"/>
            <w:noProof w:val="0"/>
            <w:color w:val="0000FF"/>
            <w:u w:val="single"/>
            <w:rtl/>
          </w:rPr>
          <w:t>ע.פ. 5220/09</w:t>
        </w:r>
      </w:hyperlink>
      <w:r w:rsidRPr="00BF41F7">
        <w:rPr>
          <w:rFonts w:ascii="David" w:hAnsi="David"/>
          <w:noProof w:val="0"/>
          <w:rtl/>
        </w:rPr>
        <w:t xml:space="preserve"> </w:t>
      </w:r>
      <w:r w:rsidRPr="00BF41F7">
        <w:rPr>
          <w:rFonts w:ascii="David" w:hAnsi="David"/>
          <w:b/>
          <w:bCs/>
          <w:noProof w:val="0"/>
          <w:rtl/>
        </w:rPr>
        <w:t xml:space="preserve">עוואודה נ' מדינת ישראל </w:t>
      </w:r>
      <w:r w:rsidRPr="00BF41F7">
        <w:rPr>
          <w:rFonts w:ascii="David" w:hAnsi="David"/>
          <w:noProof w:val="0"/>
          <w:rtl/>
        </w:rPr>
        <w:t>(פורסם במאגרים)</w:t>
      </w:r>
      <w:r w:rsidR="00A70772">
        <w:rPr>
          <w:rFonts w:ascii="David" w:hAnsi="David" w:hint="cs"/>
          <w:noProof w:val="0"/>
          <w:rtl/>
        </w:rPr>
        <w:t xml:space="preserve"> </w:t>
      </w:r>
      <w:r w:rsidR="00A70772" w:rsidRPr="00A70772">
        <w:rPr>
          <w:noProof w:val="0"/>
          <w:sz w:val="22"/>
          <w:rtl/>
        </w:rPr>
        <w:t>[פורסם בנבו]</w:t>
      </w:r>
      <w:r w:rsidRPr="00BF41F7">
        <w:rPr>
          <w:rFonts w:ascii="David" w:hAnsi="David"/>
          <w:noProof w:val="0"/>
          <w:rtl/>
        </w:rPr>
        <w:t>:</w:t>
      </w:r>
    </w:p>
    <w:p w14:paraId="201717F3" w14:textId="77777777" w:rsidR="00FF3818" w:rsidRPr="00BF41F7" w:rsidRDefault="00FF3818" w:rsidP="00BB5D7F">
      <w:pPr>
        <w:spacing w:line="360" w:lineRule="auto"/>
        <w:jc w:val="both"/>
        <w:rPr>
          <w:rFonts w:ascii="David" w:hAnsi="David"/>
          <w:noProof w:val="0"/>
          <w:rtl/>
        </w:rPr>
      </w:pPr>
    </w:p>
    <w:p w14:paraId="30FE7635" w14:textId="77777777" w:rsidR="00FF3818" w:rsidRPr="00BF41F7" w:rsidRDefault="00FF3818" w:rsidP="00BB5D7F">
      <w:pPr>
        <w:spacing w:line="360" w:lineRule="auto"/>
        <w:jc w:val="both"/>
        <w:rPr>
          <w:rFonts w:ascii="David" w:hAnsi="David"/>
          <w:noProof w:val="0"/>
          <w:rtl/>
        </w:rPr>
      </w:pPr>
      <w:r w:rsidRPr="00BF41F7">
        <w:rPr>
          <w:rFonts w:ascii="Aharoni" w:hAnsi="Aharoni" w:cs="Aharoni"/>
          <w:noProof w:val="0"/>
          <w:rtl/>
        </w:rPr>
        <w:t xml:space="preserve">אשר על כן משכבר נקבע הכלל לפיו </w:t>
      </w:r>
      <w:r w:rsidRPr="00BF41F7">
        <w:rPr>
          <w:rFonts w:ascii="Aharoni" w:hAnsi="Aharoni" w:cs="Aharoni"/>
          <w:noProof w:val="0"/>
          <w:u w:val="single"/>
          <w:rtl/>
        </w:rPr>
        <w:t>ככלל יש לאסור את המבצעים עבירה זו, גם אם מדובר בעבירה ראשונה</w:t>
      </w:r>
      <w:r w:rsidRPr="00BF41F7">
        <w:rPr>
          <w:rFonts w:ascii="Aharoni" w:hAnsi="Aharoni" w:cs="Aharoni"/>
          <w:noProof w:val="0"/>
          <w:rtl/>
        </w:rPr>
        <w:t>, מאחורי סורג ובריח, ואילו אורך התקופה כלול בנסיבות הספציפיות של העושה והמעשה.</w:t>
      </w:r>
    </w:p>
    <w:p w14:paraId="2D099A2F" w14:textId="77777777" w:rsidR="00FF3818" w:rsidRPr="00BF41F7" w:rsidRDefault="00FF3818" w:rsidP="00BB5D7F">
      <w:pPr>
        <w:spacing w:line="360" w:lineRule="auto"/>
        <w:jc w:val="both"/>
        <w:rPr>
          <w:rFonts w:ascii="David" w:hAnsi="David"/>
          <w:noProof w:val="0"/>
          <w:rtl/>
        </w:rPr>
      </w:pPr>
    </w:p>
    <w:p w14:paraId="646CC920" w14:textId="77777777" w:rsidR="00FF3818" w:rsidRPr="00BF41F7" w:rsidRDefault="00FF3818" w:rsidP="00BB5D7F">
      <w:pPr>
        <w:spacing w:line="360" w:lineRule="auto"/>
        <w:jc w:val="both"/>
        <w:rPr>
          <w:rFonts w:ascii="David" w:hAnsi="David"/>
          <w:noProof w:val="0"/>
          <w:rtl/>
        </w:rPr>
      </w:pPr>
      <w:r w:rsidRPr="00BF41F7">
        <w:rPr>
          <w:rFonts w:ascii="David" w:hAnsi="David"/>
          <w:noProof w:val="0"/>
          <w:rtl/>
        </w:rPr>
        <w:t>[ההדגשה אינה במקור].</w:t>
      </w:r>
    </w:p>
    <w:p w14:paraId="3C6CB87A" w14:textId="77777777" w:rsidR="00FF3818" w:rsidRDefault="00FF3818" w:rsidP="00BB5D7F">
      <w:pPr>
        <w:spacing w:line="360" w:lineRule="auto"/>
        <w:jc w:val="both"/>
        <w:rPr>
          <w:rFonts w:ascii="David" w:hAnsi="David"/>
          <w:noProof w:val="0"/>
          <w:rtl/>
        </w:rPr>
      </w:pPr>
    </w:p>
    <w:p w14:paraId="31EDF0B8" w14:textId="77777777" w:rsidR="00FF3818" w:rsidRDefault="00FF3818" w:rsidP="00BB5D7F">
      <w:pPr>
        <w:spacing w:line="360" w:lineRule="auto"/>
        <w:jc w:val="both"/>
        <w:rPr>
          <w:rFonts w:ascii="David" w:hAnsi="David"/>
          <w:noProof w:val="0"/>
          <w:u w:val="single"/>
          <w:rtl/>
        </w:rPr>
      </w:pPr>
      <w:r>
        <w:rPr>
          <w:rFonts w:ascii="David" w:hAnsi="David"/>
          <w:noProof w:val="0"/>
          <w:u w:val="single"/>
          <w:rtl/>
        </w:rPr>
        <w:t>על אחת כמה וכמה פוטנציאל הסיכון כאשר כלי נשק חם מוחזק בתוך רכב.</w:t>
      </w:r>
    </w:p>
    <w:p w14:paraId="103898DD" w14:textId="77777777" w:rsidR="00FF3818" w:rsidRDefault="00FF3818" w:rsidP="00BB5D7F">
      <w:pPr>
        <w:spacing w:line="360" w:lineRule="auto"/>
        <w:jc w:val="both"/>
        <w:rPr>
          <w:rFonts w:ascii="David" w:hAnsi="David"/>
          <w:noProof w:val="0"/>
          <w:u w:val="single"/>
          <w:rtl/>
        </w:rPr>
      </w:pPr>
      <w:r>
        <w:rPr>
          <w:rFonts w:ascii="David" w:hAnsi="David"/>
          <w:noProof w:val="0"/>
          <w:u w:val="single"/>
          <w:rtl/>
        </w:rPr>
        <w:t>בעת הנסיעה בדרכים, לא פעם, קיימים חיכוכים בין נהגים או בינם לבין עוברי דרך שונים, כשהיצרים מתלהטים והנגישות לכלי נשק חם שהונח ברכב במערכה הראשונה – עלולה להביא לתוצאות קשות וקטלניות, במערכות שלאחר מכן.</w:t>
      </w:r>
    </w:p>
    <w:p w14:paraId="664D1DD7" w14:textId="77777777" w:rsidR="00FF3818" w:rsidRPr="00BF41F7" w:rsidRDefault="00FF3818" w:rsidP="00BB5D7F">
      <w:pPr>
        <w:spacing w:line="360" w:lineRule="auto"/>
        <w:jc w:val="both"/>
        <w:rPr>
          <w:rFonts w:ascii="David" w:hAnsi="David"/>
          <w:noProof w:val="0"/>
          <w:u w:val="single"/>
          <w:rtl/>
        </w:rPr>
      </w:pPr>
    </w:p>
    <w:p w14:paraId="377EACDA" w14:textId="77777777" w:rsidR="00FF3818" w:rsidRPr="00BF41F7" w:rsidRDefault="00FF3818" w:rsidP="00A70772">
      <w:pPr>
        <w:spacing w:line="360" w:lineRule="auto"/>
        <w:jc w:val="both"/>
        <w:rPr>
          <w:rFonts w:ascii="David" w:hAnsi="David"/>
          <w:noProof w:val="0"/>
          <w:rtl/>
        </w:rPr>
      </w:pPr>
      <w:r w:rsidRPr="00BF41F7">
        <w:rPr>
          <w:rFonts w:ascii="David" w:hAnsi="David"/>
          <w:noProof w:val="0"/>
          <w:rtl/>
        </w:rPr>
        <w:t xml:space="preserve">אשר למתחם הענישה, בפסק הדין </w:t>
      </w:r>
      <w:hyperlink r:id="rId22" w:history="1">
        <w:r w:rsidR="00B87E1A" w:rsidRPr="00B87E1A">
          <w:rPr>
            <w:rFonts w:ascii="David" w:hAnsi="David"/>
            <w:noProof w:val="0"/>
            <w:color w:val="0000FF"/>
            <w:u w:val="single"/>
            <w:rtl/>
          </w:rPr>
          <w:t>עפ"ג 23419-01-17</w:t>
        </w:r>
      </w:hyperlink>
      <w:r w:rsidRPr="00BF41F7">
        <w:rPr>
          <w:rFonts w:ascii="David" w:hAnsi="David"/>
          <w:b/>
          <w:bCs/>
          <w:noProof w:val="0"/>
          <w:rtl/>
        </w:rPr>
        <w:t xml:space="preserve"> מדינת ישראל נ' זניד ואח'</w:t>
      </w:r>
      <w:r w:rsidRPr="00BF41F7">
        <w:rPr>
          <w:rFonts w:ascii="David" w:hAnsi="David"/>
          <w:noProof w:val="0"/>
          <w:rtl/>
        </w:rPr>
        <w:t xml:space="preserve"> (פורסם במאגרים)</w:t>
      </w:r>
      <w:r w:rsidR="00A70772">
        <w:rPr>
          <w:rFonts w:ascii="David" w:hAnsi="David" w:hint="cs"/>
          <w:noProof w:val="0"/>
          <w:rtl/>
        </w:rPr>
        <w:t xml:space="preserve">, </w:t>
      </w:r>
      <w:r w:rsidR="00A70772" w:rsidRPr="00A70772">
        <w:rPr>
          <w:noProof w:val="0"/>
          <w:sz w:val="22"/>
          <w:rtl/>
        </w:rPr>
        <w:t>[פורסם בנבו]</w:t>
      </w:r>
      <w:r w:rsidRPr="00BF41F7">
        <w:rPr>
          <w:rFonts w:ascii="David" w:hAnsi="David"/>
          <w:noProof w:val="0"/>
          <w:rtl/>
        </w:rPr>
        <w:t>, נדון ערעור המדינה בעניינם של שני משיבים, האחד - נתפס מחזיק אקדח בקוטר 9 מ"מ ביחד עם מחסנית ובה 17</w:t>
      </w:r>
      <w:r w:rsidR="00B87E1A">
        <w:rPr>
          <w:rFonts w:ascii="David" w:hAnsi="David"/>
          <w:noProof w:val="0"/>
          <w:rtl/>
        </w:rPr>
        <w:t xml:space="preserve"> </w:t>
      </w:r>
      <w:r w:rsidRPr="00BF41F7">
        <w:rPr>
          <w:rFonts w:ascii="David" w:hAnsi="David"/>
          <w:noProof w:val="0"/>
          <w:rtl/>
        </w:rPr>
        <w:t xml:space="preserve"> כדורים; וכן רובה סער מאולתר דמוי </w:t>
      </w:r>
      <w:r w:rsidRPr="00BF41F7">
        <w:rPr>
          <w:rFonts w:ascii="Arial" w:hAnsi="Arial" w:cs="Arial"/>
          <w:noProof w:val="0"/>
        </w:rPr>
        <w:t>M16</w:t>
      </w:r>
      <w:r w:rsidRPr="00BF41F7">
        <w:rPr>
          <w:rFonts w:ascii="David" w:hAnsi="David"/>
          <w:noProof w:val="0"/>
          <w:rtl/>
        </w:rPr>
        <w:t xml:space="preserve"> עם מחסנית ובה 28 כדורים; השני - נתפס מחזיק בשני אקדחים, גם כן בצירוף תחמושת. בית משפט קמא קבע מתחם ענישה שינוע בין 13 עד 30 חדשי מאסר בפועל בנוגע למשיב שהחזיק את שני האקדחים ומתחם שינוע בין 16 עד 36 חדשי מאסר בפועל בנוגע למשיב שהחזיק אקדח ורובה סער מאולתר. </w:t>
      </w:r>
    </w:p>
    <w:p w14:paraId="11BA08AE" w14:textId="77777777" w:rsidR="00FF3818" w:rsidRPr="00BF41F7" w:rsidRDefault="00FF3818" w:rsidP="00BB5D7F">
      <w:pPr>
        <w:spacing w:line="360" w:lineRule="auto"/>
        <w:jc w:val="both"/>
        <w:rPr>
          <w:rFonts w:ascii="David" w:hAnsi="David"/>
          <w:noProof w:val="0"/>
          <w:rtl/>
        </w:rPr>
      </w:pPr>
    </w:p>
    <w:p w14:paraId="28EBBAC0" w14:textId="77777777" w:rsidR="00FF3818" w:rsidRPr="00BF41F7" w:rsidRDefault="00FF3818" w:rsidP="00BB5D7F">
      <w:pPr>
        <w:spacing w:line="360" w:lineRule="auto"/>
        <w:jc w:val="both"/>
        <w:rPr>
          <w:rFonts w:ascii="David" w:hAnsi="David"/>
          <w:noProof w:val="0"/>
          <w:rtl/>
        </w:rPr>
      </w:pPr>
      <w:r w:rsidRPr="00BF41F7">
        <w:rPr>
          <w:rFonts w:ascii="David" w:hAnsi="David"/>
          <w:noProof w:val="0"/>
          <w:rtl/>
        </w:rPr>
        <w:t xml:space="preserve">ערעור המדינה התקבל בהסכמת הצדדים, תוך שהוחמרו עונשי המאסר שהושתו על המשיבים ל-26 ו-31 חדשי מאסר בפועל (בהתאמה). בית המשפט המחוזי, בשבתו כבית משפט לערעורים פליליים, אף מצא לציין, כי </w:t>
      </w:r>
      <w:r w:rsidRPr="00BF41F7">
        <w:rPr>
          <w:rFonts w:ascii="David" w:hAnsi="David"/>
          <w:noProof w:val="0"/>
          <w:u w:val="single"/>
          <w:rtl/>
        </w:rPr>
        <w:t>המתחמים שנקבעו על ידי בית משפט השלום נמוכים יתר על המידה</w:t>
      </w:r>
      <w:r w:rsidRPr="00BF41F7">
        <w:rPr>
          <w:rFonts w:ascii="David" w:hAnsi="David"/>
          <w:noProof w:val="0"/>
          <w:rtl/>
        </w:rPr>
        <w:t xml:space="preserve">. </w:t>
      </w:r>
    </w:p>
    <w:p w14:paraId="766832C9" w14:textId="77777777" w:rsidR="00FF3818" w:rsidRPr="00BF41F7" w:rsidRDefault="00FF3818" w:rsidP="00BB5D7F">
      <w:pPr>
        <w:spacing w:line="360" w:lineRule="auto"/>
        <w:jc w:val="both"/>
        <w:rPr>
          <w:rFonts w:ascii="David" w:hAnsi="David"/>
          <w:noProof w:val="0"/>
          <w:rtl/>
        </w:rPr>
      </w:pPr>
    </w:p>
    <w:p w14:paraId="16713D76" w14:textId="77777777" w:rsidR="00FF3818" w:rsidRPr="00BF41F7" w:rsidRDefault="00FF3818" w:rsidP="00A70772">
      <w:pPr>
        <w:spacing w:line="360" w:lineRule="auto"/>
        <w:jc w:val="both"/>
        <w:rPr>
          <w:rFonts w:ascii="David" w:hAnsi="David"/>
          <w:noProof w:val="0"/>
          <w:rtl/>
        </w:rPr>
      </w:pPr>
      <w:r w:rsidRPr="00BF41F7">
        <w:rPr>
          <w:rFonts w:ascii="David" w:hAnsi="David"/>
          <w:noProof w:val="0"/>
          <w:rtl/>
        </w:rPr>
        <w:t xml:space="preserve">בעקבות החלטת בית המשפט המחוזי בערעור זה, במקרה נוסף שנדון בסמוך לאחר מכן, קבע בית משפט השלום מתחם ענישה שינוע בין 13 עד 36 חדשי מאסר בפועל בגין החזקת כלי נשק מאולתר </w:t>
      </w:r>
      <w:r w:rsidRPr="00BF41F7">
        <w:rPr>
          <w:rFonts w:ascii="David" w:hAnsi="David"/>
          <w:noProof w:val="0"/>
          <w:u w:val="single"/>
          <w:rtl/>
        </w:rPr>
        <w:t>אחד</w:t>
      </w:r>
      <w:r w:rsidRPr="00BF41F7">
        <w:rPr>
          <w:rFonts w:ascii="David" w:hAnsi="David"/>
          <w:noProof w:val="0"/>
          <w:rtl/>
        </w:rPr>
        <w:t xml:space="preserve"> מסוג תת מקלע בצירוף מחסנית ובה 10 כדורים. ראו </w:t>
      </w:r>
      <w:hyperlink r:id="rId23" w:history="1">
        <w:r w:rsidR="00B87E1A" w:rsidRPr="00B87E1A">
          <w:rPr>
            <w:rFonts w:ascii="David" w:hAnsi="David"/>
            <w:noProof w:val="0"/>
            <w:color w:val="0000FF"/>
            <w:u w:val="single"/>
            <w:rtl/>
          </w:rPr>
          <w:t>ת.פ 7544-11-16</w:t>
        </w:r>
      </w:hyperlink>
      <w:r w:rsidRPr="00BF41F7">
        <w:rPr>
          <w:rFonts w:ascii="David" w:hAnsi="David"/>
          <w:noProof w:val="0"/>
          <w:rtl/>
        </w:rPr>
        <w:t xml:space="preserve"> </w:t>
      </w:r>
      <w:r w:rsidRPr="00BF41F7">
        <w:rPr>
          <w:rFonts w:ascii="David" w:hAnsi="David"/>
          <w:b/>
          <w:bCs/>
          <w:noProof w:val="0"/>
          <w:rtl/>
        </w:rPr>
        <w:t xml:space="preserve">מדינת ישראל נ' אלאסד </w:t>
      </w:r>
      <w:r w:rsidRPr="00BF41F7">
        <w:rPr>
          <w:rFonts w:ascii="David" w:hAnsi="David"/>
          <w:noProof w:val="0"/>
          <w:rtl/>
        </w:rPr>
        <w:t>(פורסם במאגרים)</w:t>
      </w:r>
      <w:r w:rsidR="00A70772">
        <w:rPr>
          <w:rFonts w:ascii="David" w:hAnsi="David" w:hint="cs"/>
          <w:noProof w:val="0"/>
          <w:rtl/>
        </w:rPr>
        <w:t xml:space="preserve"> </w:t>
      </w:r>
      <w:r w:rsidR="00A70772" w:rsidRPr="00A70772">
        <w:rPr>
          <w:noProof w:val="0"/>
          <w:sz w:val="22"/>
          <w:rtl/>
        </w:rPr>
        <w:t>[פורסם בנבו]</w:t>
      </w:r>
      <w:r w:rsidRPr="00BF41F7">
        <w:rPr>
          <w:rFonts w:ascii="David" w:hAnsi="David"/>
          <w:noProof w:val="0"/>
          <w:rtl/>
        </w:rPr>
        <w:t xml:space="preserve">. באותו מקרה, הושת על הנאשם, בעל עבר פלילי שאינו מכביד, עונש מאסר בפועל בן 21 חדשים. ערעור שהוגש על גזר הדין – נדחה; ואף נקבע על ידי בית המשפט המחוזי, בשבתו כבית משפט לערעורים פליליים, כי העונש עומד במתחם ענישה ראוי. ראו </w:t>
      </w:r>
      <w:hyperlink r:id="rId24" w:history="1">
        <w:r w:rsidR="00B87E1A" w:rsidRPr="00B87E1A">
          <w:rPr>
            <w:rFonts w:ascii="David" w:hAnsi="David"/>
            <w:noProof w:val="0"/>
            <w:color w:val="0000FF"/>
            <w:u w:val="single"/>
            <w:rtl/>
          </w:rPr>
          <w:t>עפ"ג 22885-05-17</w:t>
        </w:r>
      </w:hyperlink>
      <w:r w:rsidRPr="00BF41F7">
        <w:rPr>
          <w:rFonts w:ascii="David" w:hAnsi="David"/>
          <w:noProof w:val="0"/>
          <w:rtl/>
        </w:rPr>
        <w:t xml:space="preserve"> </w:t>
      </w:r>
      <w:r w:rsidRPr="00BF41F7">
        <w:rPr>
          <w:rFonts w:ascii="David" w:hAnsi="David"/>
          <w:b/>
          <w:bCs/>
          <w:noProof w:val="0"/>
          <w:rtl/>
        </w:rPr>
        <w:t>אלאסד נ' מדינת ישראל</w:t>
      </w:r>
      <w:r w:rsidRPr="00BF41F7">
        <w:rPr>
          <w:rFonts w:ascii="David" w:hAnsi="David"/>
          <w:noProof w:val="0"/>
          <w:rtl/>
        </w:rPr>
        <w:t xml:space="preserve"> (פורסם במאגרים)</w:t>
      </w:r>
      <w:r w:rsidR="00A70772">
        <w:rPr>
          <w:rFonts w:ascii="David" w:hAnsi="David" w:hint="cs"/>
          <w:noProof w:val="0"/>
          <w:rtl/>
        </w:rPr>
        <w:t xml:space="preserve"> </w:t>
      </w:r>
      <w:r w:rsidR="00A70772" w:rsidRPr="00A70772">
        <w:rPr>
          <w:noProof w:val="0"/>
          <w:sz w:val="22"/>
          <w:rtl/>
        </w:rPr>
        <w:t>[פורסם בנבו]</w:t>
      </w:r>
      <w:r w:rsidRPr="00BF41F7">
        <w:rPr>
          <w:rFonts w:ascii="David" w:hAnsi="David"/>
          <w:noProof w:val="0"/>
          <w:rtl/>
        </w:rPr>
        <w:t>.</w:t>
      </w:r>
    </w:p>
    <w:p w14:paraId="114F95D6" w14:textId="77777777" w:rsidR="00FF3818" w:rsidRPr="00BF41F7" w:rsidRDefault="00FF3818" w:rsidP="00BB5D7F">
      <w:pPr>
        <w:spacing w:line="360" w:lineRule="auto"/>
        <w:jc w:val="both"/>
        <w:rPr>
          <w:rFonts w:ascii="David" w:hAnsi="David"/>
          <w:noProof w:val="0"/>
          <w:rtl/>
        </w:rPr>
      </w:pPr>
    </w:p>
    <w:p w14:paraId="3533EE89" w14:textId="77777777" w:rsidR="00FF3818" w:rsidRPr="00BF41F7" w:rsidRDefault="00FF3818" w:rsidP="00A70772">
      <w:pPr>
        <w:spacing w:line="360" w:lineRule="auto"/>
        <w:jc w:val="both"/>
        <w:rPr>
          <w:rFonts w:ascii="David" w:hAnsi="David"/>
          <w:noProof w:val="0"/>
          <w:rtl/>
        </w:rPr>
      </w:pPr>
      <w:r w:rsidRPr="00BF41F7">
        <w:rPr>
          <w:rFonts w:ascii="David" w:hAnsi="David"/>
          <w:noProof w:val="0"/>
          <w:rtl/>
        </w:rPr>
        <w:t xml:space="preserve">בפסק הדין </w:t>
      </w:r>
      <w:hyperlink r:id="rId25" w:history="1">
        <w:r w:rsidR="00B87E1A" w:rsidRPr="00B87E1A">
          <w:rPr>
            <w:rFonts w:ascii="David" w:hAnsi="David"/>
            <w:noProof w:val="0"/>
            <w:color w:val="0000FF"/>
            <w:u w:val="single"/>
            <w:rtl/>
          </w:rPr>
          <w:t>ע.פ. 4945/13</w:t>
        </w:r>
      </w:hyperlink>
      <w:r w:rsidRPr="00BF41F7">
        <w:rPr>
          <w:rFonts w:ascii="David" w:hAnsi="David"/>
          <w:noProof w:val="0"/>
          <w:rtl/>
        </w:rPr>
        <w:t xml:space="preserve"> </w:t>
      </w:r>
      <w:r w:rsidRPr="00BF41F7">
        <w:rPr>
          <w:rFonts w:ascii="David" w:hAnsi="David"/>
          <w:b/>
          <w:bCs/>
          <w:noProof w:val="0"/>
          <w:rtl/>
        </w:rPr>
        <w:t>מדינת ישראל נ' סלימאן</w:t>
      </w:r>
      <w:r w:rsidRPr="00BF41F7">
        <w:rPr>
          <w:rFonts w:ascii="David" w:hAnsi="David"/>
          <w:noProof w:val="0"/>
          <w:rtl/>
        </w:rPr>
        <w:t xml:space="preserve"> (פורסם במאגרים)</w:t>
      </w:r>
      <w:r w:rsidR="00A70772">
        <w:rPr>
          <w:rFonts w:ascii="David" w:hAnsi="David" w:hint="cs"/>
          <w:noProof w:val="0"/>
          <w:rtl/>
        </w:rPr>
        <w:t xml:space="preserve">, </w:t>
      </w:r>
      <w:r w:rsidR="00A70772" w:rsidRPr="00A70772">
        <w:rPr>
          <w:noProof w:val="0"/>
          <w:sz w:val="22"/>
          <w:rtl/>
        </w:rPr>
        <w:t>[פורסם בנבו]</w:t>
      </w:r>
      <w:r w:rsidRPr="00BF41F7">
        <w:rPr>
          <w:rFonts w:ascii="David" w:hAnsi="David"/>
          <w:noProof w:val="0"/>
          <w:rtl/>
        </w:rPr>
        <w:t>, אושר מתחם ענישה שינוע בין שנה ועד שלוש שנות מאסר, בגין החזקת כלי נשק</w:t>
      </w:r>
      <w:r w:rsidR="00B87E1A">
        <w:rPr>
          <w:rFonts w:ascii="David" w:hAnsi="David"/>
          <w:noProof w:val="0"/>
          <w:rtl/>
        </w:rPr>
        <w:t xml:space="preserve"> </w:t>
      </w:r>
      <w:r w:rsidRPr="00BF41F7">
        <w:rPr>
          <w:rFonts w:ascii="David" w:hAnsi="David"/>
          <w:noProof w:val="0"/>
          <w:rtl/>
        </w:rPr>
        <w:t xml:space="preserve"> בודד מסוג קרל גוסטב וכן מחסנית וכדורים. אף באותו מקרה, המדובר היה בצעיר, אשר ניהל אורח חיים נורמטיבי, כולל לימודים אקדמאיים בפקולטה לאדריכלות, ללא עבר פלילי. גם באותו מקרה, המליץ שירות המבחן להסתפק בעונש מאסר בפועל לריצוי בדרך של עבודות שירות. </w:t>
      </w:r>
    </w:p>
    <w:p w14:paraId="2452D5AA" w14:textId="77777777" w:rsidR="00FF3818" w:rsidRPr="00BF41F7" w:rsidRDefault="00FF3818" w:rsidP="00BB5D7F">
      <w:pPr>
        <w:spacing w:line="360" w:lineRule="auto"/>
        <w:jc w:val="both"/>
        <w:rPr>
          <w:rFonts w:ascii="David" w:hAnsi="David"/>
          <w:noProof w:val="0"/>
          <w:rtl/>
        </w:rPr>
      </w:pPr>
    </w:p>
    <w:p w14:paraId="18DB90B5" w14:textId="77777777" w:rsidR="00FF3818" w:rsidRPr="00BF41F7" w:rsidRDefault="00FF3818" w:rsidP="00BB5D7F">
      <w:pPr>
        <w:spacing w:line="360" w:lineRule="auto"/>
        <w:jc w:val="both"/>
        <w:rPr>
          <w:rFonts w:ascii="David" w:hAnsi="David"/>
          <w:noProof w:val="0"/>
          <w:rtl/>
        </w:rPr>
      </w:pPr>
      <w:r w:rsidRPr="00BF41F7">
        <w:rPr>
          <w:rFonts w:ascii="David" w:hAnsi="David"/>
          <w:noProof w:val="0"/>
          <w:rtl/>
        </w:rPr>
        <w:t xml:space="preserve">בית המשפט העליון ציין, כי ראוי לקבוע עונשים מרתיעים בגין עבירות אלה והעמיד המתחם שם בין 12 ועד 36 חדשי מאסר בפועל. אמנם, באותו מקרה הורשע המשיב גם בעבירה חמורה יותר, של נשיאת נשק, בניגוד </w:t>
      </w:r>
      <w:hyperlink r:id="rId26" w:history="1">
        <w:r w:rsidR="00183C96" w:rsidRPr="00183C96">
          <w:rPr>
            <w:rFonts w:ascii="David" w:hAnsi="David"/>
            <w:noProof w:val="0"/>
            <w:color w:val="0000FF"/>
            <w:u w:val="single"/>
            <w:rtl/>
          </w:rPr>
          <w:t>לסעיף 144(ב)</w:t>
        </w:r>
      </w:hyperlink>
      <w:r w:rsidRPr="00BF41F7">
        <w:rPr>
          <w:rFonts w:ascii="David" w:hAnsi="David"/>
          <w:noProof w:val="0"/>
          <w:rtl/>
        </w:rPr>
        <w:t xml:space="preserve"> ל</w:t>
      </w:r>
      <w:hyperlink r:id="rId27" w:history="1">
        <w:r w:rsidR="00B87E1A" w:rsidRPr="00B87E1A">
          <w:rPr>
            <w:rFonts w:ascii="David" w:hAnsi="David"/>
            <w:noProof w:val="0"/>
            <w:color w:val="0000FF"/>
            <w:u w:val="single"/>
            <w:rtl/>
          </w:rPr>
          <w:t>חוק העונשין</w:t>
        </w:r>
      </w:hyperlink>
      <w:r w:rsidRPr="00BF41F7">
        <w:rPr>
          <w:rFonts w:ascii="David" w:hAnsi="David"/>
          <w:noProof w:val="0"/>
          <w:rtl/>
        </w:rPr>
        <w:t>, תשל"ז-1977.</w:t>
      </w:r>
    </w:p>
    <w:p w14:paraId="3A4B4134" w14:textId="77777777" w:rsidR="00FF3818" w:rsidRPr="00BF41F7" w:rsidRDefault="00FF3818" w:rsidP="00BB5D7F">
      <w:pPr>
        <w:spacing w:line="360" w:lineRule="auto"/>
        <w:jc w:val="both"/>
        <w:rPr>
          <w:rFonts w:ascii="David" w:hAnsi="David"/>
          <w:noProof w:val="0"/>
          <w:rtl/>
        </w:rPr>
      </w:pPr>
    </w:p>
    <w:p w14:paraId="74112C5F" w14:textId="77777777" w:rsidR="00FF3818" w:rsidRPr="00BF41F7" w:rsidRDefault="00FF3818" w:rsidP="00A70772">
      <w:pPr>
        <w:spacing w:line="360" w:lineRule="auto"/>
        <w:jc w:val="both"/>
        <w:rPr>
          <w:rFonts w:ascii="David" w:hAnsi="David"/>
          <w:noProof w:val="0"/>
          <w:rtl/>
        </w:rPr>
      </w:pPr>
      <w:r w:rsidRPr="00BF41F7">
        <w:rPr>
          <w:rFonts w:ascii="David" w:hAnsi="David"/>
          <w:noProof w:val="0"/>
          <w:rtl/>
        </w:rPr>
        <w:t xml:space="preserve">לפני כשנה ומחצה, ניתן, בבית משפט זה, גזר דין, </w:t>
      </w:r>
      <w:hyperlink r:id="rId28" w:history="1">
        <w:r w:rsidR="00B87E1A" w:rsidRPr="00B87E1A">
          <w:rPr>
            <w:rFonts w:ascii="David" w:hAnsi="David"/>
            <w:noProof w:val="0"/>
            <w:color w:val="0000FF"/>
            <w:u w:val="single"/>
            <w:rtl/>
          </w:rPr>
          <w:t>ת.פ. 32560-12-16</w:t>
        </w:r>
      </w:hyperlink>
      <w:r w:rsidRPr="00BF41F7">
        <w:rPr>
          <w:rFonts w:ascii="David" w:hAnsi="David"/>
          <w:noProof w:val="0"/>
          <w:rtl/>
        </w:rPr>
        <w:t xml:space="preserve"> </w:t>
      </w:r>
      <w:r w:rsidRPr="00BF41F7">
        <w:rPr>
          <w:rFonts w:ascii="David" w:hAnsi="David"/>
          <w:b/>
          <w:bCs/>
          <w:noProof w:val="0"/>
          <w:rtl/>
        </w:rPr>
        <w:t>מדינת ישראל נ' אלסאריעה (</w:t>
      </w:r>
      <w:r w:rsidRPr="00BF41F7">
        <w:rPr>
          <w:rFonts w:ascii="David" w:hAnsi="David"/>
          <w:noProof w:val="0"/>
          <w:rtl/>
        </w:rPr>
        <w:t>פורסם במאגרים)</w:t>
      </w:r>
      <w:r w:rsidR="00A70772">
        <w:rPr>
          <w:rFonts w:ascii="David" w:hAnsi="David" w:hint="cs"/>
          <w:noProof w:val="0"/>
          <w:rtl/>
        </w:rPr>
        <w:t xml:space="preserve"> </w:t>
      </w:r>
      <w:r w:rsidR="00A70772" w:rsidRPr="00A70772">
        <w:rPr>
          <w:noProof w:val="0"/>
          <w:sz w:val="22"/>
          <w:rtl/>
        </w:rPr>
        <w:t>[פורסם בנבו]</w:t>
      </w:r>
      <w:r w:rsidRPr="00BF41F7">
        <w:rPr>
          <w:rFonts w:ascii="David" w:hAnsi="David"/>
          <w:noProof w:val="0"/>
          <w:rtl/>
        </w:rPr>
        <w:t xml:space="preserve">. שם, נדון נאשם בגין עבירה של נסיון להחזקת אקדח מסוג ברטה (העבירה תוקנה לנסיון, במסגרת הסדר טעון, בשל כך </w:t>
      </w:r>
      <w:r w:rsidRPr="00E950FA">
        <w:rPr>
          <w:rFonts w:ascii="David" w:hAnsi="David"/>
          <w:noProof w:val="0"/>
          <w:u w:val="single"/>
          <w:rtl/>
        </w:rPr>
        <w:t>שהנשק לא היה תקין</w:t>
      </w:r>
      <w:r w:rsidRPr="00BF41F7">
        <w:rPr>
          <w:rFonts w:ascii="David" w:hAnsi="David"/>
          <w:noProof w:val="0"/>
          <w:rtl/>
        </w:rPr>
        <w:t>), וכן תת מקלע מאולתר, כשכלי הנשק הוחזקו בביתו של הנאשם שם, לעונש מאסר בן 20 חדשים בפועל. זאת, במסגרת מתחם כולל שנע בין 18 עד 42 חדשי מאסר.</w:t>
      </w:r>
    </w:p>
    <w:p w14:paraId="51E03976" w14:textId="77777777" w:rsidR="00FF3818" w:rsidRPr="00BF41F7" w:rsidRDefault="00FF3818" w:rsidP="00BB5D7F">
      <w:pPr>
        <w:spacing w:line="360" w:lineRule="auto"/>
        <w:jc w:val="both"/>
        <w:rPr>
          <w:rFonts w:ascii="David" w:hAnsi="David"/>
          <w:noProof w:val="0"/>
          <w:rtl/>
        </w:rPr>
      </w:pPr>
    </w:p>
    <w:p w14:paraId="220954F0" w14:textId="77777777" w:rsidR="00FF3818" w:rsidRPr="00BF41F7" w:rsidRDefault="00FF3818" w:rsidP="00BB5D7F">
      <w:pPr>
        <w:spacing w:line="360" w:lineRule="auto"/>
        <w:jc w:val="both"/>
        <w:rPr>
          <w:rFonts w:ascii="David" w:hAnsi="David"/>
          <w:b/>
          <w:bCs/>
          <w:noProof w:val="0"/>
          <w:u w:val="single"/>
          <w:rtl/>
        </w:rPr>
      </w:pPr>
      <w:r w:rsidRPr="00BF41F7">
        <w:rPr>
          <w:rFonts w:ascii="David" w:hAnsi="David"/>
          <w:b/>
          <w:bCs/>
          <w:noProof w:val="0"/>
          <w:u w:val="single"/>
          <w:rtl/>
        </w:rPr>
        <w:t>בשבתו כבית משפט לערעורים פליליים, דחה בית המשפט המחוזי, הרכב אב"ד כב' הנשיאה ר' יפה-כץ, ערעור ההגנה על חומרת העונש, תוך שמצא, כי חרף העדר אינדיקציה על שימוש פלילי או אחר המתוכן בנשק, ועל אף נסיבותיו האישיות של המערער שם (צעיר ללא עבר פלילי) – הרי הנסיבות האישיות ואינטרס השיקום, נדחים מפני האינטרס הציבורי של מיגור עבירות מסוג זה.</w:t>
      </w:r>
    </w:p>
    <w:p w14:paraId="5B0C3255" w14:textId="77777777" w:rsidR="00FF3818" w:rsidRPr="00BF41F7" w:rsidRDefault="00FF3818" w:rsidP="00BB5D7F">
      <w:pPr>
        <w:spacing w:line="360" w:lineRule="auto"/>
        <w:jc w:val="both"/>
        <w:rPr>
          <w:rFonts w:ascii="David" w:hAnsi="David"/>
          <w:b/>
          <w:bCs/>
          <w:noProof w:val="0"/>
          <w:u w:val="single"/>
          <w:rtl/>
        </w:rPr>
      </w:pPr>
    </w:p>
    <w:p w14:paraId="7DF3DB17" w14:textId="77777777" w:rsidR="00FF3818" w:rsidRPr="00BF41F7" w:rsidRDefault="00FF3818" w:rsidP="00BB5D7F">
      <w:pPr>
        <w:spacing w:line="360" w:lineRule="auto"/>
        <w:jc w:val="both"/>
        <w:rPr>
          <w:rFonts w:ascii="David" w:hAnsi="David"/>
          <w:b/>
          <w:bCs/>
          <w:noProof w:val="0"/>
          <w:u w:val="single"/>
          <w:rtl/>
        </w:rPr>
      </w:pPr>
    </w:p>
    <w:p w14:paraId="0F28F6FF" w14:textId="77777777" w:rsidR="00FF3818" w:rsidRDefault="00FF3818" w:rsidP="00BB5D7F">
      <w:pPr>
        <w:spacing w:line="360" w:lineRule="auto"/>
        <w:jc w:val="both"/>
        <w:rPr>
          <w:rFonts w:ascii="David" w:hAnsi="David"/>
          <w:noProof w:val="0"/>
          <w:rtl/>
        </w:rPr>
      </w:pPr>
      <w:r w:rsidRPr="00BF41F7">
        <w:rPr>
          <w:rFonts w:ascii="David" w:hAnsi="David"/>
          <w:noProof w:val="0"/>
          <w:rtl/>
        </w:rPr>
        <w:t xml:space="preserve">בפסק דין נוסף, שניתן </w:t>
      </w:r>
      <w:r>
        <w:rPr>
          <w:rFonts w:ascii="David" w:hAnsi="David"/>
          <w:noProof w:val="0"/>
          <w:rtl/>
        </w:rPr>
        <w:t>בעת האחרונה</w:t>
      </w:r>
      <w:r w:rsidRPr="00BF41F7">
        <w:rPr>
          <w:rFonts w:ascii="David" w:hAnsi="David"/>
          <w:noProof w:val="0"/>
          <w:rtl/>
        </w:rPr>
        <w:t>, העמיד בית המשפט המחוזי, בשבתו כבית משפט לערעורים פליליים, העונש על אחזקת רובה סער בודד על 22 חדשי מאסר בפועל, כשאחת מחברי ההרכב, בדעת מיעוט, הציעה להעמידו על 28 חדשי מאסר בפועל. אכן, באותו מקרה (</w:t>
      </w:r>
      <w:hyperlink r:id="rId29" w:history="1">
        <w:r w:rsidR="00B87E1A" w:rsidRPr="00B87E1A">
          <w:rPr>
            <w:rFonts w:ascii="David" w:hAnsi="David"/>
            <w:noProof w:val="0"/>
            <w:color w:val="0000FF"/>
            <w:u w:val="single"/>
            <w:rtl/>
          </w:rPr>
          <w:t>עפ"ג 32503-04-19</w:t>
        </w:r>
      </w:hyperlink>
      <w:r w:rsidRPr="00BF41F7">
        <w:rPr>
          <w:rFonts w:ascii="David" w:hAnsi="David"/>
          <w:noProof w:val="0"/>
          <w:rtl/>
        </w:rPr>
        <w:t xml:space="preserve"> </w:t>
      </w:r>
      <w:r w:rsidRPr="00BF41F7">
        <w:rPr>
          <w:rFonts w:ascii="David" w:hAnsi="David"/>
          <w:b/>
          <w:bCs/>
          <w:noProof w:val="0"/>
          <w:rtl/>
        </w:rPr>
        <w:t>אלקורעאן נ'</w:t>
      </w:r>
      <w:r w:rsidR="00B87E1A">
        <w:rPr>
          <w:rFonts w:ascii="David" w:hAnsi="David"/>
          <w:b/>
          <w:bCs/>
          <w:noProof w:val="0"/>
          <w:rtl/>
        </w:rPr>
        <w:t xml:space="preserve"> </w:t>
      </w:r>
      <w:r w:rsidRPr="00BF41F7">
        <w:rPr>
          <w:rFonts w:ascii="David" w:hAnsi="David"/>
          <w:b/>
          <w:bCs/>
          <w:noProof w:val="0"/>
          <w:rtl/>
        </w:rPr>
        <w:t xml:space="preserve"> מדינת ישראל</w:t>
      </w:r>
      <w:r w:rsidRPr="00BF41F7">
        <w:rPr>
          <w:rFonts w:ascii="David" w:hAnsi="David"/>
          <w:noProof w:val="0"/>
          <w:rtl/>
        </w:rPr>
        <w:t xml:space="preserve">, </w:t>
      </w:r>
      <w:r w:rsidR="00A70772" w:rsidRPr="00A70772">
        <w:rPr>
          <w:noProof w:val="0"/>
          <w:sz w:val="22"/>
          <w:rtl/>
        </w:rPr>
        <w:t xml:space="preserve">[פורסם בנבו] </w:t>
      </w:r>
      <w:r w:rsidRPr="00BF41F7">
        <w:rPr>
          <w:rFonts w:ascii="David" w:hAnsi="David"/>
          <w:noProof w:val="0"/>
          <w:rtl/>
        </w:rPr>
        <w:t>פסק הדין מיום 12.06.19) היו נתונים לחומרה (המדובר היה בכלי נשק צה"לי תקני, שנעשה בו שימוש פלילי בעבר, ולנאשם שם גם היה עבר פלילי, אם כי לא מכביד), אך גם שם, נקבע, בבית משפט השלום, מתחם ענישה זהה ולא היה שינוי במתחם.</w:t>
      </w:r>
    </w:p>
    <w:p w14:paraId="31984F02" w14:textId="77777777" w:rsidR="00FF3818" w:rsidRDefault="00FF3818" w:rsidP="00BB5D7F">
      <w:pPr>
        <w:spacing w:line="360" w:lineRule="auto"/>
        <w:jc w:val="both"/>
        <w:rPr>
          <w:rFonts w:ascii="David" w:hAnsi="David"/>
          <w:noProof w:val="0"/>
          <w:rtl/>
        </w:rPr>
      </w:pPr>
    </w:p>
    <w:p w14:paraId="3B1BC64F" w14:textId="77777777" w:rsidR="00FF3818" w:rsidRDefault="00FF3818" w:rsidP="00BB5D7F">
      <w:pPr>
        <w:spacing w:line="360" w:lineRule="auto"/>
        <w:jc w:val="both"/>
        <w:rPr>
          <w:rFonts w:ascii="David" w:hAnsi="David"/>
          <w:noProof w:val="0"/>
          <w:rtl/>
        </w:rPr>
      </w:pPr>
      <w:r>
        <w:rPr>
          <w:rFonts w:ascii="David" w:hAnsi="David"/>
          <w:noProof w:val="0"/>
          <w:rtl/>
        </w:rPr>
        <w:t>בפסק דין נוסף, שניתן בתקופה האחרונה, נדחה ערעור ההגנה על עונש בפועל בין 18 חודשים בתוספת מאסר מותנה וקנס בסך 12,000 ₪, שהושתו על צעיר שהחזיק כלי נשק מסוג תת מקלע מאולתר.</w:t>
      </w:r>
    </w:p>
    <w:p w14:paraId="3393A296" w14:textId="77777777" w:rsidR="00FF3818" w:rsidRDefault="00FF3818" w:rsidP="00BB5D7F">
      <w:pPr>
        <w:spacing w:line="360" w:lineRule="auto"/>
        <w:jc w:val="both"/>
        <w:rPr>
          <w:rFonts w:ascii="David" w:hAnsi="David"/>
          <w:noProof w:val="0"/>
          <w:rtl/>
        </w:rPr>
      </w:pPr>
      <w:r>
        <w:rPr>
          <w:rFonts w:ascii="David" w:hAnsi="David"/>
          <w:noProof w:val="0"/>
          <w:rtl/>
        </w:rPr>
        <w:t>אותו מערר החזיק בנשק למשך עשרה ימים בלבד ואף הוסכם, כי החזיקו בעבור אחר.</w:t>
      </w:r>
    </w:p>
    <w:p w14:paraId="41D11ED2" w14:textId="77777777" w:rsidR="00FF3818" w:rsidRDefault="00FF3818" w:rsidP="00E950FA">
      <w:pPr>
        <w:spacing w:line="360" w:lineRule="auto"/>
        <w:jc w:val="both"/>
        <w:rPr>
          <w:rFonts w:ascii="David" w:hAnsi="David"/>
          <w:noProof w:val="0"/>
          <w:rtl/>
        </w:rPr>
      </w:pPr>
      <w:r>
        <w:rPr>
          <w:rFonts w:ascii="David" w:hAnsi="David"/>
          <w:noProof w:val="0"/>
          <w:rtl/>
        </w:rPr>
        <w:t xml:space="preserve">בית המשפט המחוזי, בשבתו כבית משפט לערעורים פליליים, הרכב בראשות הנשיאה כב' השופטת ר' יפה-כץ, ציין: </w:t>
      </w:r>
    </w:p>
    <w:p w14:paraId="0E983F53" w14:textId="77777777" w:rsidR="00FF3818" w:rsidRPr="00D8186C" w:rsidRDefault="00FF3818" w:rsidP="00BB5D7F">
      <w:pPr>
        <w:spacing w:line="360" w:lineRule="auto"/>
        <w:jc w:val="both"/>
        <w:rPr>
          <w:rFonts w:ascii="David" w:hAnsi="David" w:cs="Aharoni"/>
          <w:noProof w:val="0"/>
          <w:rtl/>
        </w:rPr>
      </w:pPr>
      <w:r w:rsidRPr="00D8186C">
        <w:rPr>
          <w:rFonts w:ascii="David" w:hAnsi="David" w:cs="Aharoni"/>
          <w:noProof w:val="0"/>
          <w:rtl/>
        </w:rPr>
        <w:t>בית המשפט קמה ציין ובצדק, את החומרה הרבה שיש לראות בעבירות הקשורות בנשק, ואף בצדק ציין, כי בית המשפט מצווה להחמיר את הענישה בעבירות כגון אלה, כדי להגן על הציבור. כך צדק גם בית המשפט בעת שקבע מתחם עונש כפי שקבע...</w:t>
      </w:r>
    </w:p>
    <w:p w14:paraId="01C20F40" w14:textId="77777777" w:rsidR="00FF3818" w:rsidRPr="00D8186C" w:rsidRDefault="00FF3818" w:rsidP="00BB5D7F">
      <w:pPr>
        <w:spacing w:line="360" w:lineRule="auto"/>
        <w:jc w:val="both"/>
        <w:rPr>
          <w:rFonts w:ascii="David" w:hAnsi="David" w:cs="Aharoni"/>
          <w:noProof w:val="0"/>
          <w:rtl/>
        </w:rPr>
      </w:pPr>
    </w:p>
    <w:p w14:paraId="0CCFB14B" w14:textId="77777777" w:rsidR="00FF3818" w:rsidRPr="00BF41F7" w:rsidRDefault="00FF3818" w:rsidP="00BB5D7F">
      <w:pPr>
        <w:spacing w:line="360" w:lineRule="auto"/>
        <w:jc w:val="both"/>
        <w:rPr>
          <w:rFonts w:ascii="David" w:hAnsi="David" w:cs="Aharoni"/>
          <w:noProof w:val="0"/>
          <w:rtl/>
        </w:rPr>
      </w:pPr>
      <w:r w:rsidRPr="00D8186C">
        <w:rPr>
          <w:rFonts w:ascii="David" w:hAnsi="David" w:cs="Aharoni"/>
          <w:noProof w:val="0"/>
          <w:rtl/>
        </w:rPr>
        <w:t>בית משפט קמה הדגיש את העובדה כי העבירה של החזקת נשק הפכה למכה של  אזור הדרום, ואף צדק, כאשר קבע שלא ניתן להתעלם מנסיבה זו בעת קביעת העונש הראוי למערער.</w:t>
      </w:r>
    </w:p>
    <w:p w14:paraId="16D12FB7" w14:textId="77777777" w:rsidR="00FF3818" w:rsidRDefault="00FF3818" w:rsidP="00BB5D7F">
      <w:pPr>
        <w:spacing w:line="360" w:lineRule="auto"/>
        <w:jc w:val="both"/>
        <w:rPr>
          <w:rFonts w:ascii="David" w:hAnsi="David"/>
          <w:noProof w:val="0"/>
          <w:rtl/>
        </w:rPr>
      </w:pPr>
    </w:p>
    <w:p w14:paraId="7220430E" w14:textId="77777777" w:rsidR="00FF3818" w:rsidRPr="00BB0373" w:rsidRDefault="00FF3818" w:rsidP="00A70772">
      <w:pPr>
        <w:spacing w:line="360" w:lineRule="auto"/>
        <w:jc w:val="both"/>
        <w:rPr>
          <w:rFonts w:ascii="David" w:hAnsi="David"/>
          <w:noProof w:val="0"/>
          <w:rtl/>
        </w:rPr>
      </w:pPr>
      <w:r>
        <w:rPr>
          <w:rFonts w:ascii="David" w:hAnsi="David"/>
          <w:noProof w:val="0"/>
          <w:rtl/>
        </w:rPr>
        <w:t xml:space="preserve">ראו </w:t>
      </w:r>
      <w:hyperlink r:id="rId30" w:history="1">
        <w:r w:rsidR="00B87E1A" w:rsidRPr="00B87E1A">
          <w:rPr>
            <w:rFonts w:ascii="David" w:hAnsi="David"/>
            <w:noProof w:val="0"/>
            <w:color w:val="0000FF"/>
            <w:u w:val="single"/>
            <w:rtl/>
          </w:rPr>
          <w:t>עפ"ג 4673-08-19</w:t>
        </w:r>
      </w:hyperlink>
      <w:r>
        <w:rPr>
          <w:rFonts w:ascii="David" w:hAnsi="David"/>
          <w:noProof w:val="0"/>
          <w:rtl/>
        </w:rPr>
        <w:t xml:space="preserve"> </w:t>
      </w:r>
      <w:r>
        <w:rPr>
          <w:rFonts w:ascii="David" w:hAnsi="David"/>
          <w:b/>
          <w:bCs/>
          <w:noProof w:val="0"/>
          <w:rtl/>
        </w:rPr>
        <w:t xml:space="preserve">אבו מוסא נ' מדינת ישראל </w:t>
      </w:r>
      <w:r>
        <w:rPr>
          <w:rFonts w:ascii="David" w:hAnsi="David"/>
          <w:noProof w:val="0"/>
          <w:rtl/>
        </w:rPr>
        <w:t>(פורסם במאגרים)</w:t>
      </w:r>
      <w:r w:rsidR="00A70772">
        <w:rPr>
          <w:rFonts w:ascii="David" w:hAnsi="David" w:hint="cs"/>
          <w:noProof w:val="0"/>
          <w:rtl/>
        </w:rPr>
        <w:t xml:space="preserve"> </w:t>
      </w:r>
      <w:r w:rsidR="00A70772" w:rsidRPr="00A70772">
        <w:rPr>
          <w:noProof w:val="0"/>
          <w:sz w:val="22"/>
          <w:rtl/>
        </w:rPr>
        <w:t>[פורסם בנבו]</w:t>
      </w:r>
      <w:r>
        <w:rPr>
          <w:rFonts w:ascii="David" w:hAnsi="David"/>
          <w:noProof w:val="0"/>
          <w:rtl/>
        </w:rPr>
        <w:t>.</w:t>
      </w:r>
    </w:p>
    <w:p w14:paraId="5AB95AE5" w14:textId="77777777" w:rsidR="00FF3818" w:rsidRPr="00BF41F7" w:rsidRDefault="00FF3818" w:rsidP="00BB5D7F">
      <w:pPr>
        <w:spacing w:line="360" w:lineRule="auto"/>
        <w:jc w:val="both"/>
        <w:rPr>
          <w:rFonts w:ascii="David" w:hAnsi="David"/>
          <w:noProof w:val="0"/>
          <w:rtl/>
        </w:rPr>
      </w:pPr>
    </w:p>
    <w:p w14:paraId="13E0ED85" w14:textId="77777777" w:rsidR="00FF3818" w:rsidRPr="00BF41F7" w:rsidRDefault="00FF3818" w:rsidP="00BB5D7F">
      <w:pPr>
        <w:spacing w:line="360" w:lineRule="auto"/>
        <w:jc w:val="both"/>
        <w:rPr>
          <w:rFonts w:ascii="David" w:hAnsi="David"/>
          <w:noProof w:val="0"/>
          <w:rtl/>
        </w:rPr>
      </w:pPr>
      <w:r>
        <w:rPr>
          <w:rFonts w:ascii="David" w:hAnsi="David"/>
          <w:noProof w:val="0"/>
          <w:rtl/>
        </w:rPr>
        <w:t>לפני מספר שנים</w:t>
      </w:r>
      <w:r w:rsidRPr="00BF41F7">
        <w:rPr>
          <w:rFonts w:ascii="David" w:hAnsi="David"/>
          <w:noProof w:val="0"/>
          <w:rtl/>
        </w:rPr>
        <w:t xml:space="preserve">, פורסמה הנחיית פרקליט המדינה מס' </w:t>
      </w:r>
      <w:r w:rsidR="00B87E1A">
        <w:rPr>
          <w:rFonts w:ascii="David" w:hAnsi="David"/>
          <w:noProof w:val="0"/>
          <w:rtl/>
        </w:rPr>
        <w:t xml:space="preserve"> </w:t>
      </w:r>
      <w:r w:rsidRPr="00BF41F7">
        <w:rPr>
          <w:rFonts w:ascii="David" w:hAnsi="David"/>
          <w:noProof w:val="0"/>
          <w:rtl/>
        </w:rPr>
        <w:t>9.16 (מיום ג' אב תשע"ו – 07/08/16) בנוגע למדיניות הענישה בעבירות נשק, במסגרתה הונחתה התביעה הכללית לפעול לכיוון החמרת הענישה בעבירות אלה, לנוכח הסיכון הרב הנשקף מהן והאינטרס הציבורי במיגורן. התביעה הכללית הונחתה לדרוש מאסר בפועל לתקופה ממשית, גם כאשר המדובר בעבירה ראשונה. מבחינת מדרג החומרה, הוצבה החזקה של רובה סער או תת מקלע – ברמה אחת לפני הרמה החמורה ביותר ואילו אחזקת נשק קצר - אקדח - ברמה נמוכה יותר. לנוכח הפסיקה, שפורטה באותה הנחיה, הונחתה התביעה הכללית לטעון למתחם שינוע בין שנתיים עד ארבע שנות מאסר בפועל בגין כל עבירה בודדת של החזקת רובה או תת מקלע; בין שנה לשלוש שנים בגין אחזקת נשק קצר מסוג אקדח; 6 חדשי מאסר בפועל, לריצוי בדרך של עבודות שירות, עד 6 חדשי מאסר בפועל ממש בגין אחזקת תחמושת.</w:t>
      </w:r>
    </w:p>
    <w:p w14:paraId="3704B121" w14:textId="77777777" w:rsidR="00FF3818" w:rsidRPr="00BF41F7" w:rsidRDefault="00FF3818" w:rsidP="00BB5D7F">
      <w:pPr>
        <w:spacing w:line="360" w:lineRule="auto"/>
        <w:jc w:val="both"/>
        <w:rPr>
          <w:rFonts w:ascii="David" w:hAnsi="David"/>
          <w:noProof w:val="0"/>
          <w:rtl/>
        </w:rPr>
      </w:pPr>
    </w:p>
    <w:p w14:paraId="4A0C001A" w14:textId="77777777" w:rsidR="00FF3818" w:rsidRPr="00BF41F7" w:rsidRDefault="00FF3818" w:rsidP="00BB5D7F">
      <w:pPr>
        <w:spacing w:line="360" w:lineRule="auto"/>
        <w:jc w:val="both"/>
        <w:rPr>
          <w:rFonts w:ascii="David" w:hAnsi="David"/>
          <w:noProof w:val="0"/>
          <w:rtl/>
        </w:rPr>
      </w:pPr>
      <w:r w:rsidRPr="00BF41F7">
        <w:rPr>
          <w:rFonts w:ascii="David" w:hAnsi="David"/>
          <w:noProof w:val="0"/>
          <w:rtl/>
        </w:rPr>
        <w:t xml:space="preserve">הצורך בהחמרת הענישה נומק במספר הרב של העבירות, אם פליליות ואם כאלה נגד בטחון המדינה, שנעברו לאחרונה, באמצעות כלי נשק, ואף הביאו, לעיתים מזומנות, לפגיעה באזרחים בלתי מעורבים. לשם המחשה, כפי המפורט בנתונים שהובאו במסגרת ההנחיה, בשנת 2013, אירעו בישראל 563 אירועים של פיגועים </w:t>
      </w:r>
      <w:r w:rsidRPr="00BF41F7">
        <w:rPr>
          <w:rFonts w:ascii="David" w:hAnsi="David"/>
          <w:noProof w:val="0"/>
          <w:u w:val="single"/>
          <w:rtl/>
        </w:rPr>
        <w:t>פליליים</w:t>
      </w:r>
      <w:r w:rsidRPr="00BF41F7">
        <w:rPr>
          <w:rFonts w:ascii="David" w:hAnsi="David"/>
          <w:noProof w:val="0"/>
          <w:rtl/>
        </w:rPr>
        <w:t xml:space="preserve"> באמצעות נשק חם. זאת, מבלי לקחת בחשבון פיגועים על רקע בטחוני או עבירות שנאה.</w:t>
      </w:r>
    </w:p>
    <w:p w14:paraId="496CB95D" w14:textId="77777777" w:rsidR="00FF3818" w:rsidRPr="00BF41F7" w:rsidRDefault="00FF3818" w:rsidP="00BB5D7F">
      <w:pPr>
        <w:spacing w:line="360" w:lineRule="auto"/>
        <w:jc w:val="both"/>
        <w:rPr>
          <w:rFonts w:ascii="David" w:hAnsi="David"/>
          <w:noProof w:val="0"/>
          <w:rtl/>
        </w:rPr>
      </w:pPr>
    </w:p>
    <w:p w14:paraId="6B100F68" w14:textId="77777777" w:rsidR="00FF3818" w:rsidRPr="00BF41F7" w:rsidRDefault="00FF3818" w:rsidP="00595D94">
      <w:pPr>
        <w:spacing w:line="360" w:lineRule="auto"/>
        <w:jc w:val="both"/>
        <w:rPr>
          <w:rFonts w:ascii="David" w:hAnsi="David"/>
          <w:noProof w:val="0"/>
          <w:rtl/>
        </w:rPr>
      </w:pPr>
      <w:r w:rsidRPr="00BF41F7">
        <w:rPr>
          <w:rFonts w:ascii="David" w:hAnsi="David"/>
          <w:noProof w:val="0"/>
          <w:rtl/>
        </w:rPr>
        <w:t xml:space="preserve">ריבוי כתבי האישום בגין עבירות אלה בשנים האחרונות, מאשש טענת התביעה, כי </w:t>
      </w:r>
      <w:r w:rsidRPr="00BF41F7">
        <w:rPr>
          <w:rFonts w:ascii="David" w:hAnsi="David"/>
          <w:noProof w:val="0"/>
          <w:u w:val="single"/>
          <w:rtl/>
        </w:rPr>
        <w:t>העבירה הנדונה הפכה ל"מכת אזור"</w:t>
      </w:r>
      <w:r w:rsidRPr="00BF41F7">
        <w:rPr>
          <w:rFonts w:ascii="David" w:hAnsi="David"/>
          <w:noProof w:val="0"/>
          <w:rtl/>
        </w:rPr>
        <w:t>. חלק מהגורמים לכך, הוא הנגישות הרבה לכלי נשק</w:t>
      </w:r>
      <w:r>
        <w:rPr>
          <w:rFonts w:ascii="David" w:hAnsi="David"/>
          <w:noProof w:val="0"/>
          <w:rtl/>
        </w:rPr>
        <w:t xml:space="preserve">. </w:t>
      </w:r>
      <w:r w:rsidRPr="00BF41F7">
        <w:rPr>
          <w:rFonts w:ascii="David" w:hAnsi="David"/>
          <w:noProof w:val="0"/>
          <w:rtl/>
        </w:rPr>
        <w:t>נפיצות כלי הנשק יוצרת סכנה של ממש לבטחון הציבור, כפי המימרה הידועה לפיה, כלי הנשק שהופיע במערכה הראשונה, חוזר להופיע במערכות שלאחר מכן.</w:t>
      </w:r>
    </w:p>
    <w:p w14:paraId="622BF4D3" w14:textId="77777777" w:rsidR="00FF3818" w:rsidRPr="00BF41F7" w:rsidRDefault="00FF3818" w:rsidP="00BB5D7F">
      <w:pPr>
        <w:spacing w:line="360" w:lineRule="auto"/>
        <w:jc w:val="both"/>
        <w:rPr>
          <w:rFonts w:ascii="David" w:hAnsi="David"/>
          <w:noProof w:val="0"/>
          <w:rtl/>
        </w:rPr>
      </w:pPr>
    </w:p>
    <w:p w14:paraId="4B5C4028" w14:textId="77777777" w:rsidR="00FF3818" w:rsidRDefault="00FF3818" w:rsidP="00A70772">
      <w:pPr>
        <w:spacing w:line="360" w:lineRule="auto"/>
        <w:jc w:val="both"/>
        <w:rPr>
          <w:rFonts w:ascii="David" w:hAnsi="David"/>
          <w:noProof w:val="0"/>
          <w:rtl/>
        </w:rPr>
      </w:pPr>
      <w:r>
        <w:rPr>
          <w:rFonts w:ascii="David" w:hAnsi="David"/>
          <w:noProof w:val="0"/>
          <w:rtl/>
        </w:rPr>
        <w:t xml:space="preserve">עוד ראו, לעניין מתחם הענישה, </w:t>
      </w:r>
      <w:r w:rsidRPr="00BF41F7">
        <w:rPr>
          <w:rFonts w:ascii="David" w:hAnsi="David"/>
          <w:noProof w:val="0"/>
          <w:rtl/>
        </w:rPr>
        <w:t xml:space="preserve">מספר גזרי דין שניתנו </w:t>
      </w:r>
      <w:r>
        <w:rPr>
          <w:rFonts w:ascii="David" w:hAnsi="David"/>
          <w:noProof w:val="0"/>
          <w:rtl/>
        </w:rPr>
        <w:t>לאחרונה:</w:t>
      </w:r>
      <w:r w:rsidRPr="00BF41F7">
        <w:rPr>
          <w:rFonts w:ascii="David" w:hAnsi="David"/>
          <w:noProof w:val="0"/>
          <w:rtl/>
        </w:rPr>
        <w:t xml:space="preserve"> </w:t>
      </w:r>
      <w:hyperlink r:id="rId31" w:history="1">
        <w:r w:rsidR="00B87E1A" w:rsidRPr="00B87E1A">
          <w:rPr>
            <w:rFonts w:ascii="David" w:hAnsi="David"/>
            <w:noProof w:val="0"/>
            <w:color w:val="0000FF"/>
            <w:u w:val="single"/>
            <w:rtl/>
          </w:rPr>
          <w:t>ת.פ. 30406-04-16</w:t>
        </w:r>
      </w:hyperlink>
      <w:r w:rsidRPr="00BF41F7">
        <w:rPr>
          <w:rFonts w:ascii="David" w:hAnsi="David"/>
          <w:noProof w:val="0"/>
          <w:rtl/>
        </w:rPr>
        <w:t xml:space="preserve"> </w:t>
      </w:r>
      <w:r w:rsidRPr="00BF41F7">
        <w:rPr>
          <w:rFonts w:ascii="David" w:hAnsi="David"/>
          <w:b/>
          <w:bCs/>
          <w:noProof w:val="0"/>
          <w:rtl/>
        </w:rPr>
        <w:t>מדינת ישראל נ' אבו עאמר</w:t>
      </w:r>
      <w:r w:rsidR="00A70772">
        <w:rPr>
          <w:rFonts w:ascii="David" w:hAnsi="David" w:hint="cs"/>
          <w:b/>
          <w:bCs/>
          <w:noProof w:val="0"/>
          <w:rtl/>
        </w:rPr>
        <w:t xml:space="preserve"> </w:t>
      </w:r>
      <w:r w:rsidR="00A70772" w:rsidRPr="00A70772">
        <w:rPr>
          <w:noProof w:val="0"/>
          <w:sz w:val="22"/>
          <w:rtl/>
        </w:rPr>
        <w:t>[פורסם בנבו]</w:t>
      </w:r>
      <w:r w:rsidRPr="00BF41F7">
        <w:rPr>
          <w:rFonts w:ascii="David" w:hAnsi="David"/>
          <w:b/>
          <w:bCs/>
          <w:noProof w:val="0"/>
          <w:rtl/>
        </w:rPr>
        <w:t xml:space="preserve">; </w:t>
      </w:r>
      <w:hyperlink r:id="rId32" w:history="1">
        <w:r w:rsidR="00B87E1A" w:rsidRPr="00B87E1A">
          <w:rPr>
            <w:rFonts w:ascii="David" w:hAnsi="David"/>
            <w:noProof w:val="0"/>
            <w:color w:val="0000FF"/>
            <w:u w:val="single"/>
            <w:rtl/>
          </w:rPr>
          <w:t>ת.פ. 65912-01-18</w:t>
        </w:r>
      </w:hyperlink>
      <w:r w:rsidRPr="00BF41F7">
        <w:rPr>
          <w:rFonts w:ascii="David" w:hAnsi="David"/>
          <w:b/>
          <w:bCs/>
          <w:noProof w:val="0"/>
          <w:rtl/>
        </w:rPr>
        <w:t xml:space="preserve"> מדינת ישראל נ' אבו מדעם ואח' </w:t>
      </w:r>
      <w:r w:rsidRPr="00BF41F7">
        <w:rPr>
          <w:rFonts w:ascii="David" w:hAnsi="David"/>
          <w:noProof w:val="0"/>
          <w:rtl/>
        </w:rPr>
        <w:t>(גזרי הדין פורסמו במאגרים</w:t>
      </w:r>
      <w:r w:rsidR="00A70772">
        <w:rPr>
          <w:rFonts w:ascii="David" w:hAnsi="David" w:hint="cs"/>
          <w:noProof w:val="0"/>
          <w:rtl/>
        </w:rPr>
        <w:t xml:space="preserve"> </w:t>
      </w:r>
      <w:r w:rsidR="00A70772" w:rsidRPr="00A70772">
        <w:rPr>
          <w:noProof w:val="0"/>
          <w:sz w:val="22"/>
          <w:rtl/>
        </w:rPr>
        <w:t>[פורסם בנבו]</w:t>
      </w:r>
      <w:r w:rsidRPr="00BF41F7">
        <w:rPr>
          <w:rFonts w:ascii="David" w:hAnsi="David"/>
          <w:noProof w:val="0"/>
          <w:rtl/>
        </w:rPr>
        <w:t>).</w:t>
      </w:r>
      <w:r>
        <w:rPr>
          <w:rFonts w:ascii="David" w:hAnsi="David"/>
          <w:noProof w:val="0"/>
          <w:rtl/>
        </w:rPr>
        <w:t xml:space="preserve"> </w:t>
      </w:r>
      <w:r w:rsidRPr="00E950FA">
        <w:rPr>
          <w:rFonts w:ascii="David" w:hAnsi="David"/>
          <w:noProof w:val="0"/>
          <w:u w:val="single"/>
          <w:rtl/>
        </w:rPr>
        <w:t>בגזר הדין האחרון – נדון אחד הנאשמים, שהורשע, על פי הודאתו, בהחזקת אקדח חצי אוטמטי בלבד - לעונש מאסר בפועל בין 18 חודשים. בערעור לבית המשפט המחוזי – הועמד העונש על 14 חודשי מאסר</w:t>
      </w:r>
      <w:r>
        <w:rPr>
          <w:rFonts w:ascii="David" w:hAnsi="David"/>
          <w:noProof w:val="0"/>
          <w:rtl/>
        </w:rPr>
        <w:t xml:space="preserve">. ראו </w:t>
      </w:r>
      <w:hyperlink r:id="rId33" w:history="1">
        <w:r w:rsidR="00B87E1A" w:rsidRPr="00B87E1A">
          <w:rPr>
            <w:rFonts w:ascii="David" w:hAnsi="David"/>
            <w:noProof w:val="0"/>
            <w:color w:val="0000FF"/>
            <w:u w:val="single"/>
            <w:rtl/>
          </w:rPr>
          <w:t>עפ"ג 23083-03-19</w:t>
        </w:r>
      </w:hyperlink>
      <w:r>
        <w:rPr>
          <w:rFonts w:ascii="David" w:hAnsi="David"/>
          <w:noProof w:val="0"/>
          <w:rtl/>
        </w:rPr>
        <w:t xml:space="preserve"> </w:t>
      </w:r>
      <w:r>
        <w:rPr>
          <w:rFonts w:ascii="David" w:hAnsi="David"/>
          <w:b/>
          <w:bCs/>
          <w:noProof w:val="0"/>
          <w:rtl/>
        </w:rPr>
        <w:t>אבו מדע'ם ואח' נ' מדינת ישראל (</w:t>
      </w:r>
      <w:r w:rsidRPr="00595D94">
        <w:rPr>
          <w:rFonts w:ascii="David" w:hAnsi="David"/>
          <w:noProof w:val="0"/>
          <w:rtl/>
        </w:rPr>
        <w:t>פורסם במאגרים</w:t>
      </w:r>
      <w:r>
        <w:rPr>
          <w:rFonts w:ascii="David" w:hAnsi="David"/>
          <w:noProof w:val="0"/>
          <w:rtl/>
        </w:rPr>
        <w:t xml:space="preserve"> </w:t>
      </w:r>
      <w:r w:rsidR="00A70772" w:rsidRPr="00A70772">
        <w:rPr>
          <w:noProof w:val="0"/>
          <w:sz w:val="22"/>
          <w:rtl/>
        </w:rPr>
        <w:t xml:space="preserve">[פורסם בנבו] </w:t>
      </w:r>
      <w:r>
        <w:rPr>
          <w:rFonts w:ascii="David" w:hAnsi="David"/>
          <w:noProof w:val="0"/>
          <w:rtl/>
        </w:rPr>
        <w:t>– 17.07.19</w:t>
      </w:r>
      <w:r w:rsidRPr="00595D94">
        <w:rPr>
          <w:rFonts w:ascii="David" w:hAnsi="David"/>
          <w:noProof w:val="0"/>
          <w:rtl/>
        </w:rPr>
        <w:t>)</w:t>
      </w:r>
      <w:r>
        <w:rPr>
          <w:rFonts w:ascii="David" w:hAnsi="David"/>
          <w:b/>
          <w:bCs/>
          <w:noProof w:val="0"/>
          <w:rtl/>
        </w:rPr>
        <w:t xml:space="preserve">. </w:t>
      </w:r>
      <w:r>
        <w:rPr>
          <w:rFonts w:ascii="David" w:hAnsi="David"/>
          <w:noProof w:val="0"/>
          <w:rtl/>
        </w:rPr>
        <w:t xml:space="preserve">ודוק': </w:t>
      </w:r>
      <w:r w:rsidRPr="00E950FA">
        <w:rPr>
          <w:rFonts w:ascii="David" w:hAnsi="David"/>
          <w:noProof w:val="0"/>
          <w:u w:val="single"/>
          <w:rtl/>
        </w:rPr>
        <w:t>באותו מקרה , הוחזק הנשק בתוך בית ולא בתוך רכב – כשהוא מוכן לשימוש</w:t>
      </w:r>
      <w:r>
        <w:rPr>
          <w:rFonts w:ascii="David" w:hAnsi="David"/>
          <w:noProof w:val="0"/>
          <w:rtl/>
        </w:rPr>
        <w:t>.</w:t>
      </w:r>
    </w:p>
    <w:p w14:paraId="2D1621E3" w14:textId="77777777" w:rsidR="00FF3818" w:rsidRDefault="00FF3818" w:rsidP="00595D94">
      <w:pPr>
        <w:spacing w:line="360" w:lineRule="auto"/>
        <w:jc w:val="both"/>
        <w:rPr>
          <w:rFonts w:ascii="David" w:hAnsi="David"/>
          <w:noProof w:val="0"/>
          <w:rtl/>
        </w:rPr>
      </w:pPr>
    </w:p>
    <w:p w14:paraId="451ED5C2" w14:textId="77777777" w:rsidR="00FF3818" w:rsidRPr="00BF41F7" w:rsidRDefault="00FF3818" w:rsidP="00E950FA">
      <w:pPr>
        <w:spacing w:line="360" w:lineRule="auto"/>
        <w:jc w:val="both"/>
        <w:rPr>
          <w:rFonts w:ascii="David" w:hAnsi="David"/>
          <w:noProof w:val="0"/>
          <w:rtl/>
        </w:rPr>
      </w:pPr>
      <w:r w:rsidRPr="00BF41F7">
        <w:rPr>
          <w:rFonts w:ascii="David" w:hAnsi="David"/>
          <w:noProof w:val="0"/>
          <w:rtl/>
        </w:rPr>
        <w:t xml:space="preserve">לאור כל האמור, מוצא בית המשפט לקבוע מתחם ענישה, בכל הנוגע לאחזקת נשק </w:t>
      </w:r>
      <w:r>
        <w:rPr>
          <w:rFonts w:ascii="David" w:hAnsi="David"/>
          <w:noProof w:val="0"/>
          <w:rtl/>
        </w:rPr>
        <w:t>חם קצר, מסוג אקדח – חצי אוטומטי, שהוא מוחזק בלווית תחמושת מתאימה, במחסנית, מוכן לשימוש, בתוך כלי רכב – כך שינוע בין 15 עד 30 חודשי מאסר בפועל.</w:t>
      </w:r>
    </w:p>
    <w:p w14:paraId="4AFB5A94" w14:textId="77777777" w:rsidR="00FF3818" w:rsidRPr="00BF41F7" w:rsidRDefault="00FF3818" w:rsidP="00BB5D7F">
      <w:pPr>
        <w:spacing w:line="360" w:lineRule="auto"/>
        <w:jc w:val="both"/>
        <w:rPr>
          <w:rFonts w:ascii="David" w:hAnsi="David"/>
          <w:noProof w:val="0"/>
          <w:rtl/>
        </w:rPr>
      </w:pPr>
    </w:p>
    <w:p w14:paraId="27CEB735" w14:textId="77777777" w:rsidR="00FF3818" w:rsidRPr="00BF41F7" w:rsidRDefault="00FF3818" w:rsidP="00BB5D7F">
      <w:pPr>
        <w:spacing w:line="360" w:lineRule="auto"/>
        <w:jc w:val="both"/>
        <w:rPr>
          <w:rFonts w:ascii="David" w:hAnsi="David"/>
          <w:noProof w:val="0"/>
          <w:rtl/>
        </w:rPr>
      </w:pPr>
      <w:r w:rsidRPr="00BF41F7">
        <w:rPr>
          <w:rFonts w:ascii="David" w:hAnsi="David"/>
          <w:noProof w:val="0"/>
          <w:rtl/>
        </w:rPr>
        <w:t>אם תימשך העליה במספר כתבי האישום המוגשים בגין עבירה זו, יתכן שנכון יהיה לדון גם בהחמרה נוספת של המתחם, כפי המבוקש על ידי התביעה.</w:t>
      </w:r>
    </w:p>
    <w:p w14:paraId="4057451F" w14:textId="77777777" w:rsidR="00FF3818" w:rsidRPr="00BF41F7" w:rsidRDefault="00FF3818" w:rsidP="00BB5D7F">
      <w:pPr>
        <w:spacing w:line="360" w:lineRule="auto"/>
        <w:jc w:val="both"/>
        <w:rPr>
          <w:rFonts w:ascii="David" w:hAnsi="David"/>
          <w:noProof w:val="0"/>
          <w:rtl/>
        </w:rPr>
      </w:pPr>
    </w:p>
    <w:p w14:paraId="6F037A12" w14:textId="77777777" w:rsidR="00FF3818" w:rsidRPr="00BF41F7" w:rsidRDefault="00FF3818" w:rsidP="00BB5D7F">
      <w:pPr>
        <w:spacing w:line="360" w:lineRule="auto"/>
        <w:jc w:val="both"/>
        <w:rPr>
          <w:rFonts w:ascii="David" w:hAnsi="David"/>
          <w:noProof w:val="0"/>
          <w:rtl/>
        </w:rPr>
      </w:pPr>
    </w:p>
    <w:p w14:paraId="736EED23" w14:textId="77777777" w:rsidR="00FF3818" w:rsidRPr="00BF41F7" w:rsidRDefault="00FF3818" w:rsidP="00BB5D7F">
      <w:pPr>
        <w:spacing w:line="360" w:lineRule="auto"/>
        <w:jc w:val="both"/>
        <w:rPr>
          <w:rFonts w:ascii="David" w:hAnsi="David"/>
          <w:b/>
          <w:bCs/>
          <w:noProof w:val="0"/>
          <w:rtl/>
        </w:rPr>
      </w:pPr>
      <w:r w:rsidRPr="00BF41F7">
        <w:rPr>
          <w:rFonts w:ascii="David" w:hAnsi="David"/>
          <w:b/>
          <w:bCs/>
          <w:noProof w:val="0"/>
          <w:rtl/>
        </w:rPr>
        <w:t xml:space="preserve">קביעת הענישה הספציפית במסגרת המתחם: </w:t>
      </w:r>
    </w:p>
    <w:p w14:paraId="018C4770" w14:textId="77777777" w:rsidR="00FF3818" w:rsidRPr="00BF41F7" w:rsidRDefault="00FF3818" w:rsidP="00BB5D7F">
      <w:pPr>
        <w:spacing w:line="360" w:lineRule="auto"/>
        <w:jc w:val="both"/>
        <w:rPr>
          <w:rFonts w:ascii="David" w:hAnsi="David"/>
          <w:noProof w:val="0"/>
          <w:rtl/>
        </w:rPr>
      </w:pPr>
    </w:p>
    <w:p w14:paraId="7D9D4091" w14:textId="77777777" w:rsidR="00FF3818" w:rsidRPr="00BF41F7" w:rsidRDefault="00FF3818" w:rsidP="00BB5D7F">
      <w:pPr>
        <w:spacing w:line="360" w:lineRule="auto"/>
        <w:rPr>
          <w:rFonts w:ascii="David" w:hAnsi="David"/>
          <w:noProof w:val="0"/>
          <w:rtl/>
        </w:rPr>
      </w:pPr>
      <w:r w:rsidRPr="00BF41F7">
        <w:rPr>
          <w:rFonts w:ascii="David" w:hAnsi="David"/>
          <w:noProof w:val="0"/>
          <w:rtl/>
        </w:rPr>
        <w:t>לחובת הנאשם דנן אין הרשעות קודמות.</w:t>
      </w:r>
    </w:p>
    <w:p w14:paraId="14C2F351" w14:textId="77777777" w:rsidR="00FF3818" w:rsidRDefault="00FF3818" w:rsidP="00BB5D7F">
      <w:pPr>
        <w:spacing w:line="360" w:lineRule="auto"/>
        <w:rPr>
          <w:rFonts w:ascii="David" w:hAnsi="David"/>
          <w:noProof w:val="0"/>
          <w:rtl/>
        </w:rPr>
      </w:pPr>
    </w:p>
    <w:p w14:paraId="15FD1404" w14:textId="77777777" w:rsidR="00FF3818" w:rsidRDefault="00FF3818" w:rsidP="00BB5D7F">
      <w:pPr>
        <w:spacing w:line="360" w:lineRule="auto"/>
        <w:rPr>
          <w:rFonts w:ascii="David" w:hAnsi="David"/>
          <w:noProof w:val="0"/>
          <w:rtl/>
        </w:rPr>
      </w:pPr>
      <w:r>
        <w:rPr>
          <w:rFonts w:ascii="David" w:hAnsi="David"/>
          <w:noProof w:val="0"/>
          <w:rtl/>
        </w:rPr>
        <w:t>הנאשם ניהל אורח חיים נורמטיבי.</w:t>
      </w:r>
    </w:p>
    <w:p w14:paraId="28F589AA" w14:textId="77777777" w:rsidR="00FF3818" w:rsidRDefault="00FF3818" w:rsidP="00BB5D7F">
      <w:pPr>
        <w:spacing w:line="360" w:lineRule="auto"/>
        <w:rPr>
          <w:rFonts w:ascii="David" w:hAnsi="David"/>
          <w:noProof w:val="0"/>
          <w:rtl/>
        </w:rPr>
      </w:pPr>
    </w:p>
    <w:p w14:paraId="6EAEF8AD" w14:textId="77777777" w:rsidR="00FF3818" w:rsidRPr="00BF41F7" w:rsidRDefault="00FF3818" w:rsidP="00BB5D7F">
      <w:pPr>
        <w:spacing w:line="360" w:lineRule="auto"/>
        <w:rPr>
          <w:rFonts w:ascii="David" w:hAnsi="David"/>
          <w:noProof w:val="0"/>
          <w:rtl/>
        </w:rPr>
      </w:pPr>
      <w:r>
        <w:rPr>
          <w:rFonts w:ascii="David" w:hAnsi="David"/>
          <w:noProof w:val="0"/>
          <w:rtl/>
        </w:rPr>
        <w:t>בית המשפט לקח בחשבון גם את התנדבותו לשירות צבאי וכן היותו אב למשפחה ומטופל בילדים, לרבות שני ילדים בעלי צרכים מיוחדים.</w:t>
      </w:r>
    </w:p>
    <w:p w14:paraId="4986EE59" w14:textId="77777777" w:rsidR="00FF3818" w:rsidRPr="00BF41F7" w:rsidRDefault="00FF3818" w:rsidP="00BB5D7F">
      <w:pPr>
        <w:spacing w:line="360" w:lineRule="auto"/>
        <w:jc w:val="both"/>
        <w:rPr>
          <w:rFonts w:ascii="David" w:hAnsi="David"/>
          <w:noProof w:val="0"/>
          <w:rtl/>
        </w:rPr>
      </w:pPr>
    </w:p>
    <w:p w14:paraId="58729C94" w14:textId="77777777" w:rsidR="00FF3818" w:rsidRDefault="00FF3818" w:rsidP="00E950FA">
      <w:pPr>
        <w:spacing w:line="360" w:lineRule="auto"/>
        <w:jc w:val="both"/>
        <w:rPr>
          <w:rFonts w:ascii="David" w:hAnsi="David"/>
          <w:noProof w:val="0"/>
          <w:rtl/>
        </w:rPr>
      </w:pPr>
      <w:r>
        <w:rPr>
          <w:rFonts w:ascii="David" w:hAnsi="David"/>
          <w:noProof w:val="0"/>
          <w:rtl/>
        </w:rPr>
        <w:t xml:space="preserve">מנגד, הנאשם כפר באשמה ואף ניהל ההליך באופן שהכביד על המערכת השיפוטית, הרבה מעבר למקובל. כמובן, אין בכך כדי להביא להחמרה כלשהי בענישה, אך בנסיבות אלה, אין הנאשם זכאי להקלה של מי שנטל אחריות על מעשיו. בכך, שונה עניינו מהנאשם בתיק 47445-08-17 </w:t>
      </w:r>
      <w:r>
        <w:rPr>
          <w:rFonts w:ascii="David" w:hAnsi="David"/>
          <w:b/>
          <w:bCs/>
          <w:noProof w:val="0"/>
          <w:rtl/>
        </w:rPr>
        <w:t>מדינת ישראל נגד גבועה</w:t>
      </w:r>
      <w:r>
        <w:rPr>
          <w:rFonts w:ascii="David" w:hAnsi="David"/>
          <w:noProof w:val="0"/>
          <w:rtl/>
        </w:rPr>
        <w:t xml:space="preserve">, אשר נטל אחריות על מעשיו ואף היה מורשה לנשיאת כלי נשק ארגוני; כמו גם ניתנה, בעניינו, המלצה שיקומית – טיפולית מטעם שירות המבחן. לעניינו, לא עתרה ההגנה להפנות הנאשם לשירות המבחן במועד ואף לא בחלוף ארכה, שניתנה לה לשקול עמדתה (אלא בשלב מאוחר מאוד, בפתח שמיעת פרשת העונש, כשברור היה, כי עתירה זו לא תוכל להתקבל). </w:t>
      </w:r>
    </w:p>
    <w:p w14:paraId="3FEDC836" w14:textId="77777777" w:rsidR="00FF3818" w:rsidRDefault="00FF3818" w:rsidP="00E950FA">
      <w:pPr>
        <w:spacing w:line="360" w:lineRule="auto"/>
        <w:jc w:val="both"/>
        <w:rPr>
          <w:rFonts w:ascii="David" w:hAnsi="David"/>
          <w:noProof w:val="0"/>
          <w:rtl/>
        </w:rPr>
      </w:pPr>
      <w:r>
        <w:rPr>
          <w:rFonts w:ascii="David" w:hAnsi="David"/>
          <w:noProof w:val="0"/>
          <w:rtl/>
        </w:rPr>
        <w:t>ודוק: גם לגוף העניין, לא היה מקום לעתירה כזאת, כאשר אין המדובר במי שהודה ונטל אחריות על מעשיו.</w:t>
      </w:r>
    </w:p>
    <w:p w14:paraId="20268F6B" w14:textId="77777777" w:rsidR="00FF3818" w:rsidRDefault="00FF3818" w:rsidP="00595D94">
      <w:pPr>
        <w:spacing w:line="360" w:lineRule="auto"/>
        <w:jc w:val="both"/>
        <w:rPr>
          <w:rFonts w:ascii="David" w:hAnsi="David"/>
          <w:noProof w:val="0"/>
          <w:rtl/>
        </w:rPr>
      </w:pPr>
    </w:p>
    <w:p w14:paraId="0258C082" w14:textId="77777777" w:rsidR="00FF3818" w:rsidRDefault="00FF3818" w:rsidP="00595D94">
      <w:pPr>
        <w:spacing w:line="360" w:lineRule="auto"/>
        <w:jc w:val="both"/>
        <w:rPr>
          <w:rFonts w:ascii="David" w:hAnsi="David"/>
          <w:noProof w:val="0"/>
          <w:rtl/>
        </w:rPr>
      </w:pPr>
      <w:r>
        <w:rPr>
          <w:rFonts w:ascii="David" w:hAnsi="David"/>
          <w:noProof w:val="0"/>
          <w:rtl/>
        </w:rPr>
        <w:t>העובדה, כי הנאשם מוכר כראש פלג במשפחתו, המונה לא פחות מ-300 חברי השבט, בעל עסקים, המעסיק עובדים וכאדם מכובד, העוסק, בין היתר, בפתרון סכסוכים ובפעילות ציבורית – אינה בגדר נסיבה לקולה במקרה זה.</w:t>
      </w:r>
    </w:p>
    <w:p w14:paraId="21DDFD64" w14:textId="77777777" w:rsidR="00FF3818" w:rsidRDefault="00FF3818" w:rsidP="00595D94">
      <w:pPr>
        <w:spacing w:line="360" w:lineRule="auto"/>
        <w:jc w:val="both"/>
        <w:rPr>
          <w:rFonts w:ascii="David" w:hAnsi="David"/>
          <w:noProof w:val="0"/>
          <w:rtl/>
        </w:rPr>
      </w:pPr>
    </w:p>
    <w:p w14:paraId="5C4EA7B7" w14:textId="77777777" w:rsidR="00FF3818" w:rsidRPr="00BF41F7" w:rsidRDefault="00FF3818" w:rsidP="00BE1863">
      <w:pPr>
        <w:spacing w:line="360" w:lineRule="auto"/>
        <w:jc w:val="both"/>
        <w:rPr>
          <w:rFonts w:ascii="David" w:hAnsi="David"/>
          <w:noProof w:val="0"/>
          <w:rtl/>
        </w:rPr>
      </w:pPr>
      <w:r>
        <w:rPr>
          <w:rFonts w:ascii="David" w:hAnsi="David"/>
          <w:noProof w:val="0"/>
          <w:rtl/>
        </w:rPr>
        <w:t>ההיפך הוא הנכון: עיני הציבור ועיני בני משפחתו המורחבת של הנאשם – נשואות אליו. אם יקל בית המשפט בעונשו של נאשם כזה, שהוא אדם נשוא פנים, בוגר, מנוסה, בעל שיקול דעת – מה יאמרו אזובי הקיר?</w:t>
      </w:r>
    </w:p>
    <w:p w14:paraId="508505C6" w14:textId="77777777" w:rsidR="00FF3818" w:rsidRPr="00BF41F7" w:rsidRDefault="00FF3818" w:rsidP="00BB5D7F">
      <w:pPr>
        <w:spacing w:line="360" w:lineRule="auto"/>
        <w:jc w:val="both"/>
        <w:rPr>
          <w:rFonts w:ascii="David" w:hAnsi="David"/>
          <w:noProof w:val="0"/>
          <w:rtl/>
        </w:rPr>
      </w:pPr>
    </w:p>
    <w:p w14:paraId="1A3B6528" w14:textId="77777777" w:rsidR="00FF3818" w:rsidRPr="00BF41F7" w:rsidRDefault="00FF3818" w:rsidP="00CE4337">
      <w:pPr>
        <w:spacing w:line="360" w:lineRule="auto"/>
        <w:jc w:val="both"/>
        <w:rPr>
          <w:rFonts w:ascii="David" w:hAnsi="David"/>
          <w:noProof w:val="0"/>
          <w:rtl/>
        </w:rPr>
      </w:pPr>
      <w:r>
        <w:rPr>
          <w:rFonts w:ascii="David" w:hAnsi="David"/>
          <w:noProof w:val="0"/>
          <w:rtl/>
        </w:rPr>
        <w:t xml:space="preserve">אשר לבקשת ההגנה, לחרוג ממתחם הענישה מטעמי שיקום: </w:t>
      </w:r>
      <w:r w:rsidRPr="00BF41F7">
        <w:rPr>
          <w:rFonts w:ascii="David" w:hAnsi="David"/>
          <w:noProof w:val="0"/>
          <w:rtl/>
        </w:rPr>
        <w:t xml:space="preserve">כבר נאמר, לא פעם, כי שיקום איננו בגדר מילת קסם, אשר תצדיק סטיה לקולה ממתחם הענישה, בכל מקרה. </w:t>
      </w:r>
      <w:r>
        <w:rPr>
          <w:rFonts w:ascii="David" w:hAnsi="David"/>
          <w:noProof w:val="0"/>
          <w:rtl/>
        </w:rPr>
        <w:t>הראיות שהוצגו לעניין העונש אינן מלמדות על בעיה כלשהי ממנה סובל הנאשם, המצריכה שיקומו.</w:t>
      </w:r>
      <w:r w:rsidRPr="00BF41F7">
        <w:rPr>
          <w:rFonts w:ascii="David" w:hAnsi="David"/>
          <w:noProof w:val="0"/>
          <w:rtl/>
        </w:rPr>
        <w:t xml:space="preserve"> ההיפך הוא הנכון: הנאשם גדל במשפחה נורמטיבית; </w:t>
      </w:r>
      <w:r>
        <w:rPr>
          <w:rFonts w:ascii="David" w:hAnsi="David"/>
          <w:noProof w:val="0"/>
          <w:rtl/>
        </w:rPr>
        <w:t>מצבו הכלכלי שפיר ביותר (אף עלה מהראיות, כי מנהל עסקים שונים, מחזיק בבעלותו כלי רכב בשווי יקר מאוד, לרבות הרכב שנתפס בפרשה זו)</w:t>
      </w:r>
      <w:r w:rsidRPr="00BF41F7">
        <w:rPr>
          <w:rFonts w:ascii="David" w:hAnsi="David"/>
          <w:noProof w:val="0"/>
          <w:rtl/>
        </w:rPr>
        <w:t xml:space="preserve">; אין עדות להתמכרות כלשהי </w:t>
      </w:r>
      <w:r>
        <w:rPr>
          <w:rFonts w:ascii="David" w:hAnsi="David"/>
          <w:noProof w:val="0"/>
          <w:rtl/>
        </w:rPr>
        <w:t xml:space="preserve">לחמרים משני תודעה כגון סמים או אלכוהול </w:t>
      </w:r>
      <w:r w:rsidRPr="00BF41F7">
        <w:rPr>
          <w:rFonts w:ascii="David" w:hAnsi="David"/>
          <w:noProof w:val="0"/>
          <w:rtl/>
        </w:rPr>
        <w:t xml:space="preserve">או למצב </w:t>
      </w:r>
      <w:r>
        <w:rPr>
          <w:rFonts w:ascii="David" w:hAnsi="David"/>
          <w:noProof w:val="0"/>
          <w:rtl/>
        </w:rPr>
        <w:t>מצוקה אחר</w:t>
      </w:r>
      <w:r w:rsidRPr="00BF41F7">
        <w:rPr>
          <w:rFonts w:ascii="David" w:hAnsi="David"/>
          <w:noProof w:val="0"/>
          <w:rtl/>
        </w:rPr>
        <w:t xml:space="preserve"> </w:t>
      </w:r>
      <w:r>
        <w:rPr>
          <w:rFonts w:ascii="David" w:hAnsi="David"/>
          <w:noProof w:val="0"/>
          <w:rtl/>
        </w:rPr>
        <w:t>הדורש</w:t>
      </w:r>
      <w:r w:rsidRPr="00BF41F7">
        <w:rPr>
          <w:rFonts w:ascii="David" w:hAnsi="David"/>
          <w:noProof w:val="0"/>
          <w:rtl/>
        </w:rPr>
        <w:t xml:space="preserve"> טיפול או שיקום. </w:t>
      </w:r>
    </w:p>
    <w:p w14:paraId="73A47C68" w14:textId="77777777" w:rsidR="00FF3818" w:rsidRPr="00BF41F7" w:rsidRDefault="00FF3818" w:rsidP="00BB5D7F">
      <w:pPr>
        <w:spacing w:line="360" w:lineRule="auto"/>
        <w:jc w:val="both"/>
        <w:rPr>
          <w:rFonts w:ascii="David" w:hAnsi="David"/>
          <w:noProof w:val="0"/>
          <w:rtl/>
        </w:rPr>
      </w:pPr>
    </w:p>
    <w:p w14:paraId="08458990" w14:textId="77777777" w:rsidR="00FF3818" w:rsidRDefault="00FF3818" w:rsidP="00CE4337">
      <w:pPr>
        <w:spacing w:line="360" w:lineRule="auto"/>
        <w:jc w:val="both"/>
        <w:rPr>
          <w:rFonts w:ascii="David" w:hAnsi="David"/>
          <w:noProof w:val="0"/>
          <w:rtl/>
        </w:rPr>
      </w:pPr>
      <w:r>
        <w:rPr>
          <w:rFonts w:ascii="David" w:hAnsi="David"/>
          <w:noProof w:val="0"/>
          <w:rtl/>
        </w:rPr>
        <w:t>גם מחוות הדעת הפרטית נ/,7 שהוכנה לבקשת הנאשם – אין עולים נתונים חריגים המצריכים שיקום הנאשם. האמור בנוגע לחשש להסגת מצבו אחור ולפגיעה כלכלית בעסקיו, אם יידון למאסר – נכון לגבי כל אדם, המפרנס משפחה.</w:t>
      </w:r>
    </w:p>
    <w:p w14:paraId="6EBAFC74" w14:textId="77777777" w:rsidR="00FF3818" w:rsidRPr="00BF41F7" w:rsidRDefault="00FF3818" w:rsidP="00BE1863">
      <w:pPr>
        <w:spacing w:line="360" w:lineRule="auto"/>
        <w:jc w:val="both"/>
        <w:rPr>
          <w:rFonts w:ascii="David" w:hAnsi="David"/>
          <w:noProof w:val="0"/>
          <w:rtl/>
        </w:rPr>
      </w:pPr>
    </w:p>
    <w:p w14:paraId="1673CF40" w14:textId="77777777" w:rsidR="00FF3818" w:rsidRPr="00BF41F7" w:rsidRDefault="00FF3818" w:rsidP="00BB5D7F">
      <w:pPr>
        <w:spacing w:line="360" w:lineRule="auto"/>
        <w:jc w:val="both"/>
        <w:rPr>
          <w:rFonts w:ascii="David" w:hAnsi="David"/>
          <w:noProof w:val="0"/>
          <w:rtl/>
        </w:rPr>
      </w:pPr>
      <w:r w:rsidRPr="00BF41F7">
        <w:rPr>
          <w:rFonts w:ascii="David" w:hAnsi="David"/>
          <w:noProof w:val="0"/>
          <w:rtl/>
        </w:rPr>
        <w:t>לאור האמור, אין בית המשפט מוצא עילה כלשהי, לחרוג ממתחם הענישה</w:t>
      </w:r>
      <w:r>
        <w:rPr>
          <w:rFonts w:ascii="David" w:hAnsi="David"/>
          <w:noProof w:val="0"/>
          <w:rtl/>
        </w:rPr>
        <w:t xml:space="preserve"> במקרה זה</w:t>
      </w:r>
      <w:r w:rsidRPr="00BF41F7">
        <w:rPr>
          <w:rFonts w:ascii="David" w:hAnsi="David"/>
          <w:noProof w:val="0"/>
          <w:rtl/>
        </w:rPr>
        <w:t>.</w:t>
      </w:r>
    </w:p>
    <w:p w14:paraId="73E28D4F" w14:textId="77777777" w:rsidR="00FF3818" w:rsidRPr="00BF41F7" w:rsidRDefault="00FF3818" w:rsidP="00BB5D7F">
      <w:pPr>
        <w:spacing w:line="360" w:lineRule="auto"/>
        <w:jc w:val="both"/>
        <w:rPr>
          <w:rFonts w:ascii="David" w:hAnsi="David"/>
          <w:noProof w:val="0"/>
          <w:rtl/>
        </w:rPr>
      </w:pPr>
    </w:p>
    <w:p w14:paraId="5553FF57" w14:textId="77777777" w:rsidR="00FF3818" w:rsidRPr="00BF41F7" w:rsidRDefault="00FF3818" w:rsidP="00BE1863">
      <w:pPr>
        <w:spacing w:line="360" w:lineRule="auto"/>
        <w:jc w:val="both"/>
        <w:rPr>
          <w:rFonts w:ascii="David" w:hAnsi="David"/>
          <w:noProof w:val="0"/>
          <w:rtl/>
        </w:rPr>
      </w:pPr>
      <w:r w:rsidRPr="00BF41F7">
        <w:rPr>
          <w:rFonts w:ascii="David" w:hAnsi="David"/>
          <w:noProof w:val="0"/>
          <w:rtl/>
        </w:rPr>
        <w:t xml:space="preserve">עם זאת, לנוכח השיקולים לקולה, </w:t>
      </w:r>
      <w:r>
        <w:rPr>
          <w:rFonts w:ascii="David" w:hAnsi="David"/>
          <w:noProof w:val="0"/>
          <w:rtl/>
        </w:rPr>
        <w:t>ובעיקר - שירותו הצבאי של הנאשם והיעדר הרשעות קודמות</w:t>
      </w:r>
      <w:r w:rsidRPr="00BF41F7">
        <w:rPr>
          <w:rFonts w:ascii="David" w:hAnsi="David"/>
          <w:noProof w:val="0"/>
          <w:rtl/>
        </w:rPr>
        <w:t xml:space="preserve"> – יושת עונש על הרף הנמוך </w:t>
      </w:r>
      <w:r>
        <w:rPr>
          <w:rFonts w:ascii="David" w:hAnsi="David"/>
          <w:noProof w:val="0"/>
          <w:rtl/>
        </w:rPr>
        <w:t xml:space="preserve">ביותר </w:t>
      </w:r>
      <w:r w:rsidRPr="00BF41F7">
        <w:rPr>
          <w:rFonts w:ascii="David" w:hAnsi="David"/>
          <w:noProof w:val="0"/>
          <w:rtl/>
        </w:rPr>
        <w:t xml:space="preserve">של מתחם הענישה. </w:t>
      </w:r>
    </w:p>
    <w:p w14:paraId="12779F53" w14:textId="77777777" w:rsidR="00FF3818" w:rsidRPr="00BF41F7" w:rsidRDefault="00FF3818" w:rsidP="00BB5D7F">
      <w:pPr>
        <w:spacing w:line="360" w:lineRule="auto"/>
        <w:jc w:val="both"/>
        <w:rPr>
          <w:rFonts w:ascii="David" w:hAnsi="David"/>
          <w:noProof w:val="0"/>
          <w:rtl/>
        </w:rPr>
      </w:pPr>
    </w:p>
    <w:p w14:paraId="1227EA27" w14:textId="77777777" w:rsidR="00FF3818" w:rsidRPr="00BF41F7" w:rsidRDefault="00FF3818" w:rsidP="00BB5D7F">
      <w:pPr>
        <w:spacing w:line="360" w:lineRule="auto"/>
        <w:jc w:val="both"/>
        <w:rPr>
          <w:rFonts w:ascii="David" w:hAnsi="David"/>
          <w:noProof w:val="0"/>
          <w:rtl/>
        </w:rPr>
      </w:pPr>
      <w:r w:rsidRPr="00BF41F7">
        <w:rPr>
          <w:rFonts w:ascii="David" w:hAnsi="David"/>
          <w:noProof w:val="0"/>
          <w:rtl/>
        </w:rPr>
        <w:t>כמובן, יושת על הנאשם עונש צופה פני עתיד</w:t>
      </w:r>
      <w:r>
        <w:rPr>
          <w:rFonts w:ascii="David" w:hAnsi="David"/>
          <w:noProof w:val="0"/>
          <w:rtl/>
        </w:rPr>
        <w:t>,</w:t>
      </w:r>
      <w:r w:rsidRPr="00BF41F7">
        <w:rPr>
          <w:rFonts w:ascii="David" w:hAnsi="David"/>
          <w:noProof w:val="0"/>
          <w:rtl/>
        </w:rPr>
        <w:t xml:space="preserve"> לבל יהין להחזיק שוב בכלי נשק כלשהו, חם או קר.</w:t>
      </w:r>
    </w:p>
    <w:p w14:paraId="204E9A16" w14:textId="77777777" w:rsidR="00FF3818" w:rsidRPr="00BF41F7" w:rsidRDefault="00FF3818" w:rsidP="00BB5D7F">
      <w:pPr>
        <w:spacing w:line="360" w:lineRule="auto"/>
        <w:jc w:val="both"/>
        <w:rPr>
          <w:rFonts w:ascii="David" w:hAnsi="David"/>
          <w:noProof w:val="0"/>
          <w:rtl/>
        </w:rPr>
      </w:pPr>
    </w:p>
    <w:p w14:paraId="0279EF26" w14:textId="77777777" w:rsidR="00FF3818" w:rsidRDefault="00FF3818" w:rsidP="00BB5D7F">
      <w:pPr>
        <w:spacing w:line="360" w:lineRule="auto"/>
        <w:jc w:val="both"/>
        <w:rPr>
          <w:rFonts w:ascii="David" w:hAnsi="David"/>
          <w:noProof w:val="0"/>
          <w:rtl/>
        </w:rPr>
      </w:pPr>
      <w:r w:rsidRPr="00BF41F7">
        <w:rPr>
          <w:rFonts w:ascii="David" w:hAnsi="David"/>
          <w:noProof w:val="0"/>
          <w:rtl/>
        </w:rPr>
        <w:t>כן יושת על הנאשם עיצום כספי מרתיע, בהיקף דומה לזה שהושת במקרים שהובאו לעיל, זאת</w:t>
      </w:r>
      <w:r>
        <w:rPr>
          <w:rFonts w:ascii="David" w:hAnsi="David"/>
          <w:noProof w:val="0"/>
          <w:rtl/>
        </w:rPr>
        <w:t>,</w:t>
      </w:r>
      <w:r w:rsidRPr="00BF41F7">
        <w:rPr>
          <w:rFonts w:ascii="David" w:hAnsi="David"/>
          <w:noProof w:val="0"/>
          <w:rtl/>
        </w:rPr>
        <w:t xml:space="preserve"> בין היתר, לאור השווי הכלכלי של כלי הנשק וכחלק מתמהיל הענישה הכולל. </w:t>
      </w:r>
    </w:p>
    <w:p w14:paraId="1AD83E47" w14:textId="77777777" w:rsidR="00FF3818" w:rsidRDefault="00FF3818" w:rsidP="00BB5D7F">
      <w:pPr>
        <w:spacing w:line="360" w:lineRule="auto"/>
        <w:jc w:val="both"/>
        <w:rPr>
          <w:rFonts w:ascii="David" w:hAnsi="David"/>
          <w:noProof w:val="0"/>
          <w:rtl/>
        </w:rPr>
      </w:pPr>
    </w:p>
    <w:p w14:paraId="74D9E97B" w14:textId="77777777" w:rsidR="00FF3818" w:rsidRPr="00BF41F7" w:rsidRDefault="00FF3818" w:rsidP="003562CA">
      <w:pPr>
        <w:spacing w:line="360" w:lineRule="auto"/>
        <w:jc w:val="both"/>
        <w:rPr>
          <w:rFonts w:ascii="David" w:hAnsi="David"/>
          <w:noProof w:val="0"/>
          <w:rtl/>
        </w:rPr>
      </w:pPr>
      <w:r>
        <w:rPr>
          <w:rFonts w:ascii="David" w:hAnsi="David"/>
          <w:noProof w:val="0"/>
          <w:rtl/>
        </w:rPr>
        <w:t>אשר לעתירת התביעה לחלט רכבו של הנאשם – משלא הובאו נתונים מדויקים, בנוגע לשווי הרכב (על פי הנטען, מאות אלפי ₪) ועל מנת למנוע פגיעה בלתי מידתית בנאשם – תהיה התביעה רשאית לעתור בנפרד לעניין זה, תוך צירוף הנתונים הרלוונטיים והחלטה תתקבל, כמובן, לאחר שהעתירה תועבר להתייחסות ההגנה.</w:t>
      </w:r>
    </w:p>
    <w:p w14:paraId="66DF13A9" w14:textId="77777777" w:rsidR="00FF3818" w:rsidRPr="00BF41F7" w:rsidRDefault="00FF3818" w:rsidP="00BB5D7F">
      <w:pPr>
        <w:spacing w:line="360" w:lineRule="auto"/>
        <w:jc w:val="both"/>
        <w:rPr>
          <w:rFonts w:ascii="David" w:hAnsi="David"/>
          <w:noProof w:val="0"/>
          <w:rtl/>
        </w:rPr>
      </w:pPr>
    </w:p>
    <w:p w14:paraId="17021D87" w14:textId="77777777" w:rsidR="00FF3818" w:rsidRPr="00BF41F7" w:rsidRDefault="00FF3818" w:rsidP="00BB5D7F">
      <w:pPr>
        <w:spacing w:line="360" w:lineRule="auto"/>
        <w:jc w:val="both"/>
        <w:rPr>
          <w:rFonts w:ascii="David" w:hAnsi="David"/>
          <w:noProof w:val="0"/>
          <w:rtl/>
        </w:rPr>
      </w:pPr>
      <w:r w:rsidRPr="00BF41F7">
        <w:rPr>
          <w:rFonts w:ascii="David" w:hAnsi="David"/>
          <w:noProof w:val="0"/>
          <w:rtl/>
        </w:rPr>
        <w:t>לאור כל האמור, גוזר בית המשפט על הנאשם את העונשים הבאים:</w:t>
      </w:r>
    </w:p>
    <w:p w14:paraId="4733836F" w14:textId="77777777" w:rsidR="00FF3818" w:rsidRPr="00BF41F7" w:rsidRDefault="00FF3818" w:rsidP="00BB5D7F">
      <w:pPr>
        <w:spacing w:line="360" w:lineRule="auto"/>
        <w:jc w:val="both"/>
        <w:rPr>
          <w:rFonts w:ascii="David" w:hAnsi="David"/>
          <w:noProof w:val="0"/>
          <w:rtl/>
        </w:rPr>
      </w:pPr>
    </w:p>
    <w:p w14:paraId="1E46066E" w14:textId="77777777" w:rsidR="00FF3818" w:rsidRPr="00BF41F7" w:rsidRDefault="00FF3818" w:rsidP="003562CA">
      <w:pPr>
        <w:spacing w:line="360" w:lineRule="auto"/>
        <w:jc w:val="both"/>
        <w:rPr>
          <w:rFonts w:ascii="David" w:hAnsi="David"/>
          <w:noProof w:val="0"/>
          <w:rtl/>
        </w:rPr>
      </w:pPr>
      <w:r w:rsidRPr="00BF41F7">
        <w:rPr>
          <w:rFonts w:ascii="David" w:hAnsi="David"/>
          <w:noProof w:val="0"/>
          <w:rtl/>
        </w:rPr>
        <w:t>א.</w:t>
      </w:r>
      <w:r w:rsidR="00B87E1A">
        <w:rPr>
          <w:rFonts w:ascii="David" w:hAnsi="David"/>
          <w:noProof w:val="0"/>
          <w:rtl/>
        </w:rPr>
        <w:t xml:space="preserve">        </w:t>
      </w:r>
      <w:r w:rsidRPr="00BF41F7">
        <w:rPr>
          <w:rFonts w:ascii="David" w:hAnsi="David"/>
          <w:noProof w:val="0"/>
          <w:rtl/>
        </w:rPr>
        <w:t xml:space="preserve"> </w:t>
      </w:r>
      <w:r>
        <w:rPr>
          <w:rFonts w:ascii="David" w:hAnsi="David"/>
          <w:noProof w:val="0"/>
          <w:rtl/>
        </w:rPr>
        <w:t>15</w:t>
      </w:r>
      <w:r w:rsidRPr="00BF41F7">
        <w:rPr>
          <w:rFonts w:ascii="David" w:hAnsi="David"/>
          <w:noProof w:val="0"/>
          <w:rtl/>
        </w:rPr>
        <w:t xml:space="preserve"> חודשי מאסר בפועל, בניכוי ימי מעצרו בהתאם לרישומי שב"ס;</w:t>
      </w:r>
    </w:p>
    <w:p w14:paraId="7F7159E9" w14:textId="77777777" w:rsidR="00FF3818" w:rsidRPr="00BF41F7" w:rsidRDefault="00FF3818" w:rsidP="00BB5D7F">
      <w:pPr>
        <w:spacing w:line="360" w:lineRule="auto"/>
        <w:ind w:left="720" w:hanging="720"/>
        <w:jc w:val="both"/>
        <w:rPr>
          <w:rFonts w:ascii="David" w:hAnsi="David"/>
          <w:noProof w:val="0"/>
          <w:rtl/>
        </w:rPr>
      </w:pPr>
      <w:r w:rsidRPr="00BF41F7">
        <w:rPr>
          <w:rFonts w:ascii="David" w:hAnsi="David"/>
          <w:noProof w:val="0"/>
          <w:rtl/>
        </w:rPr>
        <w:t>ב.</w:t>
      </w:r>
      <w:r w:rsidR="00B87E1A">
        <w:rPr>
          <w:rFonts w:ascii="David" w:hAnsi="David"/>
          <w:noProof w:val="0"/>
          <w:rtl/>
        </w:rPr>
        <w:t xml:space="preserve">        </w:t>
      </w:r>
      <w:r w:rsidRPr="00BF41F7">
        <w:rPr>
          <w:rFonts w:ascii="David" w:hAnsi="David"/>
          <w:noProof w:val="0"/>
          <w:rtl/>
        </w:rPr>
        <w:t xml:space="preserve"> 12 חודשי מאסר על תנאי למשך 3 שנים מהיום; והתנאי – שהנאשם לא יעבור עבירה מסוג פשע בניגוד </w:t>
      </w:r>
      <w:hyperlink r:id="rId34" w:history="1">
        <w:r w:rsidR="00183C96" w:rsidRPr="00183C96">
          <w:rPr>
            <w:rFonts w:ascii="David" w:hAnsi="David"/>
            <w:noProof w:val="0"/>
            <w:color w:val="0000FF"/>
            <w:u w:val="single"/>
            <w:rtl/>
          </w:rPr>
          <w:t>לסעיף 144</w:t>
        </w:r>
      </w:hyperlink>
      <w:r w:rsidRPr="00BF41F7">
        <w:rPr>
          <w:rFonts w:ascii="David" w:hAnsi="David"/>
          <w:noProof w:val="0"/>
          <w:rtl/>
        </w:rPr>
        <w:t xml:space="preserve"> ל</w:t>
      </w:r>
      <w:hyperlink r:id="rId35" w:history="1">
        <w:r w:rsidR="00B87E1A" w:rsidRPr="00B87E1A">
          <w:rPr>
            <w:rFonts w:ascii="David" w:hAnsi="David"/>
            <w:noProof w:val="0"/>
            <w:color w:val="0000FF"/>
            <w:u w:val="single"/>
            <w:rtl/>
          </w:rPr>
          <w:t>חוק העונשין</w:t>
        </w:r>
      </w:hyperlink>
      <w:r w:rsidRPr="00BF41F7">
        <w:rPr>
          <w:rFonts w:ascii="David" w:hAnsi="David"/>
          <w:noProof w:val="0"/>
          <w:rtl/>
        </w:rPr>
        <w:t xml:space="preserve">, תשל"ז – 1977; </w:t>
      </w:r>
    </w:p>
    <w:p w14:paraId="3A934970" w14:textId="77777777" w:rsidR="00FF3818" w:rsidRPr="00BF41F7" w:rsidRDefault="00FF3818" w:rsidP="00BB5D7F">
      <w:pPr>
        <w:spacing w:line="360" w:lineRule="auto"/>
        <w:ind w:left="720" w:hanging="720"/>
        <w:jc w:val="both"/>
        <w:rPr>
          <w:rFonts w:ascii="David" w:hAnsi="David"/>
          <w:noProof w:val="0"/>
          <w:rtl/>
        </w:rPr>
      </w:pPr>
      <w:r w:rsidRPr="00BF41F7">
        <w:rPr>
          <w:rFonts w:ascii="David" w:hAnsi="David"/>
          <w:noProof w:val="0"/>
          <w:rtl/>
        </w:rPr>
        <w:t>ג.</w:t>
      </w:r>
      <w:r w:rsidR="00B87E1A">
        <w:rPr>
          <w:rFonts w:ascii="David" w:hAnsi="David"/>
          <w:noProof w:val="0"/>
          <w:rtl/>
        </w:rPr>
        <w:t xml:space="preserve">         </w:t>
      </w:r>
      <w:r w:rsidRPr="00BF41F7">
        <w:rPr>
          <w:rFonts w:ascii="David" w:hAnsi="David"/>
          <w:noProof w:val="0"/>
          <w:rtl/>
        </w:rPr>
        <w:t xml:space="preserve"> 6 חודשי מאסר על תנאי למשך 3 שנים מהיום; והתנאי – שהנאשם לא יעבור עבירה מסוג עוון בניגוד </w:t>
      </w:r>
      <w:hyperlink r:id="rId36" w:history="1">
        <w:r w:rsidR="00183C96" w:rsidRPr="00183C96">
          <w:rPr>
            <w:rFonts w:ascii="David" w:hAnsi="David"/>
            <w:noProof w:val="0"/>
            <w:color w:val="0000FF"/>
            <w:u w:val="single"/>
            <w:rtl/>
          </w:rPr>
          <w:t>לסעיף 144</w:t>
        </w:r>
      </w:hyperlink>
      <w:r w:rsidRPr="00BF41F7">
        <w:rPr>
          <w:rFonts w:ascii="David" w:hAnsi="David"/>
          <w:noProof w:val="0"/>
          <w:rtl/>
        </w:rPr>
        <w:t xml:space="preserve"> ל</w:t>
      </w:r>
      <w:hyperlink r:id="rId37" w:history="1">
        <w:r w:rsidR="00B87E1A" w:rsidRPr="00B87E1A">
          <w:rPr>
            <w:rFonts w:ascii="David" w:hAnsi="David"/>
            <w:noProof w:val="0"/>
            <w:color w:val="0000FF"/>
            <w:u w:val="single"/>
            <w:rtl/>
          </w:rPr>
          <w:t>חוק העונשין</w:t>
        </w:r>
      </w:hyperlink>
      <w:r w:rsidRPr="00BF41F7">
        <w:rPr>
          <w:rFonts w:ascii="David" w:hAnsi="David"/>
          <w:noProof w:val="0"/>
          <w:rtl/>
        </w:rPr>
        <w:t>, תשל"ז – 1977;</w:t>
      </w:r>
      <w:r w:rsidR="00B87E1A">
        <w:rPr>
          <w:rFonts w:ascii="David" w:hAnsi="David"/>
          <w:noProof w:val="0"/>
          <w:rtl/>
        </w:rPr>
        <w:t xml:space="preserve"> </w:t>
      </w:r>
      <w:r w:rsidRPr="00BF41F7">
        <w:rPr>
          <w:rFonts w:ascii="David" w:hAnsi="David"/>
          <w:noProof w:val="0"/>
          <w:rtl/>
        </w:rPr>
        <w:t xml:space="preserve"> או עבירה בניגוד </w:t>
      </w:r>
      <w:hyperlink r:id="rId38" w:history="1">
        <w:r w:rsidR="00183C96" w:rsidRPr="00183C96">
          <w:rPr>
            <w:rFonts w:ascii="David" w:hAnsi="David"/>
            <w:noProof w:val="0"/>
            <w:color w:val="0000FF"/>
            <w:u w:val="single"/>
            <w:rtl/>
          </w:rPr>
          <w:t>לסעיף 186</w:t>
        </w:r>
      </w:hyperlink>
      <w:r w:rsidRPr="00BF41F7">
        <w:rPr>
          <w:rFonts w:ascii="David" w:hAnsi="David"/>
          <w:noProof w:val="0"/>
          <w:rtl/>
        </w:rPr>
        <w:t xml:space="preserve"> לאותו חוק;</w:t>
      </w:r>
    </w:p>
    <w:p w14:paraId="3F752907" w14:textId="77777777" w:rsidR="00FF3818" w:rsidRPr="00BF41F7" w:rsidRDefault="00FF3818" w:rsidP="003562CA">
      <w:pPr>
        <w:spacing w:line="360" w:lineRule="auto"/>
        <w:ind w:left="720" w:hanging="720"/>
        <w:jc w:val="both"/>
        <w:rPr>
          <w:rFonts w:ascii="David" w:hAnsi="David"/>
          <w:noProof w:val="0"/>
          <w:rtl/>
        </w:rPr>
      </w:pPr>
      <w:r w:rsidRPr="00BF41F7">
        <w:rPr>
          <w:rFonts w:ascii="David" w:hAnsi="David"/>
          <w:noProof w:val="0"/>
          <w:rtl/>
        </w:rPr>
        <w:t>ד.</w:t>
      </w:r>
      <w:r w:rsidR="00B87E1A">
        <w:rPr>
          <w:rFonts w:ascii="David" w:hAnsi="David"/>
          <w:noProof w:val="0"/>
          <w:rtl/>
        </w:rPr>
        <w:t xml:space="preserve">        </w:t>
      </w:r>
      <w:r w:rsidRPr="00BF41F7">
        <w:rPr>
          <w:rFonts w:ascii="David" w:hAnsi="David"/>
          <w:noProof w:val="0"/>
          <w:rtl/>
        </w:rPr>
        <w:t xml:space="preserve"> קנס בסך </w:t>
      </w:r>
      <w:r>
        <w:rPr>
          <w:rFonts w:ascii="David" w:hAnsi="David"/>
          <w:noProof w:val="0"/>
          <w:rtl/>
        </w:rPr>
        <w:t>10</w:t>
      </w:r>
      <w:r w:rsidRPr="00BF41F7">
        <w:rPr>
          <w:rFonts w:ascii="David" w:hAnsi="David"/>
          <w:noProof w:val="0"/>
          <w:rtl/>
        </w:rPr>
        <w:t>,000 ₪ או 90 ימי מאסר תמורתו. הקנס ישולם ב-</w:t>
      </w:r>
      <w:r>
        <w:rPr>
          <w:rFonts w:ascii="David" w:hAnsi="David"/>
          <w:noProof w:val="0"/>
          <w:rtl/>
        </w:rPr>
        <w:t>10</w:t>
      </w:r>
      <w:r w:rsidRPr="00BF41F7">
        <w:rPr>
          <w:rFonts w:ascii="David" w:hAnsi="David"/>
          <w:noProof w:val="0"/>
          <w:rtl/>
        </w:rPr>
        <w:t xml:space="preserve"> שיעורים שווים ורצופים החל מיום 01.</w:t>
      </w:r>
      <w:r>
        <w:rPr>
          <w:rFonts w:ascii="David" w:hAnsi="David"/>
          <w:noProof w:val="0"/>
          <w:rtl/>
        </w:rPr>
        <w:t>03</w:t>
      </w:r>
      <w:r w:rsidRPr="00BF41F7">
        <w:rPr>
          <w:rFonts w:ascii="David" w:hAnsi="David"/>
          <w:noProof w:val="0"/>
          <w:rtl/>
        </w:rPr>
        <w:t>.</w:t>
      </w:r>
      <w:r>
        <w:rPr>
          <w:rFonts w:ascii="David" w:hAnsi="David"/>
          <w:noProof w:val="0"/>
          <w:rtl/>
        </w:rPr>
        <w:t>20</w:t>
      </w:r>
      <w:r w:rsidR="00B87E1A">
        <w:rPr>
          <w:rFonts w:ascii="David" w:hAnsi="David"/>
          <w:noProof w:val="0"/>
          <w:rtl/>
        </w:rPr>
        <w:t xml:space="preserve"> </w:t>
      </w:r>
      <w:r w:rsidRPr="00BF41F7">
        <w:rPr>
          <w:rFonts w:ascii="David" w:hAnsi="David"/>
          <w:noProof w:val="0"/>
          <w:rtl/>
        </w:rPr>
        <w:t xml:space="preserve"> ובכל 01 לחודש שלאחר מכן. לא יועבר אחד התשלומים במועד – תעמוד היתרה לפירעון מידי. </w:t>
      </w:r>
    </w:p>
    <w:p w14:paraId="0CB3B522" w14:textId="77777777" w:rsidR="00FF3818" w:rsidRPr="00BF41F7" w:rsidRDefault="00FF3818" w:rsidP="00BB5D7F">
      <w:pPr>
        <w:spacing w:line="360" w:lineRule="auto"/>
        <w:ind w:left="720" w:hanging="720"/>
        <w:jc w:val="both"/>
        <w:rPr>
          <w:rFonts w:ascii="David" w:hAnsi="David"/>
          <w:noProof w:val="0"/>
          <w:rtl/>
        </w:rPr>
      </w:pPr>
    </w:p>
    <w:p w14:paraId="653886AE" w14:textId="77777777" w:rsidR="00FF3818" w:rsidRPr="00BF41F7" w:rsidRDefault="00FF3818" w:rsidP="00BB5D7F">
      <w:pPr>
        <w:spacing w:line="360" w:lineRule="auto"/>
        <w:ind w:left="720" w:hanging="720"/>
        <w:jc w:val="both"/>
        <w:rPr>
          <w:rFonts w:ascii="David" w:hAnsi="David"/>
          <w:noProof w:val="0"/>
          <w:rtl/>
        </w:rPr>
      </w:pPr>
      <w:r w:rsidRPr="00BF41F7">
        <w:rPr>
          <w:rFonts w:ascii="David" w:hAnsi="David"/>
          <w:noProof w:val="0"/>
          <w:rtl/>
        </w:rPr>
        <w:t xml:space="preserve">הנאשם יתייצב לריצוי עונשו כעת. </w:t>
      </w:r>
    </w:p>
    <w:p w14:paraId="4493BD4B" w14:textId="77777777" w:rsidR="00FF3818" w:rsidRPr="00BF41F7" w:rsidRDefault="00FF3818" w:rsidP="00BB5D7F">
      <w:pPr>
        <w:spacing w:line="360" w:lineRule="auto"/>
        <w:ind w:left="720" w:hanging="720"/>
        <w:jc w:val="both"/>
        <w:rPr>
          <w:rFonts w:ascii="David" w:hAnsi="David"/>
          <w:noProof w:val="0"/>
          <w:rtl/>
        </w:rPr>
      </w:pPr>
    </w:p>
    <w:p w14:paraId="72D1B84A" w14:textId="77777777" w:rsidR="00FF3818" w:rsidRPr="00BF41F7" w:rsidRDefault="00FF3818" w:rsidP="00BB5D7F">
      <w:pPr>
        <w:spacing w:line="360" w:lineRule="auto"/>
        <w:ind w:left="720" w:hanging="720"/>
        <w:jc w:val="both"/>
        <w:rPr>
          <w:rFonts w:ascii="David" w:hAnsi="David"/>
          <w:b/>
          <w:bCs/>
          <w:noProof w:val="0"/>
          <w:rtl/>
        </w:rPr>
      </w:pPr>
      <w:r w:rsidRPr="00BF41F7">
        <w:rPr>
          <w:rFonts w:ascii="David" w:hAnsi="David"/>
          <w:b/>
          <w:bCs/>
          <w:noProof w:val="0"/>
          <w:rtl/>
        </w:rPr>
        <w:t xml:space="preserve">הודעה זכות הערעור. </w:t>
      </w:r>
    </w:p>
    <w:p w14:paraId="7297EB1C" w14:textId="77777777" w:rsidR="00FF3818" w:rsidRDefault="00FF3818" w:rsidP="00BB5D7F">
      <w:pPr>
        <w:spacing w:line="360" w:lineRule="auto"/>
        <w:rPr>
          <w:rFonts w:ascii="Arial" w:hAnsi="Arial"/>
          <w:noProof w:val="0"/>
          <w:rtl/>
        </w:rPr>
      </w:pPr>
    </w:p>
    <w:p w14:paraId="492397AB" w14:textId="77777777" w:rsidR="00FF3818" w:rsidRPr="00B87E1A" w:rsidRDefault="00B87E1A" w:rsidP="00BB5D7F">
      <w:pPr>
        <w:spacing w:line="360" w:lineRule="auto"/>
        <w:jc w:val="both"/>
        <w:rPr>
          <w:rFonts w:ascii="Arial" w:hAnsi="Arial"/>
          <w:noProof w:val="0"/>
          <w:color w:val="FFFFFF"/>
          <w:sz w:val="2"/>
          <w:szCs w:val="2"/>
          <w:rtl/>
        </w:rPr>
      </w:pPr>
      <w:r w:rsidRPr="00B87E1A">
        <w:rPr>
          <w:rFonts w:ascii="Arial" w:hAnsi="Arial"/>
          <w:noProof w:val="0"/>
          <w:color w:val="FFFFFF"/>
          <w:sz w:val="2"/>
          <w:szCs w:val="2"/>
          <w:rtl/>
        </w:rPr>
        <w:t>5129371</w:t>
      </w:r>
    </w:p>
    <w:p w14:paraId="757E56C1" w14:textId="77777777" w:rsidR="00FF3818" w:rsidRPr="00B87E1A" w:rsidRDefault="00B87E1A" w:rsidP="00BB5D7F">
      <w:pPr>
        <w:spacing w:line="360" w:lineRule="auto"/>
        <w:jc w:val="both"/>
        <w:rPr>
          <w:rFonts w:ascii="Arial" w:hAnsi="Arial"/>
          <w:noProof w:val="0"/>
          <w:color w:val="FFFFFF"/>
          <w:sz w:val="2"/>
          <w:szCs w:val="2"/>
          <w:rtl/>
        </w:rPr>
      </w:pPr>
      <w:r w:rsidRPr="00B87E1A">
        <w:rPr>
          <w:rFonts w:ascii="Arial" w:hAnsi="Arial"/>
          <w:noProof w:val="0"/>
          <w:color w:val="FFFFFF"/>
          <w:sz w:val="2"/>
          <w:szCs w:val="2"/>
          <w:rtl/>
        </w:rPr>
        <w:t>54678313</w:t>
      </w:r>
    </w:p>
    <w:p w14:paraId="0AD32FF0" w14:textId="77777777" w:rsidR="00FF3818" w:rsidRDefault="00FF3818" w:rsidP="00BB5D7F">
      <w:pPr>
        <w:spacing w:line="360" w:lineRule="auto"/>
        <w:jc w:val="both"/>
        <w:rPr>
          <w:rFonts w:ascii="Arial" w:hAnsi="Arial"/>
          <w:noProof w:val="0"/>
          <w:rtl/>
        </w:rPr>
      </w:pPr>
    </w:p>
    <w:p w14:paraId="62E2CD8C" w14:textId="77777777" w:rsidR="00FF3818" w:rsidRDefault="00FF3818" w:rsidP="00BB5D7F">
      <w:pPr>
        <w:spacing w:line="360" w:lineRule="auto"/>
        <w:jc w:val="both"/>
        <w:rPr>
          <w:rFonts w:ascii="Arial" w:hAnsi="Arial"/>
          <w:noProof w:val="0"/>
          <w:rtl/>
        </w:rPr>
      </w:pPr>
    </w:p>
    <w:p w14:paraId="31F45904" w14:textId="77777777" w:rsidR="00FF3818" w:rsidRDefault="00B87E1A" w:rsidP="00BB5D7F">
      <w:pPr>
        <w:spacing w:line="360" w:lineRule="auto"/>
        <w:jc w:val="both"/>
        <w:rPr>
          <w:rFonts w:ascii="Arial" w:hAnsi="Arial"/>
          <w:noProof w:val="0"/>
          <w:rtl/>
        </w:rPr>
      </w:pPr>
      <w:bookmarkStart w:id="8" w:name="Nitan"/>
      <w:r>
        <w:rPr>
          <w:rFonts w:ascii="Arial" w:hAnsi="Arial"/>
          <w:noProof w:val="0"/>
          <w:rtl/>
        </w:rPr>
        <w:t xml:space="preserve">ניתנה היום, י"ח טבת תש"פ, 15 ינואר 2020, במעמד הצדדים. </w:t>
      </w:r>
      <w:bookmarkEnd w:id="8"/>
    </w:p>
    <w:p w14:paraId="0607AA2D" w14:textId="77777777" w:rsidR="00FF3818" w:rsidRPr="008B0521" w:rsidRDefault="008B0521" w:rsidP="00BB5D7F">
      <w:pPr>
        <w:spacing w:line="360" w:lineRule="auto"/>
        <w:ind w:left="3600" w:firstLine="720"/>
        <w:jc w:val="center"/>
        <w:rPr>
          <w:color w:val="FFFFFF"/>
          <w:sz w:val="2"/>
          <w:szCs w:val="2"/>
        </w:rPr>
      </w:pPr>
      <w:r w:rsidRPr="008B0521">
        <w:rPr>
          <w:color w:val="FFFFFF"/>
          <w:sz w:val="2"/>
          <w:szCs w:val="2"/>
          <w:rtl/>
        </w:rPr>
        <w:t>5129371</w:t>
      </w:r>
    </w:p>
    <w:p w14:paraId="6F182AE8" w14:textId="77777777" w:rsidR="00FF3818" w:rsidRPr="008B0521" w:rsidRDefault="008B0521" w:rsidP="00B87E1A">
      <w:pPr>
        <w:keepNext/>
        <w:spacing w:line="360" w:lineRule="auto"/>
        <w:rPr>
          <w:rFonts w:ascii="David" w:hAnsi="David" w:hint="cs"/>
          <w:noProof w:val="0"/>
          <w:color w:val="FFFFFF"/>
          <w:sz w:val="2"/>
          <w:szCs w:val="2"/>
          <w:rtl/>
        </w:rPr>
      </w:pPr>
      <w:r w:rsidRPr="008B0521">
        <w:rPr>
          <w:rFonts w:ascii="David" w:hAnsi="David"/>
          <w:noProof w:val="0"/>
          <w:color w:val="FFFFFF"/>
          <w:sz w:val="2"/>
          <w:szCs w:val="2"/>
          <w:rtl/>
        </w:rPr>
        <w:t>54678313</w:t>
      </w:r>
    </w:p>
    <w:p w14:paraId="0D32E6B8" w14:textId="77777777" w:rsidR="00B87E1A" w:rsidRPr="00B87E1A" w:rsidRDefault="00B87E1A" w:rsidP="00B87E1A">
      <w:pPr>
        <w:keepNext/>
        <w:spacing w:line="360" w:lineRule="auto"/>
        <w:rPr>
          <w:rFonts w:ascii="David" w:hAnsi="David"/>
          <w:noProof w:val="0"/>
          <w:color w:val="000000"/>
          <w:sz w:val="22"/>
          <w:szCs w:val="22"/>
          <w:rtl/>
        </w:rPr>
      </w:pPr>
      <w:r w:rsidRPr="00B87E1A">
        <w:rPr>
          <w:rFonts w:ascii="David" w:hAnsi="David"/>
          <w:noProof w:val="0"/>
          <w:color w:val="000000"/>
          <w:sz w:val="22"/>
          <w:szCs w:val="22"/>
          <w:rtl/>
        </w:rPr>
        <w:t>רון סולקין 54678313</w:t>
      </w:r>
    </w:p>
    <w:p w14:paraId="74C9CBA0" w14:textId="77777777" w:rsidR="00B87E1A" w:rsidRDefault="00B87E1A" w:rsidP="00A70772">
      <w:pPr>
        <w:spacing w:line="360" w:lineRule="auto"/>
        <w:rPr>
          <w:rFonts w:ascii="Arial" w:hAnsi="Arial"/>
          <w:noProof w:val="0"/>
          <w:rtl/>
        </w:rPr>
      </w:pPr>
      <w:r w:rsidRPr="00B87E1A">
        <w:rPr>
          <w:rFonts w:ascii="Arial" w:hAnsi="Arial"/>
          <w:noProof w:val="0"/>
          <w:color w:val="000000"/>
          <w:rtl/>
        </w:rPr>
        <w:t>נוסח מסמך זה כפוף לשינויי ניסוח ועריכה</w:t>
      </w:r>
    </w:p>
    <w:p w14:paraId="7C95AE76" w14:textId="77777777" w:rsidR="00B87E1A" w:rsidRDefault="00B87E1A" w:rsidP="00B87E1A">
      <w:pPr>
        <w:spacing w:line="360" w:lineRule="auto"/>
        <w:ind w:left="3600" w:firstLine="720"/>
        <w:rPr>
          <w:rFonts w:ascii="Arial" w:hAnsi="Arial"/>
          <w:noProof w:val="0"/>
          <w:rtl/>
        </w:rPr>
      </w:pPr>
    </w:p>
    <w:p w14:paraId="1552D018" w14:textId="77777777" w:rsidR="00B87E1A" w:rsidRDefault="00B87E1A" w:rsidP="00A70772">
      <w:pPr>
        <w:spacing w:line="360" w:lineRule="auto"/>
        <w:ind w:left="720"/>
        <w:rPr>
          <w:rFonts w:ascii="Arial" w:hAnsi="Arial"/>
          <w:noProof w:val="0"/>
          <w:color w:val="0000FF"/>
          <w:u w:val="single"/>
          <w:rtl/>
        </w:rPr>
      </w:pPr>
      <w:hyperlink r:id="rId39" w:history="1">
        <w:r>
          <w:rPr>
            <w:rFonts w:ascii="Arial" w:hAnsi="Arial"/>
            <w:noProof w:val="0"/>
            <w:color w:val="0000FF"/>
            <w:u w:val="single"/>
            <w:rtl/>
          </w:rPr>
          <w:t>בעניין עריכה ושינויים במסמכי פסיקה, חקיקה ועוד באתר נבו – הקש כאן</w:t>
        </w:r>
      </w:hyperlink>
    </w:p>
    <w:p w14:paraId="2505D980" w14:textId="77777777" w:rsidR="008B0521" w:rsidRPr="008B0521" w:rsidRDefault="008B0521" w:rsidP="008B0521">
      <w:pPr>
        <w:keepNext/>
        <w:spacing w:line="360" w:lineRule="auto"/>
        <w:rPr>
          <w:rFonts w:ascii="David" w:hAnsi="David" w:hint="cs"/>
          <w:noProof w:val="0"/>
          <w:color w:val="000000"/>
          <w:sz w:val="22"/>
          <w:szCs w:val="22"/>
          <w:rtl/>
        </w:rPr>
      </w:pPr>
    </w:p>
    <w:sectPr w:rsidR="008B0521" w:rsidRPr="008B0521" w:rsidSect="008B0521">
      <w:headerReference w:type="even" r:id="rId40"/>
      <w:headerReference w:type="default" r:id="rId41"/>
      <w:footerReference w:type="even" r:id="rId42"/>
      <w:footerReference w:type="default" r:id="rId43"/>
      <w:pgSz w:w="11907" w:h="16840" w:code="9"/>
      <w:pgMar w:top="1701" w:right="1701" w:bottom="2552" w:left="1701" w:header="720" w:footer="737" w:gutter="0"/>
      <w:pgNumType w:start="1"/>
      <w:cols w:space="720"/>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FF4A9" w14:textId="77777777" w:rsidR="00E54852" w:rsidRDefault="00E54852">
      <w:r>
        <w:separator/>
      </w:r>
    </w:p>
  </w:endnote>
  <w:endnote w:type="continuationSeparator" w:id="0">
    <w:p w14:paraId="644E35EE" w14:textId="77777777" w:rsidR="00E54852" w:rsidRDefault="00E54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36B7E" w14:textId="77777777" w:rsidR="008B0521" w:rsidRDefault="008B0521" w:rsidP="008B052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1C4FC5C6" w14:textId="77777777" w:rsidR="003B4331" w:rsidRPr="008B0521" w:rsidRDefault="008B0521" w:rsidP="008B0521">
    <w:pPr>
      <w:pStyle w:val="a4"/>
      <w:pBdr>
        <w:top w:val="single" w:sz="4" w:space="1" w:color="auto"/>
        <w:between w:val="single" w:sz="4" w:space="0" w:color="auto"/>
      </w:pBdr>
      <w:spacing w:after="60"/>
      <w:jc w:val="center"/>
      <w:rPr>
        <w:rFonts w:ascii="FrankRuehl" w:hAnsi="FrankRuehl" w:cs="FrankRuehl"/>
        <w:color w:val="000000"/>
      </w:rPr>
    </w:pPr>
    <w:r w:rsidRPr="008B052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EFC09" w14:textId="77777777" w:rsidR="008B0521" w:rsidRDefault="008B0521" w:rsidP="008B0521">
    <w:pPr>
      <w:pStyle w:val="a4"/>
      <w:jc w:val="center"/>
      <w:rPr>
        <w:rStyle w:val="ab"/>
        <w:rFonts w:ascii="FrankRuehl" w:hAnsi="FrankRuehl" w:cs="FrankRuehl"/>
        <w:rtl/>
      </w:rPr>
    </w:pPr>
    <w:r>
      <w:rPr>
        <w:rStyle w:val="ab"/>
        <w:rFonts w:ascii="FrankRuehl" w:hAnsi="FrankRuehl" w:cs="FrankRuehl"/>
        <w:rtl/>
      </w:rPr>
      <w:fldChar w:fldCharType="begin"/>
    </w:r>
    <w:r>
      <w:rPr>
        <w:rStyle w:val="ab"/>
        <w:rFonts w:ascii="FrankRuehl" w:hAnsi="FrankRuehl" w:cs="FrankRuehl"/>
        <w:rtl/>
      </w:rPr>
      <w:instrText xml:space="preserve"> </w:instrText>
    </w:r>
    <w:r>
      <w:rPr>
        <w:rStyle w:val="ab"/>
        <w:rFonts w:ascii="FrankRuehl" w:hAnsi="FrankRuehl" w:cs="FrankRuehl" w:hint="cs"/>
      </w:rPr>
      <w:instrText>PAGE</w:instrText>
    </w:r>
    <w:r>
      <w:rPr>
        <w:rStyle w:val="ab"/>
        <w:rFonts w:ascii="FrankRuehl" w:hAnsi="FrankRuehl" w:cs="FrankRuehl" w:hint="cs"/>
        <w:rtl/>
      </w:rPr>
      <w:instrText xml:space="preserve">  \* </w:instrText>
    </w:r>
    <w:r>
      <w:rPr>
        <w:rStyle w:val="ab"/>
        <w:rFonts w:ascii="FrankRuehl" w:hAnsi="FrankRuehl" w:cs="FrankRuehl" w:hint="cs"/>
      </w:rPr>
      <w:instrText>MERGEFORMAT</w:instrText>
    </w:r>
    <w:r>
      <w:rPr>
        <w:rStyle w:val="ab"/>
        <w:rFonts w:ascii="FrankRuehl" w:hAnsi="FrankRuehl" w:cs="FrankRuehl"/>
        <w:rtl/>
      </w:rPr>
      <w:instrText xml:space="preserve"> </w:instrText>
    </w:r>
    <w:r>
      <w:rPr>
        <w:rStyle w:val="ab"/>
        <w:rFonts w:ascii="FrankRuehl" w:hAnsi="FrankRuehl" w:cs="FrankRuehl"/>
        <w:rtl/>
      </w:rPr>
      <w:fldChar w:fldCharType="separate"/>
    </w:r>
    <w:r w:rsidR="001C68AC">
      <w:rPr>
        <w:rStyle w:val="ab"/>
        <w:rFonts w:ascii="FrankRuehl" w:hAnsi="FrankRuehl" w:cs="FrankRuehl"/>
        <w:rtl/>
      </w:rPr>
      <w:t>1</w:t>
    </w:r>
    <w:r>
      <w:rPr>
        <w:rStyle w:val="ab"/>
        <w:rFonts w:ascii="FrankRuehl" w:hAnsi="FrankRuehl" w:cs="FrankRuehl"/>
        <w:rtl/>
      </w:rPr>
      <w:fldChar w:fldCharType="end"/>
    </w:r>
  </w:p>
  <w:p w14:paraId="39E7C75A" w14:textId="77777777" w:rsidR="003B4331" w:rsidRPr="008B0521" w:rsidRDefault="008B0521" w:rsidP="008B0521">
    <w:pPr>
      <w:pStyle w:val="a4"/>
      <w:pBdr>
        <w:top w:val="single" w:sz="4" w:space="1" w:color="auto"/>
        <w:between w:val="single" w:sz="4" w:space="0" w:color="auto"/>
      </w:pBdr>
      <w:spacing w:after="60"/>
      <w:jc w:val="center"/>
      <w:rPr>
        <w:rStyle w:val="ab"/>
        <w:rFonts w:ascii="FrankRuehl" w:hAnsi="FrankRuehl" w:cs="FrankRuehl" w:hint="cs"/>
        <w:color w:val="000000"/>
        <w:rtl/>
      </w:rPr>
    </w:pPr>
    <w:r w:rsidRPr="008B0521">
      <w:rPr>
        <w:rStyle w:val="ab"/>
        <w:rFonts w:ascii="FrankRuehl" w:hAnsi="FrankRuehl" w:cs="FrankRuehl" w:hint="cs"/>
        <w:color w:val="000000"/>
      </w:rPr>
      <w:pict w14:anchorId="43E04D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67610" w14:textId="77777777" w:rsidR="00E54852" w:rsidRDefault="00E54852">
      <w:r>
        <w:separator/>
      </w:r>
    </w:p>
  </w:footnote>
  <w:footnote w:type="continuationSeparator" w:id="0">
    <w:p w14:paraId="1659C82F" w14:textId="77777777" w:rsidR="00E54852" w:rsidRDefault="00E548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2AA60" w14:textId="77777777" w:rsidR="003B4331" w:rsidRPr="008B0521" w:rsidRDefault="008B0521" w:rsidP="008B052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19417-11-16</w:t>
    </w:r>
    <w:r>
      <w:rPr>
        <w:rFonts w:ascii="David" w:hAnsi="David"/>
        <w:color w:val="000000"/>
        <w:sz w:val="22"/>
        <w:szCs w:val="22"/>
        <w:rtl/>
      </w:rPr>
      <w:tab/>
      <w:t xml:space="preserve"> מדינת ישראל נ' וספי בן מחמד אבו אלקיעאן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E43D6" w14:textId="77777777" w:rsidR="003B4331" w:rsidRPr="008B0521" w:rsidRDefault="008B0521" w:rsidP="008B052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19417-11-16</w:t>
    </w:r>
    <w:r>
      <w:rPr>
        <w:rFonts w:ascii="David" w:hAnsi="David"/>
        <w:color w:val="000000"/>
        <w:sz w:val="22"/>
        <w:szCs w:val="22"/>
        <w:rtl/>
      </w:rPr>
      <w:tab/>
      <w:t xml:space="preserve"> מדינת ישראל נ' וספי בן מחמד אבו אלקיעאן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11E4A"/>
    <w:multiLevelType w:val="hybridMultilevel"/>
    <w:tmpl w:val="67163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5880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94556"/>
    <w:rsid w:val="0000226B"/>
    <w:rsid w:val="00005C8B"/>
    <w:rsid w:val="00006318"/>
    <w:rsid w:val="00050E94"/>
    <w:rsid w:val="000564AB"/>
    <w:rsid w:val="00061AD2"/>
    <w:rsid w:val="0006346F"/>
    <w:rsid w:val="00064FBD"/>
    <w:rsid w:val="00076414"/>
    <w:rsid w:val="00082AB2"/>
    <w:rsid w:val="00096AF7"/>
    <w:rsid w:val="000B344B"/>
    <w:rsid w:val="000C0EB7"/>
    <w:rsid w:val="000C3B0F"/>
    <w:rsid w:val="000E3AF1"/>
    <w:rsid w:val="000F0BC8"/>
    <w:rsid w:val="00107E6D"/>
    <w:rsid w:val="0011194C"/>
    <w:rsid w:val="0011424C"/>
    <w:rsid w:val="001367BC"/>
    <w:rsid w:val="001433D7"/>
    <w:rsid w:val="00144D2A"/>
    <w:rsid w:val="0014653E"/>
    <w:rsid w:val="00180519"/>
    <w:rsid w:val="00183C96"/>
    <w:rsid w:val="001A31EB"/>
    <w:rsid w:val="001C4003"/>
    <w:rsid w:val="001C68AC"/>
    <w:rsid w:val="001D4DBF"/>
    <w:rsid w:val="001E7B4F"/>
    <w:rsid w:val="002265FF"/>
    <w:rsid w:val="002269FF"/>
    <w:rsid w:val="002C344E"/>
    <w:rsid w:val="00307A6A"/>
    <w:rsid w:val="00307C40"/>
    <w:rsid w:val="003140C9"/>
    <w:rsid w:val="00320433"/>
    <w:rsid w:val="0033597A"/>
    <w:rsid w:val="00351AB3"/>
    <w:rsid w:val="003562CA"/>
    <w:rsid w:val="00362612"/>
    <w:rsid w:val="0036743F"/>
    <w:rsid w:val="003715DD"/>
    <w:rsid w:val="003823E0"/>
    <w:rsid w:val="00394300"/>
    <w:rsid w:val="003A4521"/>
    <w:rsid w:val="003B4331"/>
    <w:rsid w:val="0040096C"/>
    <w:rsid w:val="004048FD"/>
    <w:rsid w:val="0043125D"/>
    <w:rsid w:val="0043502B"/>
    <w:rsid w:val="004C4BDF"/>
    <w:rsid w:val="004D1187"/>
    <w:rsid w:val="004E1987"/>
    <w:rsid w:val="004E2AA1"/>
    <w:rsid w:val="004E6E3C"/>
    <w:rsid w:val="00520898"/>
    <w:rsid w:val="005268F6"/>
    <w:rsid w:val="00547DB7"/>
    <w:rsid w:val="00595D94"/>
    <w:rsid w:val="005C7C48"/>
    <w:rsid w:val="005D145E"/>
    <w:rsid w:val="005D15DB"/>
    <w:rsid w:val="005D4DAF"/>
    <w:rsid w:val="005F6938"/>
    <w:rsid w:val="0061431B"/>
    <w:rsid w:val="00622BAA"/>
    <w:rsid w:val="00626487"/>
    <w:rsid w:val="006306CF"/>
    <w:rsid w:val="0064285C"/>
    <w:rsid w:val="00671BD5"/>
    <w:rsid w:val="0067681A"/>
    <w:rsid w:val="006805C1"/>
    <w:rsid w:val="00686C21"/>
    <w:rsid w:val="006931C1"/>
    <w:rsid w:val="00694556"/>
    <w:rsid w:val="006D3B31"/>
    <w:rsid w:val="006E1A53"/>
    <w:rsid w:val="00704EDA"/>
    <w:rsid w:val="00732FD5"/>
    <w:rsid w:val="007456EB"/>
    <w:rsid w:val="00747971"/>
    <w:rsid w:val="00753019"/>
    <w:rsid w:val="00795365"/>
    <w:rsid w:val="007C22F9"/>
    <w:rsid w:val="007E6115"/>
    <w:rsid w:val="007F4609"/>
    <w:rsid w:val="008176A1"/>
    <w:rsid w:val="00820005"/>
    <w:rsid w:val="008216BB"/>
    <w:rsid w:val="00822722"/>
    <w:rsid w:val="00836E92"/>
    <w:rsid w:val="00844318"/>
    <w:rsid w:val="00875D12"/>
    <w:rsid w:val="00881F9A"/>
    <w:rsid w:val="00887FC5"/>
    <w:rsid w:val="00896889"/>
    <w:rsid w:val="008B0521"/>
    <w:rsid w:val="008B232E"/>
    <w:rsid w:val="008C5714"/>
    <w:rsid w:val="008D10B2"/>
    <w:rsid w:val="00903896"/>
    <w:rsid w:val="00906F3D"/>
    <w:rsid w:val="00926709"/>
    <w:rsid w:val="00967DFF"/>
    <w:rsid w:val="0099407D"/>
    <w:rsid w:val="00994341"/>
    <w:rsid w:val="009F323C"/>
    <w:rsid w:val="00A24484"/>
    <w:rsid w:val="00A3392B"/>
    <w:rsid w:val="00A70772"/>
    <w:rsid w:val="00A94B64"/>
    <w:rsid w:val="00A96AD7"/>
    <w:rsid w:val="00AA3229"/>
    <w:rsid w:val="00AA7596"/>
    <w:rsid w:val="00AC3B7B"/>
    <w:rsid w:val="00AC44FF"/>
    <w:rsid w:val="00AC5209"/>
    <w:rsid w:val="00AD69E4"/>
    <w:rsid w:val="00AE7752"/>
    <w:rsid w:val="00AF7FDA"/>
    <w:rsid w:val="00B36961"/>
    <w:rsid w:val="00B80CBD"/>
    <w:rsid w:val="00B80EAA"/>
    <w:rsid w:val="00B81D48"/>
    <w:rsid w:val="00B850C1"/>
    <w:rsid w:val="00B86096"/>
    <w:rsid w:val="00B87E1A"/>
    <w:rsid w:val="00BA243E"/>
    <w:rsid w:val="00BA517C"/>
    <w:rsid w:val="00BB0373"/>
    <w:rsid w:val="00BB3D05"/>
    <w:rsid w:val="00BB5D7F"/>
    <w:rsid w:val="00BB73BE"/>
    <w:rsid w:val="00BE1863"/>
    <w:rsid w:val="00BF1908"/>
    <w:rsid w:val="00BF41F7"/>
    <w:rsid w:val="00C22D93"/>
    <w:rsid w:val="00C34482"/>
    <w:rsid w:val="00C50A9F"/>
    <w:rsid w:val="00C642FA"/>
    <w:rsid w:val="00C70D18"/>
    <w:rsid w:val="00CC51C5"/>
    <w:rsid w:val="00CC7622"/>
    <w:rsid w:val="00CE4337"/>
    <w:rsid w:val="00D24E85"/>
    <w:rsid w:val="00D27982"/>
    <w:rsid w:val="00D33B86"/>
    <w:rsid w:val="00D3532D"/>
    <w:rsid w:val="00D47214"/>
    <w:rsid w:val="00D53924"/>
    <w:rsid w:val="00D55D0C"/>
    <w:rsid w:val="00D8186C"/>
    <w:rsid w:val="00D96D8C"/>
    <w:rsid w:val="00DA6649"/>
    <w:rsid w:val="00DA6FD1"/>
    <w:rsid w:val="00DC2571"/>
    <w:rsid w:val="00DC487C"/>
    <w:rsid w:val="00DD6EF2"/>
    <w:rsid w:val="00DE61F3"/>
    <w:rsid w:val="00DF1EE4"/>
    <w:rsid w:val="00E17516"/>
    <w:rsid w:val="00E25884"/>
    <w:rsid w:val="00E5426A"/>
    <w:rsid w:val="00E54642"/>
    <w:rsid w:val="00E54852"/>
    <w:rsid w:val="00E950FA"/>
    <w:rsid w:val="00EB65D1"/>
    <w:rsid w:val="00EB6D69"/>
    <w:rsid w:val="00EC37E9"/>
    <w:rsid w:val="00EC735F"/>
    <w:rsid w:val="00F0164C"/>
    <w:rsid w:val="00F13623"/>
    <w:rsid w:val="00F84B6D"/>
    <w:rsid w:val="00FD1419"/>
    <w:rsid w:val="00FD2CB4"/>
    <w:rsid w:val="00FD4989"/>
    <w:rsid w:val="00FD79E4"/>
    <w:rsid w:val="00FE2894"/>
    <w:rsid w:val="00FF3818"/>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63931A3"/>
  <w15:chartTrackingRefBased/>
  <w15:docId w15:val="{6677CF46-75E9-44E2-B921-6A81F3F27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noProof/>
      <w:sz w:val="24"/>
      <w:szCs w:val="24"/>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paragraph" w:customStyle="1" w:styleId="a5">
    <w:name w:val="סעיפים"/>
    <w:basedOn w:val="a"/>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Pr>
      <w:rFonts w:cs="Times New Roman"/>
      <w:noProof w:val="0"/>
    </w:rPr>
  </w:style>
  <w:style w:type="character" w:styleId="a7">
    <w:name w:val="annotation reference"/>
    <w:semiHidden/>
    <w:rPr>
      <w:rFonts w:cs="Times New Roman"/>
      <w:sz w:val="16"/>
      <w:szCs w:val="16"/>
    </w:rPr>
  </w:style>
  <w:style w:type="paragraph" w:styleId="a8">
    <w:name w:val="Balloon Text"/>
    <w:basedOn w:val="a"/>
    <w:semiHidden/>
    <w:rPr>
      <w:rFonts w:ascii="Tahoma" w:hAnsi="Tahoma" w:cs="Tahoma"/>
      <w:sz w:val="16"/>
      <w:szCs w:val="16"/>
    </w:rPr>
  </w:style>
  <w:style w:type="table" w:styleId="a9">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rPr>
      <w:rFonts w:cs="Times New Roman"/>
    </w:rPr>
  </w:style>
  <w:style w:type="character" w:styleId="ab">
    <w:name w:val="page number"/>
    <w:rPr>
      <w:rFonts w:cs="Times New Roman"/>
    </w:rPr>
  </w:style>
  <w:style w:type="table" w:customStyle="1" w:styleId="1">
    <w:name w:val="טבלת רשת1"/>
    <w:rsid w:val="001C4003"/>
    <w:pPr>
      <w:jc w:val="righ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
    <w:name w:val="List Paragraph"/>
    <w:basedOn w:val="a"/>
    <w:qFormat/>
    <w:rsid w:val="00DD6EF2"/>
    <w:pPr>
      <w:ind w:left="720"/>
      <w:contextualSpacing/>
    </w:pPr>
  </w:style>
  <w:style w:type="character" w:styleId="Hyperlink">
    <w:name w:val="Hyperlink"/>
    <w:rsid w:val="00B87E1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16913730" TargetMode="External"/><Relationship Id="rId26" Type="http://schemas.openxmlformats.org/officeDocument/2006/relationships/hyperlink" Target="http://www.nevo.co.il/law/70301/144.b"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6000182" TargetMode="External"/><Relationship Id="rId34" Type="http://schemas.openxmlformats.org/officeDocument/2006/relationships/hyperlink" Target="http://www.nevo.co.il/law/70301/144"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01" TargetMode="External"/><Relationship Id="rId29" Type="http://schemas.openxmlformats.org/officeDocument/2006/relationships/hyperlink" Target="http://www.nevo.co.il/case/25623200"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144.b" TargetMode="External"/><Relationship Id="rId24" Type="http://schemas.openxmlformats.org/officeDocument/2006/relationships/hyperlink" Target="http://www.nevo.co.il/case/22607175" TargetMode="External"/><Relationship Id="rId32" Type="http://schemas.openxmlformats.org/officeDocument/2006/relationships/hyperlink" Target="http://www.nevo.co.il/case/23588441" TargetMode="External"/><Relationship Id="rId37" Type="http://schemas.openxmlformats.org/officeDocument/2006/relationships/hyperlink" Target="http://www.nevo.co.il/law/70301"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evo.co.il/law/70301/144.a" TargetMode="External"/><Relationship Id="rId23" Type="http://schemas.openxmlformats.org/officeDocument/2006/relationships/hyperlink" Target="http://www.nevo.co.il/case/22001830" TargetMode="External"/><Relationship Id="rId28" Type="http://schemas.openxmlformats.org/officeDocument/2006/relationships/hyperlink" Target="http://www.nevo.co.il/case/21778276" TargetMode="External"/><Relationship Id="rId36" Type="http://schemas.openxmlformats.org/officeDocument/2006/relationships/hyperlink" Target="http://www.nevo.co.il/law/70301/144" TargetMode="External"/><Relationship Id="rId10" Type="http://schemas.openxmlformats.org/officeDocument/2006/relationships/hyperlink" Target="http://www.nevo.co.il/law/70301/144.a" TargetMode="External"/><Relationship Id="rId19" Type="http://schemas.openxmlformats.org/officeDocument/2006/relationships/hyperlink" Target="http://www.nevo.co.il/case/7791493" TargetMode="External"/><Relationship Id="rId31" Type="http://schemas.openxmlformats.org/officeDocument/2006/relationships/hyperlink" Target="http://www.nevo.co.il/case/21303448"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evo.co.il/law/70301/144"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2112345"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5923515" TargetMode="External"/><Relationship Id="rId35" Type="http://schemas.openxmlformats.org/officeDocument/2006/relationships/hyperlink" Target="http://www.nevo.co.il/law/70301" TargetMode="External"/><Relationship Id="rId43" Type="http://schemas.openxmlformats.org/officeDocument/2006/relationships/footer" Target="footer2.xml"/><Relationship Id="rId8" Type="http://schemas.openxmlformats.org/officeDocument/2006/relationships/hyperlink" Target="http://www.nevo.co.il/law/70301" TargetMode="External"/><Relationship Id="rId3" Type="http://schemas.openxmlformats.org/officeDocument/2006/relationships/styles" Target="styles.xml"/><Relationship Id="rId12" Type="http://schemas.openxmlformats.org/officeDocument/2006/relationships/hyperlink" Target="http://www.nevo.co.il/law/70301/186" TargetMode="External"/><Relationship Id="rId17" Type="http://schemas.openxmlformats.org/officeDocument/2006/relationships/hyperlink" Target="http://www.nevo.co.il/case/22935305" TargetMode="External"/><Relationship Id="rId25" Type="http://schemas.openxmlformats.org/officeDocument/2006/relationships/hyperlink" Target="http://www.nevo.co.il/case/7791493" TargetMode="External"/><Relationship Id="rId33" Type="http://schemas.openxmlformats.org/officeDocument/2006/relationships/hyperlink" Target="http://www.nevo.co.il/case/25526059" TargetMode="External"/><Relationship Id="rId38" Type="http://schemas.openxmlformats.org/officeDocument/2006/relationships/hyperlink" Target="http://www.nevo.co.il/law/70301/186" TargetMode="External"/><Relationship Id="rId20" Type="http://schemas.openxmlformats.org/officeDocument/2006/relationships/hyperlink" Target="http://www.nevo.co.il/case/5852404"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3435</Words>
  <Characters>17176</Characters>
  <Application>Microsoft Office Word</Application>
  <DocSecurity>0</DocSecurity>
  <Lines>143</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20570</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7143524</vt:i4>
      </vt:variant>
      <vt:variant>
        <vt:i4>90</vt:i4>
      </vt:variant>
      <vt:variant>
        <vt:i4>0</vt:i4>
      </vt:variant>
      <vt:variant>
        <vt:i4>5</vt:i4>
      </vt:variant>
      <vt:variant>
        <vt:lpwstr>http://www.nevo.co.il/law/70301/186</vt:lpwstr>
      </vt:variant>
      <vt:variant>
        <vt:lpwstr/>
      </vt:variant>
      <vt:variant>
        <vt:i4>7995492</vt:i4>
      </vt:variant>
      <vt:variant>
        <vt:i4>87</vt:i4>
      </vt:variant>
      <vt:variant>
        <vt:i4>0</vt:i4>
      </vt:variant>
      <vt:variant>
        <vt:i4>5</vt:i4>
      </vt:variant>
      <vt:variant>
        <vt:lpwstr>http://www.nevo.co.il/law/70301</vt:lpwstr>
      </vt:variant>
      <vt:variant>
        <vt:lpwstr/>
      </vt:variant>
      <vt:variant>
        <vt:i4>6357092</vt:i4>
      </vt:variant>
      <vt:variant>
        <vt:i4>84</vt:i4>
      </vt:variant>
      <vt:variant>
        <vt:i4>0</vt:i4>
      </vt:variant>
      <vt:variant>
        <vt:i4>5</vt:i4>
      </vt:variant>
      <vt:variant>
        <vt:lpwstr>http://www.nevo.co.il/law/70301/144</vt:lpwstr>
      </vt:variant>
      <vt:variant>
        <vt:lpwstr/>
      </vt:variant>
      <vt:variant>
        <vt:i4>7995492</vt:i4>
      </vt:variant>
      <vt:variant>
        <vt:i4>81</vt:i4>
      </vt:variant>
      <vt:variant>
        <vt:i4>0</vt:i4>
      </vt:variant>
      <vt:variant>
        <vt:i4>5</vt:i4>
      </vt:variant>
      <vt:variant>
        <vt:lpwstr>http://www.nevo.co.il/law/70301</vt:lpwstr>
      </vt:variant>
      <vt:variant>
        <vt:lpwstr/>
      </vt:variant>
      <vt:variant>
        <vt:i4>6357092</vt:i4>
      </vt:variant>
      <vt:variant>
        <vt:i4>78</vt:i4>
      </vt:variant>
      <vt:variant>
        <vt:i4>0</vt:i4>
      </vt:variant>
      <vt:variant>
        <vt:i4>5</vt:i4>
      </vt:variant>
      <vt:variant>
        <vt:lpwstr>http://www.nevo.co.il/law/70301/144</vt:lpwstr>
      </vt:variant>
      <vt:variant>
        <vt:lpwstr/>
      </vt:variant>
      <vt:variant>
        <vt:i4>3407987</vt:i4>
      </vt:variant>
      <vt:variant>
        <vt:i4>75</vt:i4>
      </vt:variant>
      <vt:variant>
        <vt:i4>0</vt:i4>
      </vt:variant>
      <vt:variant>
        <vt:i4>5</vt:i4>
      </vt:variant>
      <vt:variant>
        <vt:lpwstr>http://www.nevo.co.il/case/25526059</vt:lpwstr>
      </vt:variant>
      <vt:variant>
        <vt:lpwstr/>
      </vt:variant>
      <vt:variant>
        <vt:i4>3866747</vt:i4>
      </vt:variant>
      <vt:variant>
        <vt:i4>72</vt:i4>
      </vt:variant>
      <vt:variant>
        <vt:i4>0</vt:i4>
      </vt:variant>
      <vt:variant>
        <vt:i4>5</vt:i4>
      </vt:variant>
      <vt:variant>
        <vt:lpwstr>http://www.nevo.co.il/case/23588441</vt:lpwstr>
      </vt:variant>
      <vt:variant>
        <vt:lpwstr/>
      </vt:variant>
      <vt:variant>
        <vt:i4>3539057</vt:i4>
      </vt:variant>
      <vt:variant>
        <vt:i4>69</vt:i4>
      </vt:variant>
      <vt:variant>
        <vt:i4>0</vt:i4>
      </vt:variant>
      <vt:variant>
        <vt:i4>5</vt:i4>
      </vt:variant>
      <vt:variant>
        <vt:lpwstr>http://www.nevo.co.il/case/21303448</vt:lpwstr>
      </vt:variant>
      <vt:variant>
        <vt:lpwstr/>
      </vt:variant>
      <vt:variant>
        <vt:i4>3735670</vt:i4>
      </vt:variant>
      <vt:variant>
        <vt:i4>66</vt:i4>
      </vt:variant>
      <vt:variant>
        <vt:i4>0</vt:i4>
      </vt:variant>
      <vt:variant>
        <vt:i4>5</vt:i4>
      </vt:variant>
      <vt:variant>
        <vt:lpwstr>http://www.nevo.co.il/case/25923515</vt:lpwstr>
      </vt:variant>
      <vt:variant>
        <vt:lpwstr/>
      </vt:variant>
      <vt:variant>
        <vt:i4>3604593</vt:i4>
      </vt:variant>
      <vt:variant>
        <vt:i4>63</vt:i4>
      </vt:variant>
      <vt:variant>
        <vt:i4>0</vt:i4>
      </vt:variant>
      <vt:variant>
        <vt:i4>5</vt:i4>
      </vt:variant>
      <vt:variant>
        <vt:lpwstr>http://www.nevo.co.il/case/25623200</vt:lpwstr>
      </vt:variant>
      <vt:variant>
        <vt:lpwstr/>
      </vt:variant>
      <vt:variant>
        <vt:i4>3801200</vt:i4>
      </vt:variant>
      <vt:variant>
        <vt:i4>60</vt:i4>
      </vt:variant>
      <vt:variant>
        <vt:i4>0</vt:i4>
      </vt:variant>
      <vt:variant>
        <vt:i4>5</vt:i4>
      </vt:variant>
      <vt:variant>
        <vt:lpwstr>http://www.nevo.co.il/case/21778276</vt:lpwstr>
      </vt:variant>
      <vt:variant>
        <vt:lpwstr/>
      </vt:variant>
      <vt:variant>
        <vt:i4>7995492</vt:i4>
      </vt:variant>
      <vt:variant>
        <vt:i4>57</vt:i4>
      </vt:variant>
      <vt:variant>
        <vt:i4>0</vt:i4>
      </vt:variant>
      <vt:variant>
        <vt:i4>5</vt:i4>
      </vt:variant>
      <vt:variant>
        <vt:lpwstr>http://www.nevo.co.il/law/70301</vt:lpwstr>
      </vt:variant>
      <vt:variant>
        <vt:lpwstr/>
      </vt:variant>
      <vt:variant>
        <vt:i4>5177424</vt:i4>
      </vt:variant>
      <vt:variant>
        <vt:i4>54</vt:i4>
      </vt:variant>
      <vt:variant>
        <vt:i4>0</vt:i4>
      </vt:variant>
      <vt:variant>
        <vt:i4>5</vt:i4>
      </vt:variant>
      <vt:variant>
        <vt:lpwstr>http://www.nevo.co.il/law/70301/144.b</vt:lpwstr>
      </vt:variant>
      <vt:variant>
        <vt:lpwstr/>
      </vt:variant>
      <vt:variant>
        <vt:i4>3735675</vt:i4>
      </vt:variant>
      <vt:variant>
        <vt:i4>51</vt:i4>
      </vt:variant>
      <vt:variant>
        <vt:i4>0</vt:i4>
      </vt:variant>
      <vt:variant>
        <vt:i4>5</vt:i4>
      </vt:variant>
      <vt:variant>
        <vt:lpwstr>http://www.nevo.co.il/case/7791493</vt:lpwstr>
      </vt:variant>
      <vt:variant>
        <vt:lpwstr/>
      </vt:variant>
      <vt:variant>
        <vt:i4>3407991</vt:i4>
      </vt:variant>
      <vt:variant>
        <vt:i4>48</vt:i4>
      </vt:variant>
      <vt:variant>
        <vt:i4>0</vt:i4>
      </vt:variant>
      <vt:variant>
        <vt:i4>5</vt:i4>
      </vt:variant>
      <vt:variant>
        <vt:lpwstr>http://www.nevo.co.il/case/22607175</vt:lpwstr>
      </vt:variant>
      <vt:variant>
        <vt:lpwstr/>
      </vt:variant>
      <vt:variant>
        <vt:i4>3145854</vt:i4>
      </vt:variant>
      <vt:variant>
        <vt:i4>45</vt:i4>
      </vt:variant>
      <vt:variant>
        <vt:i4>0</vt:i4>
      </vt:variant>
      <vt:variant>
        <vt:i4>5</vt:i4>
      </vt:variant>
      <vt:variant>
        <vt:lpwstr>http://www.nevo.co.il/case/22001830</vt:lpwstr>
      </vt:variant>
      <vt:variant>
        <vt:lpwstr/>
      </vt:variant>
      <vt:variant>
        <vt:i4>3473524</vt:i4>
      </vt:variant>
      <vt:variant>
        <vt:i4>42</vt:i4>
      </vt:variant>
      <vt:variant>
        <vt:i4>0</vt:i4>
      </vt:variant>
      <vt:variant>
        <vt:i4>5</vt:i4>
      </vt:variant>
      <vt:variant>
        <vt:lpwstr>http://www.nevo.co.il/case/22112345</vt:lpwstr>
      </vt:variant>
      <vt:variant>
        <vt:lpwstr/>
      </vt:variant>
      <vt:variant>
        <vt:i4>3473532</vt:i4>
      </vt:variant>
      <vt:variant>
        <vt:i4>39</vt:i4>
      </vt:variant>
      <vt:variant>
        <vt:i4>0</vt:i4>
      </vt:variant>
      <vt:variant>
        <vt:i4>5</vt:i4>
      </vt:variant>
      <vt:variant>
        <vt:lpwstr>http://www.nevo.co.il/case/6000182</vt:lpwstr>
      </vt:variant>
      <vt:variant>
        <vt:lpwstr/>
      </vt:variant>
      <vt:variant>
        <vt:i4>3145854</vt:i4>
      </vt:variant>
      <vt:variant>
        <vt:i4>36</vt:i4>
      </vt:variant>
      <vt:variant>
        <vt:i4>0</vt:i4>
      </vt:variant>
      <vt:variant>
        <vt:i4>5</vt:i4>
      </vt:variant>
      <vt:variant>
        <vt:lpwstr>http://www.nevo.co.il/case/5852404</vt:lpwstr>
      </vt:variant>
      <vt:variant>
        <vt:lpwstr/>
      </vt:variant>
      <vt:variant>
        <vt:i4>3735675</vt:i4>
      </vt:variant>
      <vt:variant>
        <vt:i4>33</vt:i4>
      </vt:variant>
      <vt:variant>
        <vt:i4>0</vt:i4>
      </vt:variant>
      <vt:variant>
        <vt:i4>5</vt:i4>
      </vt:variant>
      <vt:variant>
        <vt:lpwstr>http://www.nevo.co.il/case/7791493</vt:lpwstr>
      </vt:variant>
      <vt:variant>
        <vt:lpwstr/>
      </vt:variant>
      <vt:variant>
        <vt:i4>3670132</vt:i4>
      </vt:variant>
      <vt:variant>
        <vt:i4>30</vt:i4>
      </vt:variant>
      <vt:variant>
        <vt:i4>0</vt:i4>
      </vt:variant>
      <vt:variant>
        <vt:i4>5</vt:i4>
      </vt:variant>
      <vt:variant>
        <vt:lpwstr>http://www.nevo.co.il/case/16913730</vt:lpwstr>
      </vt:variant>
      <vt:variant>
        <vt:lpwstr/>
      </vt:variant>
      <vt:variant>
        <vt:i4>4063350</vt:i4>
      </vt:variant>
      <vt:variant>
        <vt:i4>27</vt:i4>
      </vt:variant>
      <vt:variant>
        <vt:i4>0</vt:i4>
      </vt:variant>
      <vt:variant>
        <vt:i4>5</vt:i4>
      </vt:variant>
      <vt:variant>
        <vt:lpwstr>http://www.nevo.co.il/case/22935305</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7143524</vt:i4>
      </vt:variant>
      <vt:variant>
        <vt:i4>12</vt:i4>
      </vt:variant>
      <vt:variant>
        <vt:i4>0</vt:i4>
      </vt:variant>
      <vt:variant>
        <vt:i4>5</vt:i4>
      </vt:variant>
      <vt:variant>
        <vt:lpwstr>http://www.nevo.co.il/law/70301/186</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2024-01-07T12:08:00Z</dcterms:created>
  <dcterms:modified xsi:type="dcterms:W3CDTF">2024-01-07T12:08:00Z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19417</vt:lpwstr>
  </property>
  <property fmtid="{D5CDD505-2E9C-101B-9397-08002B2CF9AE}" pid="6" name="NEWPARTB">
    <vt:lpwstr>11</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וספי בן מחמד אבו אלקיעאן</vt:lpwstr>
  </property>
  <property fmtid="{D5CDD505-2E9C-101B-9397-08002B2CF9AE}" pid="10" name="LAWYER">
    <vt:lpwstr>שאול ציון;דרויש נאשף</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20200115</vt:lpwstr>
  </property>
  <property fmtid="{D5CDD505-2E9C-101B-9397-08002B2CF9AE}" pid="14" name="TYPE_N_DATE">
    <vt:lpwstr>38020200115</vt:lpwstr>
  </property>
  <property fmtid="{D5CDD505-2E9C-101B-9397-08002B2CF9AE}" pid="15" name="WORDNUMPAGES">
    <vt:lpwstr>12</vt:lpwstr>
  </property>
  <property fmtid="{D5CDD505-2E9C-101B-9397-08002B2CF9AE}" pid="16" name="TYPE_ABS_DATE">
    <vt:lpwstr>380120200115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22935305;7791493:2;5852404;6000182;22112345;22001830;22607175;21778276;25623200;25923515;21303448;23588441;25526059</vt:lpwstr>
  </property>
  <property fmtid="{D5CDD505-2E9C-101B-9397-08002B2CF9AE}" pid="36" name="LAWLISTTMP1">
    <vt:lpwstr>70301/144.a;144.b;144:2;186</vt:lpwstr>
  </property>
  <property fmtid="{D5CDD505-2E9C-101B-9397-08002B2CF9AE}" pid="37" name="NOSE1ID">
    <vt:lpwstr>77;77</vt:lpwstr>
  </property>
  <property fmtid="{D5CDD505-2E9C-101B-9397-08002B2CF9AE}" pid="38" name="NOSE2ID">
    <vt:lpwstr>1446;1443</vt:lpwstr>
  </property>
  <property fmtid="{D5CDD505-2E9C-101B-9397-08002B2CF9AE}" pid="39" name="NOSE3ID">
    <vt:lpwstr>13800;8868</vt:lpwstr>
  </property>
  <property fmtid="{D5CDD505-2E9C-101B-9397-08002B2CF9AE}" pid="40" name="NOSE11">
    <vt:lpwstr>עונשין</vt:lpwstr>
  </property>
  <property fmtid="{D5CDD505-2E9C-101B-9397-08002B2CF9AE}" pid="41" name="NOSE21">
    <vt:lpwstr>ענישה</vt:lpwstr>
  </property>
  <property fmtid="{D5CDD505-2E9C-101B-9397-08002B2CF9AE}" pid="42" name="NOSE31">
    <vt:lpwstr>מדיניות ענישה: עבירות נשק</vt:lpwstr>
  </property>
  <property fmtid="{D5CDD505-2E9C-101B-9397-08002B2CF9AE}" pid="43" name="NOSE12">
    <vt:lpwstr>עונשין</vt:lpwstr>
  </property>
  <property fmtid="{D5CDD505-2E9C-101B-9397-08002B2CF9AE}" pid="44" name="NOSE22">
    <vt:lpwstr>עבירות</vt:lpwstr>
  </property>
  <property fmtid="{D5CDD505-2E9C-101B-9397-08002B2CF9AE}" pid="45" name="NOSE32">
    <vt:lpwstr>נשק</vt:lpwstr>
  </property>
  <property fmtid="{D5CDD505-2E9C-101B-9397-08002B2CF9AE}" pid="46" name="NOSE13">
    <vt:lpwstr/>
  </property>
  <property fmtid="{D5CDD505-2E9C-101B-9397-08002B2CF9AE}" pid="47" name="NOSE23">
    <vt:lpwstr/>
  </property>
  <property fmtid="{D5CDD505-2E9C-101B-9397-08002B2CF9AE}" pid="48" name="NOSE33">
    <vt:lpwstr/>
  </property>
  <property fmtid="{D5CDD505-2E9C-101B-9397-08002B2CF9AE}" pid="49" name="NOSE14">
    <vt:lpwstr/>
  </property>
  <property fmtid="{D5CDD505-2E9C-101B-9397-08002B2CF9AE}" pid="50" name="NOSE24">
    <vt:lpwstr/>
  </property>
  <property fmtid="{D5CDD505-2E9C-101B-9397-08002B2CF9AE}" pid="51" name="NOSE34">
    <vt:lpwstr/>
  </property>
  <property fmtid="{D5CDD505-2E9C-101B-9397-08002B2CF9AE}" pid="52" name="NOSE15">
    <vt:lpwstr/>
  </property>
  <property fmtid="{D5CDD505-2E9C-101B-9397-08002B2CF9AE}" pid="53" name="NOSE25">
    <vt:lpwstr/>
  </property>
  <property fmtid="{D5CDD505-2E9C-101B-9397-08002B2CF9AE}" pid="54" name="NOSE35">
    <vt:lpwstr/>
  </property>
  <property fmtid="{D5CDD505-2E9C-101B-9397-08002B2CF9AE}" pid="55" name="NOSE16">
    <vt:lpwstr/>
  </property>
  <property fmtid="{D5CDD505-2E9C-101B-9397-08002B2CF9AE}" pid="56" name="NOSE26">
    <vt:lpwstr/>
  </property>
  <property fmtid="{D5CDD505-2E9C-101B-9397-08002B2CF9AE}" pid="57" name="NOSE36">
    <vt:lpwstr/>
  </property>
  <property fmtid="{D5CDD505-2E9C-101B-9397-08002B2CF9AE}" pid="58" name="NOSE17">
    <vt:lpwstr/>
  </property>
  <property fmtid="{D5CDD505-2E9C-101B-9397-08002B2CF9AE}" pid="59" name="NOSE27">
    <vt:lpwstr/>
  </property>
  <property fmtid="{D5CDD505-2E9C-101B-9397-08002B2CF9AE}" pid="60" name="NOSE37">
    <vt:lpwstr/>
  </property>
  <property fmtid="{D5CDD505-2E9C-101B-9397-08002B2CF9AE}" pid="61" name="NOSE18">
    <vt:lpwstr/>
  </property>
  <property fmtid="{D5CDD505-2E9C-101B-9397-08002B2CF9AE}" pid="62" name="NOSE28">
    <vt:lpwstr/>
  </property>
  <property fmtid="{D5CDD505-2E9C-101B-9397-08002B2CF9AE}" pid="63" name="NOSE38">
    <vt:lpwstr/>
  </property>
  <property fmtid="{D5CDD505-2E9C-101B-9397-08002B2CF9AE}" pid="64" name="NOSE19">
    <vt:lpwstr/>
  </property>
  <property fmtid="{D5CDD505-2E9C-101B-9397-08002B2CF9AE}" pid="65" name="NOSE29">
    <vt:lpwstr/>
  </property>
  <property fmtid="{D5CDD505-2E9C-101B-9397-08002B2CF9AE}" pid="66" name="NOSE3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PADIDATE">
    <vt:lpwstr>20200130</vt:lpwstr>
  </property>
  <property fmtid="{D5CDD505-2E9C-101B-9397-08002B2CF9AE}" pid="71" name="METAKZER">
    <vt:lpwstr>שירי</vt:lpwstr>
  </property>
</Properties>
</file>