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7E3760" w:rsidRPr="007E3760" w:rsidTr="00BF6F39">
        <w:trPr>
          <w:trHeight w:hRule="exact" w:val="704"/>
          <w:jc w:val="center"/>
        </w:trPr>
        <w:tc>
          <w:tcPr>
            <w:tcW w:w="8721" w:type="dxa"/>
            <w:gridSpan w:val="2"/>
          </w:tcPr>
          <w:p w:rsidR="007E3760" w:rsidRPr="007E3760" w:rsidRDefault="007E3760" w:rsidP="00BF6F39">
            <w:pPr>
              <w:pStyle w:val="a5"/>
              <w:jc w:val="center"/>
              <w:rPr>
                <w:rFonts w:ascii="Tahoma" w:hAnsi="Tahoma" w:cs="Tahoma"/>
                <w:b/>
                <w:bCs/>
                <w:color w:val="000080"/>
                <w:rtl/>
              </w:rPr>
            </w:pPr>
            <w:bookmarkStart w:id="0" w:name="FirstLawyer"/>
            <w:bookmarkStart w:id="1" w:name="LastJudge"/>
            <w:r w:rsidRPr="007E3760">
              <w:rPr>
                <w:rFonts w:ascii="Tahoma" w:hAnsi="Tahoma" w:cs="Tahoma"/>
                <w:b/>
                <w:bCs/>
                <w:color w:val="000080"/>
                <w:rtl/>
              </w:rPr>
              <w:t>בית משפט השלום בבאר שבע</w:t>
            </w:r>
          </w:p>
          <w:p w:rsidR="007E3760" w:rsidRPr="007E3760" w:rsidRDefault="007E3760" w:rsidP="00BF6F39">
            <w:pPr>
              <w:pStyle w:val="a5"/>
              <w:jc w:val="center"/>
              <w:rPr>
                <w:rFonts w:ascii="Tahoma" w:hAnsi="Tahoma" w:cs="Tahoma"/>
                <w:color w:val="000080"/>
                <w:rtl/>
              </w:rPr>
            </w:pPr>
          </w:p>
        </w:tc>
      </w:tr>
      <w:tr w:rsidR="007E3760" w:rsidRPr="007E3760" w:rsidTr="00BF6F39">
        <w:trPr>
          <w:trHeight w:val="337"/>
          <w:jc w:val="center"/>
        </w:trPr>
        <w:tc>
          <w:tcPr>
            <w:tcW w:w="4473" w:type="dxa"/>
          </w:tcPr>
          <w:p w:rsidR="007E3760" w:rsidRPr="007E3760" w:rsidRDefault="007E3760" w:rsidP="00BF6F39">
            <w:pPr>
              <w:rPr>
                <w:b/>
                <w:bCs/>
                <w:sz w:val="26"/>
                <w:szCs w:val="26"/>
                <w:rtl/>
              </w:rPr>
            </w:pPr>
          </w:p>
        </w:tc>
        <w:tc>
          <w:tcPr>
            <w:tcW w:w="4248" w:type="dxa"/>
          </w:tcPr>
          <w:p w:rsidR="007E3760" w:rsidRPr="007E3760" w:rsidRDefault="007E3760" w:rsidP="00BF6F39">
            <w:pPr>
              <w:pStyle w:val="a5"/>
              <w:jc w:val="right"/>
              <w:rPr>
                <w:b/>
                <w:bCs/>
                <w:sz w:val="26"/>
                <w:szCs w:val="26"/>
                <w:rtl/>
              </w:rPr>
            </w:pPr>
            <w:r w:rsidRPr="007E3760">
              <w:rPr>
                <w:b/>
                <w:bCs/>
                <w:sz w:val="26"/>
                <w:szCs w:val="26"/>
                <w:rtl/>
              </w:rPr>
              <w:t>כ"ט תשרי תש"פ</w:t>
            </w:r>
          </w:p>
          <w:p w:rsidR="007E3760" w:rsidRPr="007E3760" w:rsidRDefault="007E3760" w:rsidP="00BF6F39">
            <w:pPr>
              <w:pStyle w:val="a5"/>
              <w:jc w:val="right"/>
              <w:rPr>
                <w:b/>
                <w:bCs/>
                <w:sz w:val="26"/>
                <w:szCs w:val="26"/>
                <w:rtl/>
              </w:rPr>
            </w:pPr>
            <w:r w:rsidRPr="007E3760">
              <w:rPr>
                <w:b/>
                <w:bCs/>
                <w:sz w:val="26"/>
                <w:szCs w:val="26"/>
                <w:rtl/>
              </w:rPr>
              <w:t>28 אוקטובר 2019</w:t>
            </w:r>
          </w:p>
        </w:tc>
      </w:tr>
      <w:tr w:rsidR="007E3760" w:rsidRPr="007E3760" w:rsidTr="00BF6F39">
        <w:trPr>
          <w:trHeight w:val="337"/>
          <w:jc w:val="center"/>
        </w:trPr>
        <w:tc>
          <w:tcPr>
            <w:tcW w:w="8721" w:type="dxa"/>
            <w:gridSpan w:val="2"/>
          </w:tcPr>
          <w:p w:rsidR="007E3760" w:rsidRPr="007E3760" w:rsidRDefault="007E3760" w:rsidP="00BF6F39">
            <w:pPr>
              <w:rPr>
                <w:b/>
                <w:bCs/>
                <w:sz w:val="26"/>
                <w:szCs w:val="26"/>
                <w:rtl/>
              </w:rPr>
            </w:pPr>
            <w:r w:rsidRPr="007E3760">
              <w:rPr>
                <w:b/>
                <w:bCs/>
                <w:sz w:val="26"/>
                <w:szCs w:val="26"/>
                <w:rtl/>
              </w:rPr>
              <w:t>ת"פ 19242-04-17 מדינת ישראל נ' אלבלוי</w:t>
            </w:r>
          </w:p>
          <w:p w:rsidR="007E3760" w:rsidRPr="007E3760" w:rsidRDefault="007E3760" w:rsidP="00BF6F39">
            <w:pPr>
              <w:rPr>
                <w:rtl/>
              </w:rPr>
            </w:pPr>
          </w:p>
          <w:p w:rsidR="007E3760" w:rsidRPr="007E3760" w:rsidRDefault="007E3760" w:rsidP="00BF6F39">
            <w:pPr>
              <w:rPr>
                <w:rtl/>
              </w:rPr>
            </w:pPr>
            <w:r w:rsidRPr="007E3760">
              <w:rPr>
                <w:sz w:val="20"/>
                <w:szCs w:val="20"/>
                <w:rtl/>
              </w:rPr>
              <w:t>תיק חיצוני</w:t>
            </w:r>
            <w:r w:rsidRPr="007E3760">
              <w:rPr>
                <w:rtl/>
              </w:rPr>
              <w:t xml:space="preserve">: </w:t>
            </w:r>
            <w:r w:rsidRPr="007E3760">
              <w:rPr>
                <w:sz w:val="20"/>
                <w:szCs w:val="20"/>
              </w:rPr>
              <w:t>144120/2017</w:t>
            </w:r>
          </w:p>
        </w:tc>
      </w:tr>
    </w:tbl>
    <w:p w:rsidR="007E3760" w:rsidRPr="007E3760" w:rsidRDefault="007E3760" w:rsidP="007E3760">
      <w:pPr>
        <w:pStyle w:val="a5"/>
        <w:rPr>
          <w:rtl/>
        </w:rPr>
      </w:pPr>
      <w:r w:rsidRPr="007E3760">
        <w:rPr>
          <w:rtl/>
        </w:rPr>
        <w:t xml:space="preserve"> </w:t>
      </w:r>
    </w:p>
    <w:p w:rsidR="009A4913" w:rsidRPr="007E3760" w:rsidRDefault="009A4913" w:rsidP="006D3B3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A4913" w:rsidRPr="007E3760" w:rsidTr="00DB4738">
        <w:trPr>
          <w:jc w:val="center"/>
        </w:trPr>
        <w:tc>
          <w:tcPr>
            <w:tcW w:w="743" w:type="dxa"/>
          </w:tcPr>
          <w:p w:rsidR="009A4913" w:rsidRPr="0010148F" w:rsidRDefault="009A4913" w:rsidP="0010148F">
            <w:pPr>
              <w:spacing w:before="120" w:after="120"/>
              <w:jc w:val="both"/>
              <w:rPr>
                <w:rFonts w:ascii="Arial" w:hAnsi="Arial"/>
                <w:b/>
                <w:bCs/>
                <w:sz w:val="26"/>
                <w:szCs w:val="26"/>
              </w:rPr>
            </w:pPr>
            <w:r w:rsidRPr="0010148F">
              <w:rPr>
                <w:rFonts w:ascii="Arial" w:hAnsi="Arial"/>
                <w:b/>
                <w:bCs/>
                <w:sz w:val="26"/>
                <w:szCs w:val="26"/>
                <w:rtl/>
              </w:rPr>
              <w:t>לפני</w:t>
            </w:r>
          </w:p>
        </w:tc>
        <w:tc>
          <w:tcPr>
            <w:tcW w:w="8077" w:type="dxa"/>
            <w:gridSpan w:val="2"/>
          </w:tcPr>
          <w:p w:rsidR="009A4913" w:rsidRPr="0010148F" w:rsidRDefault="009A4913" w:rsidP="0010148F">
            <w:pPr>
              <w:spacing w:before="120" w:after="120"/>
              <w:rPr>
                <w:rFonts w:ascii="Arial" w:hAnsi="Arial" w:hint="cs"/>
                <w:b/>
                <w:bCs/>
                <w:sz w:val="26"/>
                <w:szCs w:val="26"/>
              </w:rPr>
            </w:pPr>
            <w:r w:rsidRPr="0010148F">
              <w:rPr>
                <w:rFonts w:ascii="Arial" w:hAnsi="Arial"/>
                <w:b/>
                <w:bCs/>
                <w:sz w:val="26"/>
                <w:szCs w:val="26"/>
                <w:rtl/>
              </w:rPr>
              <w:t>כב' השופט  רון סולקין</w:t>
            </w:r>
          </w:p>
        </w:tc>
      </w:tr>
      <w:tr w:rsidR="009A4913" w:rsidRPr="007E3760" w:rsidTr="00DB4738">
        <w:trPr>
          <w:jc w:val="center"/>
        </w:trPr>
        <w:tc>
          <w:tcPr>
            <w:tcW w:w="3249" w:type="dxa"/>
            <w:gridSpan w:val="2"/>
          </w:tcPr>
          <w:p w:rsidR="009A4913" w:rsidRPr="0010148F" w:rsidRDefault="009A4913" w:rsidP="0010148F">
            <w:pPr>
              <w:bidi w:val="0"/>
              <w:spacing w:before="120" w:after="120"/>
              <w:jc w:val="right"/>
              <w:rPr>
                <w:rFonts w:ascii="Arial" w:hAnsi="Arial"/>
                <w:b/>
                <w:bCs/>
                <w:sz w:val="26"/>
                <w:szCs w:val="26"/>
                <w:rtl/>
              </w:rPr>
            </w:pPr>
            <w:bookmarkStart w:id="2" w:name="FirstAppellant"/>
            <w:r w:rsidRPr="0010148F">
              <w:rPr>
                <w:rFonts w:ascii="Arial" w:hAnsi="Arial"/>
                <w:b/>
                <w:bCs/>
                <w:sz w:val="26"/>
                <w:szCs w:val="26"/>
                <w:rtl/>
              </w:rPr>
              <w:t>המאשימה</w:t>
            </w:r>
          </w:p>
        </w:tc>
        <w:tc>
          <w:tcPr>
            <w:tcW w:w="5571" w:type="dxa"/>
          </w:tcPr>
          <w:p w:rsidR="009A4913" w:rsidRPr="0010148F" w:rsidRDefault="009A4913" w:rsidP="0010148F">
            <w:pPr>
              <w:spacing w:before="120" w:after="120"/>
              <w:rPr>
                <w:b/>
                <w:bCs/>
                <w:sz w:val="26"/>
                <w:szCs w:val="26"/>
              </w:rPr>
            </w:pPr>
            <w:r w:rsidRPr="0010148F">
              <w:rPr>
                <w:rFonts w:ascii="Arial" w:hAnsi="Arial"/>
                <w:b/>
                <w:bCs/>
                <w:sz w:val="26"/>
                <w:szCs w:val="26"/>
                <w:rtl/>
              </w:rPr>
              <w:t>מדינת ישראל</w:t>
            </w:r>
            <w:r w:rsidRPr="0010148F">
              <w:rPr>
                <w:b/>
                <w:bCs/>
                <w:sz w:val="26"/>
                <w:szCs w:val="26"/>
                <w:rtl/>
              </w:rPr>
              <w:t xml:space="preserve"> – פמ"ד</w:t>
            </w:r>
            <w:r w:rsidRPr="0010148F">
              <w:rPr>
                <w:b/>
                <w:bCs/>
                <w:sz w:val="26"/>
                <w:szCs w:val="26"/>
                <w:rtl/>
              </w:rPr>
              <w:br/>
              <w:t>ע"י ב"כ עו"ד אסיל אמון-קאסם</w:t>
            </w:r>
          </w:p>
        </w:tc>
      </w:tr>
      <w:bookmarkEnd w:id="2"/>
      <w:tr w:rsidR="009A4913" w:rsidRPr="007E3760" w:rsidTr="00DB4738">
        <w:trPr>
          <w:jc w:val="center"/>
        </w:trPr>
        <w:tc>
          <w:tcPr>
            <w:tcW w:w="8820" w:type="dxa"/>
            <w:gridSpan w:val="3"/>
          </w:tcPr>
          <w:p w:rsidR="009A4913" w:rsidRPr="0010148F" w:rsidRDefault="009A4913" w:rsidP="0010148F">
            <w:pPr>
              <w:spacing w:before="240" w:after="240"/>
              <w:jc w:val="center"/>
              <w:rPr>
                <w:rFonts w:ascii="Arial" w:hAnsi="Arial" w:hint="cs"/>
                <w:b/>
                <w:bCs/>
                <w:sz w:val="26"/>
                <w:szCs w:val="26"/>
              </w:rPr>
            </w:pPr>
            <w:r w:rsidRPr="0010148F">
              <w:rPr>
                <w:rFonts w:ascii="Arial" w:hAnsi="Arial"/>
                <w:b/>
                <w:bCs/>
                <w:sz w:val="26"/>
                <w:szCs w:val="26"/>
                <w:rtl/>
              </w:rPr>
              <w:t>נגד</w:t>
            </w:r>
          </w:p>
        </w:tc>
      </w:tr>
      <w:tr w:rsidR="009A4913" w:rsidRPr="007E3760" w:rsidTr="00DB4738">
        <w:trPr>
          <w:jc w:val="center"/>
        </w:trPr>
        <w:tc>
          <w:tcPr>
            <w:tcW w:w="3249" w:type="dxa"/>
            <w:gridSpan w:val="2"/>
          </w:tcPr>
          <w:p w:rsidR="009A4913" w:rsidRPr="0010148F" w:rsidRDefault="009A4913" w:rsidP="0010148F">
            <w:pPr>
              <w:spacing w:before="120" w:after="120"/>
              <w:rPr>
                <w:rFonts w:ascii="Arial" w:hAnsi="Arial"/>
                <w:b/>
                <w:bCs/>
                <w:sz w:val="26"/>
                <w:szCs w:val="26"/>
              </w:rPr>
            </w:pPr>
            <w:r w:rsidRPr="0010148F">
              <w:rPr>
                <w:rFonts w:ascii="Arial" w:hAnsi="Arial"/>
                <w:b/>
                <w:bCs/>
                <w:sz w:val="26"/>
                <w:szCs w:val="26"/>
                <w:rtl/>
              </w:rPr>
              <w:t>הנאשם</w:t>
            </w:r>
          </w:p>
        </w:tc>
        <w:tc>
          <w:tcPr>
            <w:tcW w:w="5571" w:type="dxa"/>
          </w:tcPr>
          <w:p w:rsidR="009A4913" w:rsidRPr="0010148F" w:rsidRDefault="009A4913" w:rsidP="0010148F">
            <w:pPr>
              <w:spacing w:before="120" w:after="120"/>
              <w:rPr>
                <w:b/>
                <w:bCs/>
                <w:sz w:val="26"/>
                <w:szCs w:val="26"/>
                <w:rtl/>
              </w:rPr>
            </w:pPr>
            <w:r w:rsidRPr="0010148F">
              <w:rPr>
                <w:rFonts w:ascii="Arial" w:hAnsi="Arial"/>
                <w:b/>
                <w:bCs/>
                <w:sz w:val="26"/>
                <w:szCs w:val="26"/>
                <w:rtl/>
              </w:rPr>
              <w:t>חליל בן סלימאן אלבלוי</w:t>
            </w:r>
            <w:r w:rsidRPr="0010148F">
              <w:rPr>
                <w:rFonts w:ascii="Arial" w:hAnsi="Arial"/>
                <w:b/>
                <w:bCs/>
                <w:sz w:val="26"/>
                <w:szCs w:val="26"/>
                <w:rtl/>
              </w:rPr>
              <w:br/>
            </w:r>
            <w:r w:rsidRPr="0010148F">
              <w:rPr>
                <w:b/>
                <w:bCs/>
                <w:sz w:val="26"/>
                <w:szCs w:val="26"/>
                <w:rtl/>
              </w:rPr>
              <w:t>ע"י ב"כ עו"ד נועם אליגון ועו"ד ארז שלו</w:t>
            </w:r>
          </w:p>
        </w:tc>
      </w:tr>
    </w:tbl>
    <w:p w:rsidR="009A4913" w:rsidRPr="007E3760" w:rsidRDefault="009A4913" w:rsidP="006D3B31">
      <w:pPr>
        <w:suppressLineNumbers/>
        <w:rPr>
          <w:rFonts w:hint="cs"/>
          <w:b/>
          <w:bCs/>
          <w:rtl/>
        </w:rPr>
      </w:pPr>
    </w:p>
    <w:p w:rsidR="0029768B" w:rsidRPr="0029768B" w:rsidRDefault="0029768B" w:rsidP="00084A40">
      <w:pPr>
        <w:suppressLineNumbers/>
        <w:spacing w:after="120" w:line="240" w:lineRule="exact"/>
        <w:ind w:left="283" w:hanging="283"/>
        <w:jc w:val="both"/>
        <w:rPr>
          <w:rFonts w:ascii="FrankRuehl" w:hAnsi="FrankRuehl" w:cs="FrankRuehl"/>
          <w:rtl/>
        </w:rPr>
      </w:pPr>
    </w:p>
    <w:p w:rsidR="0029768B" w:rsidRPr="0029768B" w:rsidRDefault="0029768B" w:rsidP="0029768B">
      <w:pPr>
        <w:suppressLineNumbers/>
        <w:spacing w:after="120" w:line="240" w:lineRule="exact"/>
        <w:ind w:left="283" w:hanging="283"/>
        <w:jc w:val="both"/>
        <w:rPr>
          <w:rFonts w:ascii="FrankRuehl" w:hAnsi="FrankRuehl" w:cs="FrankRuehl"/>
          <w:rtl/>
        </w:rPr>
      </w:pPr>
      <w:bookmarkStart w:id="3" w:name="Links_Start"/>
      <w:bookmarkEnd w:id="3"/>
      <w:r w:rsidRPr="0029768B">
        <w:rPr>
          <w:rFonts w:ascii="FrankRuehl" w:hAnsi="FrankRuehl" w:cs="FrankRuehl"/>
          <w:rtl/>
        </w:rPr>
        <w:t>ספרות:</w:t>
      </w:r>
    </w:p>
    <w:p w:rsidR="0029768B" w:rsidRPr="0029768B" w:rsidRDefault="0029768B" w:rsidP="0029768B">
      <w:pPr>
        <w:suppressLineNumbers/>
        <w:spacing w:after="120" w:line="240" w:lineRule="exact"/>
        <w:ind w:left="283" w:hanging="283"/>
        <w:jc w:val="both"/>
        <w:rPr>
          <w:rFonts w:ascii="FrankRuehl" w:hAnsi="FrankRuehl" w:cs="FrankRuehl"/>
          <w:color w:val="000000"/>
          <w:rtl/>
        </w:rPr>
      </w:pPr>
      <w:r w:rsidRPr="0029768B">
        <w:rPr>
          <w:rFonts w:ascii="FrankRuehl" w:hAnsi="FrankRuehl" w:cs="FrankRuehl"/>
          <w:color w:val="000000"/>
          <w:rtl/>
        </w:rPr>
        <w:t xml:space="preserve">יעקב קדמי  </w:t>
      </w:r>
      <w:r w:rsidRPr="0029768B">
        <w:rPr>
          <w:rFonts w:ascii="FrankRuehl" w:hAnsi="FrankRuehl" w:cs="FrankRuehl"/>
          <w:color w:val="000000"/>
        </w:rPr>
        <w:t xml:space="preserve"> </w:t>
      </w:r>
      <w:r w:rsidRPr="0029768B">
        <w:rPr>
          <w:rFonts w:ascii="FrankRuehl" w:hAnsi="FrankRuehl" w:cs="FrankRuehl"/>
          <w:b/>
          <w:bCs/>
          <w:color w:val="000000"/>
          <w:rtl/>
        </w:rPr>
        <w:t xml:space="preserve">על סדר הדין בפלילים </w:t>
      </w:r>
    </w:p>
    <w:p w:rsidR="0029768B" w:rsidRPr="0029768B" w:rsidRDefault="0029768B" w:rsidP="00084A40">
      <w:pPr>
        <w:suppressLineNumbers/>
        <w:spacing w:after="120" w:line="240" w:lineRule="exact"/>
        <w:ind w:left="283" w:hanging="283"/>
        <w:jc w:val="both"/>
        <w:rPr>
          <w:rFonts w:ascii="FrankRuehl" w:hAnsi="FrankRuehl" w:cs="FrankRuehl"/>
          <w:color w:val="000000"/>
          <w:rtl/>
        </w:rPr>
      </w:pPr>
      <w:bookmarkStart w:id="4" w:name="Links_End"/>
      <w:bookmarkEnd w:id="4"/>
    </w:p>
    <w:p w:rsidR="0029768B" w:rsidRDefault="0029768B" w:rsidP="0029768B">
      <w:pPr>
        <w:suppressLineNumbers/>
        <w:spacing w:after="120" w:line="240" w:lineRule="exact"/>
        <w:ind w:left="283" w:hanging="283"/>
        <w:jc w:val="both"/>
        <w:rPr>
          <w:rFonts w:ascii="FrankRuehl" w:hAnsi="FrankRuehl" w:cs="FrankRuehl"/>
          <w:rtl/>
        </w:rPr>
      </w:pPr>
      <w:bookmarkStart w:id="5" w:name="LawTable"/>
      <w:bookmarkEnd w:id="5"/>
    </w:p>
    <w:p w:rsidR="0029768B" w:rsidRPr="0029768B" w:rsidRDefault="0029768B" w:rsidP="0029768B">
      <w:pPr>
        <w:suppressLineNumbers/>
        <w:spacing w:before="120" w:after="120" w:line="240" w:lineRule="exact"/>
        <w:ind w:left="283" w:hanging="283"/>
        <w:jc w:val="both"/>
        <w:rPr>
          <w:rFonts w:ascii="FrankRuehl" w:hAnsi="FrankRuehl" w:cs="FrankRuehl"/>
          <w:rtl/>
        </w:rPr>
      </w:pPr>
    </w:p>
    <w:p w:rsidR="0029768B" w:rsidRPr="0029768B" w:rsidRDefault="0029768B" w:rsidP="0029768B">
      <w:pPr>
        <w:suppressLineNumbers/>
        <w:spacing w:before="120" w:after="120" w:line="240" w:lineRule="exact"/>
        <w:ind w:left="283" w:hanging="283"/>
        <w:jc w:val="both"/>
        <w:rPr>
          <w:rFonts w:ascii="FrankRuehl" w:hAnsi="FrankRuehl" w:cs="FrankRuehl"/>
          <w:rtl/>
        </w:rPr>
      </w:pPr>
    </w:p>
    <w:p w:rsidR="0029768B" w:rsidRPr="0029768B" w:rsidRDefault="0029768B" w:rsidP="0029768B">
      <w:pPr>
        <w:suppressLineNumbers/>
        <w:spacing w:before="120" w:after="120" w:line="240" w:lineRule="exact"/>
        <w:ind w:left="283" w:hanging="283"/>
        <w:jc w:val="both"/>
        <w:rPr>
          <w:rFonts w:ascii="FrankRuehl" w:hAnsi="FrankRuehl" w:cs="FrankRuehl"/>
          <w:rtl/>
        </w:rPr>
      </w:pPr>
      <w:r w:rsidRPr="0029768B">
        <w:rPr>
          <w:rFonts w:ascii="FrankRuehl" w:hAnsi="FrankRuehl" w:cs="FrankRuehl"/>
          <w:rtl/>
        </w:rPr>
        <w:t xml:space="preserve">חקיקה שאוזכרה: </w:t>
      </w:r>
    </w:p>
    <w:p w:rsidR="0029768B" w:rsidRPr="0029768B" w:rsidRDefault="0029768B" w:rsidP="0029768B">
      <w:pPr>
        <w:suppressLineNumbers/>
        <w:spacing w:before="120" w:after="120" w:line="240" w:lineRule="exact"/>
        <w:ind w:left="283" w:hanging="283"/>
        <w:jc w:val="both"/>
        <w:rPr>
          <w:rFonts w:ascii="FrankRuehl" w:hAnsi="FrankRuehl" w:cs="FrankRuehl"/>
          <w:rtl/>
        </w:rPr>
      </w:pPr>
      <w:hyperlink r:id="rId8" w:history="1">
        <w:r w:rsidRPr="0029768B">
          <w:rPr>
            <w:rFonts w:ascii="FrankRuehl" w:hAnsi="FrankRuehl" w:cs="FrankRuehl"/>
            <w:color w:val="0000FF"/>
            <w:rtl/>
          </w:rPr>
          <w:t>חוק העונשין, תשל"ז-1977</w:t>
        </w:r>
      </w:hyperlink>
      <w:r w:rsidRPr="0029768B">
        <w:rPr>
          <w:rFonts w:ascii="FrankRuehl" w:hAnsi="FrankRuehl" w:cs="FrankRuehl"/>
          <w:rtl/>
        </w:rPr>
        <w:t xml:space="preserve">: סע'  </w:t>
      </w:r>
      <w:hyperlink r:id="rId9" w:history="1">
        <w:r w:rsidRPr="0029768B">
          <w:rPr>
            <w:rFonts w:ascii="FrankRuehl" w:hAnsi="FrankRuehl" w:cs="FrankRuehl"/>
            <w:color w:val="0000FF"/>
            <w:rtl/>
          </w:rPr>
          <w:t>144(א)</w:t>
        </w:r>
      </w:hyperlink>
      <w:r w:rsidRPr="0029768B">
        <w:rPr>
          <w:rFonts w:ascii="FrankRuehl" w:hAnsi="FrankRuehl" w:cs="FrankRuehl"/>
          <w:rtl/>
        </w:rPr>
        <w:t xml:space="preserve">, </w:t>
      </w:r>
      <w:hyperlink r:id="rId10" w:history="1">
        <w:r w:rsidRPr="0029768B">
          <w:rPr>
            <w:rFonts w:ascii="FrankRuehl" w:hAnsi="FrankRuehl" w:cs="FrankRuehl"/>
            <w:color w:val="0000FF"/>
            <w:rtl/>
          </w:rPr>
          <w:t>144(ב)</w:t>
        </w:r>
      </w:hyperlink>
      <w:r w:rsidRPr="0029768B">
        <w:rPr>
          <w:rFonts w:ascii="FrankRuehl" w:hAnsi="FrankRuehl" w:cs="FrankRuehl"/>
          <w:rtl/>
        </w:rPr>
        <w:t xml:space="preserve">, </w:t>
      </w:r>
      <w:hyperlink r:id="rId11" w:history="1">
        <w:r w:rsidRPr="0029768B">
          <w:rPr>
            <w:rFonts w:ascii="FrankRuehl" w:hAnsi="FrankRuehl" w:cs="FrankRuehl"/>
            <w:color w:val="0000FF"/>
            <w:rtl/>
          </w:rPr>
          <w:t>186</w:t>
        </w:r>
      </w:hyperlink>
      <w:r w:rsidRPr="0029768B">
        <w:rPr>
          <w:rFonts w:ascii="FrankRuehl" w:hAnsi="FrankRuehl" w:cs="FrankRuehl"/>
          <w:rtl/>
        </w:rPr>
        <w:t xml:space="preserve">, </w:t>
      </w:r>
      <w:hyperlink r:id="rId12" w:history="1">
        <w:r w:rsidRPr="0029768B">
          <w:rPr>
            <w:rFonts w:ascii="FrankRuehl" w:hAnsi="FrankRuehl" w:cs="FrankRuehl"/>
            <w:color w:val="0000FF"/>
            <w:rtl/>
          </w:rPr>
          <w:t>פרק ח'</w:t>
        </w:r>
      </w:hyperlink>
    </w:p>
    <w:p w:rsidR="0029768B" w:rsidRPr="0029768B" w:rsidRDefault="0029768B" w:rsidP="0029768B">
      <w:pPr>
        <w:suppressLineNumbers/>
        <w:spacing w:after="120" w:line="240" w:lineRule="exact"/>
        <w:ind w:left="283" w:hanging="283"/>
        <w:jc w:val="both"/>
        <w:rPr>
          <w:rFonts w:ascii="FrankRuehl" w:hAnsi="FrankRuehl" w:cs="FrankRuehl"/>
          <w:rtl/>
        </w:rPr>
      </w:pPr>
      <w:bookmarkStart w:id="6" w:name="LawTable_End"/>
      <w:bookmarkEnd w:id="6"/>
    </w:p>
    <w:p w:rsidR="00084A40" w:rsidRPr="0029768B" w:rsidRDefault="00084A40" w:rsidP="00084A40">
      <w:pPr>
        <w:suppressLineNumbers/>
        <w:spacing w:after="120" w:line="240" w:lineRule="exact"/>
        <w:ind w:left="283" w:hanging="283"/>
        <w:jc w:val="both"/>
        <w:rPr>
          <w:rFonts w:ascii="FrankRuehl" w:hAnsi="FrankRuehl" w:cs="FrankRuehl"/>
          <w:rtl/>
        </w:rPr>
      </w:pP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bookmarkStart w:id="7" w:name="ABSTRACT_START"/>
      <w:bookmarkEnd w:id="7"/>
      <w:r w:rsidRPr="0010148F">
        <w:rPr>
          <w:rFonts w:cs="FrankRuehl" w:hint="cs"/>
          <w:szCs w:val="26"/>
          <w:rtl/>
        </w:rPr>
        <w:t>מיני-רציו:</w:t>
      </w: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hint="cs"/>
          <w:szCs w:val="26"/>
          <w:rtl/>
        </w:rPr>
        <w:t xml:space="preserve">* גזר דין בעניינו של </w:t>
      </w:r>
      <w:r w:rsidRPr="0010148F">
        <w:rPr>
          <w:rFonts w:cs="FrankRuehl"/>
          <w:szCs w:val="26"/>
          <w:rtl/>
        </w:rPr>
        <w:t xml:space="preserve">נאשם </w:t>
      </w:r>
      <w:r w:rsidRPr="0010148F">
        <w:rPr>
          <w:rFonts w:cs="FrankRuehl" w:hint="cs"/>
          <w:szCs w:val="26"/>
          <w:rtl/>
        </w:rPr>
        <w:t xml:space="preserve">שהורשע </w:t>
      </w:r>
      <w:r w:rsidRPr="0010148F">
        <w:rPr>
          <w:rFonts w:cs="FrankRuehl"/>
          <w:szCs w:val="26"/>
          <w:rtl/>
        </w:rPr>
        <w:t xml:space="preserve">בגין עבירות של אחזקת נשק ותחמושת. </w:t>
      </w:r>
      <w:r w:rsidRPr="0010148F">
        <w:rPr>
          <w:rFonts w:cs="FrankRuehl" w:hint="cs"/>
          <w:szCs w:val="26"/>
          <w:rtl/>
        </w:rPr>
        <w:t xml:space="preserve">בית המשפט הטיל על הנאשם </w:t>
      </w:r>
      <w:r w:rsidRPr="0010148F">
        <w:rPr>
          <w:rFonts w:cs="FrankRuehl"/>
          <w:szCs w:val="26"/>
          <w:rtl/>
        </w:rPr>
        <w:t>20 ח</w:t>
      </w:r>
      <w:r w:rsidRPr="0010148F">
        <w:rPr>
          <w:rFonts w:cs="FrankRuehl" w:hint="cs"/>
          <w:szCs w:val="26"/>
          <w:rtl/>
        </w:rPr>
        <w:t>ו</w:t>
      </w:r>
      <w:r w:rsidRPr="0010148F">
        <w:rPr>
          <w:rFonts w:cs="FrankRuehl"/>
          <w:szCs w:val="26"/>
          <w:rtl/>
        </w:rPr>
        <w:t xml:space="preserve">דשי מאסר בפועל, </w:t>
      </w:r>
      <w:r w:rsidRPr="0010148F">
        <w:rPr>
          <w:rFonts w:cs="FrankRuehl" w:hint="cs"/>
          <w:szCs w:val="26"/>
          <w:rtl/>
        </w:rPr>
        <w:t>לצד ענישה נלווית.</w:t>
      </w: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hint="cs"/>
          <w:szCs w:val="26"/>
          <w:rtl/>
        </w:rPr>
        <w:t xml:space="preserve">* </w:t>
      </w:r>
      <w:r w:rsidRPr="0010148F">
        <w:rPr>
          <w:rFonts w:cs="FrankRuehl"/>
          <w:szCs w:val="26"/>
          <w:rtl/>
        </w:rPr>
        <w:t>עונשין – ענישה – מדיניות ענישה: החזקת נשק</w:t>
      </w: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 xml:space="preserve">הנאשם נותן את הדין בגין עבירות של אחזקת נשק ותחמושת, בניגוד </w:t>
      </w:r>
      <w:hyperlink r:id="rId13" w:history="1">
        <w:r w:rsidRPr="0010148F">
          <w:rPr>
            <w:rFonts w:cs="FrankRuehl"/>
            <w:szCs w:val="26"/>
            <w:rtl/>
          </w:rPr>
          <w:t>לסעיף 144(א)</w:t>
        </w:r>
      </w:hyperlink>
      <w:r w:rsidRPr="0010148F">
        <w:rPr>
          <w:rFonts w:cs="FrankRuehl"/>
          <w:szCs w:val="26"/>
          <w:rtl/>
        </w:rPr>
        <w:t xml:space="preserve"> רישא </w:t>
      </w:r>
      <w:r w:rsidRPr="0010148F">
        <w:rPr>
          <w:rFonts w:cs="FrankRuehl" w:hint="eastAsia"/>
          <w:szCs w:val="26"/>
          <w:rtl/>
        </w:rPr>
        <w:t>וסיפא</w:t>
      </w:r>
      <w:r w:rsidRPr="0010148F">
        <w:rPr>
          <w:rFonts w:cs="FrankRuehl"/>
          <w:szCs w:val="26"/>
          <w:rtl/>
        </w:rPr>
        <w:t xml:space="preserve"> </w:t>
      </w:r>
      <w:r w:rsidRPr="0010148F">
        <w:rPr>
          <w:rFonts w:cs="FrankRuehl" w:hint="eastAsia"/>
          <w:szCs w:val="26"/>
          <w:rtl/>
        </w:rPr>
        <w:t>ל</w:t>
      </w:r>
      <w:hyperlink r:id="rId14" w:history="1">
        <w:r w:rsidRPr="0010148F">
          <w:rPr>
            <w:rFonts w:cs="FrankRuehl" w:hint="eastAsia"/>
            <w:szCs w:val="26"/>
            <w:rtl/>
          </w:rPr>
          <w:t>חוק</w:t>
        </w:r>
        <w:r w:rsidRPr="0010148F">
          <w:rPr>
            <w:rFonts w:cs="FrankRuehl"/>
            <w:szCs w:val="26"/>
            <w:rtl/>
          </w:rPr>
          <w:t xml:space="preserve"> </w:t>
        </w:r>
        <w:r w:rsidRPr="0010148F">
          <w:rPr>
            <w:rFonts w:cs="FrankRuehl" w:hint="eastAsia"/>
            <w:szCs w:val="26"/>
            <w:rtl/>
          </w:rPr>
          <w:t>העונשין</w:t>
        </w:r>
      </w:hyperlink>
      <w:r w:rsidRPr="0010148F">
        <w:rPr>
          <w:rFonts w:cs="FrankRuehl"/>
          <w:szCs w:val="26"/>
          <w:rtl/>
        </w:rPr>
        <w:t xml:space="preserve">, </w:t>
      </w:r>
      <w:r w:rsidRPr="0010148F">
        <w:rPr>
          <w:rFonts w:cs="FrankRuehl" w:hint="eastAsia"/>
          <w:szCs w:val="26"/>
          <w:rtl/>
        </w:rPr>
        <w:t>תשל</w:t>
      </w:r>
      <w:r w:rsidRPr="0010148F">
        <w:rPr>
          <w:rFonts w:cs="FrankRuehl"/>
          <w:szCs w:val="26"/>
          <w:rtl/>
        </w:rPr>
        <w:t>"</w:t>
      </w:r>
      <w:r w:rsidRPr="0010148F">
        <w:rPr>
          <w:rFonts w:cs="FrankRuehl" w:hint="eastAsia"/>
          <w:szCs w:val="26"/>
          <w:rtl/>
        </w:rPr>
        <w:t>ז</w:t>
      </w:r>
      <w:r w:rsidRPr="0010148F">
        <w:rPr>
          <w:rFonts w:cs="FrankRuehl"/>
          <w:szCs w:val="26"/>
          <w:rtl/>
        </w:rPr>
        <w:t xml:space="preserve">-1977. </w:t>
      </w: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hint="cs"/>
          <w:szCs w:val="26"/>
          <w:rtl/>
        </w:rPr>
        <w:lastRenderedPageBreak/>
        <w:t>בית המשפט גזר את דינו של הנאשם, ופסק כלהלן:</w:t>
      </w:r>
    </w:p>
    <w:p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בכל הנוגע לאחזקת נשק אוטומטי, מסוג רובה סער, המתחם הנוהג כיום הוא בין 18 – 36 ח</w:t>
      </w:r>
      <w:r w:rsidRPr="0010148F">
        <w:rPr>
          <w:rFonts w:cs="FrankRuehl" w:hint="cs"/>
          <w:szCs w:val="26"/>
          <w:rtl/>
        </w:rPr>
        <w:t>ו</w:t>
      </w:r>
      <w:r w:rsidRPr="0010148F">
        <w:rPr>
          <w:rFonts w:cs="FrankRuehl"/>
          <w:szCs w:val="26"/>
          <w:rtl/>
        </w:rPr>
        <w:t>דשי מאסר בפועל. בנוגע לאחזקת תחמושת בכמות כפי שהוחזקה כאן (2 מחסניות עם כדורים) – עד 6 ח</w:t>
      </w:r>
      <w:r w:rsidRPr="0010148F">
        <w:rPr>
          <w:rFonts w:cs="FrankRuehl" w:hint="cs"/>
          <w:szCs w:val="26"/>
          <w:rtl/>
        </w:rPr>
        <w:t>ו</w:t>
      </w:r>
      <w:r w:rsidRPr="0010148F">
        <w:rPr>
          <w:rFonts w:cs="FrankRuehl"/>
          <w:szCs w:val="26"/>
          <w:rtl/>
        </w:rPr>
        <w:t>דשי מאסר בפועל.</w:t>
      </w:r>
    </w:p>
    <w:p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אשר למתחם הענישה הכולל בתיק זה, בגין האירוע כולו, כלומר הן החזקת רובה הסער והן החזקת התחמושת – יועמד המתחם בין 20 ועד 40 ח</w:t>
      </w:r>
      <w:r w:rsidRPr="0010148F">
        <w:rPr>
          <w:rFonts w:cs="FrankRuehl" w:hint="cs"/>
          <w:szCs w:val="26"/>
          <w:rtl/>
        </w:rPr>
        <w:t>ו</w:t>
      </w:r>
      <w:r w:rsidRPr="0010148F">
        <w:rPr>
          <w:rFonts w:cs="FrankRuehl"/>
          <w:szCs w:val="26"/>
          <w:rtl/>
        </w:rPr>
        <w:t>דשים מאסר בפועל.</w:t>
      </w:r>
    </w:p>
    <w:p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מכלול הנתונים שהוצגו, לרבות העובדה, כי הנאשם נתפס, זמן לא רב לפני הסתבכותו בעבירה דנן, מחזיק נשק קר, נשפט, בין היתר, לעונש מאסר מותנה והדבר לא הרתיעו – מצביעים לכיוון ענישה, שאינה על הרף הנמוך של המתחם.</w:t>
      </w:r>
    </w:p>
    <w:p w:rsidR="0010148F" w:rsidRPr="0010148F" w:rsidRDefault="0010148F" w:rsidP="0010148F">
      <w:pPr>
        <w:pBdr>
          <w:top w:val="single" w:sz="4" w:space="1" w:color="auto"/>
          <w:bottom w:val="single" w:sz="4" w:space="1" w:color="auto"/>
        </w:pBdr>
        <w:spacing w:after="120" w:line="320" w:lineRule="exact"/>
        <w:jc w:val="both"/>
        <w:rPr>
          <w:rFonts w:cs="FrankRuehl"/>
          <w:szCs w:val="26"/>
          <w:rtl/>
        </w:rPr>
      </w:pPr>
      <w:r w:rsidRPr="0010148F">
        <w:rPr>
          <w:rFonts w:cs="FrankRuehl"/>
          <w:szCs w:val="26"/>
          <w:rtl/>
        </w:rPr>
        <w:t>ברם, לנוכח נסיבותיו האישיות של הנאשם</w:t>
      </w:r>
      <w:r w:rsidRPr="0010148F">
        <w:rPr>
          <w:rFonts w:cs="FrankRuehl" w:hint="cs"/>
          <w:szCs w:val="26"/>
          <w:rtl/>
        </w:rPr>
        <w:t xml:space="preserve"> </w:t>
      </w:r>
      <w:r w:rsidRPr="0010148F">
        <w:rPr>
          <w:rFonts w:cs="FrankRuehl"/>
          <w:szCs w:val="26"/>
          <w:rtl/>
        </w:rPr>
        <w:t>–</w:t>
      </w:r>
      <w:r w:rsidRPr="0010148F">
        <w:rPr>
          <w:rFonts w:cs="FrankRuehl" w:hint="cs"/>
          <w:szCs w:val="26"/>
          <w:rtl/>
        </w:rPr>
        <w:t xml:space="preserve"> </w:t>
      </w:r>
      <w:r w:rsidRPr="0010148F">
        <w:rPr>
          <w:rFonts w:cs="FrankRuehl"/>
          <w:szCs w:val="26"/>
          <w:rtl/>
        </w:rPr>
        <w:t>ובעיקר גילו המבוגר;</w:t>
      </w:r>
      <w:r w:rsidRPr="0010148F">
        <w:rPr>
          <w:rFonts w:cs="FrankRuehl" w:hint="cs"/>
          <w:szCs w:val="26"/>
          <w:rtl/>
        </w:rPr>
        <w:t xml:space="preserve"> </w:t>
      </w:r>
      <w:r w:rsidRPr="0010148F">
        <w:rPr>
          <w:rFonts w:cs="FrankRuehl"/>
          <w:szCs w:val="26"/>
          <w:rtl/>
        </w:rPr>
        <w:t>הפרטים שנמסרו בנוגע למצבו הבריאותי וכן לנוכח הודאתו באשמה (אם גם לאחר שנמסרה, בתחילה, כפירה והתיק נקבע לשמיעת ראיות) – כמו גם, לאור התקופה בה שהה הנאשם בתנאים מגבילים (אם גם לא ה</w:t>
      </w:r>
      <w:r w:rsidRPr="0010148F">
        <w:rPr>
          <w:rFonts w:cs="FrankRuehl" w:hint="cs"/>
          <w:szCs w:val="26"/>
          <w:rtl/>
        </w:rPr>
        <w:t>י</w:t>
      </w:r>
      <w:r w:rsidRPr="0010148F">
        <w:rPr>
          <w:rFonts w:cs="FrankRuehl"/>
          <w:szCs w:val="26"/>
          <w:rtl/>
        </w:rPr>
        <w:t>יתה הגבלה מלאה על תנועותיו במרבית הזמן) – לא ימצה בית המשפט עמו את הדין ועונשו יועמד על הצד הנמוך של המתחם.</w:t>
      </w:r>
    </w:p>
    <w:p w:rsidR="0010148F" w:rsidRPr="0010148F" w:rsidRDefault="0010148F" w:rsidP="0010148F">
      <w:pPr>
        <w:pBdr>
          <w:top w:val="single" w:sz="4" w:space="1" w:color="auto"/>
          <w:bottom w:val="single" w:sz="4" w:space="1" w:color="auto"/>
        </w:pBdr>
        <w:spacing w:after="120" w:line="320" w:lineRule="exact"/>
        <w:jc w:val="both"/>
        <w:rPr>
          <w:rFonts w:cs="FrankRuehl" w:hint="cs"/>
          <w:szCs w:val="26"/>
          <w:rtl/>
        </w:rPr>
      </w:pPr>
      <w:r w:rsidRPr="0010148F">
        <w:rPr>
          <w:rFonts w:cs="FrankRuehl"/>
          <w:szCs w:val="26"/>
          <w:rtl/>
        </w:rPr>
        <w:t>בנוסף, יושתו על הנאשם ענשי מאסר מותנה, הן בגין אחזקת נשק חם והן בגין אחזקת תחמושת או נשק שאינו נשק חם; וכן עיצום כספי מרתיע בדמות קנס, בין היתר לנוכח כך, שהנשק המדובר הוא נשק תקני, אוטומטי בעל שווי כספי לא מבוטל.</w:t>
      </w:r>
    </w:p>
    <w:p w:rsidR="00084A40" w:rsidRPr="00084A40" w:rsidRDefault="00084A40" w:rsidP="006D3B31">
      <w:pPr>
        <w:suppressLineNumbers/>
        <w:rPr>
          <w:b/>
          <w:bCs/>
          <w:rtl/>
        </w:rPr>
      </w:pPr>
      <w:bookmarkStart w:id="8" w:name="ABSTRACT_END"/>
      <w:bookmarkEnd w:id="8"/>
    </w:p>
    <w:p w:rsidR="005809C1" w:rsidRPr="00084A40" w:rsidRDefault="005809C1" w:rsidP="006D3B31">
      <w:pPr>
        <w:suppressLineNumbers/>
        <w:rPr>
          <w:rFonts w:hint="cs"/>
          <w:b/>
          <w:bCs/>
          <w:rtl/>
        </w:rPr>
      </w:pPr>
    </w:p>
    <w:tbl>
      <w:tblPr>
        <w:bidiVisual/>
        <w:tblW w:w="8820" w:type="dxa"/>
        <w:jc w:val="center"/>
        <w:tblLook w:val="01E0" w:firstRow="1" w:lastRow="1" w:firstColumn="1" w:lastColumn="1" w:noHBand="0" w:noVBand="0"/>
      </w:tblPr>
      <w:tblGrid>
        <w:gridCol w:w="8820"/>
      </w:tblGrid>
      <w:tr w:rsidR="009A4913" w:rsidTr="00DB4738">
        <w:trPr>
          <w:jc w:val="center"/>
        </w:trPr>
        <w:tc>
          <w:tcPr>
            <w:tcW w:w="8820" w:type="dxa"/>
          </w:tcPr>
          <w:p w:rsidR="009A4913" w:rsidRPr="007E3760" w:rsidRDefault="007E3760" w:rsidP="007E3760">
            <w:pPr>
              <w:bidi w:val="0"/>
              <w:jc w:val="center"/>
              <w:rPr>
                <w:rFonts w:ascii="Arial" w:hAnsi="Arial"/>
                <w:b/>
                <w:bCs/>
                <w:sz w:val="28"/>
                <w:szCs w:val="28"/>
                <w:u w:val="single"/>
              </w:rPr>
            </w:pPr>
            <w:bookmarkStart w:id="9" w:name="PsakDin" w:colFirst="0" w:colLast="0"/>
            <w:bookmarkEnd w:id="0"/>
            <w:bookmarkEnd w:id="1"/>
            <w:r w:rsidRPr="007E3760">
              <w:rPr>
                <w:rFonts w:ascii="Arial" w:hAnsi="Arial"/>
                <w:b/>
                <w:bCs/>
                <w:sz w:val="28"/>
                <w:szCs w:val="28"/>
                <w:u w:val="single"/>
                <w:rtl/>
              </w:rPr>
              <w:t>גזר דין</w:t>
            </w:r>
          </w:p>
        </w:tc>
      </w:tr>
      <w:bookmarkEnd w:id="9"/>
    </w:tbl>
    <w:p w:rsidR="009A4913" w:rsidRDefault="009A4913">
      <w:pPr>
        <w:spacing w:line="360" w:lineRule="auto"/>
        <w:jc w:val="both"/>
        <w:rPr>
          <w:rFonts w:ascii="Arial" w:hAnsi="Arial"/>
          <w:rtl/>
        </w:rPr>
      </w:pPr>
    </w:p>
    <w:p w:rsidR="009A4913" w:rsidRPr="004F759B" w:rsidRDefault="009A4913">
      <w:pPr>
        <w:spacing w:line="360" w:lineRule="auto"/>
        <w:jc w:val="both"/>
        <w:rPr>
          <w:rFonts w:ascii="Arial" w:hAnsi="Arial"/>
          <w:b/>
          <w:bCs/>
          <w:rtl/>
        </w:rPr>
      </w:pPr>
      <w:r w:rsidRPr="004F759B">
        <w:rPr>
          <w:rFonts w:ascii="Arial" w:hAnsi="Arial"/>
          <w:b/>
          <w:bCs/>
          <w:rtl/>
        </w:rPr>
        <w:t>כתב האישום והסדר הטיעון</w:t>
      </w:r>
    </w:p>
    <w:p w:rsidR="009A4913" w:rsidRDefault="009A4913">
      <w:pPr>
        <w:spacing w:line="360" w:lineRule="auto"/>
        <w:jc w:val="both"/>
        <w:rPr>
          <w:rFonts w:ascii="Arial" w:hAnsi="Arial"/>
          <w:rtl/>
        </w:rPr>
      </w:pPr>
    </w:p>
    <w:p w:rsidR="009A4913" w:rsidRDefault="009A4913" w:rsidP="00006255">
      <w:pPr>
        <w:spacing w:line="360" w:lineRule="auto"/>
        <w:rPr>
          <w:rFonts w:ascii="Calibri" w:hAnsi="Calibri"/>
          <w:rtl/>
        </w:rPr>
      </w:pPr>
      <w:r>
        <w:rPr>
          <w:rFonts w:ascii="Arial" w:hAnsi="Arial"/>
          <w:rtl/>
        </w:rPr>
        <w:t xml:space="preserve">הנאשם שלפני נותן את הדין בגין עבירות של אחזקת נשק ותחמושת, בניגוד </w:t>
      </w:r>
      <w:hyperlink r:id="rId15" w:history="1">
        <w:r w:rsidR="00084A40" w:rsidRPr="00084A40">
          <w:rPr>
            <w:rFonts w:ascii="Arial" w:hAnsi="Arial"/>
            <w:color w:val="0000FF"/>
            <w:u w:val="single"/>
            <w:rtl/>
          </w:rPr>
          <w:t>לסעיף 144(א)</w:t>
        </w:r>
      </w:hyperlink>
      <w:r>
        <w:rPr>
          <w:rFonts w:ascii="Arial" w:hAnsi="Arial"/>
          <w:rtl/>
        </w:rPr>
        <w:t xml:space="preserve"> רישא </w:t>
      </w:r>
      <w:r>
        <w:rPr>
          <w:rFonts w:ascii="Calibri" w:hAnsi="Calibri" w:hint="eastAsia"/>
          <w:rtl/>
        </w:rPr>
        <w:t>וסיפא</w:t>
      </w:r>
      <w:r>
        <w:rPr>
          <w:rFonts w:ascii="Calibri" w:hAnsi="Calibri"/>
          <w:rtl/>
        </w:rPr>
        <w:t xml:space="preserve"> </w:t>
      </w:r>
      <w:r>
        <w:rPr>
          <w:rFonts w:ascii="Calibri" w:hAnsi="Calibri" w:hint="eastAsia"/>
          <w:rtl/>
        </w:rPr>
        <w:t>ל</w:t>
      </w:r>
      <w:hyperlink r:id="rId16" w:history="1">
        <w:r w:rsidR="007E3760" w:rsidRPr="007E3760">
          <w:rPr>
            <w:rFonts w:ascii="Calibri" w:hAnsi="Calibri" w:hint="eastAsia"/>
            <w:color w:val="0000FF"/>
            <w:u w:val="single"/>
            <w:rtl/>
          </w:rPr>
          <w:t>חוק</w:t>
        </w:r>
        <w:r w:rsidR="007E3760" w:rsidRPr="007E3760">
          <w:rPr>
            <w:rFonts w:ascii="Calibri" w:hAnsi="Calibri"/>
            <w:color w:val="0000FF"/>
            <w:u w:val="single"/>
            <w:rtl/>
          </w:rPr>
          <w:t xml:space="preserve"> </w:t>
        </w:r>
        <w:r w:rsidR="007E3760" w:rsidRPr="007E3760">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rtl/>
        </w:rPr>
        <w:t>-</w:t>
      </w:r>
      <w:r w:rsidRPr="00527DA7">
        <w:rPr>
          <w:rFonts w:ascii="Calibri" w:hAnsi="Calibri"/>
          <w:rtl/>
        </w:rPr>
        <w:t>19</w:t>
      </w:r>
      <w:r>
        <w:rPr>
          <w:rFonts w:ascii="Calibri" w:hAnsi="Calibri"/>
          <w:rtl/>
        </w:rPr>
        <w:t xml:space="preserve">77. </w:t>
      </w:r>
    </w:p>
    <w:p w:rsidR="009A4913" w:rsidRDefault="009A4913" w:rsidP="004F759B">
      <w:pPr>
        <w:spacing w:line="360" w:lineRule="auto"/>
        <w:rPr>
          <w:rFonts w:ascii="Calibri" w:hAnsi="Calibri"/>
          <w:rtl/>
        </w:rPr>
      </w:pPr>
    </w:p>
    <w:p w:rsidR="009A4913" w:rsidRDefault="009A4913" w:rsidP="000529C0">
      <w:pPr>
        <w:spacing w:line="360" w:lineRule="auto"/>
        <w:rPr>
          <w:rtl/>
        </w:rPr>
      </w:pPr>
      <w:r w:rsidRPr="00F54DC4">
        <w:rPr>
          <w:rFonts w:ascii="Calibri" w:hAnsi="Calibri" w:hint="eastAsia"/>
          <w:rtl/>
        </w:rPr>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המתוקן</w:t>
      </w:r>
      <w:r w:rsidRPr="00F54DC4">
        <w:rPr>
          <w:rFonts w:ascii="Calibri" w:hAnsi="Calibri"/>
          <w:rtl/>
        </w:rPr>
        <w:t xml:space="preserve"> </w:t>
      </w:r>
      <w:r w:rsidRPr="00F54DC4">
        <w:rPr>
          <w:rFonts w:ascii="Calibri" w:hAnsi="Calibri" w:hint="eastAsia"/>
          <w:rtl/>
        </w:rPr>
        <w:t>ת</w:t>
      </w:r>
      <w:r w:rsidRPr="00F54DC4">
        <w:rPr>
          <w:rFonts w:ascii="Calibri" w:hAnsi="Calibri"/>
          <w:rtl/>
        </w:rPr>
        <w:t xml:space="preserve">/1,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tl/>
        </w:rPr>
        <w:t xml:space="preserve"> בתאריך 02/04/17, בחיפוש שנערך במסגרת פעילות משטרתית יזומה, נתפס הנאשם מחזיק, בביתו, רובה סער מסוג קלאצ'ניקוב ושתי מחסניות המכילות קליעים, מוסלקים בתוך ארון בחדר השינה. עוד נאמר בכתב האישום המתוקן, כי את הנשק האמור – קיבל הנאשם מידי דודו, לפני מותו, בשנת 2000.</w:t>
      </w:r>
    </w:p>
    <w:p w:rsidR="009A4913" w:rsidRDefault="009A4913" w:rsidP="000529C0">
      <w:pPr>
        <w:spacing w:line="360" w:lineRule="auto"/>
        <w:rPr>
          <w:rtl/>
        </w:rPr>
      </w:pPr>
    </w:p>
    <w:p w:rsidR="009A4913" w:rsidRDefault="009A4913" w:rsidP="00006255">
      <w:pPr>
        <w:spacing w:line="360" w:lineRule="auto"/>
        <w:rPr>
          <w:rtl/>
        </w:rPr>
      </w:pPr>
      <w:r>
        <w:rPr>
          <w:rtl/>
        </w:rPr>
        <w:t>תחילה, כפר הנאשם באשמה והתיק נקבע לשמיעת ראיות, אך במועד ההוכחות - נערך בין הצדדים הסדר טיעון, במסגרתו הודה הנאשם ובעובדות ובעבירות שבכתב האישום המתוקן.</w:t>
      </w:r>
    </w:p>
    <w:p w:rsidR="009A4913" w:rsidRDefault="009A4913" w:rsidP="000529C0">
      <w:pPr>
        <w:spacing w:line="360" w:lineRule="auto"/>
        <w:rPr>
          <w:rtl/>
        </w:rPr>
      </w:pPr>
    </w:p>
    <w:p w:rsidR="009A4913" w:rsidRDefault="009A4913" w:rsidP="000529C0">
      <w:pPr>
        <w:spacing w:line="360" w:lineRule="auto"/>
        <w:rPr>
          <w:rtl/>
        </w:rPr>
      </w:pPr>
      <w:r>
        <w:rPr>
          <w:rtl/>
        </w:rPr>
        <w:t>הסדר הטיעון שנערך – לא כלל הסכמות ענשיות, אך הנאשם הופנה, בהסכמת הצדדים, לשירות המבחן למבוגרים.</w:t>
      </w:r>
    </w:p>
    <w:p w:rsidR="009A4913" w:rsidRDefault="009A4913" w:rsidP="000529C0">
      <w:pPr>
        <w:spacing w:line="360" w:lineRule="auto"/>
        <w:rPr>
          <w:rtl/>
        </w:rPr>
      </w:pPr>
    </w:p>
    <w:p w:rsidR="009A4913" w:rsidRDefault="009A4913" w:rsidP="000529C0">
      <w:pPr>
        <w:spacing w:line="360" w:lineRule="auto"/>
        <w:rPr>
          <w:rtl/>
        </w:rPr>
      </w:pPr>
    </w:p>
    <w:p w:rsidR="009A4913" w:rsidRDefault="009A4913" w:rsidP="000529C0">
      <w:pPr>
        <w:spacing w:line="360" w:lineRule="auto"/>
        <w:rPr>
          <w:rtl/>
        </w:rPr>
      </w:pPr>
    </w:p>
    <w:p w:rsidR="009A4913" w:rsidRDefault="009A4913" w:rsidP="000529C0">
      <w:pPr>
        <w:spacing w:line="360" w:lineRule="auto"/>
        <w:rPr>
          <w:b/>
          <w:bCs/>
          <w:rtl/>
        </w:rPr>
      </w:pPr>
      <w:r w:rsidRPr="00A86AAB">
        <w:rPr>
          <w:b/>
          <w:bCs/>
          <w:rtl/>
        </w:rPr>
        <w:t>ראיות לעונש</w:t>
      </w:r>
    </w:p>
    <w:p w:rsidR="009A4913" w:rsidRDefault="009A4913" w:rsidP="000529C0">
      <w:pPr>
        <w:spacing w:line="360" w:lineRule="auto"/>
        <w:rPr>
          <w:b/>
          <w:bCs/>
          <w:rtl/>
        </w:rPr>
      </w:pPr>
    </w:p>
    <w:p w:rsidR="009A4913" w:rsidRDefault="009A4913" w:rsidP="000529C0">
      <w:pPr>
        <w:spacing w:line="360" w:lineRule="auto"/>
        <w:rPr>
          <w:rtl/>
        </w:rPr>
      </w:pPr>
      <w:r>
        <w:rPr>
          <w:rtl/>
        </w:rPr>
        <w:t>התביעה הגישה, לענין העונש, גיליון הרשעותיו של הנאשם. בשנת 2015, הורשע הנאשם בגין עבירה של אחזקת נשק קר – סכין - שלא כדין.</w:t>
      </w:r>
    </w:p>
    <w:p w:rsidR="009A4913" w:rsidRDefault="009A4913" w:rsidP="000529C0">
      <w:pPr>
        <w:spacing w:line="360" w:lineRule="auto"/>
        <w:rPr>
          <w:rtl/>
        </w:rPr>
      </w:pPr>
    </w:p>
    <w:p w:rsidR="009A4913" w:rsidRDefault="009A4913" w:rsidP="000529C0">
      <w:pPr>
        <w:spacing w:line="360" w:lineRule="auto"/>
        <w:rPr>
          <w:rtl/>
        </w:rPr>
      </w:pPr>
      <w:r>
        <w:rPr>
          <w:rtl/>
        </w:rPr>
        <w:t>מטעם ההגנה – לא הוגשו ראיות לענין העונש.</w:t>
      </w:r>
    </w:p>
    <w:p w:rsidR="009A4913" w:rsidRDefault="009A4913" w:rsidP="000529C0">
      <w:pPr>
        <w:spacing w:line="360" w:lineRule="auto"/>
        <w:rPr>
          <w:rtl/>
        </w:rPr>
      </w:pPr>
    </w:p>
    <w:p w:rsidR="009A4913" w:rsidRDefault="009A4913" w:rsidP="000529C0">
      <w:pPr>
        <w:spacing w:line="360" w:lineRule="auto"/>
        <w:rPr>
          <w:rtl/>
        </w:rPr>
      </w:pPr>
    </w:p>
    <w:p w:rsidR="009A4913" w:rsidRPr="00B0514B" w:rsidRDefault="009A4913" w:rsidP="000529C0">
      <w:pPr>
        <w:spacing w:line="360" w:lineRule="auto"/>
        <w:rPr>
          <w:b/>
          <w:bCs/>
          <w:rtl/>
        </w:rPr>
      </w:pPr>
      <w:r w:rsidRPr="00B0514B">
        <w:rPr>
          <w:b/>
          <w:bCs/>
          <w:rtl/>
        </w:rPr>
        <w:t>הערכת שירות המבחן למב</w:t>
      </w:r>
      <w:r>
        <w:rPr>
          <w:b/>
          <w:bCs/>
          <w:rtl/>
        </w:rPr>
        <w:t>וג</w:t>
      </w:r>
      <w:r w:rsidRPr="00B0514B">
        <w:rPr>
          <w:b/>
          <w:bCs/>
          <w:rtl/>
        </w:rPr>
        <w:t>רים</w:t>
      </w:r>
    </w:p>
    <w:p w:rsidR="009A4913" w:rsidRDefault="009A4913" w:rsidP="000529C0">
      <w:pPr>
        <w:spacing w:line="360" w:lineRule="auto"/>
        <w:rPr>
          <w:rtl/>
        </w:rPr>
      </w:pPr>
    </w:p>
    <w:p w:rsidR="009A4913" w:rsidRDefault="009A4913" w:rsidP="00C304E9">
      <w:pPr>
        <w:spacing w:line="360" w:lineRule="auto"/>
        <w:rPr>
          <w:rtl/>
        </w:rPr>
      </w:pPr>
      <w:r>
        <w:rPr>
          <w:rtl/>
        </w:rPr>
        <w:t>בענינו של הנאשם הוגש תסקיר, המפרט את נסיבותיו האישיות, כבן  63 בעת עריכת התסקיר (כיום – 64), נישא לשתי נשים במדינת ישראל וכן לאשה נוספת – בירדן, ממנה, לטענתו, התגרש. לנאשם צאצאים מכל אחת מהנשים. הנאשם מחלק זמנו בין הארץ לבין ביקור משפחתו בירדן. בעבר - עבד כנהג מונית - מיניבוס, אך כיום אינו עובד ומתפרנס מקצבת נכות, מטעם המל"ל.</w:t>
      </w:r>
    </w:p>
    <w:p w:rsidR="009A4913" w:rsidRDefault="009A4913" w:rsidP="00B0514B">
      <w:pPr>
        <w:spacing w:line="360" w:lineRule="auto"/>
        <w:rPr>
          <w:rtl/>
        </w:rPr>
      </w:pPr>
    </w:p>
    <w:p w:rsidR="009A4913" w:rsidRDefault="009A4913" w:rsidP="00C304E9">
      <w:pPr>
        <w:spacing w:line="360" w:lineRule="auto"/>
        <w:rPr>
          <w:rtl/>
        </w:rPr>
      </w:pPr>
      <w:r>
        <w:rPr>
          <w:rtl/>
        </w:rPr>
        <w:t>הנאשם תושב ירדן, אשר, בשנת 1992 זכה לאזרחות ישראלית, מכֹּחַ איחוד משפחות, לאחר שנישא בפעם השניה לאשה אזרחית ישראלית. כאן, נישא לאשה נוספת, שלישית במספר, שהיא, כיום - כבת 35.</w:t>
      </w:r>
    </w:p>
    <w:p w:rsidR="009A4913" w:rsidRDefault="009A4913" w:rsidP="00B0514B">
      <w:pPr>
        <w:spacing w:line="360" w:lineRule="auto"/>
        <w:rPr>
          <w:rtl/>
        </w:rPr>
      </w:pPr>
    </w:p>
    <w:p w:rsidR="009A4913" w:rsidRDefault="009A4913" w:rsidP="00C304E9">
      <w:pPr>
        <w:spacing w:line="360" w:lineRule="auto"/>
        <w:rPr>
          <w:rtl/>
        </w:rPr>
      </w:pPr>
      <w:r>
        <w:rPr>
          <w:rtl/>
        </w:rPr>
        <w:t>לדברי הנאשם, הוא מוכר כ"שֵיך" ומשמש כמסייע לפתרון סכסוכים במגזר הבדואי, והעבירה הקודמת בה הורשע, היתה בשל כך שלבש גלימה ובה חגורה עם סכין (בדברו האחרון הסביר, כי המדובר בסכין מסוג "שבריה"), שהוא פריט לבוש המקובל על ידי שֵיכים.</w:t>
      </w:r>
    </w:p>
    <w:p w:rsidR="009A4913" w:rsidRDefault="009A4913" w:rsidP="00B0514B">
      <w:pPr>
        <w:spacing w:line="360" w:lineRule="auto"/>
        <w:rPr>
          <w:rtl/>
        </w:rPr>
      </w:pPr>
    </w:p>
    <w:p w:rsidR="009A4913" w:rsidRDefault="009A4913" w:rsidP="00B0514B">
      <w:pPr>
        <w:spacing w:line="360" w:lineRule="auto"/>
        <w:rPr>
          <w:rtl/>
        </w:rPr>
      </w:pPr>
      <w:r>
        <w:rPr>
          <w:rtl/>
        </w:rPr>
        <w:t>בהתייחס לעבירה – נטל הנאשם אחריות על מעשיו וציין, כי פעל ברשלנות ובפזיזות, כאשר לא השיב הנשק לידי רשויות החוק.</w:t>
      </w:r>
    </w:p>
    <w:p w:rsidR="009A4913" w:rsidRDefault="009A4913" w:rsidP="00B0514B">
      <w:pPr>
        <w:spacing w:line="360" w:lineRule="auto"/>
        <w:rPr>
          <w:rtl/>
        </w:rPr>
      </w:pPr>
    </w:p>
    <w:p w:rsidR="009A4913" w:rsidRDefault="009A4913" w:rsidP="00B0514B">
      <w:pPr>
        <w:spacing w:line="360" w:lineRule="auto"/>
        <w:rPr>
          <w:rtl/>
        </w:rPr>
      </w:pPr>
      <w:r>
        <w:rPr>
          <w:rtl/>
        </w:rPr>
        <w:t xml:space="preserve">שירות המבחן התרשם מניהול אורח חיים יציב ותקין ומהיעדרם של דפוסים אלימים או עבריניים. </w:t>
      </w:r>
    </w:p>
    <w:p w:rsidR="009A4913" w:rsidRDefault="009A4913" w:rsidP="00B0514B">
      <w:pPr>
        <w:spacing w:line="360" w:lineRule="auto"/>
        <w:rPr>
          <w:rtl/>
        </w:rPr>
      </w:pPr>
    </w:p>
    <w:p w:rsidR="009A4913" w:rsidRDefault="009A4913" w:rsidP="00B0514B">
      <w:pPr>
        <w:spacing w:line="360" w:lineRule="auto"/>
        <w:rPr>
          <w:rtl/>
        </w:rPr>
      </w:pPr>
      <w:r>
        <w:rPr>
          <w:rtl/>
        </w:rPr>
        <w:t>שירות המבחן התרשם, כי הנאשם פעל מתוך "חוסר הבנה" של חומרת העבירה וכי ההליך המשפטי שננקט נגד הנאשם, מהווה בעבורו גורם מרתיע ומציב גבולות.</w:t>
      </w:r>
    </w:p>
    <w:p w:rsidR="009A4913" w:rsidRDefault="009A4913" w:rsidP="00B0514B">
      <w:pPr>
        <w:spacing w:line="360" w:lineRule="auto"/>
        <w:rPr>
          <w:rtl/>
        </w:rPr>
      </w:pPr>
    </w:p>
    <w:p w:rsidR="009A4913" w:rsidRDefault="009A4913" w:rsidP="00B0514B">
      <w:pPr>
        <w:spacing w:line="360" w:lineRule="auto"/>
        <w:rPr>
          <w:rtl/>
        </w:rPr>
      </w:pPr>
      <w:r>
        <w:rPr>
          <w:rtl/>
        </w:rPr>
        <w:t>שירות המבחן לא מצא נזקקות טיפולית.</w:t>
      </w:r>
    </w:p>
    <w:p w:rsidR="009A4913" w:rsidRDefault="009A4913" w:rsidP="00B0514B">
      <w:pPr>
        <w:spacing w:line="360" w:lineRule="auto"/>
        <w:rPr>
          <w:rtl/>
        </w:rPr>
      </w:pPr>
    </w:p>
    <w:p w:rsidR="009A4913" w:rsidRDefault="009A4913" w:rsidP="00B0514B">
      <w:pPr>
        <w:spacing w:line="360" w:lineRule="auto"/>
        <w:rPr>
          <w:rtl/>
        </w:rPr>
      </w:pPr>
      <w:r>
        <w:rPr>
          <w:rtl/>
        </w:rPr>
        <w:t>בסיומו של התסקיר –בא שירות המבחן בהמלצה להסתפק בענישה בדרך של מאסר לריצוי בעבודות שירות.</w:t>
      </w:r>
    </w:p>
    <w:p w:rsidR="009A4913" w:rsidRDefault="009A4913" w:rsidP="00B0514B">
      <w:pPr>
        <w:spacing w:line="360" w:lineRule="auto"/>
        <w:rPr>
          <w:rtl/>
        </w:rPr>
      </w:pPr>
    </w:p>
    <w:p w:rsidR="009A4913" w:rsidRDefault="009A4913" w:rsidP="00B0514B">
      <w:pPr>
        <w:spacing w:line="360" w:lineRule="auto"/>
        <w:rPr>
          <w:rtl/>
        </w:rPr>
      </w:pPr>
    </w:p>
    <w:p w:rsidR="009A4913" w:rsidRPr="00226A3A" w:rsidRDefault="009A4913" w:rsidP="00B0514B">
      <w:pPr>
        <w:spacing w:line="360" w:lineRule="auto"/>
        <w:rPr>
          <w:b/>
          <w:bCs/>
          <w:rtl/>
        </w:rPr>
      </w:pPr>
      <w:r w:rsidRPr="00226A3A">
        <w:rPr>
          <w:b/>
          <w:bCs/>
          <w:rtl/>
        </w:rPr>
        <w:t>טענות הצדדים</w:t>
      </w:r>
    </w:p>
    <w:p w:rsidR="009A4913" w:rsidRDefault="009A4913" w:rsidP="00B0514B">
      <w:pPr>
        <w:spacing w:line="360" w:lineRule="auto"/>
        <w:rPr>
          <w:rtl/>
        </w:rPr>
      </w:pPr>
    </w:p>
    <w:p w:rsidR="009A4913" w:rsidRDefault="009A4913" w:rsidP="00B0514B">
      <w:pPr>
        <w:spacing w:line="360" w:lineRule="auto"/>
        <w:rPr>
          <w:rtl/>
        </w:rPr>
      </w:pPr>
      <w:r w:rsidRPr="008C15A1">
        <w:rPr>
          <w:u w:val="single"/>
          <w:rtl/>
        </w:rPr>
        <w:t>התביעה</w:t>
      </w:r>
      <w:r>
        <w:rPr>
          <w:rtl/>
        </w:rPr>
        <w:t xml:space="preserve"> הגישה טענותיה לעונש בכתב (ת/4) וכן השלימה אותן על פה. </w:t>
      </w:r>
    </w:p>
    <w:p w:rsidR="009A4913" w:rsidRDefault="009A4913" w:rsidP="00B0514B">
      <w:pPr>
        <w:spacing w:line="360" w:lineRule="auto"/>
        <w:rPr>
          <w:rtl/>
        </w:rPr>
      </w:pPr>
    </w:p>
    <w:p w:rsidR="009A4913" w:rsidRDefault="009A4913" w:rsidP="00B0514B">
      <w:pPr>
        <w:spacing w:line="360" w:lineRule="auto"/>
        <w:rPr>
          <w:rtl/>
        </w:rPr>
      </w:pPr>
      <w:r w:rsidRPr="008C15A1">
        <w:rPr>
          <w:rtl/>
        </w:rPr>
        <w:t xml:space="preserve">התביעה </w:t>
      </w:r>
      <w:r>
        <w:rPr>
          <w:rtl/>
        </w:rPr>
        <w:t>הדגישה הצורך להגן על שלום הציבור ועל בטחונו.</w:t>
      </w:r>
    </w:p>
    <w:p w:rsidR="009A4913" w:rsidRDefault="009A4913" w:rsidP="00B0514B">
      <w:pPr>
        <w:spacing w:line="360" w:lineRule="auto"/>
        <w:rPr>
          <w:rtl/>
        </w:rPr>
      </w:pPr>
    </w:p>
    <w:p w:rsidR="009A4913" w:rsidRDefault="009A4913" w:rsidP="00B0514B">
      <w:pPr>
        <w:spacing w:line="360" w:lineRule="auto"/>
        <w:rPr>
          <w:rtl/>
        </w:rPr>
      </w:pPr>
      <w:r>
        <w:rPr>
          <w:rtl/>
        </w:rPr>
        <w:t>התביעה הדגישה, כי במקרה דנן – הוחזק נשק מסוג רובה סער וכן תחמושת.</w:t>
      </w:r>
    </w:p>
    <w:p w:rsidR="009A4913" w:rsidRDefault="009A4913" w:rsidP="00B0514B">
      <w:pPr>
        <w:spacing w:line="360" w:lineRule="auto"/>
        <w:rPr>
          <w:rtl/>
        </w:rPr>
      </w:pPr>
    </w:p>
    <w:p w:rsidR="009A4913" w:rsidRDefault="009A4913" w:rsidP="00B0514B">
      <w:pPr>
        <w:spacing w:line="360" w:lineRule="auto"/>
        <w:rPr>
          <w:rtl/>
        </w:rPr>
      </w:pPr>
      <w:r>
        <w:rPr>
          <w:rtl/>
        </w:rPr>
        <w:t>התביעה טענה, כי הנאשם הוחזק במקום מגורים, מקום בו גם לקטינים היתה נגישות אליו.</w:t>
      </w:r>
    </w:p>
    <w:p w:rsidR="009A4913" w:rsidRDefault="009A4913" w:rsidP="00B0514B">
      <w:pPr>
        <w:spacing w:line="360" w:lineRule="auto"/>
        <w:rPr>
          <w:rtl/>
        </w:rPr>
      </w:pPr>
    </w:p>
    <w:p w:rsidR="009A4913" w:rsidRDefault="009A4913" w:rsidP="00B0514B">
      <w:pPr>
        <w:spacing w:line="360" w:lineRule="auto"/>
        <w:rPr>
          <w:rtl/>
        </w:rPr>
      </w:pPr>
      <w:r>
        <w:rPr>
          <w:rtl/>
        </w:rPr>
        <w:t>התביעה טענה, כי כוחות המשטרה הגיעו לבית הנאשם לא באקראי, כי אם לאור מידע מודיעיני קונקרטי, שהצביע על אחזקת אמל"ח (הדבר גם בא ידי ביטויו בסעיף 2 לכתב האישום המתוקן, שם נאמר, כי החיפוש בוצע במסגרת פעילות יזומה).</w:t>
      </w:r>
    </w:p>
    <w:p w:rsidR="009A4913" w:rsidRDefault="009A4913" w:rsidP="00B0514B">
      <w:pPr>
        <w:spacing w:line="360" w:lineRule="auto"/>
        <w:rPr>
          <w:rtl/>
        </w:rPr>
      </w:pPr>
    </w:p>
    <w:p w:rsidR="009A4913" w:rsidRDefault="009A4913" w:rsidP="00B0514B">
      <w:pPr>
        <w:spacing w:line="360" w:lineRule="auto"/>
        <w:rPr>
          <w:rtl/>
        </w:rPr>
      </w:pPr>
      <w:r>
        <w:rPr>
          <w:rtl/>
        </w:rPr>
        <w:t xml:space="preserve">התביעה טענה, כי המדובר ב"מכת אזור" של ממש ואף מכת מדינה וכי אותם כלי נשק בלתי חוקיים משמשמים, בסופו של דבר, לפתרון סכסוכים בדרך של אלימות. </w:t>
      </w:r>
    </w:p>
    <w:p w:rsidR="009A4913" w:rsidRDefault="009A4913" w:rsidP="00B0514B">
      <w:pPr>
        <w:spacing w:line="360" w:lineRule="auto"/>
        <w:rPr>
          <w:rtl/>
        </w:rPr>
      </w:pPr>
    </w:p>
    <w:p w:rsidR="009A4913" w:rsidRDefault="009A4913" w:rsidP="00B0514B">
      <w:pPr>
        <w:spacing w:line="360" w:lineRule="auto"/>
        <w:rPr>
          <w:rtl/>
        </w:rPr>
      </w:pPr>
      <w:r>
        <w:rPr>
          <w:rtl/>
        </w:rPr>
        <w:t>התביעה עתרה לקביעת מתחם ענישה כולל, הן בגין אחזקת כלי הנשק והן התחמושת, שינוע בין 30 עד 48 חדשי מאסר בפועל וכן להשית על הנאשם עונש מאסר מותנה וקנס כספי מרתיע.</w:t>
      </w:r>
    </w:p>
    <w:p w:rsidR="009A4913" w:rsidRDefault="009A4913" w:rsidP="00B0514B">
      <w:pPr>
        <w:spacing w:line="360" w:lineRule="auto"/>
        <w:rPr>
          <w:rtl/>
        </w:rPr>
      </w:pPr>
    </w:p>
    <w:p w:rsidR="009A4913" w:rsidRDefault="009A4913" w:rsidP="00B0514B">
      <w:pPr>
        <w:spacing w:line="360" w:lineRule="auto"/>
        <w:rPr>
          <w:rtl/>
        </w:rPr>
      </w:pPr>
    </w:p>
    <w:p w:rsidR="009A4913" w:rsidRDefault="009A4913" w:rsidP="00B0514B">
      <w:pPr>
        <w:spacing w:line="360" w:lineRule="auto"/>
        <w:rPr>
          <w:rtl/>
        </w:rPr>
      </w:pPr>
      <w:r w:rsidRPr="008C15A1">
        <w:rPr>
          <w:u w:val="single"/>
          <w:rtl/>
        </w:rPr>
        <w:t>ההגנה</w:t>
      </w:r>
      <w:r w:rsidRPr="008C15A1">
        <w:rPr>
          <w:rtl/>
        </w:rPr>
        <w:t xml:space="preserve"> </w:t>
      </w:r>
      <w:r>
        <w:rPr>
          <w:rtl/>
        </w:rPr>
        <w:t>טענה בנוגע לנסיבותיו האישיות של הנאשם, אשר כיום הוא בן 64 בקירוב וסובל ממחלות שונות (לא הוצגו מסמכים מאמתים).</w:t>
      </w:r>
    </w:p>
    <w:p w:rsidR="009A4913" w:rsidRDefault="009A4913" w:rsidP="00085570">
      <w:pPr>
        <w:spacing w:line="360" w:lineRule="auto"/>
        <w:rPr>
          <w:rtl/>
        </w:rPr>
      </w:pPr>
      <w:r>
        <w:rPr>
          <w:rtl/>
        </w:rPr>
        <w:t>ההגנה טענה בנוגע לנסיבות, בהן הגיע הנשק לידי הנאשם, אשר לא רכש אותו אלא קיבל אותו מידי דודו, וכן לכך, כי הנשק הוחזק אצלו כ-17 שנה, לטענתה - ללא שימוש.</w:t>
      </w:r>
    </w:p>
    <w:p w:rsidR="009A4913" w:rsidRDefault="009A4913" w:rsidP="00B0514B">
      <w:pPr>
        <w:spacing w:line="360" w:lineRule="auto"/>
        <w:rPr>
          <w:rtl/>
        </w:rPr>
      </w:pPr>
    </w:p>
    <w:p w:rsidR="009A4913" w:rsidRDefault="009A4913" w:rsidP="00B0514B">
      <w:pPr>
        <w:spacing w:line="360" w:lineRule="auto"/>
        <w:rPr>
          <w:rtl/>
        </w:rPr>
      </w:pPr>
      <w:r>
        <w:rPr>
          <w:rtl/>
        </w:rPr>
        <w:t>ההגנה בקשה, כי בית המשפט ייקח בחשבון את התקופה בה שהה הנאשם במעצר וכן התקופה הארוכה בה שהה בתנאים מגבילים.</w:t>
      </w:r>
    </w:p>
    <w:p w:rsidR="009A4913" w:rsidRDefault="009A4913" w:rsidP="00B0514B">
      <w:pPr>
        <w:spacing w:line="360" w:lineRule="auto"/>
        <w:rPr>
          <w:rtl/>
        </w:rPr>
      </w:pPr>
    </w:p>
    <w:p w:rsidR="009A4913" w:rsidRDefault="009A4913" w:rsidP="00B0514B">
      <w:pPr>
        <w:spacing w:line="360" w:lineRule="auto"/>
        <w:rPr>
          <w:rtl/>
        </w:rPr>
      </w:pPr>
      <w:r>
        <w:rPr>
          <w:rtl/>
        </w:rPr>
        <w:t>ההגנה טענה, כי הענישה היא אינדיוידואלית, ועתרה לאמץ המלצת שירות המבחן.</w:t>
      </w:r>
    </w:p>
    <w:p w:rsidR="009A4913" w:rsidRDefault="009A4913" w:rsidP="00B0514B">
      <w:pPr>
        <w:spacing w:line="360" w:lineRule="auto"/>
        <w:rPr>
          <w:rtl/>
        </w:rPr>
      </w:pPr>
    </w:p>
    <w:p w:rsidR="009A4913" w:rsidRDefault="009A4913" w:rsidP="00B0514B">
      <w:pPr>
        <w:spacing w:line="360" w:lineRule="auto"/>
        <w:rPr>
          <w:rtl/>
        </w:rPr>
      </w:pPr>
      <w:r w:rsidRPr="008C15A1">
        <w:rPr>
          <w:u w:val="single"/>
          <w:rtl/>
        </w:rPr>
        <w:t>בדברו האחרון</w:t>
      </w:r>
      <w:r>
        <w:rPr>
          <w:rtl/>
        </w:rPr>
        <w:t>, מסר הנאשם, כי קיבל הנשק מדודו ולא התכוון להשתמש בו.</w:t>
      </w:r>
    </w:p>
    <w:p w:rsidR="009A4913" w:rsidRDefault="009A4913" w:rsidP="00B0514B">
      <w:pPr>
        <w:spacing w:line="360" w:lineRule="auto"/>
        <w:rPr>
          <w:rtl/>
        </w:rPr>
      </w:pPr>
    </w:p>
    <w:p w:rsidR="009A4913" w:rsidRDefault="009A4913" w:rsidP="00B0514B">
      <w:pPr>
        <w:spacing w:line="360" w:lineRule="auto"/>
        <w:rPr>
          <w:rtl/>
        </w:rPr>
      </w:pPr>
      <w:r>
        <w:rPr>
          <w:rtl/>
        </w:rPr>
        <w:t>עוד מסר, כי מתנגד לאלימות הפושה במגזר הערבי, לדבריו: "כל יום יש הרוגים ונשארים ילדים (צ"ל: יתומים)".</w:t>
      </w:r>
    </w:p>
    <w:p w:rsidR="009A4913" w:rsidRDefault="009A4913" w:rsidP="00B0514B">
      <w:pPr>
        <w:spacing w:line="360" w:lineRule="auto"/>
        <w:rPr>
          <w:rtl/>
        </w:rPr>
      </w:pPr>
    </w:p>
    <w:p w:rsidR="009A4913" w:rsidRDefault="009A4913" w:rsidP="00B0514B">
      <w:pPr>
        <w:spacing w:line="360" w:lineRule="auto"/>
        <w:rPr>
          <w:rtl/>
        </w:rPr>
      </w:pPr>
      <w:r>
        <w:rPr>
          <w:rtl/>
        </w:rPr>
        <w:t>הנאשם סיפר על התקופה, בה שהה בתנאים מגבילים ולדבריו – נמנע ממנו לעבוד לפרנסתו (הגם שבשירות המבחן מסר, כי הוא נכה ומתפרנס מקצבה).</w:t>
      </w:r>
    </w:p>
    <w:p w:rsidR="009A4913" w:rsidRDefault="009A4913" w:rsidP="00B0514B">
      <w:pPr>
        <w:spacing w:line="360" w:lineRule="auto"/>
        <w:rPr>
          <w:rtl/>
        </w:rPr>
      </w:pPr>
    </w:p>
    <w:p w:rsidR="009A4913" w:rsidRDefault="009A4913" w:rsidP="00B0514B">
      <w:pPr>
        <w:spacing w:line="360" w:lineRule="auto"/>
        <w:rPr>
          <w:rtl/>
        </w:rPr>
      </w:pPr>
    </w:p>
    <w:p w:rsidR="009A4913" w:rsidRPr="00F573F2" w:rsidRDefault="009A4913" w:rsidP="00B0514B">
      <w:pPr>
        <w:spacing w:line="360" w:lineRule="auto"/>
        <w:rPr>
          <w:b/>
          <w:bCs/>
          <w:rtl/>
        </w:rPr>
      </w:pPr>
      <w:r>
        <w:rPr>
          <w:b/>
          <w:bCs/>
          <w:rtl/>
        </w:rPr>
        <w:t>דיון והכרעה</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cs="Times New Roman"/>
        </w:rPr>
      </w:pPr>
      <w:r>
        <w:rPr>
          <w:rFonts w:ascii="David" w:hAnsi="David"/>
          <w:rtl/>
        </w:rPr>
        <w:t>אין צורך להכביר מילים על פוטנציאל הסיכון הנובע מהחזקת נשק חם קטלני, שלא כדין.</w:t>
      </w:r>
    </w:p>
    <w:p w:rsidR="009A4913" w:rsidRDefault="009A4913" w:rsidP="00523292">
      <w:pPr>
        <w:spacing w:line="360" w:lineRule="auto"/>
        <w:jc w:val="both"/>
        <w:rPr>
          <w:rFonts w:ascii="Arial" w:hAnsi="Arial" w:cs="Arial"/>
        </w:rPr>
      </w:pPr>
    </w:p>
    <w:p w:rsidR="009A4913" w:rsidRDefault="009A4913" w:rsidP="00523292">
      <w:pPr>
        <w:spacing w:line="360" w:lineRule="auto"/>
        <w:jc w:val="both"/>
        <w:rPr>
          <w:rFonts w:ascii="Arial" w:hAnsi="Arial" w:cs="Arial"/>
        </w:rPr>
      </w:pPr>
      <w:r>
        <w:rPr>
          <w:rFonts w:ascii="David" w:hAnsi="David"/>
          <w:rtl/>
        </w:rPr>
        <w:t>כלי הנשק עלול למצוא דרכו לפעילות שלילית, אם פלילית ואם נגד בטחון המדינה.</w:t>
      </w:r>
    </w:p>
    <w:p w:rsidR="009A4913" w:rsidRDefault="009A4913" w:rsidP="00523292">
      <w:pPr>
        <w:spacing w:line="360" w:lineRule="auto"/>
        <w:jc w:val="both"/>
        <w:rPr>
          <w:rFonts w:ascii="Arial" w:hAnsi="Arial" w:cs="Arial"/>
        </w:rPr>
      </w:pPr>
    </w:p>
    <w:p w:rsidR="009A4913" w:rsidRDefault="009A4913" w:rsidP="00523292">
      <w:pPr>
        <w:spacing w:line="360" w:lineRule="auto"/>
        <w:jc w:val="both"/>
        <w:rPr>
          <w:rFonts w:ascii="Arial" w:hAnsi="Arial" w:cs="Arial"/>
        </w:rPr>
      </w:pPr>
      <w:r>
        <w:rPr>
          <w:rFonts w:ascii="David" w:hAnsi="David"/>
          <w:rtl/>
        </w:rPr>
        <w:t>אחזקת נשק ותחמושת על ידי מי שלא נבדק, לא נמצא מתאים ולא הוכשר לכך, בתנאים שאינם מבטיחים בידודו של הנשק מהסביבה (כיום מי שמחזיק נשק ברשיון נדרש לאפסנו בכספת מאובטחת, מאחורי שני מנעולים), עלולה להביא לסיכון שלום הציבור, גם אם אין ראיות שהוחזק לצורך פעילות שלילית, כמפורט לעיל.</w:t>
      </w:r>
    </w:p>
    <w:p w:rsidR="009A4913" w:rsidRDefault="009A4913" w:rsidP="00523292">
      <w:pPr>
        <w:spacing w:line="360" w:lineRule="auto"/>
        <w:jc w:val="both"/>
        <w:rPr>
          <w:rFonts w:cs="Times New Roman"/>
        </w:rPr>
      </w:pPr>
    </w:p>
    <w:p w:rsidR="009A4913" w:rsidRDefault="009A4913" w:rsidP="00121805">
      <w:pPr>
        <w:spacing w:line="360" w:lineRule="auto"/>
        <w:jc w:val="both"/>
      </w:pPr>
      <w:r>
        <w:rPr>
          <w:rFonts w:ascii="David" w:hAnsi="David"/>
          <w:rtl/>
        </w:rPr>
        <w:t>בנוסף, החזקת נשק כאמור עלולה להביא לפגיעה בשלטון החוק ובנושאי שלטון החוק, הפועלים במסגרת תפקידם.</w:t>
      </w:r>
    </w:p>
    <w:p w:rsidR="009A4913" w:rsidRDefault="009A4913" w:rsidP="00523292">
      <w:pPr>
        <w:spacing w:line="360" w:lineRule="auto"/>
        <w:jc w:val="both"/>
        <w:rPr>
          <w:rtl/>
        </w:rPr>
      </w:pPr>
    </w:p>
    <w:p w:rsidR="009A4913" w:rsidRDefault="009A4913" w:rsidP="0010148F">
      <w:pPr>
        <w:spacing w:line="360" w:lineRule="auto"/>
        <w:jc w:val="both"/>
        <w:rPr>
          <w:rFonts w:ascii="Calibri" w:hAnsi="Calibri"/>
        </w:rPr>
      </w:pPr>
      <w:r>
        <w:rPr>
          <w:rFonts w:ascii="David" w:hAnsi="David"/>
          <w:rtl/>
        </w:rPr>
        <w:t xml:space="preserve">בפסק הדין </w:t>
      </w:r>
      <w:hyperlink r:id="rId17" w:history="1">
        <w:r w:rsidR="007E3760" w:rsidRPr="007E3760">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 xml:space="preserve">, נאמר: </w:t>
      </w:r>
    </w:p>
    <w:p w:rsidR="009A4913" w:rsidRPr="0010148F" w:rsidRDefault="009A4913" w:rsidP="00523292">
      <w:pPr>
        <w:spacing w:line="360" w:lineRule="auto"/>
        <w:jc w:val="both"/>
      </w:pPr>
    </w:p>
    <w:p w:rsidR="009A4913" w:rsidRDefault="009A4913" w:rsidP="00523292">
      <w:pPr>
        <w:spacing w:line="360" w:lineRule="auto"/>
        <w:jc w:val="both"/>
        <w:rPr>
          <w:rFonts w:cs="Aharoni"/>
        </w:rPr>
      </w:pPr>
      <w:r>
        <w:rPr>
          <w:rFonts w:cs="Aharoni"/>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rsidR="009A4913" w:rsidRDefault="009A4913" w:rsidP="00523292">
      <w:pPr>
        <w:spacing w:line="360" w:lineRule="auto"/>
        <w:jc w:val="both"/>
        <w:rPr>
          <w:rFonts w:ascii="David" w:hAnsi="David"/>
        </w:rPr>
      </w:pPr>
    </w:p>
    <w:p w:rsidR="009A4913" w:rsidRDefault="009A4913" w:rsidP="0010148F">
      <w:pPr>
        <w:spacing w:line="360" w:lineRule="auto"/>
        <w:jc w:val="both"/>
        <w:rPr>
          <w:rFonts w:ascii="David" w:hAnsi="David"/>
          <w:rtl/>
        </w:rPr>
      </w:pPr>
      <w:r>
        <w:rPr>
          <w:rFonts w:ascii="David" w:hAnsi="David"/>
          <w:rtl/>
        </w:rPr>
        <w:t xml:space="preserve">בפסק הדין </w:t>
      </w:r>
      <w:hyperlink r:id="rId18" w:history="1">
        <w:r w:rsidR="007E3760" w:rsidRPr="007E3760">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 נאמר:</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Calibri" w:hAnsi="Calibri" w:cs="Aharoni"/>
          <w:rtl/>
        </w:rPr>
      </w:pPr>
      <w:r>
        <w:rPr>
          <w:rFonts w:cs="Aharoni"/>
          <w:rtl/>
        </w:rPr>
        <w:t>... התגלגלותם של כלי נשק מיד ליד ללא פיקוח עלולה להוביל להגעתם בדרך לא דרך לגורמים פליליים ועוינים. אין לדעת מה יעלה בגורלם של</w:t>
      </w:r>
      <w:r w:rsidR="007E3760">
        <w:rPr>
          <w:rFonts w:cs="Aharoni"/>
          <w:rtl/>
        </w:rPr>
        <w:t xml:space="preserve"> </w:t>
      </w:r>
      <w:r>
        <w:rPr>
          <w:rFonts w:cs="Aharoni"/>
          <w:rtl/>
        </w:rPr>
        <w:t xml:space="preserve"> ולאלו תוצאות הרסניות יובילו. ודוק: הסיכון שנשקף לשלום הציבור צריך להילקח בחשבון על ידי כל מי שמחזיק בידו נשק שלא כדין, </w:t>
      </w:r>
      <w:r>
        <w:rPr>
          <w:rFonts w:cs="Aharoni"/>
          <w:u w:val="single"/>
          <w:rtl/>
        </w:rPr>
        <w:t>גם אם אינו מחזיק בו למטרת ביצוען של עבירות אחרות</w:t>
      </w:r>
      <w:r>
        <w:rPr>
          <w:rFonts w:cs="Aharoni"/>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rsidR="009A4913" w:rsidRDefault="009A4913" w:rsidP="00523292">
      <w:pPr>
        <w:spacing w:line="360" w:lineRule="auto"/>
        <w:jc w:val="both"/>
        <w:rPr>
          <w:rFonts w:ascii="David" w:hAnsi="David"/>
          <w:rtl/>
        </w:rPr>
      </w:pPr>
      <w:r>
        <w:rPr>
          <w:rFonts w:ascii="David" w:hAnsi="David"/>
          <w:rtl/>
        </w:rPr>
        <w:t>[ההדגשה אינה במקור].</w:t>
      </w:r>
    </w:p>
    <w:p w:rsidR="009A4913" w:rsidRDefault="009A4913" w:rsidP="00523292">
      <w:pPr>
        <w:spacing w:line="360" w:lineRule="auto"/>
        <w:jc w:val="both"/>
        <w:rPr>
          <w:rFonts w:ascii="David" w:hAnsi="David"/>
          <w:rtl/>
        </w:rPr>
      </w:pPr>
    </w:p>
    <w:p w:rsidR="009A4913" w:rsidRDefault="009A4913" w:rsidP="0010148F">
      <w:pPr>
        <w:spacing w:line="360" w:lineRule="auto"/>
        <w:jc w:val="both"/>
        <w:rPr>
          <w:rFonts w:ascii="David" w:hAnsi="David"/>
          <w:rtl/>
        </w:rPr>
      </w:pPr>
      <w:r>
        <w:rPr>
          <w:rFonts w:ascii="David" w:hAnsi="David"/>
          <w:rtl/>
        </w:rPr>
        <w:t xml:space="preserve">בשורה של פסקי דין נקבע, כי </w:t>
      </w:r>
      <w:r>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ascii="David" w:hAnsi="David"/>
          <w:rtl/>
        </w:rPr>
        <w:t xml:space="preserve">. ראו </w:t>
      </w:r>
      <w:hyperlink r:id="rId19" w:history="1">
        <w:r w:rsidR="007E3760" w:rsidRPr="007E3760">
          <w:rPr>
            <w:rFonts w:ascii="David" w:hAnsi="David"/>
            <w:color w:val="0000FF"/>
            <w:u w:val="single"/>
            <w:rtl/>
          </w:rPr>
          <w:t>רע"פ 2718/04</w:t>
        </w:r>
      </w:hyperlink>
      <w:r>
        <w:rPr>
          <w:rFonts w:ascii="David" w:hAnsi="David"/>
          <w:rtl/>
        </w:rPr>
        <w:t xml:space="preserve"> </w:t>
      </w:r>
      <w:r>
        <w:rPr>
          <w:rFonts w:ascii="David" w:hAnsi="David"/>
          <w:b/>
          <w:bCs/>
          <w:rtl/>
        </w:rPr>
        <w:t>אבו דאחל נ' מדינת ישראל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Calibri" w:hAnsi="Calibri" w:cs="Aharoni"/>
          <w:rtl/>
        </w:rPr>
      </w:pPr>
      <w:r>
        <w:rPr>
          <w:rFonts w:cs="Aharoni"/>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p>
    <w:p w:rsidR="009A4913" w:rsidRDefault="009A4913" w:rsidP="0010148F">
      <w:pPr>
        <w:spacing w:line="360" w:lineRule="auto"/>
        <w:jc w:val="both"/>
        <w:rPr>
          <w:rFonts w:ascii="David" w:hAnsi="David"/>
          <w:rtl/>
        </w:rPr>
      </w:pPr>
      <w:r>
        <w:rPr>
          <w:rFonts w:ascii="David" w:hAnsi="David"/>
          <w:rtl/>
        </w:rPr>
        <w:t xml:space="preserve">עוד ראו </w:t>
      </w:r>
      <w:hyperlink r:id="rId20" w:history="1">
        <w:r w:rsidR="007E3760" w:rsidRPr="007E3760">
          <w:rPr>
            <w:rFonts w:ascii="David" w:hAnsi="David"/>
            <w:color w:val="0000FF"/>
            <w:u w:val="single"/>
            <w:rtl/>
          </w:rPr>
          <w:t>ע.פ. 5220/09</w:t>
        </w:r>
      </w:hyperlink>
      <w:r>
        <w:rPr>
          <w:rFonts w:ascii="David" w:hAnsi="David"/>
          <w:rtl/>
        </w:rPr>
        <w:t xml:space="preserve"> </w:t>
      </w:r>
      <w:r>
        <w:rPr>
          <w:rFonts w:ascii="David" w:hAnsi="David"/>
          <w:b/>
          <w:bCs/>
          <w:rtl/>
        </w:rPr>
        <w:t xml:space="preserve">עוואודה נ' מדינת ישראל </w:t>
      </w:r>
      <w:r>
        <w:rPr>
          <w:rFonts w:ascii="David" w:hAnsi="David"/>
          <w:rtl/>
        </w:rPr>
        <w:t>(פורסם במאגרים)</w:t>
      </w:r>
      <w:r w:rsidR="0010148F">
        <w:rPr>
          <w:rFonts w:ascii="David" w:hAnsi="David" w:hint="cs"/>
          <w:rtl/>
        </w:rPr>
        <w:t xml:space="preserve"> </w:t>
      </w:r>
      <w:r w:rsidR="0010148F" w:rsidRPr="0010148F">
        <w:rPr>
          <w:sz w:val="22"/>
          <w:rtl/>
        </w:rPr>
        <w:t>[פורסם בנבו]</w:t>
      </w:r>
      <w:r>
        <w:rPr>
          <w:rFonts w:ascii="David" w:hAnsi="David"/>
          <w:rtl/>
        </w:rPr>
        <w:t>:</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r>
        <w:rPr>
          <w:rFonts w:cs="Aharoni"/>
          <w:rtl/>
        </w:rPr>
        <w:t xml:space="preserve">אשר על כן משכבר נקבע הכלל לפיו </w:t>
      </w:r>
      <w:r>
        <w:rPr>
          <w:rFonts w:cs="Aharoni"/>
          <w:u w:val="single"/>
          <w:rtl/>
        </w:rPr>
        <w:t>ככלל יש לאסור את המבצעים עבירה זו, גם אם מדובר בעבירה ראשונה</w:t>
      </w:r>
      <w:r>
        <w:rPr>
          <w:rFonts w:cs="Aharoni"/>
          <w:rtl/>
        </w:rPr>
        <w:t>, מאחורי סורג ובריח, ואילו אורך התקופה כלול בנסיבות הספציפיות של העושה והמעשה.</w:t>
      </w:r>
    </w:p>
    <w:p w:rsidR="009A4913" w:rsidRDefault="009A4913" w:rsidP="00523292">
      <w:pPr>
        <w:spacing w:line="360" w:lineRule="auto"/>
        <w:jc w:val="both"/>
        <w:rPr>
          <w:rFonts w:ascii="Calibri" w:hAnsi="Calibri" w:cs="Aharoni"/>
          <w:rtl/>
        </w:rPr>
      </w:pPr>
      <w:r>
        <w:rPr>
          <w:rFonts w:cs="Aharoni"/>
          <w:rtl/>
        </w:rPr>
        <w:t>(ההדגשה אינה במקור).</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r>
        <w:rPr>
          <w:rFonts w:ascii="David" w:hAnsi="David"/>
          <w:rtl/>
        </w:rPr>
        <w:t xml:space="preserve">אשר למתחם הענישה, בפסק הדין </w:t>
      </w:r>
      <w:hyperlink r:id="rId21" w:history="1">
        <w:r w:rsidR="007E3760" w:rsidRPr="007E3760">
          <w:rPr>
            <w:rFonts w:ascii="David" w:hAnsi="David"/>
            <w:color w:val="0000FF"/>
            <w:u w:val="single"/>
            <w:rtl/>
          </w:rPr>
          <w:t>עפ"ג 23419-01-17</w:t>
        </w:r>
      </w:hyperlink>
      <w:r>
        <w:rPr>
          <w:rFonts w:ascii="David" w:hAnsi="David"/>
          <w:b/>
          <w:bCs/>
          <w:rtl/>
        </w:rPr>
        <w:t xml:space="preserve"> מדינת ישראל נ' זניד ואח'</w:t>
      </w:r>
      <w:r>
        <w:rPr>
          <w:rFonts w:ascii="David" w:hAnsi="David"/>
          <w:rtl/>
        </w:rPr>
        <w:t xml:space="preserve"> (פורסם במאגרים), </w:t>
      </w:r>
      <w:r w:rsidR="0010148F" w:rsidRPr="0010148F">
        <w:rPr>
          <w:sz w:val="22"/>
          <w:rtl/>
        </w:rPr>
        <w:t xml:space="preserve">[פורסם בנבו] </w:t>
      </w:r>
      <w:r>
        <w:rPr>
          <w:rFonts w:ascii="David" w:hAnsi="David"/>
          <w:rtl/>
        </w:rPr>
        <w:t>נדון ערעור המדינה בעניינם של שני משיבים, האחד - נתפס מחזיק אקדח בקוטר 9 מ"מ ביחד עם מחסנית ובה 17</w:t>
      </w:r>
      <w:r w:rsidR="007E3760">
        <w:rPr>
          <w:rFonts w:ascii="David" w:hAnsi="David"/>
          <w:rtl/>
        </w:rPr>
        <w:t xml:space="preserve"> </w:t>
      </w:r>
      <w:r>
        <w:rPr>
          <w:rFonts w:ascii="David" w:hAnsi="David"/>
          <w:rtl/>
        </w:rPr>
        <w:t xml:space="preserve"> כדורים; וכן רובה סער מאולתר דמוי </w:t>
      </w:r>
      <w:r>
        <w:rPr>
          <w:rFonts w:ascii="Arial" w:hAnsi="Arial" w:cs="Arial"/>
        </w:rPr>
        <w:t>M16</w:t>
      </w:r>
      <w:r>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r>
        <w:rPr>
          <w:rFonts w:ascii="David" w:hAnsi="David"/>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ascii="David" w:hAnsi="David"/>
          <w:u w:val="single"/>
          <w:rtl/>
        </w:rPr>
        <w:t>המתחמים שנקבעו על ידי בית משפט השלום נמוכים יתר על המידה</w:t>
      </w:r>
      <w:r>
        <w:rPr>
          <w:rFonts w:ascii="David" w:hAnsi="David"/>
          <w:rtl/>
        </w:rPr>
        <w:t xml:space="preserve">. </w:t>
      </w:r>
    </w:p>
    <w:p w:rsidR="009A4913" w:rsidRDefault="009A4913" w:rsidP="00523292">
      <w:pPr>
        <w:spacing w:line="360" w:lineRule="auto"/>
        <w:jc w:val="both"/>
        <w:rPr>
          <w:rFonts w:ascii="David" w:hAnsi="David"/>
          <w:rtl/>
        </w:rPr>
      </w:pPr>
    </w:p>
    <w:p w:rsidR="009A4913" w:rsidRDefault="009A4913" w:rsidP="0010148F">
      <w:pPr>
        <w:spacing w:line="360" w:lineRule="auto"/>
        <w:jc w:val="both"/>
        <w:rPr>
          <w:rFonts w:ascii="David" w:hAnsi="David"/>
          <w:rtl/>
        </w:rPr>
      </w:pPr>
      <w:r>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ascii="David" w:hAnsi="David"/>
          <w:u w:val="single"/>
          <w:rtl/>
        </w:rPr>
        <w:t>אחד</w:t>
      </w:r>
      <w:r>
        <w:rPr>
          <w:rFonts w:ascii="David" w:hAnsi="David"/>
          <w:rtl/>
        </w:rPr>
        <w:t xml:space="preserve"> מסוג תת מקלע בצירוף מחסנית ובה 10 כדורים. ראו </w:t>
      </w:r>
      <w:hyperlink r:id="rId22" w:history="1">
        <w:r w:rsidR="007E3760" w:rsidRPr="007E3760">
          <w:rPr>
            <w:rFonts w:ascii="David" w:hAnsi="David"/>
            <w:color w:val="0000FF"/>
            <w:u w:val="single"/>
            <w:rtl/>
          </w:rPr>
          <w:t>ת.פ 7544-11-16</w:t>
        </w:r>
      </w:hyperlink>
      <w:r>
        <w:rPr>
          <w:rFonts w:ascii="David" w:hAnsi="David"/>
          <w:rtl/>
        </w:rPr>
        <w:t xml:space="preserve"> </w:t>
      </w:r>
      <w:r>
        <w:rPr>
          <w:rFonts w:ascii="David" w:hAnsi="David"/>
          <w:b/>
          <w:bCs/>
          <w:rtl/>
        </w:rPr>
        <w:t xml:space="preserve">מדינת ישראל נ' אלאסד </w:t>
      </w:r>
      <w:r>
        <w:rPr>
          <w:rFonts w:ascii="David" w:hAnsi="David"/>
          <w:rtl/>
        </w:rPr>
        <w:t>(פורסם במאגרים)</w:t>
      </w:r>
      <w:r w:rsidR="0010148F">
        <w:rPr>
          <w:rFonts w:ascii="David" w:hAnsi="David" w:hint="cs"/>
          <w:rtl/>
        </w:rPr>
        <w:t xml:space="preserve"> </w:t>
      </w:r>
      <w:r w:rsidR="0010148F" w:rsidRPr="0010148F">
        <w:rPr>
          <w:sz w:val="22"/>
          <w:rtl/>
        </w:rPr>
        <w:t>[פורסם בנבו]</w:t>
      </w:r>
      <w:r>
        <w:rPr>
          <w:rFonts w:ascii="David" w:hAnsi="David"/>
          <w:rtl/>
        </w:rPr>
        <w:t xml:space="preserve">.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3" w:history="1">
        <w:r w:rsidR="007E3760" w:rsidRPr="007E3760">
          <w:rPr>
            <w:rFonts w:ascii="David" w:hAnsi="David"/>
            <w:color w:val="0000FF"/>
            <w:u w:val="single"/>
            <w:rtl/>
          </w:rPr>
          <w:t>עפ"ג 22885-05-17</w:t>
        </w:r>
      </w:hyperlink>
      <w:r>
        <w:rPr>
          <w:rFonts w:ascii="David" w:hAnsi="David"/>
          <w:rtl/>
        </w:rPr>
        <w:t xml:space="preserve"> </w:t>
      </w:r>
      <w:r>
        <w:rPr>
          <w:rFonts w:ascii="David" w:hAnsi="David"/>
          <w:b/>
          <w:bCs/>
          <w:rtl/>
        </w:rPr>
        <w:t>אלאסד נ' מדינת ישראל</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w:t>
      </w:r>
    </w:p>
    <w:p w:rsidR="009A4913" w:rsidRDefault="009A4913" w:rsidP="00523292">
      <w:pPr>
        <w:spacing w:line="360" w:lineRule="auto"/>
        <w:jc w:val="both"/>
        <w:rPr>
          <w:rFonts w:ascii="David" w:hAnsi="David"/>
          <w:rtl/>
        </w:rPr>
      </w:pPr>
    </w:p>
    <w:p w:rsidR="009A4913" w:rsidRDefault="009A4913" w:rsidP="0010148F">
      <w:pPr>
        <w:spacing w:line="360" w:lineRule="auto"/>
        <w:jc w:val="both"/>
        <w:rPr>
          <w:rFonts w:ascii="David" w:hAnsi="David"/>
          <w:rtl/>
        </w:rPr>
      </w:pPr>
      <w:r>
        <w:rPr>
          <w:rFonts w:ascii="David" w:hAnsi="David"/>
          <w:rtl/>
        </w:rPr>
        <w:t xml:space="preserve">בפסק הדין </w:t>
      </w:r>
      <w:hyperlink r:id="rId24" w:history="1">
        <w:r w:rsidR="007E3760" w:rsidRPr="007E3760">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(פורסם במאגרים)</w:t>
      </w:r>
      <w:r w:rsidR="0010148F">
        <w:rPr>
          <w:rFonts w:ascii="David" w:hAnsi="David" w:hint="cs"/>
          <w:rtl/>
        </w:rPr>
        <w:t xml:space="preserve">, </w:t>
      </w:r>
      <w:r w:rsidR="0010148F" w:rsidRPr="0010148F">
        <w:rPr>
          <w:sz w:val="22"/>
          <w:rtl/>
        </w:rPr>
        <w:t>[פורסם בנבו]</w:t>
      </w:r>
      <w:r>
        <w:rPr>
          <w:rFonts w:ascii="David" w:hAnsi="David"/>
          <w:rtl/>
        </w:rPr>
        <w:t>, אושר מתחם ענישה שינוע בין שנה ועד שלוש שנות מאסר, בגין החזקת כלי נשק</w:t>
      </w:r>
      <w:r w:rsidR="007E3760">
        <w:rPr>
          <w:rFonts w:ascii="David" w:hAnsi="David"/>
          <w:rtl/>
        </w:rPr>
        <w:t xml:space="preserve"> </w:t>
      </w:r>
      <w:r>
        <w:rPr>
          <w:rFonts w:ascii="David" w:hAnsi="David"/>
          <w:rtl/>
        </w:rPr>
        <w:t xml:space="preserve"> בודד מסוג תת-מקלע קרל גוסטב וכן מחסנית וכדורים. </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r>
        <w:rPr>
          <w:rFonts w:ascii="David" w:hAnsi="David"/>
          <w:rtl/>
        </w:rPr>
        <w:t>בית המשפט העליון ציין, כי ראוי לקבוע עונשים מרתיעים בגין עבירות אלה והעמיד המתחם שם בין 12 ועד 36 חדשי</w:t>
      </w:r>
      <w:r w:rsidR="007E3760">
        <w:rPr>
          <w:rFonts w:ascii="David" w:hAnsi="David"/>
          <w:rtl/>
        </w:rPr>
        <w:t xml:space="preserve"> </w:t>
      </w:r>
      <w:r>
        <w:rPr>
          <w:rFonts w:ascii="David" w:hAnsi="David"/>
          <w:rtl/>
        </w:rPr>
        <w:t xml:space="preserve"> מאסר בפועל. אמנם, באותו מקרה הורשע המשיב גם בעבירה חמורה יותר, של נשיאת נשק, בניגוד </w:t>
      </w:r>
      <w:hyperlink r:id="rId25" w:history="1">
        <w:r w:rsidR="00084A40" w:rsidRPr="00084A40">
          <w:rPr>
            <w:rFonts w:ascii="David" w:hAnsi="David"/>
            <w:color w:val="0000FF"/>
            <w:u w:val="single"/>
            <w:rtl/>
          </w:rPr>
          <w:t>לסעיף 144(ב)</w:t>
        </w:r>
      </w:hyperlink>
      <w:r>
        <w:rPr>
          <w:rFonts w:ascii="David" w:hAnsi="David"/>
          <w:rtl/>
        </w:rPr>
        <w:t xml:space="preserve"> ל</w:t>
      </w:r>
      <w:hyperlink r:id="rId26" w:history="1">
        <w:r w:rsidR="007E3760" w:rsidRPr="007E3760">
          <w:rPr>
            <w:rFonts w:ascii="David" w:hAnsi="David"/>
            <w:color w:val="0000FF"/>
            <w:u w:val="single"/>
            <w:rtl/>
          </w:rPr>
          <w:t>חוק העונשין</w:t>
        </w:r>
      </w:hyperlink>
      <w:r>
        <w:rPr>
          <w:rFonts w:ascii="David" w:hAnsi="David"/>
          <w:rtl/>
        </w:rPr>
        <w:t>, תשל"ז-1977.</w:t>
      </w:r>
    </w:p>
    <w:p w:rsidR="009A4913" w:rsidRDefault="009A4913" w:rsidP="00523292">
      <w:pPr>
        <w:spacing w:line="360" w:lineRule="auto"/>
        <w:jc w:val="both"/>
        <w:rPr>
          <w:rFonts w:ascii="David" w:hAnsi="David"/>
          <w:rtl/>
        </w:rPr>
      </w:pPr>
    </w:p>
    <w:p w:rsidR="009A4913" w:rsidRDefault="009A4913" w:rsidP="0010148F">
      <w:pPr>
        <w:spacing w:line="360" w:lineRule="auto"/>
        <w:jc w:val="both"/>
        <w:rPr>
          <w:rFonts w:ascii="David" w:hAnsi="David"/>
          <w:rtl/>
        </w:rPr>
      </w:pPr>
      <w:r>
        <w:rPr>
          <w:rFonts w:ascii="David" w:hAnsi="David"/>
          <w:rtl/>
        </w:rPr>
        <w:t xml:space="preserve">לפני כשנתיים, ניתן, בבית משפט זה, גזר דין, </w:t>
      </w:r>
      <w:hyperlink r:id="rId27" w:history="1">
        <w:r w:rsidR="007E3760" w:rsidRPr="007E3760">
          <w:rPr>
            <w:rFonts w:ascii="David" w:hAnsi="David"/>
            <w:color w:val="0000FF"/>
            <w:u w:val="single"/>
            <w:rtl/>
          </w:rPr>
          <w:t>ת.פ. 32560-12-16</w:t>
        </w:r>
      </w:hyperlink>
      <w:r>
        <w:rPr>
          <w:rFonts w:ascii="David" w:hAnsi="David"/>
          <w:rtl/>
        </w:rPr>
        <w:t xml:space="preserve"> </w:t>
      </w:r>
      <w:r>
        <w:rPr>
          <w:rFonts w:ascii="David" w:hAnsi="David"/>
          <w:b/>
          <w:bCs/>
          <w:rtl/>
        </w:rPr>
        <w:t>מדינת ישראל נ' אלסאריעה (</w:t>
      </w:r>
      <w:r>
        <w:rPr>
          <w:rFonts w:ascii="David" w:hAnsi="David"/>
          <w:rtl/>
        </w:rPr>
        <w:t>פורסם במאגרים)</w:t>
      </w:r>
      <w:r w:rsidR="0010148F" w:rsidRPr="0010148F">
        <w:rPr>
          <w:sz w:val="22"/>
          <w:rtl/>
        </w:rPr>
        <w:t>[פורסם בנבו]</w:t>
      </w:r>
      <w:r>
        <w:rPr>
          <w:rFonts w:ascii="David" w:hAnsi="David"/>
          <w:rtl/>
        </w:rPr>
        <w:t>.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b/>
          <w:bCs/>
          <w:u w:val="single"/>
          <w:rtl/>
        </w:rPr>
      </w:pPr>
      <w:r>
        <w:rPr>
          <w:rFonts w:ascii="David" w:hAnsi="David"/>
          <w:u w:val="single"/>
          <w:rtl/>
        </w:rPr>
        <w:t>בשבתו כבית משפט לערעורים פליליים, דחה בית המשפט המחוזי, הרכב אב"ד כב' הנשיאה ר' יפה-כץ, ערעור ההגנה על חומרת העונש</w:t>
      </w:r>
      <w:r>
        <w:rPr>
          <w:rFonts w:ascii="David" w:hAnsi="David"/>
          <w:b/>
          <w:bCs/>
          <w:u w:val="single"/>
          <w:rtl/>
        </w:rPr>
        <w:t>.</w:t>
      </w:r>
    </w:p>
    <w:p w:rsidR="009A4913" w:rsidRDefault="009A4913" w:rsidP="00523292">
      <w:pPr>
        <w:spacing w:line="360" w:lineRule="auto"/>
        <w:jc w:val="both"/>
        <w:rPr>
          <w:rFonts w:ascii="David" w:hAnsi="David"/>
          <w:rtl/>
        </w:rPr>
      </w:pPr>
    </w:p>
    <w:p w:rsidR="009A4913" w:rsidRDefault="009A4913" w:rsidP="0010148F">
      <w:pPr>
        <w:spacing w:line="360" w:lineRule="auto"/>
        <w:jc w:val="both"/>
        <w:rPr>
          <w:rFonts w:ascii="David" w:hAnsi="David"/>
          <w:rtl/>
        </w:rPr>
      </w:pPr>
      <w:r>
        <w:rPr>
          <w:rFonts w:ascii="David" w:hAnsi="David"/>
          <w:rtl/>
        </w:rPr>
        <w:t xml:space="preserve">מתחמים דומים נפסקו, לאחרונה, במספר גזרי דין שניתנו בנסיבות דומות. ראו </w:t>
      </w:r>
      <w:hyperlink r:id="rId28" w:history="1">
        <w:r w:rsidR="007E3760" w:rsidRPr="007E3760">
          <w:rPr>
            <w:rFonts w:ascii="David" w:hAnsi="David"/>
            <w:color w:val="0000FF"/>
            <w:u w:val="single"/>
            <w:rtl/>
          </w:rPr>
          <w:t>ת.פ. 30406-04-16</w:t>
        </w:r>
      </w:hyperlink>
      <w:r>
        <w:rPr>
          <w:rFonts w:ascii="David" w:hAnsi="David"/>
          <w:rtl/>
        </w:rPr>
        <w:t xml:space="preserve"> </w:t>
      </w:r>
      <w:r>
        <w:rPr>
          <w:rFonts w:ascii="David" w:hAnsi="David"/>
          <w:b/>
          <w:bCs/>
          <w:rtl/>
        </w:rPr>
        <w:t>מדינת ישראל נ' אבו עאמר</w:t>
      </w:r>
      <w:r w:rsidR="0010148F">
        <w:rPr>
          <w:rFonts w:ascii="David" w:hAnsi="David" w:hint="cs"/>
          <w:b/>
          <w:bCs/>
          <w:rtl/>
        </w:rPr>
        <w:t xml:space="preserve"> </w:t>
      </w:r>
      <w:r w:rsidR="0010148F" w:rsidRPr="0010148F">
        <w:rPr>
          <w:sz w:val="22"/>
          <w:rtl/>
        </w:rPr>
        <w:t>[פורסם בנבו]</w:t>
      </w:r>
      <w:r>
        <w:rPr>
          <w:rFonts w:ascii="David" w:hAnsi="David"/>
          <w:b/>
          <w:bCs/>
          <w:rtl/>
        </w:rPr>
        <w:t xml:space="preserve">; </w:t>
      </w:r>
      <w:hyperlink r:id="rId29" w:history="1">
        <w:r w:rsidR="007E3760" w:rsidRPr="007E3760">
          <w:rPr>
            <w:rFonts w:ascii="David" w:hAnsi="David"/>
            <w:color w:val="0000FF"/>
            <w:u w:val="single"/>
            <w:rtl/>
          </w:rPr>
          <w:t>ת.פ. 65912-01-18</w:t>
        </w:r>
      </w:hyperlink>
      <w:r>
        <w:rPr>
          <w:rFonts w:ascii="David" w:hAnsi="David"/>
          <w:b/>
          <w:bCs/>
          <w:rtl/>
        </w:rPr>
        <w:t xml:space="preserve"> מדינת ישראל נ' אבו מדעם ואח'</w:t>
      </w:r>
      <w:r w:rsidR="0010148F">
        <w:rPr>
          <w:rFonts w:ascii="David" w:hAnsi="David" w:hint="cs"/>
          <w:b/>
          <w:bCs/>
          <w:rtl/>
        </w:rPr>
        <w:t xml:space="preserve"> </w:t>
      </w:r>
      <w:r w:rsidR="0010148F" w:rsidRPr="0010148F">
        <w:rPr>
          <w:sz w:val="22"/>
          <w:rtl/>
        </w:rPr>
        <w:t>[פורסם בנבו]</w:t>
      </w:r>
      <w:r>
        <w:rPr>
          <w:rFonts w:ascii="David" w:hAnsi="David"/>
          <w:b/>
          <w:bCs/>
          <w:rtl/>
        </w:rPr>
        <w:t xml:space="preserve">; </w:t>
      </w:r>
      <w:hyperlink r:id="rId30" w:history="1">
        <w:r w:rsidR="007E3760" w:rsidRPr="007E3760">
          <w:rPr>
            <w:rFonts w:ascii="David" w:hAnsi="David"/>
            <w:color w:val="0000FF"/>
            <w:u w:val="single"/>
            <w:rtl/>
          </w:rPr>
          <w:t>ת.פ 9569-10-18</w:t>
        </w:r>
      </w:hyperlink>
      <w:r>
        <w:rPr>
          <w:rFonts w:ascii="David" w:hAnsi="David"/>
          <w:rtl/>
        </w:rPr>
        <w:t xml:space="preserve"> </w:t>
      </w:r>
      <w:r>
        <w:rPr>
          <w:rFonts w:ascii="David" w:hAnsi="David"/>
          <w:b/>
          <w:bCs/>
          <w:rtl/>
        </w:rPr>
        <w:t>מדינת ישראל נ' אלכדירי</w:t>
      </w:r>
      <w:r w:rsidR="0010148F">
        <w:rPr>
          <w:rFonts w:ascii="David" w:hAnsi="David" w:hint="cs"/>
          <w:b/>
          <w:bCs/>
          <w:rtl/>
        </w:rPr>
        <w:t xml:space="preserve"> </w:t>
      </w:r>
      <w:r w:rsidR="0010148F" w:rsidRPr="0010148F">
        <w:rPr>
          <w:sz w:val="22"/>
          <w:rtl/>
        </w:rPr>
        <w:t>[פורסם בנבו]</w:t>
      </w:r>
      <w:r>
        <w:rPr>
          <w:rFonts w:ascii="David" w:hAnsi="David"/>
          <w:b/>
          <w:bCs/>
          <w:rtl/>
        </w:rPr>
        <w:t xml:space="preserve">; </w:t>
      </w:r>
      <w:hyperlink r:id="rId31" w:history="1">
        <w:r w:rsidR="007E3760" w:rsidRPr="007E3760">
          <w:rPr>
            <w:rFonts w:ascii="David" w:hAnsi="David"/>
            <w:color w:val="0000FF"/>
            <w:u w:val="single"/>
            <w:rtl/>
          </w:rPr>
          <w:t>ת.פ 11098-06-18</w:t>
        </w:r>
      </w:hyperlink>
      <w:r>
        <w:rPr>
          <w:rFonts w:ascii="David" w:hAnsi="David"/>
          <w:rtl/>
        </w:rPr>
        <w:t xml:space="preserve"> </w:t>
      </w:r>
      <w:r>
        <w:rPr>
          <w:rFonts w:ascii="David" w:hAnsi="David"/>
          <w:b/>
          <w:bCs/>
          <w:rtl/>
        </w:rPr>
        <w:t xml:space="preserve">מדינת ישראל נ' אלקורעאן </w:t>
      </w:r>
      <w:r w:rsidR="007E3760">
        <w:rPr>
          <w:rFonts w:ascii="David" w:hAnsi="David"/>
          <w:rtl/>
        </w:rPr>
        <w:t xml:space="preserve"> </w:t>
      </w:r>
      <w:r>
        <w:rPr>
          <w:rFonts w:ascii="David" w:hAnsi="David"/>
          <w:rtl/>
        </w:rPr>
        <w:t>(גזרי הדין פורסמו במאגרים</w:t>
      </w:r>
      <w:r w:rsidR="0010148F">
        <w:rPr>
          <w:rFonts w:ascii="David" w:hAnsi="David" w:hint="cs"/>
          <w:rtl/>
        </w:rPr>
        <w:t xml:space="preserve"> </w:t>
      </w:r>
      <w:r w:rsidR="0010148F" w:rsidRPr="0010148F">
        <w:rPr>
          <w:sz w:val="22"/>
          <w:rtl/>
        </w:rPr>
        <w:t>[פורסם בנבו]</w:t>
      </w:r>
      <w:r>
        <w:rPr>
          <w:rFonts w:ascii="David" w:hAnsi="David"/>
          <w:rtl/>
        </w:rPr>
        <w:t>).</w:t>
      </w:r>
    </w:p>
    <w:p w:rsidR="009A4913" w:rsidRDefault="009A4913" w:rsidP="00523292">
      <w:pPr>
        <w:spacing w:line="360" w:lineRule="auto"/>
        <w:jc w:val="both"/>
        <w:rPr>
          <w:rFonts w:ascii="David" w:hAnsi="David"/>
          <w:b/>
          <w:bCs/>
          <w:u w:val="single"/>
          <w:rtl/>
        </w:rPr>
      </w:pPr>
    </w:p>
    <w:p w:rsidR="009A4913" w:rsidRDefault="009A4913" w:rsidP="00523292">
      <w:pPr>
        <w:spacing w:line="360" w:lineRule="auto"/>
        <w:jc w:val="both"/>
        <w:rPr>
          <w:rFonts w:ascii="David" w:hAnsi="David"/>
          <w:rtl/>
        </w:rPr>
      </w:pPr>
      <w:r>
        <w:rPr>
          <w:rFonts w:ascii="David" w:hAnsi="David"/>
          <w:rtl/>
        </w:rPr>
        <w:t xml:space="preserve">לפני שנים ספורות, פורסמה הנחית פרקליט המדינה מס' </w:t>
      </w:r>
      <w:r w:rsidR="007E3760">
        <w:rPr>
          <w:rFonts w:ascii="David" w:hAnsi="David"/>
          <w:rtl/>
        </w:rPr>
        <w:t xml:space="preserve"> </w:t>
      </w:r>
      <w:r>
        <w:rPr>
          <w:rFonts w:ascii="David" w:hAnsi="David"/>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rsidR="009A4913" w:rsidRDefault="009A4913" w:rsidP="00523292">
      <w:pPr>
        <w:spacing w:line="360" w:lineRule="auto"/>
        <w:jc w:val="both"/>
        <w:rPr>
          <w:rFonts w:ascii="David" w:hAnsi="David"/>
          <w:rtl/>
        </w:rPr>
      </w:pPr>
    </w:p>
    <w:p w:rsidR="009A4913" w:rsidRDefault="009A4913" w:rsidP="00890984">
      <w:pPr>
        <w:spacing w:line="360" w:lineRule="auto"/>
        <w:jc w:val="both"/>
        <w:rPr>
          <w:rFonts w:ascii="David" w:hAnsi="David"/>
          <w:rtl/>
        </w:rPr>
      </w:pPr>
    </w:p>
    <w:p w:rsidR="009A4913" w:rsidRDefault="009A4913" w:rsidP="00CE5761">
      <w:pPr>
        <w:spacing w:line="360" w:lineRule="auto"/>
        <w:jc w:val="both"/>
        <w:rPr>
          <w:rFonts w:ascii="David" w:hAnsi="David"/>
          <w:rtl/>
        </w:rPr>
      </w:pPr>
      <w:r>
        <w:rPr>
          <w:rFonts w:ascii="David" w:hAnsi="David"/>
          <w:rtl/>
        </w:rPr>
        <w:t>הצורך בהחמרה בענישה בעבירות מסוג זה, אשר, בגזר דין שניתן לאחרונה (</w:t>
      </w:r>
      <w:hyperlink r:id="rId32" w:history="1">
        <w:r w:rsidR="007E3760" w:rsidRPr="007E3760">
          <w:rPr>
            <w:rFonts w:ascii="David" w:hAnsi="David"/>
            <w:color w:val="0000FF"/>
            <w:u w:val="single"/>
            <w:rtl/>
          </w:rPr>
          <w:t>עפ"ג 4673-08-19</w:t>
        </w:r>
      </w:hyperlink>
      <w:r>
        <w:rPr>
          <w:rFonts w:ascii="David" w:hAnsi="David"/>
          <w:u w:val="single"/>
          <w:rtl/>
        </w:rPr>
        <w:t xml:space="preserve"> </w:t>
      </w:r>
      <w:r>
        <w:rPr>
          <w:rFonts w:ascii="David" w:hAnsi="David"/>
          <w:b/>
          <w:bCs/>
          <w:u w:val="single"/>
          <w:rtl/>
        </w:rPr>
        <w:t xml:space="preserve">אבו מוסא נ' מדינת </w:t>
      </w:r>
      <w:r w:rsidRPr="00F6532D">
        <w:rPr>
          <w:rFonts w:ascii="David" w:hAnsi="David"/>
          <w:b/>
          <w:bCs/>
          <w:u w:val="single"/>
          <w:rtl/>
        </w:rPr>
        <w:t xml:space="preserve">ישראל </w:t>
      </w:r>
      <w:r w:rsidR="0010148F" w:rsidRPr="0010148F">
        <w:rPr>
          <w:sz w:val="22"/>
          <w:u w:val="single"/>
          <w:rtl/>
        </w:rPr>
        <w:t xml:space="preserve">[פורסם בנבו] </w:t>
      </w:r>
      <w:r>
        <w:rPr>
          <w:rFonts w:ascii="David" w:hAnsi="David"/>
          <w:u w:val="single"/>
          <w:rtl/>
        </w:rPr>
        <w:t>(להלן: "</w:t>
      </w:r>
      <w:r w:rsidRPr="00F6532D">
        <w:rPr>
          <w:rFonts w:ascii="David" w:hAnsi="David"/>
          <w:b/>
          <w:bCs/>
          <w:u w:val="single"/>
          <w:rtl/>
        </w:rPr>
        <w:t>פרשת אבו מוסא</w:t>
      </w:r>
      <w:r>
        <w:rPr>
          <w:rFonts w:ascii="David" w:hAnsi="David"/>
          <w:u w:val="single"/>
          <w:rtl/>
        </w:rPr>
        <w:t>"))</w:t>
      </w:r>
      <w:r>
        <w:rPr>
          <w:rFonts w:ascii="David" w:hAnsi="David"/>
          <w:rtl/>
        </w:rPr>
        <w:t>, אף הוכרו כ"מכת אזור" – הוא ברור ואף מתבקש.</w:t>
      </w:r>
    </w:p>
    <w:p w:rsidR="009A4913" w:rsidRDefault="009A4913" w:rsidP="00890984">
      <w:pPr>
        <w:spacing w:line="360" w:lineRule="auto"/>
        <w:jc w:val="both"/>
        <w:rPr>
          <w:rFonts w:ascii="David" w:hAnsi="David"/>
          <w:rtl/>
        </w:rPr>
      </w:pPr>
    </w:p>
    <w:p w:rsidR="009A4913" w:rsidRDefault="009A4913" w:rsidP="00CE5761">
      <w:pPr>
        <w:spacing w:line="360" w:lineRule="auto"/>
        <w:jc w:val="both"/>
        <w:rPr>
          <w:rFonts w:ascii="David" w:hAnsi="David"/>
          <w:rtl/>
        </w:rPr>
      </w:pPr>
      <w:r>
        <w:rPr>
          <w:rFonts w:ascii="David" w:hAnsi="David"/>
          <w:rtl/>
        </w:rPr>
        <w:t>סיכומו של דבר, בכל הנוגע לאחזקת נשק אוטומטי, מסוג רובה סער, המתחם הנוהג כיום הוא בין 18 – 36 חדשי מאסר בפועל. בנוגע לאחזקת תחמושת בכמות כפי שהוחזקה כאן (2 מחסניות עם כדורים) – עד 6 חדשי מאסר בפועל.</w:t>
      </w:r>
    </w:p>
    <w:p w:rsidR="009A4913" w:rsidRDefault="009A4913" w:rsidP="00523292">
      <w:pPr>
        <w:spacing w:line="360" w:lineRule="auto"/>
        <w:jc w:val="both"/>
        <w:rPr>
          <w:rFonts w:ascii="David" w:hAnsi="David"/>
          <w:rtl/>
        </w:rPr>
      </w:pPr>
    </w:p>
    <w:p w:rsidR="009A4913" w:rsidRDefault="009A4913" w:rsidP="00890984">
      <w:pPr>
        <w:spacing w:line="360" w:lineRule="auto"/>
        <w:jc w:val="both"/>
        <w:rPr>
          <w:rFonts w:cs="Times New Roman"/>
          <w:rtl/>
        </w:rPr>
      </w:pPr>
      <w:r>
        <w:rPr>
          <w:rFonts w:ascii="David" w:hAnsi="David"/>
          <w:rtl/>
        </w:rPr>
        <w:t>אשר למתחם הענישה הכולל בתיק זה, בגין האירוע כולו, כלומר הן החזקת רובה הסער והן החזקת התחמושת – יועמד המתחם בין 20 ועד 40 חדשים מאסר בפועל.</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b/>
          <w:bCs/>
          <w:rtl/>
        </w:rPr>
      </w:pPr>
      <w:r>
        <w:rPr>
          <w:rFonts w:ascii="David" w:hAnsi="David"/>
          <w:b/>
          <w:bCs/>
          <w:rtl/>
        </w:rPr>
        <w:t>קביעת הענישה הספציפית בענינו של הנאשם</w:t>
      </w:r>
    </w:p>
    <w:p w:rsidR="009A4913" w:rsidRDefault="009A4913" w:rsidP="00523292">
      <w:pPr>
        <w:spacing w:line="360" w:lineRule="auto"/>
        <w:jc w:val="both"/>
        <w:rPr>
          <w:rFonts w:ascii="David" w:hAnsi="David"/>
          <w:rtl/>
        </w:rPr>
      </w:pPr>
    </w:p>
    <w:p w:rsidR="009A4913" w:rsidRDefault="009A4913" w:rsidP="00121805">
      <w:pPr>
        <w:spacing w:line="360" w:lineRule="auto"/>
        <w:jc w:val="both"/>
        <w:rPr>
          <w:rFonts w:ascii="David" w:hAnsi="David"/>
          <w:u w:val="single"/>
          <w:rtl/>
        </w:rPr>
      </w:pPr>
      <w:r>
        <w:rPr>
          <w:rFonts w:ascii="David" w:hAnsi="David"/>
          <w:b/>
          <w:bCs/>
          <w:u w:val="single"/>
          <w:rtl/>
        </w:rPr>
        <w:t xml:space="preserve">פרשת אבו מוסא: </w:t>
      </w:r>
      <w:r w:rsidRPr="00F6532D">
        <w:rPr>
          <w:rFonts w:ascii="David" w:hAnsi="David"/>
          <w:u w:val="single"/>
          <w:rtl/>
        </w:rPr>
        <w:t xml:space="preserve">בתחילת החודש, ניתן פסק דין </w:t>
      </w:r>
      <w:r>
        <w:rPr>
          <w:rFonts w:ascii="David" w:hAnsi="David"/>
          <w:u w:val="single"/>
          <w:rtl/>
        </w:rPr>
        <w:t>בערעור על חומרת העונש, בעני</w:t>
      </w:r>
      <w:r w:rsidRPr="00F6532D">
        <w:rPr>
          <w:rFonts w:ascii="David" w:hAnsi="David"/>
          <w:u w:val="single"/>
          <w:rtl/>
        </w:rPr>
        <w:t xml:space="preserve">נו של נאשם, שנתפס מחזיק נשק מסוג תת מקלע </w:t>
      </w:r>
      <w:r w:rsidRPr="00F64D3C">
        <w:rPr>
          <w:rFonts w:ascii="David" w:hAnsi="David"/>
          <w:i/>
          <w:iCs/>
          <w:u w:val="single"/>
          <w:rtl/>
        </w:rPr>
        <w:t>מאולתר</w:t>
      </w:r>
      <w:r w:rsidRPr="00F6532D">
        <w:rPr>
          <w:rFonts w:ascii="David" w:hAnsi="David"/>
          <w:u w:val="single"/>
          <w:rtl/>
        </w:rPr>
        <w:t xml:space="preserve">, כשכתב האישום תוקן, כך שהוסכם, שהנשק הוחזק על ידו לתקופה קצרה ביותר, בת </w:t>
      </w:r>
      <w:r w:rsidRPr="00F64D3C">
        <w:rPr>
          <w:rFonts w:ascii="David" w:hAnsi="David"/>
          <w:i/>
          <w:iCs/>
          <w:u w:val="single"/>
          <w:rtl/>
        </w:rPr>
        <w:t>10 ימים</w:t>
      </w:r>
      <w:r>
        <w:rPr>
          <w:rFonts w:ascii="David" w:hAnsi="David"/>
          <w:u w:val="single"/>
          <w:rtl/>
        </w:rPr>
        <w:t xml:space="preserve"> </w:t>
      </w:r>
      <w:r w:rsidRPr="00F64D3C">
        <w:rPr>
          <w:rFonts w:ascii="David" w:hAnsi="David"/>
          <w:i/>
          <w:iCs/>
          <w:u w:val="single"/>
          <w:rtl/>
        </w:rPr>
        <w:t>בלבד</w:t>
      </w:r>
      <w:r w:rsidRPr="00F6532D">
        <w:rPr>
          <w:rFonts w:ascii="David" w:hAnsi="David"/>
          <w:u w:val="single"/>
          <w:rtl/>
        </w:rPr>
        <w:t xml:space="preserve"> – והושת עליו עונש מאסר בפועל בן 18 חדשים. ערעור ההגנה נדחה, תוך שבית המשפט המחוזי, בשבתו כבית משפט לערעורים פליליים, אף אישר את מתחם הענישה, כפי שנקבע שם</w:t>
      </w:r>
      <w:r>
        <w:rPr>
          <w:rFonts w:ascii="David" w:hAnsi="David"/>
          <w:u w:val="single"/>
          <w:rtl/>
        </w:rPr>
        <w:t xml:space="preserve"> ואף קבע, כי המדובר ב"</w:t>
      </w:r>
      <w:r w:rsidRPr="00F64D3C">
        <w:rPr>
          <w:rFonts w:ascii="David" w:hAnsi="David"/>
          <w:b/>
          <w:bCs/>
          <w:u w:val="single"/>
          <w:rtl/>
        </w:rPr>
        <w:t>מכת אזור הדרום</w:t>
      </w:r>
      <w:r>
        <w:rPr>
          <w:rFonts w:ascii="David" w:hAnsi="David"/>
          <w:u w:val="single"/>
          <w:rtl/>
        </w:rPr>
        <w:t>".</w:t>
      </w:r>
    </w:p>
    <w:p w:rsidR="009A4913" w:rsidRDefault="009A4913" w:rsidP="00F6532D">
      <w:pPr>
        <w:spacing w:line="360" w:lineRule="auto"/>
        <w:jc w:val="both"/>
        <w:rPr>
          <w:rFonts w:ascii="David" w:hAnsi="David"/>
          <w:u w:val="single"/>
          <w:rtl/>
        </w:rPr>
      </w:pPr>
    </w:p>
    <w:p w:rsidR="009A4913" w:rsidRDefault="009A4913" w:rsidP="00F6532D">
      <w:pPr>
        <w:spacing w:line="360" w:lineRule="auto"/>
        <w:jc w:val="both"/>
        <w:rPr>
          <w:rFonts w:ascii="David" w:hAnsi="David"/>
          <w:rtl/>
        </w:rPr>
      </w:pPr>
      <w:r w:rsidRPr="00F6532D">
        <w:rPr>
          <w:rFonts w:ascii="David" w:hAnsi="David"/>
          <w:u w:val="single"/>
          <w:rtl/>
        </w:rPr>
        <w:t xml:space="preserve">באבחנה </w:t>
      </w:r>
      <w:r>
        <w:rPr>
          <w:rFonts w:ascii="David" w:hAnsi="David"/>
          <w:u w:val="single"/>
          <w:rtl/>
        </w:rPr>
        <w:t xml:space="preserve">מפרשת </w:t>
      </w:r>
      <w:r w:rsidRPr="00F64D3C">
        <w:rPr>
          <w:rFonts w:ascii="David" w:hAnsi="David"/>
          <w:b/>
          <w:bCs/>
          <w:u w:val="single"/>
          <w:rtl/>
        </w:rPr>
        <w:t>אבו מוסא</w:t>
      </w:r>
      <w:r w:rsidRPr="00F6532D">
        <w:rPr>
          <w:rFonts w:ascii="David" w:hAnsi="David"/>
          <w:u w:val="single"/>
          <w:rtl/>
        </w:rPr>
        <w:t xml:space="preserve"> </w:t>
      </w:r>
      <w:r>
        <w:rPr>
          <w:rFonts w:ascii="David" w:hAnsi="David"/>
          <w:u w:val="single"/>
          <w:rtl/>
        </w:rPr>
        <w:t>דלעיל</w:t>
      </w:r>
      <w:r w:rsidRPr="00F6532D">
        <w:rPr>
          <w:rFonts w:ascii="David" w:hAnsi="David"/>
          <w:u w:val="single"/>
          <w:rtl/>
        </w:rPr>
        <w:t>– במקרה דנן, המדובר בהחזקת נשק</w:t>
      </w:r>
      <w:r>
        <w:rPr>
          <w:rFonts w:ascii="David" w:hAnsi="David"/>
          <w:u w:val="single"/>
          <w:rtl/>
        </w:rPr>
        <w:t xml:space="preserve"> </w:t>
      </w:r>
      <w:r w:rsidRPr="00F64D3C">
        <w:rPr>
          <w:rFonts w:ascii="David" w:hAnsi="David"/>
          <w:b/>
          <w:bCs/>
          <w:u w:val="single"/>
          <w:rtl/>
        </w:rPr>
        <w:t>תקני</w:t>
      </w:r>
      <w:r>
        <w:rPr>
          <w:rFonts w:ascii="David" w:hAnsi="David"/>
          <w:u w:val="single"/>
          <w:rtl/>
        </w:rPr>
        <w:t xml:space="preserve"> ואף </w:t>
      </w:r>
      <w:r w:rsidRPr="00F64D3C">
        <w:rPr>
          <w:rFonts w:ascii="David" w:hAnsi="David"/>
          <w:b/>
          <w:bCs/>
          <w:u w:val="single"/>
          <w:rtl/>
        </w:rPr>
        <w:t>תחמושת מתאימה</w:t>
      </w:r>
      <w:r>
        <w:rPr>
          <w:rFonts w:ascii="David" w:hAnsi="David"/>
          <w:u w:val="single"/>
          <w:rtl/>
        </w:rPr>
        <w:t>, בתוך מחסניות, מוכנה לשימוש וכן בנאשם בעל הרשעה קודמת, במאטריה דומה (אחזקת נשק קר)</w:t>
      </w:r>
      <w:r w:rsidRPr="00056816">
        <w:rPr>
          <w:rFonts w:ascii="David" w:hAnsi="David"/>
          <w:u w:val="single"/>
          <w:rtl/>
        </w:rPr>
        <w:t xml:space="preserve">. כך שענינו של הנאשם דנן </w:t>
      </w:r>
      <w:r>
        <w:rPr>
          <w:rFonts w:ascii="David" w:hAnsi="David"/>
          <w:u w:val="single"/>
          <w:rtl/>
        </w:rPr>
        <w:t xml:space="preserve">- </w:t>
      </w:r>
      <w:r w:rsidRPr="00056816">
        <w:rPr>
          <w:rFonts w:ascii="David" w:hAnsi="David"/>
          <w:u w:val="single"/>
          <w:rtl/>
        </w:rPr>
        <w:t>חמור יותר</w:t>
      </w:r>
      <w:r>
        <w:rPr>
          <w:rFonts w:ascii="David" w:hAnsi="David"/>
          <w:rtl/>
        </w:rPr>
        <w:t>.</w:t>
      </w:r>
    </w:p>
    <w:p w:rsidR="009A4913" w:rsidRDefault="009A4913" w:rsidP="00523292">
      <w:pPr>
        <w:spacing w:line="360" w:lineRule="auto"/>
        <w:jc w:val="both"/>
        <w:rPr>
          <w:rFonts w:ascii="David" w:hAnsi="David"/>
          <w:rtl/>
        </w:rPr>
      </w:pPr>
    </w:p>
    <w:p w:rsidR="009A4913" w:rsidRDefault="009A4913" w:rsidP="000B63AD">
      <w:pPr>
        <w:spacing w:line="360" w:lineRule="auto"/>
        <w:contextualSpacing/>
        <w:jc w:val="both"/>
        <w:rPr>
          <w:rFonts w:ascii="David" w:hAnsi="David"/>
          <w:rtl/>
        </w:rPr>
      </w:pPr>
      <w:r>
        <w:rPr>
          <w:rFonts w:ascii="David" w:hAnsi="David"/>
          <w:rtl/>
        </w:rPr>
        <w:t>אשר לנסיבותיו האישיות של הנאשם: אמנם, הנאשם אינו צעיר ואין אינדיקציה על מעורבות עברינית או מעורבות שלילית אחרת (למעט הרשעתו הקודמת).</w:t>
      </w:r>
    </w:p>
    <w:p w:rsidR="009A4913" w:rsidRDefault="009A4913" w:rsidP="000B63AD">
      <w:pPr>
        <w:spacing w:line="360" w:lineRule="auto"/>
        <w:contextualSpacing/>
        <w:jc w:val="both"/>
        <w:rPr>
          <w:rFonts w:ascii="David" w:hAnsi="David"/>
          <w:rtl/>
        </w:rPr>
      </w:pPr>
    </w:p>
    <w:p w:rsidR="009A4913" w:rsidRDefault="009A4913" w:rsidP="00042BE7">
      <w:pPr>
        <w:spacing w:line="360" w:lineRule="auto"/>
        <w:contextualSpacing/>
        <w:jc w:val="both"/>
        <w:rPr>
          <w:rFonts w:ascii="David" w:hAnsi="David"/>
          <w:rtl/>
        </w:rPr>
      </w:pPr>
      <w:r>
        <w:rPr>
          <w:rFonts w:ascii="David" w:hAnsi="David"/>
          <w:rtl/>
        </w:rPr>
        <w:t>מנגד, המדובר בנאשם, אשר, כפי שמסר בדבריו לקצינת המבחן, מוכר כאדם מכובד וכ"שֵיך" וככזה – מהווה דמות, אליה נשואות עיני אחרים.</w:t>
      </w:r>
    </w:p>
    <w:p w:rsidR="009A4913" w:rsidRDefault="009A4913" w:rsidP="00FA77A2">
      <w:pPr>
        <w:spacing w:line="360" w:lineRule="auto"/>
        <w:contextualSpacing/>
        <w:jc w:val="both"/>
        <w:rPr>
          <w:rFonts w:ascii="David" w:hAnsi="David"/>
          <w:rtl/>
        </w:rPr>
      </w:pPr>
    </w:p>
    <w:p w:rsidR="009A4913" w:rsidRDefault="009A4913" w:rsidP="00CE5761">
      <w:pPr>
        <w:spacing w:line="360" w:lineRule="auto"/>
        <w:contextualSpacing/>
        <w:jc w:val="both"/>
        <w:rPr>
          <w:rFonts w:ascii="David" w:hAnsi="David"/>
          <w:rtl/>
        </w:rPr>
      </w:pPr>
      <w:r>
        <w:rPr>
          <w:rFonts w:ascii="David" w:hAnsi="David"/>
          <w:rtl/>
        </w:rPr>
        <w:t>המדובר באדם מבוגר, בעל נסיון חיים, אשר – גם זאת לדבריו – פועל לפתרון סכסוכים בין פלגים שונים במגזר. ממרומי נסיונו – היה עליו להיות מודע לפוטנציאל הקטלני שבאחזקת נשק מסוג זה, ומדברו האחרון אף עולה בבירור, כי אכן הוא מודע לכך, ואף טען, כי מבכה על אבדן החיים בשל הסכסוכים האלימים התדירים, בהם מעורבים כלי נשק חם.</w:t>
      </w:r>
    </w:p>
    <w:p w:rsidR="009A4913" w:rsidRDefault="009A4913" w:rsidP="00FA77A2">
      <w:pPr>
        <w:spacing w:line="360" w:lineRule="auto"/>
        <w:contextualSpacing/>
        <w:jc w:val="both"/>
        <w:rPr>
          <w:rFonts w:ascii="David" w:hAnsi="David"/>
          <w:rtl/>
        </w:rPr>
      </w:pPr>
    </w:p>
    <w:p w:rsidR="009A4913" w:rsidRDefault="009A4913" w:rsidP="00CE5761">
      <w:pPr>
        <w:spacing w:line="360" w:lineRule="auto"/>
        <w:contextualSpacing/>
        <w:jc w:val="both"/>
        <w:rPr>
          <w:rFonts w:ascii="David" w:hAnsi="David"/>
          <w:rtl/>
        </w:rPr>
      </w:pPr>
      <w:r>
        <w:rPr>
          <w:rFonts w:ascii="David" w:hAnsi="David"/>
          <w:rtl/>
        </w:rPr>
        <w:t xml:space="preserve">סוג הנשק שהוחזק – </w:t>
      </w:r>
      <w:r w:rsidRPr="00D15344">
        <w:rPr>
          <w:rFonts w:ascii="David" w:hAnsi="David"/>
          <w:u w:val="single"/>
          <w:rtl/>
        </w:rPr>
        <w:t>נשק תקני</w:t>
      </w:r>
      <w:r>
        <w:rPr>
          <w:rFonts w:ascii="David" w:hAnsi="David"/>
          <w:u w:val="single"/>
          <w:rtl/>
        </w:rPr>
        <w:t>,</w:t>
      </w:r>
      <w:r w:rsidRPr="00D15344">
        <w:rPr>
          <w:rFonts w:ascii="David" w:hAnsi="David"/>
          <w:u w:val="single"/>
          <w:rtl/>
        </w:rPr>
        <w:t xml:space="preserve"> </w:t>
      </w:r>
      <w:r w:rsidRPr="00056816">
        <w:rPr>
          <w:rFonts w:ascii="David" w:hAnsi="David"/>
          <w:rtl/>
        </w:rPr>
        <w:t xml:space="preserve">מסוג </w:t>
      </w:r>
      <w:r w:rsidRPr="00D15344">
        <w:rPr>
          <w:rFonts w:ascii="David" w:hAnsi="David"/>
          <w:u w:val="single"/>
          <w:rtl/>
        </w:rPr>
        <w:t>רובה סער אוטומטי</w:t>
      </w:r>
      <w:r>
        <w:rPr>
          <w:rFonts w:ascii="David" w:hAnsi="David"/>
          <w:rtl/>
        </w:rPr>
        <w:t xml:space="preserve"> – אינו כזה, אשר ניתן לטעון, כי הוחזק כמזכרת, לצורך הגנה עצמית, או אפילו "לעת מצוא". המדובר בנשק קטלני, התקפי, וכאמור, אף הוחזק עם תחמושת מוכנה לשימוש, מסודרת במחסניות. </w:t>
      </w:r>
    </w:p>
    <w:p w:rsidR="009A4913" w:rsidRDefault="009A4913" w:rsidP="00D15344">
      <w:pPr>
        <w:spacing w:line="360" w:lineRule="auto"/>
        <w:contextualSpacing/>
        <w:jc w:val="both"/>
        <w:rPr>
          <w:rFonts w:ascii="David" w:hAnsi="David"/>
          <w:rtl/>
        </w:rPr>
      </w:pPr>
    </w:p>
    <w:p w:rsidR="009A4913" w:rsidRDefault="009A4913" w:rsidP="00D15344">
      <w:pPr>
        <w:spacing w:line="360" w:lineRule="auto"/>
        <w:contextualSpacing/>
        <w:jc w:val="both"/>
        <w:rPr>
          <w:rFonts w:ascii="David" w:hAnsi="David"/>
          <w:rtl/>
        </w:rPr>
      </w:pPr>
      <w:r>
        <w:rPr>
          <w:rFonts w:ascii="David" w:hAnsi="David"/>
          <w:rtl/>
        </w:rPr>
        <w:t>הנשק והתחמושת אף הוחזקו (אם כי לא בכפיפה אחת) בבית מגורים, בו ישנם אחרים – נשים וילדים – בעלי נגישות אליו.</w:t>
      </w:r>
    </w:p>
    <w:p w:rsidR="009A4913" w:rsidRDefault="009A4913" w:rsidP="00D15344">
      <w:pPr>
        <w:spacing w:line="360" w:lineRule="auto"/>
        <w:contextualSpacing/>
        <w:jc w:val="both"/>
        <w:rPr>
          <w:rFonts w:ascii="David" w:hAnsi="David"/>
          <w:rtl/>
        </w:rPr>
      </w:pPr>
    </w:p>
    <w:p w:rsidR="009A4913" w:rsidRDefault="009A4913" w:rsidP="00CE5761">
      <w:pPr>
        <w:spacing w:line="360" w:lineRule="auto"/>
        <w:contextualSpacing/>
        <w:jc w:val="both"/>
        <w:rPr>
          <w:rFonts w:ascii="David" w:hAnsi="David"/>
          <w:rtl/>
        </w:rPr>
      </w:pPr>
      <w:r>
        <w:rPr>
          <w:rFonts w:ascii="David" w:hAnsi="David"/>
          <w:rtl/>
        </w:rPr>
        <w:t>כעולה מהתסקיר, מחלק הנאשם זמנו בין מדינת ישראל לבין ירדן. כך שהמדובר במי שעלול להחשף, מעת לעת, לגורמים שונים, ללא פיקוח.</w:t>
      </w:r>
    </w:p>
    <w:p w:rsidR="009A4913" w:rsidRDefault="009A4913" w:rsidP="00D15344">
      <w:pPr>
        <w:spacing w:line="360" w:lineRule="auto"/>
        <w:contextualSpacing/>
        <w:jc w:val="both"/>
        <w:rPr>
          <w:rFonts w:ascii="David" w:hAnsi="David"/>
          <w:rtl/>
        </w:rPr>
      </w:pPr>
    </w:p>
    <w:p w:rsidR="009A4913" w:rsidRDefault="009A4913" w:rsidP="00CE5761">
      <w:pPr>
        <w:spacing w:line="360" w:lineRule="auto"/>
        <w:contextualSpacing/>
        <w:jc w:val="both"/>
        <w:rPr>
          <w:rFonts w:ascii="David" w:hAnsi="David"/>
          <w:rtl/>
        </w:rPr>
      </w:pPr>
      <w:r>
        <w:rPr>
          <w:rFonts w:ascii="David" w:hAnsi="David"/>
          <w:rtl/>
        </w:rPr>
        <w:t xml:space="preserve">הוסף לאמור, בניגוד למקרה המתואר </w:t>
      </w:r>
      <w:r w:rsidRPr="00CE5761">
        <w:rPr>
          <w:rFonts w:ascii="David" w:hAnsi="David"/>
          <w:b/>
          <w:bCs/>
          <w:rtl/>
        </w:rPr>
        <w:t>בפרשת</w:t>
      </w:r>
      <w:r>
        <w:rPr>
          <w:rFonts w:ascii="David" w:hAnsi="David"/>
          <w:rtl/>
        </w:rPr>
        <w:t xml:space="preserve"> </w:t>
      </w:r>
      <w:r>
        <w:rPr>
          <w:rFonts w:ascii="David" w:hAnsi="David"/>
          <w:b/>
          <w:bCs/>
          <w:rtl/>
        </w:rPr>
        <w:t>אבו מוסא</w:t>
      </w:r>
      <w:r>
        <w:rPr>
          <w:rFonts w:ascii="David" w:hAnsi="David"/>
          <w:rtl/>
        </w:rPr>
        <w:t xml:space="preserve"> דלעיל, כאן – הוחזק הנשק – על פי עובדות כתב האישום המתוקן – לתקופה ארוכה מאוד, בת 17 שנים. כך שהיה בידי הנאשם סיפק להפנים ולכלכל משמעות מעשיו ולהסגיר הנשק לרשויות החוק (כפי שלדבריו - עשה בנשק אחר שנותר מאותו הדוד – אותו בחר למסור למשטרה). צא ולמד, כי ההחלטה להותיר נשק זה בידיו – היתה החלטה מודעת, בשום שכל, ומכאן גם – שעל הנאשם לשאת באחריות על החלטתו זו וליתן הדין עליה.</w:t>
      </w:r>
    </w:p>
    <w:p w:rsidR="009A4913" w:rsidRDefault="009A4913" w:rsidP="00D15344">
      <w:pPr>
        <w:spacing w:line="360" w:lineRule="auto"/>
        <w:contextualSpacing/>
        <w:jc w:val="both"/>
        <w:rPr>
          <w:rFonts w:ascii="David" w:hAnsi="David"/>
          <w:rtl/>
        </w:rPr>
      </w:pPr>
    </w:p>
    <w:p w:rsidR="009A4913" w:rsidRPr="004C0871" w:rsidRDefault="009A4913" w:rsidP="00CE5761">
      <w:pPr>
        <w:spacing w:line="360" w:lineRule="auto"/>
        <w:contextualSpacing/>
        <w:jc w:val="both"/>
        <w:rPr>
          <w:rFonts w:ascii="David" w:hAnsi="David"/>
          <w:u w:val="single"/>
          <w:rtl/>
        </w:rPr>
      </w:pPr>
      <w:r w:rsidRPr="004C0871">
        <w:rPr>
          <w:rFonts w:ascii="David" w:hAnsi="David"/>
          <w:u w:val="single"/>
          <w:rtl/>
        </w:rPr>
        <w:t xml:space="preserve">מדי יום שומעים אנו על האלימות הפושה באזור מגוריו של הנאשם </w:t>
      </w:r>
      <w:r>
        <w:rPr>
          <w:rFonts w:ascii="David" w:hAnsi="David"/>
          <w:u w:val="single"/>
          <w:rtl/>
        </w:rPr>
        <w:t>ובחברה בכלל</w:t>
      </w:r>
      <w:r w:rsidRPr="004C0871">
        <w:rPr>
          <w:rFonts w:ascii="David" w:hAnsi="David"/>
          <w:u w:val="single"/>
          <w:rtl/>
        </w:rPr>
        <w:t>, אשר, עד כה, כבר גבתה חיים רבים. הנאשם, אשר – מדבריו בבית המשפט עולה – כי מודע היטב להיקף הבעיה ולעמקה – בחר להחזיק נשק קטלני, מוכן לשימוש –</w:t>
      </w:r>
      <w:r>
        <w:rPr>
          <w:rFonts w:ascii="David" w:hAnsi="David"/>
          <w:u w:val="single"/>
          <w:rtl/>
        </w:rPr>
        <w:t xml:space="preserve"> בד בבד עם היותו "שֵ</w:t>
      </w:r>
      <w:r w:rsidRPr="004C0871">
        <w:rPr>
          <w:rFonts w:ascii="David" w:hAnsi="David"/>
          <w:u w:val="single"/>
          <w:rtl/>
        </w:rPr>
        <w:t>יך" העוסק בפתרון סכסוכים!</w:t>
      </w:r>
    </w:p>
    <w:p w:rsidR="009A4913" w:rsidRDefault="009A4913" w:rsidP="00FA77A2">
      <w:pPr>
        <w:spacing w:line="360" w:lineRule="auto"/>
        <w:contextualSpacing/>
        <w:jc w:val="both"/>
        <w:rPr>
          <w:rFonts w:ascii="David" w:hAnsi="David"/>
          <w:rtl/>
        </w:rPr>
      </w:pPr>
    </w:p>
    <w:p w:rsidR="009A4913" w:rsidRDefault="009A4913" w:rsidP="00DD3A60">
      <w:pPr>
        <w:spacing w:line="360" w:lineRule="auto"/>
        <w:contextualSpacing/>
        <w:jc w:val="both"/>
        <w:rPr>
          <w:rFonts w:ascii="David" w:hAnsi="David"/>
          <w:rtl/>
        </w:rPr>
      </w:pPr>
      <w:r>
        <w:rPr>
          <w:rFonts w:ascii="David" w:hAnsi="David"/>
          <w:rtl/>
        </w:rPr>
        <w:t>אשר לטענת ההגנה, לפיה הוחזק הנשק ללא שימוש זמן רב – לא הוצגו ראיות לסתור טענה זו, אך יֵאָמֵר, כי הנשק הוחזק בבית מגורים, נגיש, כשאינו מוטמן בסליק או במחבוא כלשהו; כמו כן, כעולה מכתב האישום המתוקן, נתפס הנשק בעקבות פעילות יזומה, אשר, כדברי התביעה, נערכה בעקבות מידע מודיעיני קונקרטי. אין המדובר בנשק, שנתפס במקרה, והדבר מלמד על כך, שדבר קיומו של הנשק נחשף בסמוך לתפיסתו (כלומר, הנשק לא היה טמון ודבר קיומו לא נשכח).</w:t>
      </w:r>
    </w:p>
    <w:p w:rsidR="009A4913" w:rsidRDefault="009A4913" w:rsidP="00042BE7">
      <w:pPr>
        <w:spacing w:line="360" w:lineRule="auto"/>
        <w:contextualSpacing/>
        <w:jc w:val="both"/>
        <w:rPr>
          <w:rFonts w:ascii="David" w:hAnsi="David"/>
          <w:rtl/>
        </w:rPr>
      </w:pPr>
      <w:r>
        <w:rPr>
          <w:rFonts w:ascii="David" w:hAnsi="David"/>
          <w:rtl/>
        </w:rPr>
        <w:t>תסקיר שירות המבחן אינו מלמד על מצוקה או בעיה מיוחדת ממנה סובל הנאשם. אף לא נטען, כי נתון תחת איום כלשהו. ההיפך הוא הנכון – המדובר במי שחי ברווחה יחסית; נשוי, או היה נשוי, לשלוש נשים שונות; מחזיק במיניבוס; מפרנס מספר בתי אב של משפחתו הן בארץ וכן בירדן ולדבריו בעצמו – משמש כדמות מכובדת ומנהיגותית.</w:t>
      </w:r>
    </w:p>
    <w:p w:rsidR="009A4913" w:rsidRDefault="009A4913" w:rsidP="00D15344">
      <w:pPr>
        <w:spacing w:line="360" w:lineRule="auto"/>
        <w:contextualSpacing/>
        <w:jc w:val="both"/>
        <w:rPr>
          <w:rFonts w:ascii="David" w:hAnsi="David"/>
          <w:rtl/>
        </w:rPr>
      </w:pPr>
    </w:p>
    <w:p w:rsidR="009A4913" w:rsidRDefault="009A4913" w:rsidP="009A244F">
      <w:pPr>
        <w:spacing w:line="360" w:lineRule="auto"/>
        <w:contextualSpacing/>
        <w:jc w:val="both"/>
        <w:rPr>
          <w:rFonts w:ascii="David" w:hAnsi="David"/>
          <w:rtl/>
        </w:rPr>
      </w:pPr>
      <w:r>
        <w:rPr>
          <w:rFonts w:ascii="David" w:hAnsi="David"/>
          <w:rtl/>
        </w:rPr>
        <w:t xml:space="preserve">בהיעדר בעיה כלשהי ממנה סובל הנאשם – הטעונה טיפול – ומשלא התרשם שירות המבחן למבוגרים, מנזקקות טיפולית ולא הציג תכנית טיפולית - אין גם מקום לסטיה ממתחם הענישה מטעמי שיקום, כפי עתירת ההגנה. כבר נאמר לא פעם, כי "שיקום" אינו בגדר מילת קסם, אשר תצדיק סטיה ממתחם הענישה בכל עת. </w:t>
      </w:r>
    </w:p>
    <w:p w:rsidR="009A4913" w:rsidRDefault="009A4913" w:rsidP="00FA77A2">
      <w:pPr>
        <w:spacing w:line="360" w:lineRule="auto"/>
        <w:contextualSpacing/>
        <w:jc w:val="both"/>
        <w:rPr>
          <w:rFonts w:ascii="David" w:hAnsi="David"/>
          <w:rtl/>
        </w:rPr>
      </w:pPr>
    </w:p>
    <w:p w:rsidR="009A4913" w:rsidRDefault="009A4913" w:rsidP="001759D5">
      <w:pPr>
        <w:spacing w:line="360" w:lineRule="auto"/>
        <w:contextualSpacing/>
        <w:jc w:val="both"/>
        <w:rPr>
          <w:rFonts w:ascii="David" w:hAnsi="David"/>
          <w:rtl/>
        </w:rPr>
      </w:pPr>
      <w:r>
        <w:rPr>
          <w:rFonts w:ascii="David" w:hAnsi="David"/>
          <w:rtl/>
        </w:rPr>
        <w:t>אם יקל בית המשפט עם נאשם במעמד שכזה – מה יאמרו אזובי הקיר, כלומר – אותם צעירים, שאינם בעלי נסיון חיים כדוגמת זה של הנאשם ואשר עיניהם נשואות אליו.</w:t>
      </w:r>
    </w:p>
    <w:p w:rsidR="009A4913" w:rsidRDefault="009A4913" w:rsidP="00FA77A2">
      <w:pPr>
        <w:spacing w:line="360" w:lineRule="auto"/>
        <w:contextualSpacing/>
        <w:jc w:val="both"/>
        <w:rPr>
          <w:rFonts w:ascii="David" w:hAnsi="David"/>
          <w:rtl/>
        </w:rPr>
      </w:pPr>
    </w:p>
    <w:p w:rsidR="009A4913" w:rsidRDefault="009A4913" w:rsidP="00BD634C">
      <w:pPr>
        <w:spacing w:line="360" w:lineRule="auto"/>
        <w:contextualSpacing/>
        <w:jc w:val="both"/>
        <w:rPr>
          <w:rFonts w:ascii="David" w:hAnsi="David"/>
          <w:rtl/>
        </w:rPr>
      </w:pPr>
      <w:r>
        <w:rPr>
          <w:rFonts w:ascii="David" w:hAnsi="David"/>
          <w:rtl/>
        </w:rPr>
        <w:t xml:space="preserve">לכל אלה יש להוסיף – כי הנאשם הורשע, בעבר, בעבירה דומה, שענינה אחזקת כלי נשק – אמנם, נשק קר - אך כלי נשק. לענין זה, יצוין, כי לו היתה התביעה הכללית עותרת להפעיל המאסר המותנה שהושת בגין אותה עבירה – נראה, כי היה מקום להיעתר לכך, שכן, מבחינת מהות העבירה – העבירה של אחזקת נשק קר נכללת גם בעבירה החמורה יותר, שענינה - אחזקת נשק חם. והלא, המבחן להפרת התנאי אינו מבחן טכני פורמאלי, אלא מבחן מהותי עניני (ראו פרופ' י' קדמי, </w:t>
      </w:r>
      <w:hyperlink r:id="rId33" w:history="1">
        <w:r w:rsidR="0029768B" w:rsidRPr="0029768B">
          <w:rPr>
            <w:rFonts w:ascii="David" w:hAnsi="David"/>
            <w:b/>
            <w:bCs/>
            <w:color w:val="000000"/>
            <w:rtl/>
          </w:rPr>
          <w:t>על סדר הדין בפלילים</w:t>
        </w:r>
      </w:hyperlink>
      <w:r w:rsidRPr="00BD634C">
        <w:rPr>
          <w:rFonts w:ascii="David" w:hAnsi="David"/>
          <w:b/>
          <w:bCs/>
          <w:rtl/>
        </w:rPr>
        <w:t xml:space="preserve"> – הדין בראי הפסיקה</w:t>
      </w:r>
      <w:r>
        <w:rPr>
          <w:rFonts w:ascii="David" w:hAnsi="David"/>
          <w:rtl/>
        </w:rPr>
        <w:t xml:space="preserve">, מהרורה מעודכנת, תשס"ט – 2009, חלק </w:t>
      </w:r>
      <w:r>
        <w:rPr>
          <w:rFonts w:ascii="David" w:hAnsi="David"/>
        </w:rPr>
        <w:t>II</w:t>
      </w:r>
      <w:r>
        <w:rPr>
          <w:rFonts w:ascii="David" w:hAnsi="David"/>
          <w:rtl/>
        </w:rPr>
        <w:t>(ב), ע' 1686 – 1690).</w:t>
      </w:r>
    </w:p>
    <w:p w:rsidR="009A4913" w:rsidRDefault="009A4913" w:rsidP="00FA77A2">
      <w:pPr>
        <w:spacing w:line="360" w:lineRule="auto"/>
        <w:contextualSpacing/>
        <w:jc w:val="both"/>
        <w:rPr>
          <w:rFonts w:ascii="David" w:hAnsi="David"/>
          <w:rtl/>
        </w:rPr>
      </w:pPr>
    </w:p>
    <w:p w:rsidR="009A4913" w:rsidRDefault="009A4913" w:rsidP="007F7DD0">
      <w:pPr>
        <w:spacing w:line="360" w:lineRule="auto"/>
        <w:contextualSpacing/>
        <w:jc w:val="both"/>
        <w:rPr>
          <w:rFonts w:ascii="David" w:hAnsi="David"/>
          <w:rtl/>
        </w:rPr>
      </w:pPr>
      <w:r>
        <w:rPr>
          <w:rFonts w:ascii="David" w:hAnsi="David"/>
          <w:rtl/>
        </w:rPr>
        <w:t>הנאשם נתפס בעבירה דנן – בטרם פקעה תקופת התנאי שהושתה עליו בגין העבירה הקודמת.</w:t>
      </w:r>
    </w:p>
    <w:p w:rsidR="009A4913" w:rsidRDefault="009A4913" w:rsidP="00FF40B1">
      <w:pPr>
        <w:spacing w:line="360" w:lineRule="auto"/>
        <w:contextualSpacing/>
        <w:jc w:val="both"/>
        <w:rPr>
          <w:rFonts w:ascii="David" w:hAnsi="David"/>
          <w:rtl/>
        </w:rPr>
      </w:pPr>
    </w:p>
    <w:p w:rsidR="009A4913" w:rsidRDefault="009A4913" w:rsidP="00DD3A60">
      <w:pPr>
        <w:spacing w:line="360" w:lineRule="auto"/>
        <w:contextualSpacing/>
        <w:jc w:val="both"/>
        <w:rPr>
          <w:rFonts w:ascii="David" w:hAnsi="David"/>
          <w:rtl/>
        </w:rPr>
      </w:pPr>
      <w:r>
        <w:rPr>
          <w:rFonts w:ascii="David" w:hAnsi="David"/>
          <w:rtl/>
        </w:rPr>
        <w:t>עם זאת, משלא עתרה התביעה כאמור, ואף לא הגישה גזר הדין הקודם, להוכחת המאסר המותנה, במסגרת הראיות לעונש – לא יופעל המאסר המותנה.</w:t>
      </w:r>
    </w:p>
    <w:p w:rsidR="009A4913" w:rsidRDefault="009A4913" w:rsidP="00FF40B1">
      <w:pPr>
        <w:spacing w:line="360" w:lineRule="auto"/>
        <w:contextualSpacing/>
        <w:jc w:val="both"/>
        <w:rPr>
          <w:rFonts w:ascii="David" w:hAnsi="David"/>
          <w:rtl/>
        </w:rPr>
      </w:pPr>
    </w:p>
    <w:p w:rsidR="009A4913" w:rsidRDefault="009A4913" w:rsidP="00DD3A60">
      <w:pPr>
        <w:spacing w:line="360" w:lineRule="auto"/>
        <w:contextualSpacing/>
        <w:jc w:val="both"/>
        <w:rPr>
          <w:rFonts w:ascii="David" w:hAnsi="David"/>
          <w:rtl/>
        </w:rPr>
      </w:pPr>
      <w:r>
        <w:rPr>
          <w:rFonts w:ascii="David" w:hAnsi="David"/>
          <w:rtl/>
        </w:rPr>
        <w:t>מכלול הנתונים שהוצגו, לרבות העובדה, כי הנאשם נתפס, זמן לא רב לפני הסתבכותו בעבירה דנן, מחזיק נשק קר, נשפט, בין היתר, לעונש מאסר מותנה והדבר לא הרתיעו – מצביעים לכיוון ענישה, שאינה על הרף הנמוך של המתחם.</w:t>
      </w:r>
    </w:p>
    <w:p w:rsidR="009A4913" w:rsidRDefault="009A4913" w:rsidP="00FF40B1">
      <w:pPr>
        <w:spacing w:line="360" w:lineRule="auto"/>
        <w:contextualSpacing/>
        <w:jc w:val="both"/>
        <w:rPr>
          <w:rFonts w:ascii="David" w:hAnsi="David"/>
          <w:rtl/>
        </w:rPr>
      </w:pPr>
    </w:p>
    <w:p w:rsidR="009A4913" w:rsidRDefault="009A4913" w:rsidP="0051128F">
      <w:pPr>
        <w:spacing w:line="360" w:lineRule="auto"/>
        <w:contextualSpacing/>
        <w:jc w:val="both"/>
        <w:rPr>
          <w:rFonts w:ascii="David" w:hAnsi="David"/>
          <w:rtl/>
        </w:rPr>
      </w:pPr>
      <w:r>
        <w:rPr>
          <w:rFonts w:ascii="David" w:hAnsi="David"/>
          <w:rtl/>
        </w:rPr>
        <w:t>ברם, לנוכח נסיבותיו האישיות של הנאשם –ובעיקר -  גילו המבוגר; הפרטים שנמסרו בנוגע למצבו הבריאותי (על אף שלא בוססו בראיות) – וכן לנוכח הודאתו באשמה (אם גם לאחר שנמסרה, בתחילה, כפירה והתיק נקבע לשמיעת ראיות) – כמו גם, לאור התקופה בה שהה הנאשם בתנאים מגבילים (אם גם לא היתה הגבלה מלאה על תנועותיו במרבית הזמן) - לא ימצה בית המשפט עמו את הדין ועונשו יועמד על הצד הנמוך של המתחם.</w:t>
      </w:r>
    </w:p>
    <w:p w:rsidR="009A4913" w:rsidRDefault="009A4913" w:rsidP="0051128F">
      <w:pPr>
        <w:spacing w:line="360" w:lineRule="auto"/>
        <w:contextualSpacing/>
        <w:jc w:val="both"/>
        <w:rPr>
          <w:rFonts w:ascii="David" w:hAnsi="David"/>
          <w:rtl/>
        </w:rPr>
      </w:pPr>
    </w:p>
    <w:p w:rsidR="009A4913" w:rsidRDefault="009A4913" w:rsidP="00BD634C">
      <w:pPr>
        <w:spacing w:line="360" w:lineRule="auto"/>
        <w:contextualSpacing/>
        <w:jc w:val="both"/>
        <w:rPr>
          <w:rFonts w:ascii="David" w:hAnsi="David"/>
          <w:rtl/>
        </w:rPr>
      </w:pPr>
      <w:r>
        <w:rPr>
          <w:rFonts w:ascii="David" w:hAnsi="David"/>
          <w:rtl/>
        </w:rPr>
        <w:t>בנוסף, יושתו על הנאשם ענשי מאסר מותנה, הן בגין אחזקת נשק חם והן בגין אחזקת תחמושת או נשק שאינו נשק חם; וכן עיצום כספי מרתיע בדמות קנס, בין היתר לנוכח כך, שהנשק המדובר הוא נשק תקני, אוטומטי בעל שווי כספי לא מבוטל.</w:t>
      </w:r>
    </w:p>
    <w:p w:rsidR="009A4913" w:rsidRDefault="009A4913" w:rsidP="00BD634C">
      <w:pPr>
        <w:spacing w:line="360" w:lineRule="auto"/>
        <w:contextualSpacing/>
        <w:jc w:val="both"/>
        <w:rPr>
          <w:rFonts w:ascii="David" w:hAnsi="David"/>
          <w:rtl/>
        </w:rPr>
      </w:pPr>
    </w:p>
    <w:p w:rsidR="009A4913" w:rsidRDefault="009A4913" w:rsidP="007F7DD0">
      <w:pPr>
        <w:spacing w:line="360" w:lineRule="auto"/>
        <w:contextualSpacing/>
        <w:jc w:val="both"/>
        <w:rPr>
          <w:rFonts w:ascii="David" w:hAnsi="David"/>
          <w:rtl/>
        </w:rPr>
      </w:pPr>
      <w:r>
        <w:rPr>
          <w:rFonts w:ascii="David" w:hAnsi="David"/>
          <w:rtl/>
        </w:rPr>
        <w:t>סוף דבר, דן בית המשפט את הנאשם לענשים כדלקמן:</w:t>
      </w:r>
      <w:bookmarkStart w:id="10" w:name="_GoBack"/>
      <w:bookmarkEnd w:id="10"/>
    </w:p>
    <w:p w:rsidR="009A4913" w:rsidRDefault="009A4913" w:rsidP="00FF40B1">
      <w:pPr>
        <w:spacing w:line="360" w:lineRule="auto"/>
        <w:contextualSpacing/>
        <w:jc w:val="both"/>
        <w:rPr>
          <w:rFonts w:ascii="David" w:hAnsi="David"/>
          <w:rtl/>
        </w:rPr>
      </w:pPr>
    </w:p>
    <w:p w:rsidR="009A4913" w:rsidRDefault="009A4913" w:rsidP="00523292">
      <w:pPr>
        <w:numPr>
          <w:ilvl w:val="0"/>
          <w:numId w:val="21"/>
        </w:numPr>
        <w:spacing w:line="360" w:lineRule="auto"/>
        <w:jc w:val="both"/>
        <w:rPr>
          <w:rFonts w:ascii="David" w:hAnsi="David"/>
        </w:rPr>
      </w:pPr>
      <w:r>
        <w:rPr>
          <w:rFonts w:ascii="David" w:hAnsi="David"/>
          <w:rtl/>
        </w:rPr>
        <w:t>20 חדשי מאסר בפועל, בניכוי ימי מעצרו של הנאשם בתיק זה, על פי רישומי שב"ס;</w:t>
      </w:r>
    </w:p>
    <w:p w:rsidR="009A4913" w:rsidRDefault="009A4913" w:rsidP="004C0871">
      <w:pPr>
        <w:spacing w:line="360" w:lineRule="auto"/>
        <w:ind w:left="720"/>
        <w:jc w:val="both"/>
        <w:rPr>
          <w:rFonts w:ascii="David" w:hAnsi="David"/>
        </w:rPr>
      </w:pPr>
    </w:p>
    <w:p w:rsidR="009A4913" w:rsidRDefault="009A4913" w:rsidP="00523292">
      <w:pPr>
        <w:numPr>
          <w:ilvl w:val="0"/>
          <w:numId w:val="21"/>
        </w:numPr>
        <w:spacing w:line="360" w:lineRule="auto"/>
        <w:jc w:val="both"/>
        <w:rPr>
          <w:rFonts w:ascii="David" w:hAnsi="David"/>
          <w:rtl/>
        </w:rPr>
      </w:pPr>
      <w:r>
        <w:rPr>
          <w:rFonts w:ascii="David" w:hAnsi="David"/>
          <w:rtl/>
        </w:rPr>
        <w:t xml:space="preserve"> 12 חדשי מאסר על תנאי למשך 3 שנים מיום שחרורו של הנאשם ממאסרו, שהנאשם לא יעבור עבירה בניגוד ל</w:t>
      </w:r>
      <w:hyperlink r:id="rId34" w:history="1">
        <w:r w:rsidR="007E3760" w:rsidRPr="007E3760">
          <w:rPr>
            <w:rFonts w:ascii="David" w:hAnsi="David"/>
            <w:color w:val="0000FF"/>
            <w:u w:val="single"/>
            <w:rtl/>
          </w:rPr>
          <w:t>חוק העונשין</w:t>
        </w:r>
      </w:hyperlink>
      <w:r>
        <w:rPr>
          <w:rFonts w:ascii="David" w:hAnsi="David"/>
          <w:rtl/>
        </w:rPr>
        <w:t xml:space="preserve">, תשל"ז-1977, </w:t>
      </w:r>
      <w:hyperlink r:id="rId35" w:history="1">
        <w:r w:rsidR="00084A40" w:rsidRPr="00084A40">
          <w:rPr>
            <w:rFonts w:ascii="David" w:hAnsi="David"/>
            <w:color w:val="0000FF"/>
            <w:u w:val="single"/>
            <w:rtl/>
          </w:rPr>
          <w:t>פרק ח' סימן</w:t>
        </w:r>
      </w:hyperlink>
      <w:r>
        <w:rPr>
          <w:rFonts w:ascii="David" w:hAnsi="David"/>
          <w:rtl/>
        </w:rPr>
        <w:t xml:space="preserve"> א', למעט עבירה בניגוד </w:t>
      </w:r>
      <w:hyperlink r:id="rId36" w:history="1">
        <w:r w:rsidR="00084A40" w:rsidRPr="00084A40">
          <w:rPr>
            <w:rFonts w:ascii="David" w:hAnsi="David"/>
            <w:color w:val="0000FF"/>
            <w:u w:val="single"/>
            <w:rtl/>
          </w:rPr>
          <w:t>לסעיף 144(א)</w:t>
        </w:r>
      </w:hyperlink>
      <w:r>
        <w:rPr>
          <w:rFonts w:ascii="David" w:hAnsi="David"/>
          <w:rtl/>
        </w:rPr>
        <w:t xml:space="preserve"> סיפא לאותו חוק;</w:t>
      </w:r>
    </w:p>
    <w:p w:rsidR="009A4913" w:rsidRDefault="009A4913" w:rsidP="00523292">
      <w:pPr>
        <w:spacing w:line="360" w:lineRule="auto"/>
        <w:jc w:val="both"/>
        <w:rPr>
          <w:rFonts w:ascii="David" w:hAnsi="David"/>
        </w:rPr>
      </w:pPr>
    </w:p>
    <w:p w:rsidR="009A4913" w:rsidRDefault="009A4913" w:rsidP="00523292">
      <w:pPr>
        <w:numPr>
          <w:ilvl w:val="0"/>
          <w:numId w:val="21"/>
        </w:numPr>
        <w:spacing w:line="360" w:lineRule="auto"/>
        <w:jc w:val="both"/>
        <w:rPr>
          <w:rFonts w:ascii="David" w:hAnsi="David"/>
          <w:rtl/>
        </w:rPr>
      </w:pPr>
      <w:r>
        <w:rPr>
          <w:rFonts w:ascii="David" w:hAnsi="David"/>
          <w:rtl/>
        </w:rPr>
        <w:t>6 חדשי מאסר על תנאי למשך 3 שנים מיום שחרורו של הנאשם ממאסרו, שהנאשם לא יעבור עבירה בניגוד ל</w:t>
      </w:r>
      <w:hyperlink r:id="rId37" w:history="1">
        <w:r w:rsidR="007E3760" w:rsidRPr="007E3760">
          <w:rPr>
            <w:rFonts w:ascii="David" w:hAnsi="David"/>
            <w:color w:val="0000FF"/>
            <w:u w:val="single"/>
            <w:rtl/>
          </w:rPr>
          <w:t>חוק העונשין</w:t>
        </w:r>
      </w:hyperlink>
      <w:r>
        <w:rPr>
          <w:rFonts w:ascii="David" w:hAnsi="David"/>
          <w:rtl/>
        </w:rPr>
        <w:t xml:space="preserve">, תשל"ז-1977, </w:t>
      </w:r>
      <w:hyperlink r:id="rId38" w:history="1">
        <w:r w:rsidR="00084A40" w:rsidRPr="00084A40">
          <w:rPr>
            <w:rFonts w:ascii="David" w:hAnsi="David"/>
            <w:color w:val="0000FF"/>
            <w:u w:val="single"/>
            <w:rtl/>
          </w:rPr>
          <w:t>סעיף 144(א)</w:t>
        </w:r>
      </w:hyperlink>
      <w:r>
        <w:rPr>
          <w:rFonts w:ascii="David" w:hAnsi="David"/>
          <w:rtl/>
        </w:rPr>
        <w:t xml:space="preserve"> סיפא או </w:t>
      </w:r>
      <w:hyperlink r:id="rId39" w:history="1">
        <w:r w:rsidR="00084A40" w:rsidRPr="00084A40">
          <w:rPr>
            <w:rFonts w:ascii="David" w:hAnsi="David"/>
            <w:color w:val="0000FF"/>
            <w:u w:val="single"/>
            <w:rtl/>
          </w:rPr>
          <w:t>סעיף 186</w:t>
        </w:r>
      </w:hyperlink>
      <w:r>
        <w:rPr>
          <w:rFonts w:ascii="David" w:hAnsi="David"/>
          <w:rtl/>
        </w:rPr>
        <w:t>;</w:t>
      </w:r>
    </w:p>
    <w:p w:rsidR="009A4913" w:rsidRDefault="009A4913" w:rsidP="00523292">
      <w:pPr>
        <w:spacing w:line="360" w:lineRule="auto"/>
        <w:jc w:val="both"/>
        <w:rPr>
          <w:rFonts w:ascii="David" w:hAnsi="David"/>
          <w:rtl/>
        </w:rPr>
      </w:pPr>
    </w:p>
    <w:p w:rsidR="009A4913" w:rsidRDefault="009A4913" w:rsidP="00A02640">
      <w:pPr>
        <w:numPr>
          <w:ilvl w:val="0"/>
          <w:numId w:val="21"/>
        </w:numPr>
        <w:spacing w:line="360" w:lineRule="auto"/>
        <w:jc w:val="both"/>
        <w:rPr>
          <w:rFonts w:ascii="David" w:hAnsi="David"/>
          <w:rtl/>
        </w:rPr>
      </w:pPr>
      <w:r>
        <w:rPr>
          <w:rFonts w:ascii="David" w:hAnsi="David"/>
          <w:rtl/>
        </w:rPr>
        <w:t>קנס בסך 25,000 ₪ או 90 ימי מאסר תמורתו. הקנס ישולם עד ליום 15.01.20.</w:t>
      </w:r>
    </w:p>
    <w:p w:rsidR="009A4913" w:rsidRDefault="009A4913" w:rsidP="00523292">
      <w:pPr>
        <w:spacing w:line="360" w:lineRule="auto"/>
        <w:jc w:val="both"/>
        <w:rPr>
          <w:rFonts w:ascii="David" w:hAnsi="David"/>
          <w:rtl/>
        </w:rPr>
      </w:pPr>
    </w:p>
    <w:p w:rsidR="009A4913" w:rsidRDefault="009A4913" w:rsidP="00CE5465">
      <w:pPr>
        <w:spacing w:line="360" w:lineRule="auto"/>
        <w:jc w:val="both"/>
        <w:rPr>
          <w:rFonts w:ascii="David" w:hAnsi="David"/>
          <w:rtl/>
        </w:rPr>
      </w:pPr>
      <w:r>
        <w:rPr>
          <w:rFonts w:ascii="David" w:hAnsi="David"/>
          <w:rtl/>
        </w:rPr>
        <w:t xml:space="preserve">ככל שלא תוגש בקשה אחרת מטעם מי מהצדדים בתוך 45 ימים, יחולטו המוצגים בתיק החקירה, לרבות כלי הנשק והתחמושת נושא כתב האישום. </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r>
        <w:rPr>
          <w:rFonts w:ascii="David" w:hAnsi="David"/>
          <w:rtl/>
        </w:rPr>
        <w:t>הנאשם יתייצב לריצוי עונשו כעת.</w:t>
      </w:r>
    </w:p>
    <w:p w:rsidR="009A4913" w:rsidRDefault="009A4913" w:rsidP="00523292">
      <w:pPr>
        <w:spacing w:line="360" w:lineRule="auto"/>
        <w:jc w:val="both"/>
        <w:rPr>
          <w:rFonts w:ascii="David" w:hAnsi="David"/>
          <w:rtl/>
        </w:rPr>
      </w:pPr>
    </w:p>
    <w:p w:rsidR="009A4913" w:rsidRDefault="009A4913" w:rsidP="00523292">
      <w:pPr>
        <w:spacing w:line="360" w:lineRule="auto"/>
        <w:jc w:val="both"/>
        <w:rPr>
          <w:rFonts w:ascii="David" w:hAnsi="David"/>
          <w:rtl/>
        </w:rPr>
      </w:pPr>
      <w:r>
        <w:rPr>
          <w:rFonts w:ascii="David" w:hAnsi="David"/>
          <w:rtl/>
        </w:rPr>
        <w:t>עותק ההחלטה יועבר לשירות המבחן למבוגרים.</w:t>
      </w:r>
    </w:p>
    <w:p w:rsidR="009A4913" w:rsidRDefault="009A4913" w:rsidP="00523292">
      <w:pPr>
        <w:rPr>
          <w:rFonts w:cs="Times New Roman"/>
          <w:sz w:val="22"/>
          <w:szCs w:val="22"/>
          <w:rtl/>
        </w:rPr>
      </w:pPr>
    </w:p>
    <w:p w:rsidR="009A4913" w:rsidRDefault="009A4913" w:rsidP="00523292">
      <w:pPr>
        <w:rPr>
          <w:rFonts w:cs="Times New Roman"/>
          <w:sz w:val="22"/>
          <w:szCs w:val="22"/>
          <w:rtl/>
        </w:rPr>
      </w:pPr>
    </w:p>
    <w:p w:rsidR="009A4913" w:rsidRDefault="009A4913" w:rsidP="00523292">
      <w:pPr>
        <w:rPr>
          <w:rFonts w:cs="Times New Roman"/>
          <w:sz w:val="22"/>
          <w:szCs w:val="22"/>
          <w:rtl/>
        </w:rPr>
      </w:pPr>
    </w:p>
    <w:p w:rsidR="009A4913" w:rsidRDefault="009A4913">
      <w:pPr>
        <w:spacing w:line="360" w:lineRule="auto"/>
        <w:jc w:val="both"/>
        <w:rPr>
          <w:rFonts w:ascii="Arial" w:hAnsi="Arial"/>
          <w:rtl/>
        </w:rPr>
      </w:pPr>
      <w:r>
        <w:rPr>
          <w:rFonts w:ascii="Arial" w:hAnsi="Arial"/>
          <w:rtl/>
        </w:rPr>
        <w:t xml:space="preserve">הודעה זכות הערעור. </w:t>
      </w:r>
    </w:p>
    <w:p w:rsidR="009A4913" w:rsidRPr="007E3760" w:rsidRDefault="007E3760">
      <w:pPr>
        <w:spacing w:line="360" w:lineRule="auto"/>
        <w:jc w:val="both"/>
        <w:rPr>
          <w:rFonts w:ascii="Arial" w:hAnsi="Arial"/>
          <w:color w:val="FFFFFF"/>
          <w:sz w:val="2"/>
          <w:szCs w:val="2"/>
          <w:rtl/>
        </w:rPr>
      </w:pPr>
      <w:r w:rsidRPr="007E3760">
        <w:rPr>
          <w:rFonts w:ascii="Arial" w:hAnsi="Arial"/>
          <w:color w:val="FFFFFF"/>
          <w:sz w:val="2"/>
          <w:szCs w:val="2"/>
          <w:rtl/>
        </w:rPr>
        <w:t>5129371</w:t>
      </w:r>
    </w:p>
    <w:p w:rsidR="009A4913" w:rsidRPr="007E3760" w:rsidRDefault="007E3760">
      <w:pPr>
        <w:spacing w:line="360" w:lineRule="auto"/>
        <w:jc w:val="both"/>
        <w:rPr>
          <w:rFonts w:ascii="Arial" w:hAnsi="Arial"/>
          <w:color w:val="FFFFFF"/>
          <w:sz w:val="2"/>
          <w:szCs w:val="2"/>
          <w:rtl/>
        </w:rPr>
      </w:pPr>
      <w:r w:rsidRPr="007E3760">
        <w:rPr>
          <w:rFonts w:ascii="Arial" w:hAnsi="Arial"/>
          <w:color w:val="FFFFFF"/>
          <w:sz w:val="2"/>
          <w:szCs w:val="2"/>
          <w:rtl/>
        </w:rPr>
        <w:t>54678313</w:t>
      </w:r>
    </w:p>
    <w:p w:rsidR="009A4913" w:rsidRDefault="009A4913">
      <w:pPr>
        <w:spacing w:line="360" w:lineRule="auto"/>
        <w:jc w:val="both"/>
        <w:rPr>
          <w:rFonts w:ascii="Arial" w:hAnsi="Arial"/>
          <w:rtl/>
        </w:rPr>
      </w:pPr>
    </w:p>
    <w:p w:rsidR="009A4913" w:rsidRDefault="009A4913">
      <w:pPr>
        <w:spacing w:line="360" w:lineRule="auto"/>
        <w:jc w:val="both"/>
        <w:rPr>
          <w:rFonts w:ascii="Arial" w:hAnsi="Arial"/>
          <w:rtl/>
        </w:rPr>
      </w:pPr>
    </w:p>
    <w:p w:rsidR="009A4913" w:rsidRPr="0010148F" w:rsidRDefault="007E3760">
      <w:pPr>
        <w:spacing w:line="360" w:lineRule="auto"/>
        <w:jc w:val="both"/>
        <w:rPr>
          <w:rFonts w:ascii="Arial" w:hAnsi="Arial"/>
          <w:b/>
          <w:bCs/>
          <w:rtl/>
        </w:rPr>
      </w:pPr>
      <w:bookmarkStart w:id="11" w:name="Nitan"/>
      <w:r w:rsidRPr="0010148F">
        <w:rPr>
          <w:rFonts w:ascii="Arial" w:hAnsi="Arial"/>
          <w:b/>
          <w:bCs/>
          <w:rtl/>
        </w:rPr>
        <w:t xml:space="preserve">ניתנה היום, כ"ט תשרי תש"פ, 28 אוקטובר 2019, במעמד הצדדים. </w:t>
      </w:r>
      <w:bookmarkEnd w:id="11"/>
    </w:p>
    <w:p w:rsidR="009A4913" w:rsidRPr="0010148F" w:rsidRDefault="0010148F" w:rsidP="00FD1419">
      <w:pPr>
        <w:spacing w:line="360" w:lineRule="auto"/>
        <w:ind w:left="3600" w:firstLine="720"/>
        <w:jc w:val="center"/>
        <w:rPr>
          <w:color w:val="FFFFFF"/>
          <w:sz w:val="2"/>
          <w:szCs w:val="2"/>
        </w:rPr>
      </w:pPr>
      <w:r w:rsidRPr="0010148F">
        <w:rPr>
          <w:color w:val="FFFFFF"/>
          <w:sz w:val="2"/>
          <w:szCs w:val="2"/>
          <w:rtl/>
        </w:rPr>
        <w:t>5129371</w:t>
      </w:r>
    </w:p>
    <w:p w:rsidR="009A4913" w:rsidRPr="0010148F" w:rsidRDefault="0010148F" w:rsidP="007E3760">
      <w:pPr>
        <w:keepNext/>
        <w:spacing w:line="360" w:lineRule="auto"/>
        <w:rPr>
          <w:rFonts w:ascii="David" w:hAnsi="David" w:hint="cs"/>
          <w:color w:val="FFFFFF"/>
          <w:sz w:val="2"/>
          <w:szCs w:val="2"/>
          <w:rtl/>
        </w:rPr>
      </w:pPr>
      <w:r w:rsidRPr="0010148F">
        <w:rPr>
          <w:rFonts w:ascii="David" w:hAnsi="David"/>
          <w:color w:val="FFFFFF"/>
          <w:sz w:val="2"/>
          <w:szCs w:val="2"/>
          <w:rtl/>
        </w:rPr>
        <w:t>54678313</w:t>
      </w:r>
    </w:p>
    <w:p w:rsidR="007E3760" w:rsidRPr="007E3760" w:rsidRDefault="007E3760" w:rsidP="007E3760">
      <w:pPr>
        <w:keepNext/>
        <w:spacing w:line="360" w:lineRule="auto"/>
        <w:rPr>
          <w:rFonts w:ascii="David" w:hAnsi="David"/>
          <w:color w:val="000000"/>
          <w:sz w:val="22"/>
          <w:szCs w:val="22"/>
          <w:rtl/>
        </w:rPr>
      </w:pPr>
      <w:r w:rsidRPr="007E3760">
        <w:rPr>
          <w:rFonts w:ascii="David" w:hAnsi="David"/>
          <w:color w:val="000000"/>
          <w:sz w:val="22"/>
          <w:szCs w:val="22"/>
          <w:rtl/>
        </w:rPr>
        <w:t>רון סולקין 54678313</w:t>
      </w:r>
    </w:p>
    <w:p w:rsidR="007E3760" w:rsidRDefault="007E3760" w:rsidP="0010148F">
      <w:pPr>
        <w:spacing w:line="360" w:lineRule="auto"/>
        <w:rPr>
          <w:rFonts w:ascii="Arial" w:hAnsi="Arial"/>
          <w:rtl/>
        </w:rPr>
      </w:pPr>
      <w:r w:rsidRPr="007E3760">
        <w:rPr>
          <w:rFonts w:ascii="Arial" w:hAnsi="Arial"/>
          <w:color w:val="000000"/>
          <w:rtl/>
        </w:rPr>
        <w:t>נוסח מסמך זה כפוף לשינויי ניסוח ועריכה</w:t>
      </w:r>
    </w:p>
    <w:p w:rsidR="007E3760" w:rsidRDefault="007E3760" w:rsidP="007E3760">
      <w:pPr>
        <w:spacing w:line="360" w:lineRule="auto"/>
        <w:ind w:left="3600" w:firstLine="720"/>
        <w:rPr>
          <w:rFonts w:ascii="Arial" w:hAnsi="Arial"/>
          <w:rtl/>
        </w:rPr>
      </w:pPr>
    </w:p>
    <w:p w:rsidR="007E3760" w:rsidRDefault="007E3760" w:rsidP="0010148F">
      <w:pPr>
        <w:spacing w:line="360" w:lineRule="auto"/>
        <w:ind w:left="720"/>
        <w:rPr>
          <w:rFonts w:ascii="Arial" w:hAnsi="Arial"/>
          <w:color w:val="0000FF"/>
          <w:u w:val="single"/>
          <w:rtl/>
        </w:rPr>
      </w:pPr>
      <w:hyperlink r:id="rId40" w:history="1">
        <w:r>
          <w:rPr>
            <w:rFonts w:ascii="Arial" w:hAnsi="Arial"/>
            <w:color w:val="0000FF"/>
            <w:u w:val="single"/>
            <w:rtl/>
          </w:rPr>
          <w:t>בעניין עריכה ושינויים במסמכי פסיקה, חקיקה ועוד באתר נבו – הקש כאן</w:t>
        </w:r>
      </w:hyperlink>
    </w:p>
    <w:p w:rsidR="0010148F" w:rsidRPr="0010148F" w:rsidRDefault="0010148F" w:rsidP="0010148F">
      <w:pPr>
        <w:keepNext/>
        <w:spacing w:line="360" w:lineRule="auto"/>
        <w:rPr>
          <w:rFonts w:ascii="David" w:hAnsi="David" w:hint="cs"/>
          <w:color w:val="000000"/>
          <w:sz w:val="22"/>
          <w:szCs w:val="22"/>
          <w:rtl/>
        </w:rPr>
      </w:pPr>
    </w:p>
    <w:sectPr w:rsidR="0010148F" w:rsidRPr="0010148F" w:rsidSect="0010148F">
      <w:headerReference w:type="even" r:id="rId41"/>
      <w:headerReference w:type="default" r:id="rId42"/>
      <w:footerReference w:type="even" r:id="rId43"/>
      <w:footerReference w:type="default" r:id="rId44"/>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7C4" w:rsidRDefault="001E77C4">
      <w:r>
        <w:separator/>
      </w:r>
    </w:p>
  </w:endnote>
  <w:endnote w:type="continuationSeparator" w:id="0">
    <w:p w:rsidR="001E77C4" w:rsidRDefault="001E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48F" w:rsidRDefault="0010148F" w:rsidP="0010148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7E3760" w:rsidRPr="0010148F" w:rsidRDefault="0010148F" w:rsidP="0010148F">
    <w:pPr>
      <w:pStyle w:val="a6"/>
      <w:pBdr>
        <w:top w:val="single" w:sz="4" w:space="1" w:color="auto"/>
        <w:between w:val="single" w:sz="4" w:space="0" w:color="auto"/>
      </w:pBdr>
      <w:spacing w:after="60"/>
      <w:jc w:val="center"/>
      <w:rPr>
        <w:rFonts w:ascii="FrankRuehl" w:hAnsi="FrankRuehl" w:cs="FrankRuehl"/>
        <w:color w:val="000000"/>
      </w:rPr>
    </w:pPr>
    <w:r w:rsidRPr="001014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148F" w:rsidRDefault="0010148F" w:rsidP="0010148F">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PAGE</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D03AA9">
      <w:rPr>
        <w:rStyle w:val="ae"/>
        <w:rFonts w:ascii="FrankRuehl" w:hAnsi="FrankRuehl" w:cs="FrankRuehl"/>
        <w:noProof/>
        <w:rtl/>
      </w:rPr>
      <w:t>1</w:t>
    </w:r>
    <w:r>
      <w:rPr>
        <w:rStyle w:val="ae"/>
        <w:rFonts w:ascii="FrankRuehl" w:hAnsi="FrankRuehl" w:cs="FrankRuehl"/>
        <w:rtl/>
      </w:rPr>
      <w:fldChar w:fldCharType="end"/>
    </w:r>
  </w:p>
  <w:p w:rsidR="009A4913" w:rsidRPr="0010148F" w:rsidRDefault="0010148F" w:rsidP="0010148F">
    <w:pPr>
      <w:pStyle w:val="a6"/>
      <w:pBdr>
        <w:top w:val="single" w:sz="4" w:space="1" w:color="auto"/>
        <w:between w:val="single" w:sz="4" w:space="0" w:color="auto"/>
      </w:pBdr>
      <w:spacing w:after="60"/>
      <w:jc w:val="center"/>
      <w:rPr>
        <w:rStyle w:val="ae"/>
        <w:rFonts w:ascii="FrankRuehl" w:hAnsi="FrankRuehl" w:cs="FrankRuehl" w:hint="cs"/>
        <w:color w:val="000000"/>
        <w:rtl/>
      </w:rPr>
    </w:pPr>
    <w:r w:rsidRPr="0010148F">
      <w:rPr>
        <w:rStyle w:val="ae"/>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7C4" w:rsidRDefault="001E77C4">
      <w:r>
        <w:separator/>
      </w:r>
    </w:p>
  </w:footnote>
  <w:footnote w:type="continuationSeparator" w:id="0">
    <w:p w:rsidR="001E77C4" w:rsidRDefault="001E7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760" w:rsidRPr="0010148F" w:rsidRDefault="0010148F" w:rsidP="001014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19242-04-17</w:t>
    </w:r>
    <w:r>
      <w:rPr>
        <w:rFonts w:ascii="David" w:hAnsi="David"/>
        <w:color w:val="000000"/>
        <w:sz w:val="22"/>
        <w:szCs w:val="22"/>
        <w:rtl/>
      </w:rPr>
      <w:tab/>
      <w:t xml:space="preserve"> מדינת ישראל נ' חליל בן סלימאן אלבלוי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4913" w:rsidRPr="0010148F" w:rsidRDefault="0010148F" w:rsidP="001014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19242-04-17</w:t>
    </w:r>
    <w:r>
      <w:rPr>
        <w:rFonts w:ascii="David" w:hAnsi="David"/>
        <w:color w:val="000000"/>
        <w:sz w:val="22"/>
        <w:szCs w:val="22"/>
        <w:rtl/>
      </w:rPr>
      <w:tab/>
      <w:t xml:space="preserve"> מדינת ישראל נ' חליל בן סלימאן אלבלוי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92992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C146F2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0722642"/>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F6862932"/>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D2D030D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6C10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4E79D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F408E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FE90A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4B322E9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6AE63666"/>
    <w:multiLevelType w:val="hybridMultilevel"/>
    <w:tmpl w:val="92BA6C46"/>
    <w:lvl w:ilvl="0" w:tplc="D9786422">
      <w:start w:val="1"/>
      <w:numFmt w:val="hebrew1"/>
      <w:lvlText w:val="%1."/>
      <w:lvlJc w:val="left"/>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77392279">
    <w:abstractNumId w:val="8"/>
  </w:num>
  <w:num w:numId="2" w16cid:durableId="1282885678">
    <w:abstractNumId w:val="3"/>
  </w:num>
  <w:num w:numId="3" w16cid:durableId="1480266140">
    <w:abstractNumId w:val="2"/>
  </w:num>
  <w:num w:numId="4" w16cid:durableId="894050829">
    <w:abstractNumId w:val="1"/>
  </w:num>
  <w:num w:numId="5" w16cid:durableId="1960453741">
    <w:abstractNumId w:val="0"/>
  </w:num>
  <w:num w:numId="6" w16cid:durableId="1307129842">
    <w:abstractNumId w:val="9"/>
  </w:num>
  <w:num w:numId="7" w16cid:durableId="213543536">
    <w:abstractNumId w:val="7"/>
  </w:num>
  <w:num w:numId="8" w16cid:durableId="146434530">
    <w:abstractNumId w:val="6"/>
  </w:num>
  <w:num w:numId="9" w16cid:durableId="1661621584">
    <w:abstractNumId w:val="5"/>
  </w:num>
  <w:num w:numId="10" w16cid:durableId="941574172">
    <w:abstractNumId w:val="4"/>
  </w:num>
  <w:num w:numId="11" w16cid:durableId="403458874">
    <w:abstractNumId w:val="8"/>
  </w:num>
  <w:num w:numId="12" w16cid:durableId="761413316">
    <w:abstractNumId w:val="3"/>
  </w:num>
  <w:num w:numId="13" w16cid:durableId="607930639">
    <w:abstractNumId w:val="2"/>
  </w:num>
  <w:num w:numId="14" w16cid:durableId="227427085">
    <w:abstractNumId w:val="1"/>
  </w:num>
  <w:num w:numId="15" w16cid:durableId="254172698">
    <w:abstractNumId w:val="0"/>
  </w:num>
  <w:num w:numId="16" w16cid:durableId="1388994233">
    <w:abstractNumId w:val="9"/>
  </w:num>
  <w:num w:numId="17" w16cid:durableId="836383345">
    <w:abstractNumId w:val="7"/>
  </w:num>
  <w:num w:numId="18" w16cid:durableId="1417242292">
    <w:abstractNumId w:val="6"/>
  </w:num>
  <w:num w:numId="19" w16cid:durableId="1442527351">
    <w:abstractNumId w:val="5"/>
  </w:num>
  <w:num w:numId="20" w16cid:durableId="1808208308">
    <w:abstractNumId w:val="4"/>
  </w:num>
  <w:num w:numId="21" w16cid:durableId="1498695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06255"/>
    <w:rsid w:val="00006318"/>
    <w:rsid w:val="00042BE7"/>
    <w:rsid w:val="00045169"/>
    <w:rsid w:val="000529C0"/>
    <w:rsid w:val="000564AB"/>
    <w:rsid w:val="00056816"/>
    <w:rsid w:val="00061AD2"/>
    <w:rsid w:val="00064FBD"/>
    <w:rsid w:val="00082AB2"/>
    <w:rsid w:val="00084A40"/>
    <w:rsid w:val="00085570"/>
    <w:rsid w:val="000860A3"/>
    <w:rsid w:val="00096AF7"/>
    <w:rsid w:val="000B344B"/>
    <w:rsid w:val="000B63AD"/>
    <w:rsid w:val="000C0EB7"/>
    <w:rsid w:val="000C3B0F"/>
    <w:rsid w:val="000E3AF1"/>
    <w:rsid w:val="000F0BC8"/>
    <w:rsid w:val="000F4568"/>
    <w:rsid w:val="0010148F"/>
    <w:rsid w:val="00107E6D"/>
    <w:rsid w:val="0011194C"/>
    <w:rsid w:val="0011424C"/>
    <w:rsid w:val="00116521"/>
    <w:rsid w:val="00121805"/>
    <w:rsid w:val="001367BC"/>
    <w:rsid w:val="001433D7"/>
    <w:rsid w:val="00144D2A"/>
    <w:rsid w:val="0014653E"/>
    <w:rsid w:val="00147ADB"/>
    <w:rsid w:val="001759D5"/>
    <w:rsid w:val="00180519"/>
    <w:rsid w:val="001A31EB"/>
    <w:rsid w:val="001C4003"/>
    <w:rsid w:val="001D4DBF"/>
    <w:rsid w:val="001E77C4"/>
    <w:rsid w:val="002265FF"/>
    <w:rsid w:val="00226A3A"/>
    <w:rsid w:val="0029768B"/>
    <w:rsid w:val="002C344E"/>
    <w:rsid w:val="00307A6A"/>
    <w:rsid w:val="00307C40"/>
    <w:rsid w:val="00320433"/>
    <w:rsid w:val="0033597A"/>
    <w:rsid w:val="00354E9B"/>
    <w:rsid w:val="00362612"/>
    <w:rsid w:val="0036743F"/>
    <w:rsid w:val="003715DD"/>
    <w:rsid w:val="003823E0"/>
    <w:rsid w:val="00386342"/>
    <w:rsid w:val="003A4521"/>
    <w:rsid w:val="003B2B9A"/>
    <w:rsid w:val="0040096C"/>
    <w:rsid w:val="0041253A"/>
    <w:rsid w:val="00426584"/>
    <w:rsid w:val="0043125D"/>
    <w:rsid w:val="0043502B"/>
    <w:rsid w:val="004818A3"/>
    <w:rsid w:val="004C0871"/>
    <w:rsid w:val="004C4BDF"/>
    <w:rsid w:val="004D1187"/>
    <w:rsid w:val="004D28C5"/>
    <w:rsid w:val="004E1987"/>
    <w:rsid w:val="004E2AA1"/>
    <w:rsid w:val="004E6E3C"/>
    <w:rsid w:val="004F759B"/>
    <w:rsid w:val="0051128F"/>
    <w:rsid w:val="00520898"/>
    <w:rsid w:val="00523292"/>
    <w:rsid w:val="005268F6"/>
    <w:rsid w:val="00527DA7"/>
    <w:rsid w:val="00547DB7"/>
    <w:rsid w:val="005809C1"/>
    <w:rsid w:val="005B2126"/>
    <w:rsid w:val="005D145E"/>
    <w:rsid w:val="0061431B"/>
    <w:rsid w:val="00617F26"/>
    <w:rsid w:val="00622BAA"/>
    <w:rsid w:val="006306CF"/>
    <w:rsid w:val="00635BB0"/>
    <w:rsid w:val="0064285C"/>
    <w:rsid w:val="00660673"/>
    <w:rsid w:val="00671BD5"/>
    <w:rsid w:val="006805C1"/>
    <w:rsid w:val="00686C21"/>
    <w:rsid w:val="006931C1"/>
    <w:rsid w:val="00694556"/>
    <w:rsid w:val="006D3B31"/>
    <w:rsid w:val="006E1A53"/>
    <w:rsid w:val="00704EDA"/>
    <w:rsid w:val="00747971"/>
    <w:rsid w:val="00753019"/>
    <w:rsid w:val="007629D2"/>
    <w:rsid w:val="00795365"/>
    <w:rsid w:val="007B6EA0"/>
    <w:rsid w:val="007E3760"/>
    <w:rsid w:val="007E6115"/>
    <w:rsid w:val="007F4609"/>
    <w:rsid w:val="007F7DD0"/>
    <w:rsid w:val="008176A1"/>
    <w:rsid w:val="00820005"/>
    <w:rsid w:val="00836E92"/>
    <w:rsid w:val="00844318"/>
    <w:rsid w:val="00861CE2"/>
    <w:rsid w:val="00873F6F"/>
    <w:rsid w:val="00875D12"/>
    <w:rsid w:val="00890984"/>
    <w:rsid w:val="00896889"/>
    <w:rsid w:val="008B232E"/>
    <w:rsid w:val="008C15A1"/>
    <w:rsid w:val="008C5714"/>
    <w:rsid w:val="008D10B2"/>
    <w:rsid w:val="00903896"/>
    <w:rsid w:val="00906F3D"/>
    <w:rsid w:val="00911235"/>
    <w:rsid w:val="00926709"/>
    <w:rsid w:val="00940475"/>
    <w:rsid w:val="009659F1"/>
    <w:rsid w:val="00967DFF"/>
    <w:rsid w:val="009742FD"/>
    <w:rsid w:val="0099407D"/>
    <w:rsid w:val="00994341"/>
    <w:rsid w:val="009965B6"/>
    <w:rsid w:val="009A244F"/>
    <w:rsid w:val="009A4913"/>
    <w:rsid w:val="009F323C"/>
    <w:rsid w:val="00A02640"/>
    <w:rsid w:val="00A3392B"/>
    <w:rsid w:val="00A86AAB"/>
    <w:rsid w:val="00A94B64"/>
    <w:rsid w:val="00A96AD7"/>
    <w:rsid w:val="00AA3229"/>
    <w:rsid w:val="00AA7596"/>
    <w:rsid w:val="00AC3B7B"/>
    <w:rsid w:val="00AC44FF"/>
    <w:rsid w:val="00AC4D3C"/>
    <w:rsid w:val="00AC5209"/>
    <w:rsid w:val="00AD69E4"/>
    <w:rsid w:val="00AE7752"/>
    <w:rsid w:val="00AF7FDA"/>
    <w:rsid w:val="00B0514B"/>
    <w:rsid w:val="00B80CBD"/>
    <w:rsid w:val="00B86096"/>
    <w:rsid w:val="00B90DE7"/>
    <w:rsid w:val="00B91089"/>
    <w:rsid w:val="00BA517C"/>
    <w:rsid w:val="00BB3D05"/>
    <w:rsid w:val="00BB73BE"/>
    <w:rsid w:val="00BD634C"/>
    <w:rsid w:val="00BF1908"/>
    <w:rsid w:val="00BF6F39"/>
    <w:rsid w:val="00C22D93"/>
    <w:rsid w:val="00C304E9"/>
    <w:rsid w:val="00C34482"/>
    <w:rsid w:val="00C50A9F"/>
    <w:rsid w:val="00C642FA"/>
    <w:rsid w:val="00CC7622"/>
    <w:rsid w:val="00CE4833"/>
    <w:rsid w:val="00CE5465"/>
    <w:rsid w:val="00CE5761"/>
    <w:rsid w:val="00D03AA9"/>
    <w:rsid w:val="00D15344"/>
    <w:rsid w:val="00D27982"/>
    <w:rsid w:val="00D33B86"/>
    <w:rsid w:val="00D47214"/>
    <w:rsid w:val="00D53924"/>
    <w:rsid w:val="00D55D0C"/>
    <w:rsid w:val="00D96D8C"/>
    <w:rsid w:val="00DA6649"/>
    <w:rsid w:val="00DA6FD1"/>
    <w:rsid w:val="00DB4738"/>
    <w:rsid w:val="00DC2571"/>
    <w:rsid w:val="00DC487C"/>
    <w:rsid w:val="00DD3A60"/>
    <w:rsid w:val="00DE61F3"/>
    <w:rsid w:val="00DF6C5C"/>
    <w:rsid w:val="00E1427E"/>
    <w:rsid w:val="00E1644B"/>
    <w:rsid w:val="00E25884"/>
    <w:rsid w:val="00E5426A"/>
    <w:rsid w:val="00E54642"/>
    <w:rsid w:val="00EB65D1"/>
    <w:rsid w:val="00EC37E9"/>
    <w:rsid w:val="00EF46DC"/>
    <w:rsid w:val="00F13623"/>
    <w:rsid w:val="00F528C0"/>
    <w:rsid w:val="00F54DC4"/>
    <w:rsid w:val="00F573F2"/>
    <w:rsid w:val="00F64D3C"/>
    <w:rsid w:val="00F6532D"/>
    <w:rsid w:val="00F84326"/>
    <w:rsid w:val="00F84B6D"/>
    <w:rsid w:val="00FA77A2"/>
    <w:rsid w:val="00FB610A"/>
    <w:rsid w:val="00FD1419"/>
    <w:rsid w:val="00FD4989"/>
    <w:rsid w:val="00FD79E4"/>
    <w:rsid w:val="00FE2894"/>
    <w:rsid w:val="00FF40B1"/>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5AA239F-D725-447E-B0F6-009FFE6F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4F759B"/>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4F759B"/>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4F759B"/>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4F759B"/>
    <w:pPr>
      <w:keepNext/>
      <w:keepLines/>
      <w:spacing w:before="40"/>
      <w:outlineLvl w:val="4"/>
    </w:pPr>
    <w:rPr>
      <w:rFonts w:ascii="Cambria" w:hAnsi="Cambria" w:cs="Times New Roman"/>
      <w:color w:val="365F91"/>
    </w:rPr>
  </w:style>
  <w:style w:type="paragraph" w:styleId="6">
    <w:name w:val="heading 6"/>
    <w:basedOn w:val="a1"/>
    <w:next w:val="a1"/>
    <w:link w:val="60"/>
    <w:qFormat/>
    <w:rsid w:val="004F759B"/>
    <w:pPr>
      <w:keepNext/>
      <w:keepLines/>
      <w:spacing w:before="40"/>
      <w:outlineLvl w:val="5"/>
    </w:pPr>
    <w:rPr>
      <w:rFonts w:ascii="Cambria" w:hAnsi="Cambria" w:cs="Times New Roman"/>
      <w:color w:val="243F60"/>
    </w:rPr>
  </w:style>
  <w:style w:type="paragraph" w:styleId="7">
    <w:name w:val="heading 7"/>
    <w:basedOn w:val="a1"/>
    <w:next w:val="a1"/>
    <w:link w:val="70"/>
    <w:qFormat/>
    <w:rsid w:val="004F759B"/>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4F759B"/>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4F759B"/>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rPr>
      <w:rFonts w:cs="Times New Roman"/>
    </w:rPr>
  </w:style>
  <w:style w:type="character" w:styleId="ae">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semiHidden/>
    <w:rsid w:val="004F759B"/>
    <w:rPr>
      <w:rFonts w:cs="Times New Roman"/>
      <w:color w:val="800080"/>
      <w:u w:val="single"/>
    </w:rPr>
  </w:style>
  <w:style w:type="character" w:styleId="HTMLCite">
    <w:name w:val="HTML Cite"/>
    <w:semiHidden/>
    <w:rsid w:val="004F759B"/>
    <w:rPr>
      <w:rFonts w:cs="Times New Roman"/>
      <w:i/>
      <w:iCs/>
    </w:rPr>
  </w:style>
  <w:style w:type="character" w:styleId="HTMLCode">
    <w:name w:val="HTML Code"/>
    <w:semiHidden/>
    <w:rsid w:val="004F759B"/>
    <w:rPr>
      <w:rFonts w:ascii="Consolas" w:hAnsi="Consolas" w:cs="Times New Roman"/>
      <w:sz w:val="20"/>
      <w:szCs w:val="20"/>
    </w:rPr>
  </w:style>
  <w:style w:type="character" w:styleId="HTMLDefinition">
    <w:name w:val="HTML Definition"/>
    <w:semiHidden/>
    <w:rsid w:val="004F759B"/>
    <w:rPr>
      <w:rFonts w:cs="Times New Roman"/>
      <w:i/>
      <w:iCs/>
    </w:rPr>
  </w:style>
  <w:style w:type="character" w:styleId="HTMLVariable">
    <w:name w:val="HTML Variable"/>
    <w:semiHidden/>
    <w:rsid w:val="004F759B"/>
    <w:rPr>
      <w:rFonts w:cs="Times New Roman"/>
      <w:i/>
      <w:iCs/>
    </w:rPr>
  </w:style>
  <w:style w:type="paragraph" w:styleId="HTML">
    <w:name w:val="HTML Preformatted"/>
    <w:basedOn w:val="a1"/>
    <w:link w:val="HTML0"/>
    <w:semiHidden/>
    <w:rsid w:val="004F759B"/>
    <w:rPr>
      <w:rFonts w:ascii="Consolas" w:hAnsi="Consolas"/>
      <w:sz w:val="20"/>
      <w:szCs w:val="20"/>
    </w:rPr>
  </w:style>
  <w:style w:type="character" w:customStyle="1" w:styleId="HTML0">
    <w:name w:val="HTML מעוצב מראש תו"/>
    <w:link w:val="HTML"/>
    <w:semiHidden/>
    <w:locked/>
    <w:rsid w:val="004F759B"/>
    <w:rPr>
      <w:rFonts w:ascii="Consolas" w:hAnsi="Consolas" w:cs="David"/>
    </w:rPr>
  </w:style>
  <w:style w:type="character" w:styleId="Hyperlink">
    <w:name w:val="Hyperlink"/>
    <w:semiHidden/>
    <w:rsid w:val="004F759B"/>
    <w:rPr>
      <w:rFonts w:cs="Times New Roman"/>
      <w:color w:val="0000FF"/>
      <w:u w:val="single"/>
    </w:rPr>
  </w:style>
  <w:style w:type="paragraph" w:styleId="Index1">
    <w:name w:val="index 1"/>
    <w:basedOn w:val="a1"/>
    <w:next w:val="a1"/>
    <w:autoRedefine/>
    <w:semiHidden/>
    <w:rsid w:val="004F759B"/>
    <w:pPr>
      <w:ind w:left="240" w:hanging="240"/>
    </w:pPr>
  </w:style>
  <w:style w:type="paragraph" w:styleId="Index2">
    <w:name w:val="index 2"/>
    <w:basedOn w:val="a1"/>
    <w:next w:val="a1"/>
    <w:autoRedefine/>
    <w:semiHidden/>
    <w:rsid w:val="004F759B"/>
    <w:pPr>
      <w:ind w:left="480" w:hanging="240"/>
    </w:pPr>
  </w:style>
  <w:style w:type="paragraph" w:styleId="Index3">
    <w:name w:val="index 3"/>
    <w:basedOn w:val="a1"/>
    <w:next w:val="a1"/>
    <w:autoRedefine/>
    <w:semiHidden/>
    <w:rsid w:val="004F759B"/>
    <w:pPr>
      <w:ind w:left="720" w:hanging="240"/>
    </w:pPr>
  </w:style>
  <w:style w:type="paragraph" w:styleId="Index4">
    <w:name w:val="index 4"/>
    <w:basedOn w:val="a1"/>
    <w:next w:val="a1"/>
    <w:autoRedefine/>
    <w:semiHidden/>
    <w:rsid w:val="004F759B"/>
    <w:pPr>
      <w:ind w:left="960" w:hanging="240"/>
    </w:pPr>
  </w:style>
  <w:style w:type="paragraph" w:styleId="Index5">
    <w:name w:val="index 5"/>
    <w:basedOn w:val="a1"/>
    <w:next w:val="a1"/>
    <w:autoRedefine/>
    <w:semiHidden/>
    <w:rsid w:val="004F759B"/>
    <w:pPr>
      <w:ind w:left="1200" w:hanging="240"/>
    </w:pPr>
  </w:style>
  <w:style w:type="paragraph" w:styleId="Index6">
    <w:name w:val="index 6"/>
    <w:basedOn w:val="a1"/>
    <w:next w:val="a1"/>
    <w:autoRedefine/>
    <w:semiHidden/>
    <w:rsid w:val="004F759B"/>
    <w:pPr>
      <w:ind w:left="1440" w:hanging="240"/>
    </w:pPr>
  </w:style>
  <w:style w:type="paragraph" w:styleId="Index7">
    <w:name w:val="index 7"/>
    <w:basedOn w:val="a1"/>
    <w:next w:val="a1"/>
    <w:autoRedefine/>
    <w:semiHidden/>
    <w:rsid w:val="004F759B"/>
    <w:pPr>
      <w:ind w:left="1680" w:hanging="240"/>
    </w:pPr>
  </w:style>
  <w:style w:type="paragraph" w:styleId="Index8">
    <w:name w:val="index 8"/>
    <w:basedOn w:val="a1"/>
    <w:next w:val="a1"/>
    <w:autoRedefine/>
    <w:semiHidden/>
    <w:rsid w:val="004F759B"/>
    <w:pPr>
      <w:ind w:left="1920" w:hanging="240"/>
    </w:pPr>
  </w:style>
  <w:style w:type="paragraph" w:styleId="Index9">
    <w:name w:val="index 9"/>
    <w:basedOn w:val="a1"/>
    <w:next w:val="a1"/>
    <w:autoRedefine/>
    <w:semiHidden/>
    <w:rsid w:val="004F759B"/>
    <w:pPr>
      <w:ind w:left="2160" w:hanging="240"/>
    </w:pPr>
  </w:style>
  <w:style w:type="paragraph" w:styleId="NormalWeb">
    <w:name w:val="Normal (Web)"/>
    <w:basedOn w:val="a1"/>
    <w:semiHidden/>
    <w:rsid w:val="004F759B"/>
    <w:rPr>
      <w:rFonts w:cs="Times New Roman"/>
    </w:rPr>
  </w:style>
  <w:style w:type="paragraph" w:styleId="TOC1">
    <w:name w:val="toc 1"/>
    <w:basedOn w:val="a1"/>
    <w:next w:val="a1"/>
    <w:autoRedefine/>
    <w:semiHidden/>
    <w:rsid w:val="004F759B"/>
    <w:pPr>
      <w:spacing w:after="100"/>
    </w:pPr>
  </w:style>
  <w:style w:type="paragraph" w:styleId="TOC2">
    <w:name w:val="toc 2"/>
    <w:basedOn w:val="a1"/>
    <w:next w:val="a1"/>
    <w:autoRedefine/>
    <w:semiHidden/>
    <w:rsid w:val="004F759B"/>
    <w:pPr>
      <w:spacing w:after="100"/>
      <w:ind w:left="240"/>
    </w:pPr>
  </w:style>
  <w:style w:type="paragraph" w:styleId="TOC3">
    <w:name w:val="toc 3"/>
    <w:basedOn w:val="a1"/>
    <w:next w:val="a1"/>
    <w:autoRedefine/>
    <w:semiHidden/>
    <w:rsid w:val="004F759B"/>
    <w:pPr>
      <w:spacing w:after="100"/>
      <w:ind w:left="480"/>
    </w:pPr>
  </w:style>
  <w:style w:type="paragraph" w:styleId="TOC4">
    <w:name w:val="toc 4"/>
    <w:basedOn w:val="a1"/>
    <w:next w:val="a1"/>
    <w:autoRedefine/>
    <w:semiHidden/>
    <w:rsid w:val="004F759B"/>
    <w:pPr>
      <w:spacing w:after="100"/>
      <w:ind w:left="720"/>
    </w:pPr>
  </w:style>
  <w:style w:type="paragraph" w:styleId="TOC5">
    <w:name w:val="toc 5"/>
    <w:basedOn w:val="a1"/>
    <w:next w:val="a1"/>
    <w:autoRedefine/>
    <w:semiHidden/>
    <w:rsid w:val="004F759B"/>
    <w:pPr>
      <w:spacing w:after="100"/>
      <w:ind w:left="960"/>
    </w:pPr>
  </w:style>
  <w:style w:type="paragraph" w:styleId="TOC6">
    <w:name w:val="toc 6"/>
    <w:basedOn w:val="a1"/>
    <w:next w:val="a1"/>
    <w:autoRedefine/>
    <w:semiHidden/>
    <w:rsid w:val="004F759B"/>
    <w:pPr>
      <w:spacing w:after="100"/>
      <w:ind w:left="1200"/>
    </w:pPr>
  </w:style>
  <w:style w:type="paragraph" w:styleId="TOC7">
    <w:name w:val="toc 7"/>
    <w:basedOn w:val="a1"/>
    <w:next w:val="a1"/>
    <w:autoRedefine/>
    <w:semiHidden/>
    <w:rsid w:val="004F759B"/>
    <w:pPr>
      <w:spacing w:after="100"/>
      <w:ind w:left="1440"/>
    </w:pPr>
  </w:style>
  <w:style w:type="paragraph" w:styleId="TOC8">
    <w:name w:val="toc 8"/>
    <w:basedOn w:val="a1"/>
    <w:next w:val="a1"/>
    <w:autoRedefine/>
    <w:semiHidden/>
    <w:rsid w:val="004F759B"/>
    <w:pPr>
      <w:spacing w:after="100"/>
      <w:ind w:left="1680"/>
    </w:pPr>
  </w:style>
  <w:style w:type="paragraph" w:styleId="TOC9">
    <w:name w:val="toc 9"/>
    <w:basedOn w:val="a1"/>
    <w:next w:val="a1"/>
    <w:autoRedefine/>
    <w:semiHidden/>
    <w:rsid w:val="004F759B"/>
    <w:pPr>
      <w:spacing w:after="100"/>
      <w:ind w:left="1920"/>
    </w:pPr>
  </w:style>
  <w:style w:type="table" w:styleId="-1">
    <w:name w:val="Table 3D effects 1"/>
    <w:basedOn w:val="a3"/>
    <w:semiHidden/>
    <w:rsid w:val="004F759B"/>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F759B"/>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4F759B"/>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
    <w:name w:val="Bibliography"/>
    <w:basedOn w:val="a1"/>
    <w:next w:val="a1"/>
    <w:semiHidden/>
    <w:rsid w:val="004F759B"/>
  </w:style>
  <w:style w:type="paragraph" w:styleId="af0">
    <w:name w:val="Salutation"/>
    <w:basedOn w:val="a1"/>
    <w:next w:val="a1"/>
    <w:link w:val="af1"/>
    <w:rsid w:val="004F759B"/>
  </w:style>
  <w:style w:type="character" w:customStyle="1" w:styleId="af1">
    <w:name w:val="ברכה תו"/>
    <w:link w:val="af0"/>
    <w:locked/>
    <w:rsid w:val="004F759B"/>
    <w:rPr>
      <w:rFonts w:cs="David"/>
      <w:sz w:val="24"/>
      <w:szCs w:val="24"/>
    </w:rPr>
  </w:style>
  <w:style w:type="paragraph" w:styleId="af2">
    <w:name w:val="Body Text"/>
    <w:basedOn w:val="a1"/>
    <w:link w:val="af3"/>
    <w:semiHidden/>
    <w:rsid w:val="004F759B"/>
    <w:pPr>
      <w:spacing w:after="120"/>
    </w:pPr>
  </w:style>
  <w:style w:type="character" w:customStyle="1" w:styleId="af3">
    <w:name w:val="גוף טקסט תו"/>
    <w:link w:val="af2"/>
    <w:semiHidden/>
    <w:locked/>
    <w:rsid w:val="004F759B"/>
    <w:rPr>
      <w:rFonts w:cs="David"/>
      <w:sz w:val="24"/>
      <w:szCs w:val="24"/>
    </w:rPr>
  </w:style>
  <w:style w:type="paragraph" w:styleId="23">
    <w:name w:val="Body Text 2"/>
    <w:basedOn w:val="a1"/>
    <w:link w:val="24"/>
    <w:semiHidden/>
    <w:rsid w:val="004F759B"/>
    <w:pPr>
      <w:spacing w:after="120" w:line="480" w:lineRule="auto"/>
    </w:pPr>
  </w:style>
  <w:style w:type="character" w:customStyle="1" w:styleId="24">
    <w:name w:val="גוף טקסט 2 תו"/>
    <w:link w:val="23"/>
    <w:semiHidden/>
    <w:locked/>
    <w:rsid w:val="004F759B"/>
    <w:rPr>
      <w:rFonts w:cs="David"/>
      <w:sz w:val="24"/>
      <w:szCs w:val="24"/>
    </w:rPr>
  </w:style>
  <w:style w:type="paragraph" w:styleId="33">
    <w:name w:val="Body Text 3"/>
    <w:basedOn w:val="a1"/>
    <w:link w:val="34"/>
    <w:semiHidden/>
    <w:rsid w:val="004F759B"/>
    <w:pPr>
      <w:spacing w:after="120"/>
    </w:pPr>
    <w:rPr>
      <w:sz w:val="16"/>
      <w:szCs w:val="16"/>
    </w:rPr>
  </w:style>
  <w:style w:type="character" w:customStyle="1" w:styleId="34">
    <w:name w:val="גוף טקסט 3 תו"/>
    <w:link w:val="33"/>
    <w:semiHidden/>
    <w:locked/>
    <w:rsid w:val="004F759B"/>
    <w:rPr>
      <w:rFonts w:cs="David"/>
      <w:sz w:val="16"/>
      <w:szCs w:val="16"/>
    </w:rPr>
  </w:style>
  <w:style w:type="character" w:styleId="HTML1">
    <w:name w:val="HTML Sample"/>
    <w:semiHidden/>
    <w:rsid w:val="004F759B"/>
    <w:rPr>
      <w:rFonts w:ascii="Consolas" w:hAnsi="Consolas" w:cs="Times New Roman"/>
      <w:sz w:val="24"/>
      <w:szCs w:val="24"/>
    </w:rPr>
  </w:style>
  <w:style w:type="character" w:styleId="af4">
    <w:name w:val="Emphasis"/>
    <w:qFormat/>
    <w:rsid w:val="004F759B"/>
    <w:rPr>
      <w:rFonts w:cs="Times New Roman"/>
      <w:i/>
      <w:iCs/>
    </w:rPr>
  </w:style>
  <w:style w:type="character" w:styleId="af5">
    <w:name w:val="Intense Emphasis"/>
    <w:qFormat/>
    <w:rsid w:val="004F759B"/>
    <w:rPr>
      <w:rFonts w:cs="Times New Roman"/>
      <w:i/>
      <w:iCs/>
      <w:color w:val="4F81BD"/>
    </w:rPr>
  </w:style>
  <w:style w:type="character" w:styleId="af6">
    <w:name w:val="Subtle Emphasis"/>
    <w:qFormat/>
    <w:rsid w:val="004F759B"/>
    <w:rPr>
      <w:rFonts w:cs="Times New Roman"/>
      <w:i/>
      <w:iCs/>
      <w:color w:val="404040"/>
    </w:rPr>
  </w:style>
  <w:style w:type="paragraph" w:styleId="af7">
    <w:name w:val="List Continue"/>
    <w:basedOn w:val="a1"/>
    <w:semiHidden/>
    <w:rsid w:val="004F759B"/>
    <w:pPr>
      <w:spacing w:after="120"/>
      <w:ind w:left="283"/>
      <w:contextualSpacing/>
    </w:pPr>
  </w:style>
  <w:style w:type="paragraph" w:styleId="25">
    <w:name w:val="List Continue 2"/>
    <w:basedOn w:val="a1"/>
    <w:semiHidden/>
    <w:rsid w:val="004F759B"/>
    <w:pPr>
      <w:spacing w:after="120"/>
      <w:ind w:left="566"/>
      <w:contextualSpacing/>
    </w:pPr>
  </w:style>
  <w:style w:type="paragraph" w:styleId="35">
    <w:name w:val="List Continue 3"/>
    <w:basedOn w:val="a1"/>
    <w:semiHidden/>
    <w:rsid w:val="004F759B"/>
    <w:pPr>
      <w:spacing w:after="120"/>
      <w:ind w:left="849"/>
      <w:contextualSpacing/>
    </w:pPr>
  </w:style>
  <w:style w:type="paragraph" w:styleId="42">
    <w:name w:val="List Continue 4"/>
    <w:basedOn w:val="a1"/>
    <w:semiHidden/>
    <w:rsid w:val="004F759B"/>
    <w:pPr>
      <w:spacing w:after="120"/>
      <w:ind w:left="1132"/>
      <w:contextualSpacing/>
    </w:pPr>
  </w:style>
  <w:style w:type="paragraph" w:styleId="53">
    <w:name w:val="List Continue 5"/>
    <w:basedOn w:val="a1"/>
    <w:semiHidden/>
    <w:rsid w:val="004F759B"/>
    <w:pPr>
      <w:spacing w:after="120"/>
      <w:ind w:left="1415"/>
      <w:contextualSpacing/>
    </w:pPr>
  </w:style>
  <w:style w:type="character" w:styleId="af8">
    <w:name w:val="Intense Reference"/>
    <w:qFormat/>
    <w:rsid w:val="004F759B"/>
    <w:rPr>
      <w:rFonts w:cs="Times New Roman"/>
      <w:b/>
      <w:bCs/>
      <w:smallCaps/>
      <w:color w:val="4F81BD"/>
      <w:spacing w:val="5"/>
    </w:rPr>
  </w:style>
  <w:style w:type="character" w:styleId="af9">
    <w:name w:val="endnote reference"/>
    <w:semiHidden/>
    <w:rsid w:val="004F759B"/>
    <w:rPr>
      <w:rFonts w:cs="Times New Roman"/>
      <w:vertAlign w:val="superscript"/>
    </w:rPr>
  </w:style>
  <w:style w:type="character" w:styleId="afa">
    <w:name w:val="footnote reference"/>
    <w:semiHidden/>
    <w:rsid w:val="004F759B"/>
    <w:rPr>
      <w:rFonts w:cs="Times New Roman"/>
      <w:vertAlign w:val="superscript"/>
    </w:rPr>
  </w:style>
  <w:style w:type="character" w:styleId="afb">
    <w:name w:val="Subtle Reference"/>
    <w:qFormat/>
    <w:rsid w:val="004F759B"/>
    <w:rPr>
      <w:rFonts w:cs="Times New Roman"/>
      <w:smallCaps/>
      <w:color w:val="5A5A5A"/>
    </w:rPr>
  </w:style>
  <w:style w:type="table" w:styleId="afc">
    <w:name w:val="Light Shading"/>
    <w:rsid w:val="004F75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4F759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4F759B"/>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4F759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4F759B"/>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4F759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4F759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2">
    <w:name w:val="Medium Shading 1"/>
    <w:rsid w:val="004F75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4F75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4F75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4F75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4F75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4F75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4F75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6">
    <w:name w:val="Medium Shading 2"/>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4F75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4F759B"/>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4F759B"/>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4F759B"/>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4F759B"/>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4F759B"/>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4F759B"/>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4F759B"/>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4F759B"/>
    <w:rPr>
      <w:rFonts w:cs="Times New Roman"/>
      <w:b/>
      <w:bCs/>
    </w:rPr>
  </w:style>
  <w:style w:type="paragraph" w:styleId="aff">
    <w:name w:val="Signature"/>
    <w:basedOn w:val="a1"/>
    <w:link w:val="aff0"/>
    <w:semiHidden/>
    <w:rsid w:val="004F759B"/>
    <w:pPr>
      <w:ind w:left="4252"/>
    </w:pPr>
  </w:style>
  <w:style w:type="character" w:customStyle="1" w:styleId="aff0">
    <w:name w:val="חתימה תו"/>
    <w:link w:val="aff"/>
    <w:semiHidden/>
    <w:locked/>
    <w:rsid w:val="004F759B"/>
    <w:rPr>
      <w:rFonts w:cs="David"/>
      <w:sz w:val="24"/>
      <w:szCs w:val="24"/>
    </w:rPr>
  </w:style>
  <w:style w:type="paragraph" w:styleId="aff1">
    <w:name w:val="E-mail Signature"/>
    <w:basedOn w:val="a1"/>
    <w:link w:val="aff2"/>
    <w:semiHidden/>
    <w:rsid w:val="004F759B"/>
  </w:style>
  <w:style w:type="character" w:customStyle="1" w:styleId="aff2">
    <w:name w:val="חתימת דואר אלקטרוני תו"/>
    <w:link w:val="aff1"/>
    <w:semiHidden/>
    <w:locked/>
    <w:rsid w:val="004F759B"/>
    <w:rPr>
      <w:rFonts w:cs="David"/>
      <w:sz w:val="24"/>
      <w:szCs w:val="24"/>
    </w:rPr>
  </w:style>
  <w:style w:type="table" w:styleId="aff3">
    <w:name w:val="Table Elegant"/>
    <w:basedOn w:val="a3"/>
    <w:semiHidden/>
    <w:rsid w:val="004F759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f4">
    <w:name w:val="Table Professional"/>
    <w:basedOn w:val="a3"/>
    <w:semiHidden/>
    <w:rsid w:val="004F759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rsid w:val="004F759B"/>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7">
    <w:name w:val="Table Subtle 2"/>
    <w:basedOn w:val="a3"/>
    <w:semiHidden/>
    <w:rsid w:val="004F759B"/>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5">
    <w:name w:val="Table Contemporary"/>
    <w:basedOn w:val="a3"/>
    <w:semiHidden/>
    <w:rsid w:val="004F759B"/>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rsid w:val="004F759B"/>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8">
    <w:name w:val="Table Simple 2"/>
    <w:basedOn w:val="a3"/>
    <w:semiHidden/>
    <w:rsid w:val="004F759B"/>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4F759B"/>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rsid w:val="004F759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9">
    <w:name w:val="Table Colorful 2"/>
    <w:basedOn w:val="a3"/>
    <w:semiHidden/>
    <w:rsid w:val="004F759B"/>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4F759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rsid w:val="004F759B"/>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a">
    <w:name w:val="Table Classic 2"/>
    <w:basedOn w:val="a3"/>
    <w:semiHidden/>
    <w:rsid w:val="004F759B"/>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4F759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4F759B"/>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7">
    <w:name w:val="Plain Table 1"/>
    <w:rsid w:val="004F759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b">
    <w:name w:val="Plain Table 2"/>
    <w:rsid w:val="004F759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9">
    <w:name w:val="Plain Table 3"/>
    <w:rsid w:val="004F759B"/>
    <w:tblPr>
      <w:tblStyleRowBandSize w:val="1"/>
      <w:tblStyleColBandSize w:val="1"/>
      <w:tblInd w:w="0" w:type="dxa"/>
      <w:tblCellMar>
        <w:top w:w="0" w:type="dxa"/>
        <w:left w:w="108" w:type="dxa"/>
        <w:bottom w:w="0" w:type="dxa"/>
        <w:right w:w="108" w:type="dxa"/>
      </w:tblCellMar>
    </w:tblPr>
  </w:style>
  <w:style w:type="table" w:styleId="44">
    <w:name w:val="Plain Table 4"/>
    <w:rsid w:val="004F759B"/>
    <w:tblPr>
      <w:tblStyleRowBandSize w:val="1"/>
      <w:tblStyleColBandSize w:val="1"/>
      <w:tblInd w:w="0" w:type="dxa"/>
      <w:tblCellMar>
        <w:top w:w="0" w:type="dxa"/>
        <w:left w:w="108" w:type="dxa"/>
        <w:bottom w:w="0" w:type="dxa"/>
        <w:right w:w="108" w:type="dxa"/>
      </w:tblCellMar>
    </w:tblPr>
  </w:style>
  <w:style w:type="table" w:styleId="54">
    <w:name w:val="Plain Table 5"/>
    <w:rsid w:val="004F759B"/>
    <w:tblPr>
      <w:tblStyleRowBandSize w:val="1"/>
      <w:tblStyleColBandSize w:val="1"/>
      <w:tblInd w:w="0" w:type="dxa"/>
      <w:tblCellMar>
        <w:top w:w="0" w:type="dxa"/>
        <w:left w:w="108" w:type="dxa"/>
        <w:bottom w:w="0" w:type="dxa"/>
        <w:right w:w="108" w:type="dxa"/>
      </w:tblCellMar>
    </w:tblPr>
  </w:style>
  <w:style w:type="table" w:styleId="18">
    <w:name w:val="Table Web 1"/>
    <w:basedOn w:val="a3"/>
    <w:semiHidden/>
    <w:rsid w:val="004F759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c">
    <w:name w:val="Table Web 2"/>
    <w:basedOn w:val="a3"/>
    <w:semiHidden/>
    <w:rsid w:val="004F759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3"/>
    <w:semiHidden/>
    <w:rsid w:val="004F759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19">
    <w:name w:val="List Table 1 Light"/>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4F759B"/>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4F759B"/>
    <w:tblPr>
      <w:tblStyleRowBandSize w:val="1"/>
      <w:tblStyleColBandSize w:val="1"/>
      <w:tblInd w:w="0" w:type="dxa"/>
      <w:tblCellMar>
        <w:top w:w="0" w:type="dxa"/>
        <w:left w:w="108" w:type="dxa"/>
        <w:bottom w:w="0" w:type="dxa"/>
        <w:right w:w="108" w:type="dxa"/>
      </w:tblCellMar>
    </w:tblPr>
  </w:style>
  <w:style w:type="table" w:styleId="2d">
    <w:name w:val="List Table 2"/>
    <w:rsid w:val="004F759B"/>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4F759B"/>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4F759B"/>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4F759B"/>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4F759B"/>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4F759B"/>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4F759B"/>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b">
    <w:name w:val="List Table 3"/>
    <w:rsid w:val="004F759B"/>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4F759B"/>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4F759B"/>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4F759B"/>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4F759B"/>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4F759B"/>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4F759B"/>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5">
    <w:name w:val="List Table 4"/>
    <w:rsid w:val="004F759B"/>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4F759B"/>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4F759B"/>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4F759B"/>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4F759B"/>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4F759B"/>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4F759B"/>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4F759B"/>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4F759B"/>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4F759B"/>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4F759B"/>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4F759B"/>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4F759B"/>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4F759B"/>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4F759B"/>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4F759B"/>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4F759B"/>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4F759B"/>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4F759B"/>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4F759B"/>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4F759B"/>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4F759B"/>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4F759B"/>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4F759B"/>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4F759B"/>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4F759B"/>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4F759B"/>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4F759B"/>
    <w:rPr>
      <w:color w:val="E36C0A"/>
    </w:rPr>
    <w:tblPr>
      <w:tblStyleRowBandSize w:val="1"/>
      <w:tblStyleColBandSize w:val="1"/>
      <w:tblInd w:w="0" w:type="dxa"/>
      <w:tblCellMar>
        <w:top w:w="0" w:type="dxa"/>
        <w:left w:w="108" w:type="dxa"/>
        <w:bottom w:w="0" w:type="dxa"/>
        <w:right w:w="108" w:type="dxa"/>
      </w:tblCellMar>
    </w:tblPr>
  </w:style>
  <w:style w:type="table" w:styleId="1a">
    <w:name w:val="Grid Table 1 Light"/>
    <w:rsid w:val="004F759B"/>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4F759B"/>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4F759B"/>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4F759B"/>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4F759B"/>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4F759B"/>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4F759B"/>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e">
    <w:name w:val="Grid Table 2"/>
    <w:rsid w:val="004F759B"/>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4F759B"/>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4F759B"/>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4F759B"/>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4F759B"/>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4F759B"/>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4F759B"/>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c">
    <w:name w:val="Grid Table 3"/>
    <w:rsid w:val="004F759B"/>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4F759B"/>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4F759B"/>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4F759B"/>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4F759B"/>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4F759B"/>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4F759B"/>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6">
    <w:name w:val="Grid Table 4"/>
    <w:rsid w:val="004F759B"/>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4F759B"/>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4F759B"/>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4F759B"/>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4F759B"/>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4F759B"/>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4F759B"/>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4F759B"/>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4F759B"/>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4F759B"/>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4F759B"/>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4F759B"/>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4F759B"/>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4F759B"/>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4F759B"/>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4F759B"/>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4F759B"/>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4F759B"/>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4F759B"/>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4F759B"/>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4F759B"/>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4F759B"/>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4F759B"/>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7">
    <w:name w:val="endnote text"/>
    <w:basedOn w:val="a1"/>
    <w:link w:val="aff8"/>
    <w:semiHidden/>
    <w:rsid w:val="004F759B"/>
    <w:rPr>
      <w:sz w:val="20"/>
      <w:szCs w:val="20"/>
    </w:rPr>
  </w:style>
  <w:style w:type="character" w:customStyle="1" w:styleId="aff8">
    <w:name w:val="טקסט הערת סיום תו"/>
    <w:link w:val="aff7"/>
    <w:semiHidden/>
    <w:locked/>
    <w:rsid w:val="004F759B"/>
    <w:rPr>
      <w:rFonts w:cs="David"/>
    </w:rPr>
  </w:style>
  <w:style w:type="paragraph" w:styleId="aff9">
    <w:name w:val="footnote text"/>
    <w:basedOn w:val="a1"/>
    <w:link w:val="affa"/>
    <w:semiHidden/>
    <w:rsid w:val="004F759B"/>
    <w:rPr>
      <w:sz w:val="20"/>
      <w:szCs w:val="20"/>
    </w:rPr>
  </w:style>
  <w:style w:type="character" w:customStyle="1" w:styleId="affa">
    <w:name w:val="טקסט הערת שוליים תו"/>
    <w:link w:val="aff9"/>
    <w:semiHidden/>
    <w:locked/>
    <w:rsid w:val="004F759B"/>
    <w:rPr>
      <w:rFonts w:cs="David"/>
    </w:rPr>
  </w:style>
  <w:style w:type="paragraph" w:styleId="affb">
    <w:name w:val="macro"/>
    <w:link w:val="affc"/>
    <w:semiHidden/>
    <w:rsid w:val="004F759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link w:val="affb"/>
    <w:semiHidden/>
    <w:locked/>
    <w:rsid w:val="004F759B"/>
    <w:rPr>
      <w:rFonts w:ascii="Consolas" w:hAnsi="Consolas" w:cs="David"/>
      <w:lang w:val="en-US" w:eastAsia="en-US" w:bidi="he-IL"/>
    </w:rPr>
  </w:style>
  <w:style w:type="character" w:styleId="affd">
    <w:name w:val="Placeholder Text"/>
    <w:semiHidden/>
    <w:rsid w:val="004F759B"/>
    <w:rPr>
      <w:rFonts w:cs="Times New Roman"/>
      <w:color w:val="808080"/>
    </w:rPr>
  </w:style>
  <w:style w:type="paragraph" w:styleId="affe">
    <w:name w:val="Plain Text"/>
    <w:basedOn w:val="a1"/>
    <w:link w:val="afff"/>
    <w:semiHidden/>
    <w:rsid w:val="004F759B"/>
    <w:rPr>
      <w:rFonts w:ascii="Consolas" w:hAnsi="Consolas"/>
      <w:sz w:val="21"/>
      <w:szCs w:val="21"/>
    </w:rPr>
  </w:style>
  <w:style w:type="character" w:customStyle="1" w:styleId="afff">
    <w:name w:val="טקסט רגיל תו"/>
    <w:link w:val="affe"/>
    <w:semiHidden/>
    <w:locked/>
    <w:rsid w:val="004F759B"/>
    <w:rPr>
      <w:rFonts w:ascii="Consolas" w:hAnsi="Consolas" w:cs="David"/>
      <w:sz w:val="21"/>
      <w:szCs w:val="21"/>
    </w:rPr>
  </w:style>
  <w:style w:type="character" w:styleId="afff0">
    <w:name w:val="Book Title"/>
    <w:qFormat/>
    <w:rsid w:val="004F759B"/>
    <w:rPr>
      <w:rFonts w:cs="Times New Roman"/>
      <w:b/>
      <w:bCs/>
      <w:i/>
      <w:iCs/>
      <w:spacing w:val="5"/>
    </w:rPr>
  </w:style>
  <w:style w:type="character" w:customStyle="1" w:styleId="10">
    <w:name w:val="כותרת 1 תו"/>
    <w:link w:val="1"/>
    <w:locked/>
    <w:rsid w:val="004F759B"/>
    <w:rPr>
      <w:rFonts w:ascii="Cambria" w:hAnsi="Cambria" w:cs="Times New Roman"/>
      <w:color w:val="365F91"/>
      <w:sz w:val="32"/>
      <w:szCs w:val="32"/>
    </w:rPr>
  </w:style>
  <w:style w:type="character" w:customStyle="1" w:styleId="22">
    <w:name w:val="כותרת 2 תו"/>
    <w:link w:val="21"/>
    <w:semiHidden/>
    <w:locked/>
    <w:rsid w:val="004F759B"/>
    <w:rPr>
      <w:rFonts w:ascii="Cambria" w:hAnsi="Cambria" w:cs="Times New Roman"/>
      <w:color w:val="365F91"/>
      <w:sz w:val="26"/>
      <w:szCs w:val="26"/>
    </w:rPr>
  </w:style>
  <w:style w:type="character" w:customStyle="1" w:styleId="32">
    <w:name w:val="כותרת 3 תו"/>
    <w:link w:val="31"/>
    <w:semiHidden/>
    <w:locked/>
    <w:rsid w:val="004F759B"/>
    <w:rPr>
      <w:rFonts w:ascii="Cambria" w:hAnsi="Cambria" w:cs="Times New Roman"/>
      <w:color w:val="243F60"/>
      <w:sz w:val="24"/>
      <w:szCs w:val="24"/>
    </w:rPr>
  </w:style>
  <w:style w:type="character" w:customStyle="1" w:styleId="52">
    <w:name w:val="כותרת 5 תו"/>
    <w:link w:val="51"/>
    <w:semiHidden/>
    <w:locked/>
    <w:rsid w:val="004F759B"/>
    <w:rPr>
      <w:rFonts w:ascii="Cambria" w:hAnsi="Cambria" w:cs="Times New Roman"/>
      <w:color w:val="365F91"/>
      <w:sz w:val="24"/>
      <w:szCs w:val="24"/>
    </w:rPr>
  </w:style>
  <w:style w:type="character" w:customStyle="1" w:styleId="60">
    <w:name w:val="כותרת 6 תו"/>
    <w:link w:val="6"/>
    <w:semiHidden/>
    <w:locked/>
    <w:rsid w:val="004F759B"/>
    <w:rPr>
      <w:rFonts w:ascii="Cambria" w:hAnsi="Cambria" w:cs="Times New Roman"/>
      <w:color w:val="243F60"/>
      <w:sz w:val="24"/>
      <w:szCs w:val="24"/>
    </w:rPr>
  </w:style>
  <w:style w:type="character" w:customStyle="1" w:styleId="70">
    <w:name w:val="כותרת 7 תו"/>
    <w:link w:val="7"/>
    <w:semiHidden/>
    <w:locked/>
    <w:rsid w:val="004F759B"/>
    <w:rPr>
      <w:rFonts w:ascii="Cambria" w:hAnsi="Cambria" w:cs="Times New Roman"/>
      <w:i/>
      <w:iCs/>
      <w:color w:val="243F60"/>
      <w:sz w:val="24"/>
      <w:szCs w:val="24"/>
    </w:rPr>
  </w:style>
  <w:style w:type="character" w:customStyle="1" w:styleId="80">
    <w:name w:val="כותרת 8 תו"/>
    <w:link w:val="8"/>
    <w:semiHidden/>
    <w:locked/>
    <w:rsid w:val="004F759B"/>
    <w:rPr>
      <w:rFonts w:ascii="Cambria" w:hAnsi="Cambria" w:cs="Times New Roman"/>
      <w:color w:val="272727"/>
      <w:sz w:val="21"/>
      <w:szCs w:val="21"/>
    </w:rPr>
  </w:style>
  <w:style w:type="character" w:customStyle="1" w:styleId="90">
    <w:name w:val="כותרת 9 תו"/>
    <w:link w:val="9"/>
    <w:semiHidden/>
    <w:locked/>
    <w:rsid w:val="004F759B"/>
    <w:rPr>
      <w:rFonts w:ascii="Cambria" w:hAnsi="Cambria" w:cs="Times New Roman"/>
      <w:i/>
      <w:iCs/>
      <w:color w:val="272727"/>
      <w:sz w:val="21"/>
      <w:szCs w:val="21"/>
    </w:rPr>
  </w:style>
  <w:style w:type="paragraph" w:styleId="afff1">
    <w:name w:val="index heading"/>
    <w:basedOn w:val="a1"/>
    <w:next w:val="Index1"/>
    <w:semiHidden/>
    <w:rsid w:val="004F759B"/>
    <w:rPr>
      <w:rFonts w:ascii="Cambria" w:hAnsi="Cambria" w:cs="Times New Roman"/>
      <w:b/>
      <w:bCs/>
    </w:rPr>
  </w:style>
  <w:style w:type="paragraph" w:styleId="afff2">
    <w:name w:val="Note Heading"/>
    <w:basedOn w:val="a1"/>
    <w:next w:val="a1"/>
    <w:link w:val="afff3"/>
    <w:semiHidden/>
    <w:rsid w:val="004F759B"/>
  </w:style>
  <w:style w:type="character" w:customStyle="1" w:styleId="afff3">
    <w:name w:val="כותרת הערות תו"/>
    <w:link w:val="afff2"/>
    <w:semiHidden/>
    <w:locked/>
    <w:rsid w:val="004F759B"/>
    <w:rPr>
      <w:rFonts w:cs="David"/>
      <w:sz w:val="24"/>
      <w:szCs w:val="24"/>
    </w:rPr>
  </w:style>
  <w:style w:type="paragraph" w:styleId="afff4">
    <w:name w:val="Title"/>
    <w:basedOn w:val="a1"/>
    <w:next w:val="a1"/>
    <w:link w:val="afff5"/>
    <w:qFormat/>
    <w:rsid w:val="004F759B"/>
    <w:pPr>
      <w:contextualSpacing/>
    </w:pPr>
    <w:rPr>
      <w:rFonts w:ascii="Cambria" w:hAnsi="Cambria" w:cs="Times New Roman"/>
      <w:spacing w:val="-10"/>
      <w:kern w:val="28"/>
      <w:sz w:val="56"/>
      <w:szCs w:val="56"/>
    </w:rPr>
  </w:style>
  <w:style w:type="character" w:customStyle="1" w:styleId="afff5">
    <w:name w:val="כותרת טקסט תו"/>
    <w:link w:val="afff4"/>
    <w:locked/>
    <w:rsid w:val="004F759B"/>
    <w:rPr>
      <w:rFonts w:ascii="Cambria" w:hAnsi="Cambria" w:cs="Times New Roman"/>
      <w:spacing w:val="-10"/>
      <w:kern w:val="28"/>
      <w:sz w:val="56"/>
      <w:szCs w:val="56"/>
    </w:rPr>
  </w:style>
  <w:style w:type="paragraph" w:styleId="afff6">
    <w:name w:val="Subtitle"/>
    <w:basedOn w:val="a1"/>
    <w:next w:val="a1"/>
    <w:link w:val="afff7"/>
    <w:qFormat/>
    <w:rsid w:val="004F759B"/>
    <w:pPr>
      <w:numPr>
        <w:ilvl w:val="1"/>
      </w:numPr>
      <w:spacing w:after="160"/>
    </w:pPr>
    <w:rPr>
      <w:rFonts w:ascii="Calibri" w:hAnsi="Calibri" w:cs="Arial"/>
      <w:color w:val="5A5A5A"/>
      <w:spacing w:val="15"/>
      <w:sz w:val="22"/>
      <w:szCs w:val="22"/>
    </w:rPr>
  </w:style>
  <w:style w:type="character" w:customStyle="1" w:styleId="afff7">
    <w:name w:val="כותרת משנה תו"/>
    <w:link w:val="afff6"/>
    <w:locked/>
    <w:rsid w:val="004F759B"/>
    <w:rPr>
      <w:rFonts w:ascii="Calibri" w:hAnsi="Calibri" w:cs="Arial"/>
      <w:color w:val="5A5A5A"/>
      <w:spacing w:val="15"/>
      <w:sz w:val="22"/>
      <w:szCs w:val="22"/>
    </w:rPr>
  </w:style>
  <w:style w:type="paragraph" w:styleId="afff8">
    <w:name w:val="Message Header"/>
    <w:basedOn w:val="a1"/>
    <w:link w:val="afff9"/>
    <w:semiHidden/>
    <w:rsid w:val="004F759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9">
    <w:name w:val="כותרת עליונה של הודעה תו"/>
    <w:link w:val="afff8"/>
    <w:semiHidden/>
    <w:locked/>
    <w:rsid w:val="004F759B"/>
    <w:rPr>
      <w:rFonts w:ascii="Cambria" w:hAnsi="Cambria" w:cs="Times New Roman"/>
      <w:sz w:val="24"/>
      <w:szCs w:val="24"/>
      <w:shd w:val="pct20" w:color="auto" w:fill="auto"/>
    </w:rPr>
  </w:style>
  <w:style w:type="paragraph" w:styleId="afffa">
    <w:name w:val="toa heading"/>
    <w:basedOn w:val="a1"/>
    <w:next w:val="a1"/>
    <w:semiHidden/>
    <w:rsid w:val="004F759B"/>
    <w:pPr>
      <w:spacing w:before="120"/>
    </w:pPr>
    <w:rPr>
      <w:rFonts w:ascii="Cambria" w:hAnsi="Cambria" w:cs="Times New Roman"/>
      <w:b/>
      <w:bCs/>
    </w:rPr>
  </w:style>
  <w:style w:type="paragraph" w:styleId="afffb">
    <w:name w:val="TOC Heading"/>
    <w:basedOn w:val="1"/>
    <w:next w:val="a1"/>
    <w:qFormat/>
    <w:rsid w:val="004F759B"/>
    <w:pPr>
      <w:outlineLvl w:val="9"/>
    </w:pPr>
  </w:style>
  <w:style w:type="paragraph" w:styleId="afffc">
    <w:name w:val="caption"/>
    <w:basedOn w:val="a1"/>
    <w:next w:val="a1"/>
    <w:qFormat/>
    <w:rsid w:val="004F759B"/>
    <w:pPr>
      <w:spacing w:after="200"/>
    </w:pPr>
    <w:rPr>
      <w:i/>
      <w:iCs/>
      <w:color w:val="1F497D"/>
      <w:sz w:val="18"/>
      <w:szCs w:val="18"/>
    </w:rPr>
  </w:style>
  <w:style w:type="paragraph" w:styleId="afffd">
    <w:name w:val="Body Text Indent"/>
    <w:basedOn w:val="a1"/>
    <w:link w:val="afffe"/>
    <w:semiHidden/>
    <w:rsid w:val="004F759B"/>
    <w:pPr>
      <w:spacing w:after="120"/>
      <w:ind w:left="283"/>
    </w:pPr>
  </w:style>
  <w:style w:type="character" w:customStyle="1" w:styleId="afffe">
    <w:name w:val="כניסה בגוף טקסט תו"/>
    <w:link w:val="afffd"/>
    <w:semiHidden/>
    <w:locked/>
    <w:rsid w:val="004F759B"/>
    <w:rPr>
      <w:rFonts w:cs="David"/>
      <w:sz w:val="24"/>
      <w:szCs w:val="24"/>
    </w:rPr>
  </w:style>
  <w:style w:type="paragraph" w:styleId="2f">
    <w:name w:val="Body Text Indent 2"/>
    <w:basedOn w:val="a1"/>
    <w:link w:val="2f0"/>
    <w:semiHidden/>
    <w:rsid w:val="004F759B"/>
    <w:pPr>
      <w:spacing w:after="120" w:line="480" w:lineRule="auto"/>
      <w:ind w:left="283"/>
    </w:pPr>
  </w:style>
  <w:style w:type="character" w:customStyle="1" w:styleId="2f0">
    <w:name w:val="כניסה בגוף טקסט 2 תו"/>
    <w:link w:val="2f"/>
    <w:semiHidden/>
    <w:locked/>
    <w:rsid w:val="004F759B"/>
    <w:rPr>
      <w:rFonts w:cs="David"/>
      <w:sz w:val="24"/>
      <w:szCs w:val="24"/>
    </w:rPr>
  </w:style>
  <w:style w:type="paragraph" w:styleId="3d">
    <w:name w:val="Body Text Indent 3"/>
    <w:basedOn w:val="a1"/>
    <w:link w:val="3e"/>
    <w:semiHidden/>
    <w:rsid w:val="004F759B"/>
    <w:pPr>
      <w:spacing w:after="120"/>
      <w:ind w:left="283"/>
    </w:pPr>
    <w:rPr>
      <w:sz w:val="16"/>
      <w:szCs w:val="16"/>
    </w:rPr>
  </w:style>
  <w:style w:type="character" w:customStyle="1" w:styleId="3e">
    <w:name w:val="כניסה בגוף טקסט 3 תו"/>
    <w:link w:val="3d"/>
    <w:semiHidden/>
    <w:locked/>
    <w:rsid w:val="004F759B"/>
    <w:rPr>
      <w:rFonts w:cs="David"/>
      <w:sz w:val="16"/>
      <w:szCs w:val="16"/>
    </w:rPr>
  </w:style>
  <w:style w:type="paragraph" w:styleId="affff">
    <w:name w:val="Normal Indent"/>
    <w:basedOn w:val="a1"/>
    <w:semiHidden/>
    <w:rsid w:val="004F759B"/>
    <w:pPr>
      <w:ind w:left="720"/>
    </w:pPr>
  </w:style>
  <w:style w:type="paragraph" w:styleId="affff0">
    <w:name w:val="Body Text First Indent"/>
    <w:basedOn w:val="af2"/>
    <w:link w:val="affff1"/>
    <w:rsid w:val="004F759B"/>
    <w:pPr>
      <w:spacing w:after="0"/>
      <w:ind w:firstLine="360"/>
    </w:pPr>
  </w:style>
  <w:style w:type="character" w:customStyle="1" w:styleId="affff1">
    <w:name w:val="כניסת שורה ראשונה בגוף טקסט תו"/>
    <w:basedOn w:val="af3"/>
    <w:link w:val="affff0"/>
    <w:locked/>
    <w:rsid w:val="004F759B"/>
    <w:rPr>
      <w:rFonts w:cs="David"/>
      <w:sz w:val="24"/>
      <w:szCs w:val="24"/>
    </w:rPr>
  </w:style>
  <w:style w:type="paragraph" w:styleId="2f1">
    <w:name w:val="Body Text First Indent 2"/>
    <w:basedOn w:val="afffd"/>
    <w:link w:val="2f2"/>
    <w:semiHidden/>
    <w:rsid w:val="004F759B"/>
    <w:pPr>
      <w:spacing w:after="0"/>
      <w:ind w:left="360" w:firstLine="360"/>
    </w:pPr>
  </w:style>
  <w:style w:type="character" w:customStyle="1" w:styleId="2f2">
    <w:name w:val="כניסת שורה ראשונה בגוף טקסט 2 תו"/>
    <w:basedOn w:val="afffe"/>
    <w:link w:val="2f1"/>
    <w:semiHidden/>
    <w:locked/>
    <w:rsid w:val="004F759B"/>
    <w:rPr>
      <w:rFonts w:cs="David"/>
      <w:sz w:val="24"/>
      <w:szCs w:val="24"/>
    </w:rPr>
  </w:style>
  <w:style w:type="paragraph" w:styleId="HTML2">
    <w:name w:val="HTML Address"/>
    <w:basedOn w:val="a1"/>
    <w:link w:val="HTML3"/>
    <w:semiHidden/>
    <w:rsid w:val="004F759B"/>
    <w:rPr>
      <w:i/>
      <w:iCs/>
    </w:rPr>
  </w:style>
  <w:style w:type="character" w:customStyle="1" w:styleId="HTML3">
    <w:name w:val="כתובת HTML תו"/>
    <w:link w:val="HTML2"/>
    <w:semiHidden/>
    <w:locked/>
    <w:rsid w:val="004F759B"/>
    <w:rPr>
      <w:rFonts w:cs="David"/>
      <w:i/>
      <w:iCs/>
      <w:sz w:val="24"/>
      <w:szCs w:val="24"/>
    </w:rPr>
  </w:style>
  <w:style w:type="paragraph" w:styleId="affff2">
    <w:name w:val="envelope address"/>
    <w:basedOn w:val="a1"/>
    <w:semiHidden/>
    <w:rsid w:val="004F759B"/>
    <w:pPr>
      <w:framePr w:w="7920" w:h="1980" w:hRule="exact" w:hSpace="180" w:wrap="auto" w:hAnchor="page" w:xAlign="center" w:yAlign="bottom"/>
      <w:ind w:left="2880"/>
    </w:pPr>
    <w:rPr>
      <w:rFonts w:ascii="Cambria" w:hAnsi="Cambria" w:cs="Times New Roman"/>
    </w:rPr>
  </w:style>
  <w:style w:type="paragraph" w:styleId="affff3">
    <w:name w:val="envelope return"/>
    <w:basedOn w:val="a1"/>
    <w:semiHidden/>
    <w:rsid w:val="004F759B"/>
    <w:rPr>
      <w:rFonts w:ascii="Cambria" w:hAnsi="Cambria" w:cs="Times New Roman"/>
      <w:sz w:val="20"/>
      <w:szCs w:val="20"/>
    </w:rPr>
  </w:style>
  <w:style w:type="paragraph" w:styleId="affff4">
    <w:name w:val="No Spacing"/>
    <w:qFormat/>
    <w:rsid w:val="004F759B"/>
    <w:pPr>
      <w:bidi/>
    </w:pPr>
    <w:rPr>
      <w:rFonts w:cs="David"/>
      <w:sz w:val="24"/>
      <w:szCs w:val="24"/>
    </w:rPr>
  </w:style>
  <w:style w:type="character" w:styleId="HTML4">
    <w:name w:val="HTML Typewriter"/>
    <w:semiHidden/>
    <w:rsid w:val="004F759B"/>
    <w:rPr>
      <w:rFonts w:ascii="Consolas" w:hAnsi="Consolas" w:cs="Times New Roman"/>
      <w:sz w:val="20"/>
      <w:szCs w:val="20"/>
    </w:rPr>
  </w:style>
  <w:style w:type="paragraph" w:styleId="affff5">
    <w:name w:val="Document Map"/>
    <w:basedOn w:val="a1"/>
    <w:link w:val="affff6"/>
    <w:semiHidden/>
    <w:rsid w:val="004F759B"/>
    <w:rPr>
      <w:rFonts w:ascii="Tahoma" w:hAnsi="Tahoma" w:cs="Tahoma"/>
      <w:sz w:val="16"/>
      <w:szCs w:val="16"/>
    </w:rPr>
  </w:style>
  <w:style w:type="character" w:customStyle="1" w:styleId="affff6">
    <w:name w:val="מפת מסמך תו"/>
    <w:link w:val="affff5"/>
    <w:semiHidden/>
    <w:locked/>
    <w:rsid w:val="004F759B"/>
    <w:rPr>
      <w:rFonts w:ascii="Tahoma" w:hAnsi="Tahoma" w:cs="Tahoma"/>
      <w:sz w:val="16"/>
      <w:szCs w:val="16"/>
    </w:rPr>
  </w:style>
  <w:style w:type="character" w:styleId="HTML5">
    <w:name w:val="HTML Keyboard"/>
    <w:semiHidden/>
    <w:rsid w:val="004F759B"/>
    <w:rPr>
      <w:rFonts w:ascii="Consolas" w:hAnsi="Consolas" w:cs="Times New Roman"/>
      <w:sz w:val="20"/>
      <w:szCs w:val="20"/>
    </w:rPr>
  </w:style>
  <w:style w:type="paragraph" w:styleId="affff7">
    <w:name w:val="annotation subject"/>
    <w:basedOn w:val="a8"/>
    <w:next w:val="a8"/>
    <w:link w:val="affff8"/>
    <w:semiHidden/>
    <w:rsid w:val="004F759B"/>
    <w:rPr>
      <w:rFonts w:cs="David"/>
      <w:b/>
      <w:bCs/>
      <w:sz w:val="20"/>
      <w:szCs w:val="20"/>
    </w:rPr>
  </w:style>
  <w:style w:type="character" w:customStyle="1" w:styleId="a9">
    <w:name w:val="טקסט הערה תו"/>
    <w:link w:val="a8"/>
    <w:semiHidden/>
    <w:locked/>
    <w:rsid w:val="004F759B"/>
    <w:rPr>
      <w:rFonts w:cs="Times New Roman"/>
      <w:sz w:val="24"/>
      <w:szCs w:val="24"/>
    </w:rPr>
  </w:style>
  <w:style w:type="character" w:customStyle="1" w:styleId="affff8">
    <w:name w:val="נושא הערה תו"/>
    <w:link w:val="affff7"/>
    <w:semiHidden/>
    <w:locked/>
    <w:rsid w:val="004F759B"/>
    <w:rPr>
      <w:rFonts w:cs="David"/>
      <w:b/>
      <w:bCs/>
      <w:sz w:val="24"/>
      <w:szCs w:val="24"/>
    </w:rPr>
  </w:style>
  <w:style w:type="table" w:styleId="affff9">
    <w:name w:val="Table Theme"/>
    <w:basedOn w:val="a3"/>
    <w:semiHidden/>
    <w:rsid w:val="004F759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4F759B"/>
    <w:pPr>
      <w:ind w:left="4252"/>
    </w:pPr>
  </w:style>
  <w:style w:type="character" w:customStyle="1" w:styleId="affffb">
    <w:name w:val="סיום תו"/>
    <w:link w:val="affffa"/>
    <w:semiHidden/>
    <w:locked/>
    <w:rsid w:val="004F759B"/>
    <w:rPr>
      <w:rFonts w:cs="David"/>
      <w:sz w:val="24"/>
      <w:szCs w:val="24"/>
    </w:rPr>
  </w:style>
  <w:style w:type="table" w:styleId="1b">
    <w:name w:val="Table Columns 1"/>
    <w:basedOn w:val="a3"/>
    <w:semiHidden/>
    <w:rsid w:val="004F759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3">
    <w:name w:val="Table Columns 2"/>
    <w:basedOn w:val="a3"/>
    <w:semiHidden/>
    <w:rsid w:val="004F759B"/>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Columns 3"/>
    <w:basedOn w:val="a3"/>
    <w:semiHidden/>
    <w:rsid w:val="004F759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7">
    <w:name w:val="Table Columns 4"/>
    <w:basedOn w:val="a3"/>
    <w:semiHidden/>
    <w:rsid w:val="004F759B"/>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3"/>
    <w:semiHidden/>
    <w:rsid w:val="004F759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affffc">
    <w:name w:val="List Paragraph"/>
    <w:basedOn w:val="a1"/>
    <w:qFormat/>
    <w:rsid w:val="004F759B"/>
    <w:pPr>
      <w:ind w:left="720"/>
      <w:contextualSpacing/>
    </w:pPr>
  </w:style>
  <w:style w:type="paragraph" w:styleId="affffd">
    <w:name w:val="Quote"/>
    <w:basedOn w:val="a1"/>
    <w:next w:val="a1"/>
    <w:link w:val="affffe"/>
    <w:qFormat/>
    <w:rsid w:val="004F759B"/>
    <w:pPr>
      <w:spacing w:before="200" w:after="160"/>
      <w:ind w:left="864" w:right="864"/>
      <w:jc w:val="center"/>
    </w:pPr>
    <w:rPr>
      <w:i/>
      <w:iCs/>
      <w:color w:val="404040"/>
    </w:rPr>
  </w:style>
  <w:style w:type="character" w:customStyle="1" w:styleId="affffe">
    <w:name w:val="ציטוט תו"/>
    <w:link w:val="affffd"/>
    <w:locked/>
    <w:rsid w:val="004F759B"/>
    <w:rPr>
      <w:rFonts w:cs="David"/>
      <w:i/>
      <w:iCs/>
      <w:color w:val="404040"/>
      <w:sz w:val="24"/>
      <w:szCs w:val="24"/>
    </w:rPr>
  </w:style>
  <w:style w:type="paragraph" w:styleId="afffff">
    <w:name w:val="Intense Quote"/>
    <w:basedOn w:val="a1"/>
    <w:next w:val="a1"/>
    <w:link w:val="afffff0"/>
    <w:qFormat/>
    <w:rsid w:val="004F759B"/>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4F759B"/>
    <w:rPr>
      <w:rFonts w:cs="David"/>
      <w:i/>
      <w:iCs/>
      <w:color w:val="4F81BD"/>
      <w:sz w:val="24"/>
      <w:szCs w:val="24"/>
    </w:rPr>
  </w:style>
  <w:style w:type="character" w:styleId="HTML6">
    <w:name w:val="HTML Acronym"/>
    <w:semiHidden/>
    <w:rsid w:val="004F759B"/>
    <w:rPr>
      <w:rFonts w:cs="Times New Roman"/>
    </w:rPr>
  </w:style>
  <w:style w:type="paragraph" w:styleId="afffff1">
    <w:name w:val="List"/>
    <w:basedOn w:val="a1"/>
    <w:semiHidden/>
    <w:rsid w:val="004F759B"/>
    <w:pPr>
      <w:ind w:left="283" w:hanging="283"/>
      <w:contextualSpacing/>
    </w:pPr>
  </w:style>
  <w:style w:type="paragraph" w:styleId="2f4">
    <w:name w:val="List 2"/>
    <w:basedOn w:val="a1"/>
    <w:semiHidden/>
    <w:rsid w:val="004F759B"/>
    <w:pPr>
      <w:ind w:left="566" w:hanging="283"/>
      <w:contextualSpacing/>
    </w:pPr>
  </w:style>
  <w:style w:type="paragraph" w:styleId="3f0">
    <w:name w:val="List 3"/>
    <w:basedOn w:val="a1"/>
    <w:semiHidden/>
    <w:rsid w:val="004F759B"/>
    <w:pPr>
      <w:ind w:left="849" w:hanging="283"/>
      <w:contextualSpacing/>
    </w:pPr>
  </w:style>
  <w:style w:type="paragraph" w:styleId="48">
    <w:name w:val="List 4"/>
    <w:basedOn w:val="a1"/>
    <w:rsid w:val="004F759B"/>
    <w:pPr>
      <w:ind w:left="1132" w:hanging="283"/>
      <w:contextualSpacing/>
    </w:pPr>
  </w:style>
  <w:style w:type="paragraph" w:styleId="58">
    <w:name w:val="List 5"/>
    <w:basedOn w:val="a1"/>
    <w:rsid w:val="004F759B"/>
    <w:pPr>
      <w:ind w:left="1415" w:hanging="283"/>
      <w:contextualSpacing/>
    </w:pPr>
  </w:style>
  <w:style w:type="table" w:styleId="afffff2">
    <w:name w:val="Light List"/>
    <w:rsid w:val="004F759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4F759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4F759B"/>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4F759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4F759B"/>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4F759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4F759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c">
    <w:name w:val="Table List 1"/>
    <w:basedOn w:val="a3"/>
    <w:semiHidden/>
    <w:rsid w:val="004F759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5">
    <w:name w:val="Table List 2"/>
    <w:basedOn w:val="a3"/>
    <w:semiHidden/>
    <w:rsid w:val="004F759B"/>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List 3"/>
    <w:basedOn w:val="a3"/>
    <w:semiHidden/>
    <w:rsid w:val="004F759B"/>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9">
    <w:name w:val="Table List 4"/>
    <w:basedOn w:val="a3"/>
    <w:semiHidden/>
    <w:rsid w:val="004F759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4F759B"/>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3">
    <w:name w:val="Table List 6"/>
    <w:basedOn w:val="a3"/>
    <w:semiHidden/>
    <w:rsid w:val="004F759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3"/>
    <w:semiHidden/>
    <w:rsid w:val="004F759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4F759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1d">
    <w:name w:val="Medium List 1"/>
    <w:semiHidden/>
    <w:rsid w:val="004F759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4F759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4F759B"/>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4F759B"/>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4F759B"/>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4F759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4F759B"/>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6">
    <w:name w:val="Medium List 2"/>
    <w:semiHidden/>
    <w:rsid w:val="004F75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4F75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4F75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4F75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4F75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4F75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4F75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4F759B"/>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4F759B"/>
    <w:pPr>
      <w:numPr>
        <w:numId w:val="11"/>
      </w:numPr>
      <w:contextualSpacing/>
    </w:pPr>
  </w:style>
  <w:style w:type="paragraph" w:styleId="2">
    <w:name w:val="List Number 2"/>
    <w:basedOn w:val="a1"/>
    <w:semiHidden/>
    <w:rsid w:val="004F759B"/>
    <w:pPr>
      <w:numPr>
        <w:numId w:val="12"/>
      </w:numPr>
      <w:contextualSpacing/>
    </w:pPr>
  </w:style>
  <w:style w:type="paragraph" w:styleId="3">
    <w:name w:val="List Number 3"/>
    <w:basedOn w:val="a1"/>
    <w:semiHidden/>
    <w:rsid w:val="004F759B"/>
    <w:pPr>
      <w:numPr>
        <w:numId w:val="13"/>
      </w:numPr>
      <w:contextualSpacing/>
    </w:pPr>
  </w:style>
  <w:style w:type="paragraph" w:styleId="4">
    <w:name w:val="List Number 4"/>
    <w:basedOn w:val="a1"/>
    <w:semiHidden/>
    <w:rsid w:val="004F759B"/>
    <w:pPr>
      <w:numPr>
        <w:numId w:val="14"/>
      </w:numPr>
      <w:contextualSpacing/>
    </w:pPr>
  </w:style>
  <w:style w:type="paragraph" w:styleId="5">
    <w:name w:val="List Number 5"/>
    <w:basedOn w:val="a1"/>
    <w:semiHidden/>
    <w:rsid w:val="004F759B"/>
    <w:pPr>
      <w:numPr>
        <w:numId w:val="15"/>
      </w:numPr>
      <w:contextualSpacing/>
    </w:pPr>
  </w:style>
  <w:style w:type="paragraph" w:styleId="a0">
    <w:name w:val="List Bullet"/>
    <w:basedOn w:val="a1"/>
    <w:semiHidden/>
    <w:rsid w:val="004F759B"/>
    <w:pPr>
      <w:numPr>
        <w:numId w:val="16"/>
      </w:numPr>
      <w:contextualSpacing/>
    </w:pPr>
  </w:style>
  <w:style w:type="paragraph" w:styleId="20">
    <w:name w:val="List Bullet 2"/>
    <w:basedOn w:val="a1"/>
    <w:semiHidden/>
    <w:rsid w:val="004F759B"/>
    <w:pPr>
      <w:numPr>
        <w:numId w:val="17"/>
      </w:numPr>
      <w:contextualSpacing/>
    </w:pPr>
  </w:style>
  <w:style w:type="paragraph" w:styleId="30">
    <w:name w:val="List Bullet 3"/>
    <w:basedOn w:val="a1"/>
    <w:semiHidden/>
    <w:rsid w:val="004F759B"/>
    <w:pPr>
      <w:numPr>
        <w:numId w:val="18"/>
      </w:numPr>
      <w:contextualSpacing/>
    </w:pPr>
  </w:style>
  <w:style w:type="paragraph" w:styleId="40">
    <w:name w:val="List Bullet 4"/>
    <w:basedOn w:val="a1"/>
    <w:semiHidden/>
    <w:rsid w:val="004F759B"/>
    <w:pPr>
      <w:numPr>
        <w:numId w:val="19"/>
      </w:numPr>
      <w:contextualSpacing/>
    </w:pPr>
  </w:style>
  <w:style w:type="paragraph" w:styleId="50">
    <w:name w:val="List Bullet 5"/>
    <w:basedOn w:val="a1"/>
    <w:semiHidden/>
    <w:rsid w:val="004F759B"/>
    <w:pPr>
      <w:numPr>
        <w:numId w:val="20"/>
      </w:numPr>
      <w:contextualSpacing/>
    </w:pPr>
  </w:style>
  <w:style w:type="table" w:styleId="afffff4">
    <w:name w:val="Colorful List"/>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4F759B"/>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4F759B"/>
  </w:style>
  <w:style w:type="paragraph" w:styleId="afffff6">
    <w:name w:val="table of authorities"/>
    <w:basedOn w:val="a1"/>
    <w:next w:val="a1"/>
    <w:semiHidden/>
    <w:rsid w:val="004F759B"/>
    <w:pPr>
      <w:ind w:left="240" w:hanging="240"/>
    </w:pPr>
  </w:style>
  <w:style w:type="table" w:styleId="afffff7">
    <w:name w:val="Light Grid"/>
    <w:rsid w:val="004F759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4F759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4F759B"/>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4F759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4F759B"/>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4F759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4F759B"/>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4F759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e">
    <w:name w:val="Medium Grid 1"/>
    <w:semiHidden/>
    <w:rsid w:val="004F759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4F759B"/>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4F759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4F759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4F759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4F759B"/>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7">
    <w:name w:val="Medium Grid 2"/>
    <w:semiHidden/>
    <w:rsid w:val="004F759B"/>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4F759B"/>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4F759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4F759B"/>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4F759B"/>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4F759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4F759B"/>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2">
    <w:name w:val="Medium Grid 3"/>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4F759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f">
    <w:name w:val="Table Grid 1"/>
    <w:basedOn w:val="a3"/>
    <w:semiHidden/>
    <w:rsid w:val="004F759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8">
    <w:name w:val="Table Grid 2"/>
    <w:basedOn w:val="a3"/>
    <w:semiHidden/>
    <w:rsid w:val="004F759B"/>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3">
    <w:name w:val="Table Grid 3"/>
    <w:basedOn w:val="a3"/>
    <w:semiHidden/>
    <w:rsid w:val="004F759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a">
    <w:name w:val="Table Grid 4"/>
    <w:basedOn w:val="a3"/>
    <w:semiHidden/>
    <w:rsid w:val="004F759B"/>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a">
    <w:name w:val="Table Grid 5"/>
    <w:basedOn w:val="a3"/>
    <w:semiHidden/>
    <w:rsid w:val="004F759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4">
    <w:name w:val="Table Grid 6"/>
    <w:basedOn w:val="a3"/>
    <w:semiHidden/>
    <w:rsid w:val="004F759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4">
    <w:name w:val="Table Grid 7"/>
    <w:basedOn w:val="a3"/>
    <w:semiHidden/>
    <w:rsid w:val="004F759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4F759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4F759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4F759B"/>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4F759B"/>
  </w:style>
  <w:style w:type="character" w:customStyle="1" w:styleId="afffffa">
    <w:name w:val="תאריך תו"/>
    <w:link w:val="afffff9"/>
    <w:locked/>
    <w:rsid w:val="004F759B"/>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7791493"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86" TargetMode="External"/><Relationship Id="rId21" Type="http://schemas.openxmlformats.org/officeDocument/2006/relationships/hyperlink" Target="http://www.nevo.co.il/case/22112345"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2358844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86" TargetMode="External"/><Relationship Id="rId24" Type="http://schemas.openxmlformats.org/officeDocument/2006/relationships/hyperlink" Target="http://www.nevo.co.il/case/7791493" TargetMode="External"/><Relationship Id="rId32" Type="http://schemas.openxmlformats.org/officeDocument/2006/relationships/hyperlink" Target="http://www.nevo.co.il/case/25923515"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22607175" TargetMode="External"/><Relationship Id="rId28" Type="http://schemas.openxmlformats.org/officeDocument/2006/relationships/hyperlink" Target="http://www.nevo.co.il/case/21303448" TargetMode="External"/><Relationship Id="rId36"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852404" TargetMode="External"/><Relationship Id="rId31" Type="http://schemas.openxmlformats.org/officeDocument/2006/relationships/hyperlink" Target="http://www.nevo.co.il/case/24278714"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001830" TargetMode="External"/><Relationship Id="rId27" Type="http://schemas.openxmlformats.org/officeDocument/2006/relationships/hyperlink" Target="http://www.nevo.co.il/case/21778276" TargetMode="External"/><Relationship Id="rId30" Type="http://schemas.openxmlformats.org/officeDocument/2006/relationships/hyperlink" Target="http://www.nevo.co.il/case/25022775" TargetMode="External"/><Relationship Id="rId35" Type="http://schemas.openxmlformats.org/officeDocument/2006/relationships/hyperlink" Target="http://www.nevo.co.il/law/70301/hCaS" TargetMode="External"/><Relationship Id="rId43"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hCaS" TargetMode="External"/><Relationship Id="rId17" Type="http://schemas.openxmlformats.org/officeDocument/2006/relationships/hyperlink" Target="http://www.nevo.co.il/case/16913730"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safrut/bookgroup/2344" TargetMode="External"/><Relationship Id="rId38" Type="http://schemas.openxmlformats.org/officeDocument/2006/relationships/hyperlink" Target="http://www.nevo.co.il/law/70301/144.a" TargetMode="External"/><Relationship Id="rId46" Type="http://schemas.openxmlformats.org/officeDocument/2006/relationships/theme" Target="theme/theme1.xml"/><Relationship Id="rId20" Type="http://schemas.openxmlformats.org/officeDocument/2006/relationships/hyperlink" Target="http://www.nevo.co.il/case/600018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3207</Words>
  <Characters>16039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19208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4522076</vt:i4>
      </vt:variant>
      <vt:variant>
        <vt:i4>81</vt:i4>
      </vt:variant>
      <vt:variant>
        <vt:i4>0</vt:i4>
      </vt:variant>
      <vt:variant>
        <vt:i4>5</vt:i4>
      </vt:variant>
      <vt:variant>
        <vt:lpwstr>http://www.nevo.co.il/law/70301/hCaS</vt:lpwstr>
      </vt:variant>
      <vt:variant>
        <vt:lpwstr/>
      </vt:variant>
      <vt:variant>
        <vt:i4>7995492</vt:i4>
      </vt:variant>
      <vt:variant>
        <vt:i4>78</vt:i4>
      </vt:variant>
      <vt:variant>
        <vt:i4>0</vt:i4>
      </vt:variant>
      <vt:variant>
        <vt:i4>5</vt:i4>
      </vt:variant>
      <vt:variant>
        <vt:lpwstr>http://www.nevo.co.il/law/70301</vt:lpwstr>
      </vt:variant>
      <vt:variant>
        <vt:lpwstr/>
      </vt:variant>
      <vt:variant>
        <vt:i4>2097195</vt:i4>
      </vt:variant>
      <vt:variant>
        <vt:i4>75</vt:i4>
      </vt:variant>
      <vt:variant>
        <vt:i4>0</vt:i4>
      </vt:variant>
      <vt:variant>
        <vt:i4>5</vt:i4>
      </vt:variant>
      <vt:variant>
        <vt:lpwstr>http://www.nevo.co.il/safrut/bookgroup/2344</vt:lpwstr>
      </vt:variant>
      <vt:variant>
        <vt:lpwstr/>
      </vt:variant>
      <vt:variant>
        <vt:i4>3735670</vt:i4>
      </vt:variant>
      <vt:variant>
        <vt:i4>72</vt:i4>
      </vt:variant>
      <vt:variant>
        <vt:i4>0</vt:i4>
      </vt:variant>
      <vt:variant>
        <vt:i4>5</vt:i4>
      </vt:variant>
      <vt:variant>
        <vt:lpwstr>http://www.nevo.co.il/case/25923515</vt:lpwstr>
      </vt:variant>
      <vt:variant>
        <vt:lpwstr/>
      </vt:variant>
      <vt:variant>
        <vt:i4>3735664</vt:i4>
      </vt:variant>
      <vt:variant>
        <vt:i4>69</vt:i4>
      </vt:variant>
      <vt:variant>
        <vt:i4>0</vt:i4>
      </vt:variant>
      <vt:variant>
        <vt:i4>5</vt:i4>
      </vt:variant>
      <vt:variant>
        <vt:lpwstr>http://www.nevo.co.il/case/24278714</vt:lpwstr>
      </vt:variant>
      <vt:variant>
        <vt:lpwstr/>
      </vt:variant>
      <vt:variant>
        <vt:i4>3604596</vt:i4>
      </vt:variant>
      <vt:variant>
        <vt:i4>66</vt:i4>
      </vt:variant>
      <vt:variant>
        <vt:i4>0</vt:i4>
      </vt:variant>
      <vt:variant>
        <vt:i4>5</vt:i4>
      </vt:variant>
      <vt:variant>
        <vt:lpwstr>http://www.nevo.co.il/case/25022775</vt:lpwstr>
      </vt:variant>
      <vt:variant>
        <vt:lpwstr/>
      </vt:variant>
      <vt:variant>
        <vt:i4>3866747</vt:i4>
      </vt:variant>
      <vt:variant>
        <vt:i4>63</vt:i4>
      </vt:variant>
      <vt:variant>
        <vt:i4>0</vt:i4>
      </vt:variant>
      <vt:variant>
        <vt:i4>5</vt:i4>
      </vt:variant>
      <vt:variant>
        <vt:lpwstr>http://www.nevo.co.il/case/23588441</vt:lpwstr>
      </vt:variant>
      <vt:variant>
        <vt:lpwstr/>
      </vt:variant>
      <vt:variant>
        <vt:i4>3539057</vt:i4>
      </vt:variant>
      <vt:variant>
        <vt:i4>60</vt:i4>
      </vt:variant>
      <vt:variant>
        <vt:i4>0</vt:i4>
      </vt:variant>
      <vt:variant>
        <vt:i4>5</vt:i4>
      </vt:variant>
      <vt:variant>
        <vt:lpwstr>http://www.nevo.co.il/case/21303448</vt:lpwstr>
      </vt:variant>
      <vt:variant>
        <vt:lpwstr/>
      </vt:variant>
      <vt:variant>
        <vt:i4>3801200</vt:i4>
      </vt:variant>
      <vt:variant>
        <vt:i4>57</vt:i4>
      </vt:variant>
      <vt:variant>
        <vt:i4>0</vt:i4>
      </vt:variant>
      <vt:variant>
        <vt:i4>5</vt:i4>
      </vt:variant>
      <vt:variant>
        <vt:lpwstr>http://www.nevo.co.il/case/21778276</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3407991</vt:i4>
      </vt:variant>
      <vt:variant>
        <vt:i4>45</vt:i4>
      </vt:variant>
      <vt:variant>
        <vt:i4>0</vt:i4>
      </vt:variant>
      <vt:variant>
        <vt:i4>5</vt:i4>
      </vt:variant>
      <vt:variant>
        <vt:lpwstr>http://www.nevo.co.il/case/22607175</vt:lpwstr>
      </vt:variant>
      <vt:variant>
        <vt:lpwstr/>
      </vt:variant>
      <vt:variant>
        <vt:i4>3145854</vt:i4>
      </vt:variant>
      <vt:variant>
        <vt:i4>42</vt:i4>
      </vt:variant>
      <vt:variant>
        <vt:i4>0</vt:i4>
      </vt:variant>
      <vt:variant>
        <vt:i4>5</vt:i4>
      </vt:variant>
      <vt:variant>
        <vt:lpwstr>http://www.nevo.co.il/case/22001830</vt:lpwstr>
      </vt:variant>
      <vt:variant>
        <vt:lpwstr/>
      </vt:variant>
      <vt:variant>
        <vt:i4>3473524</vt:i4>
      </vt:variant>
      <vt:variant>
        <vt:i4>39</vt:i4>
      </vt:variant>
      <vt:variant>
        <vt:i4>0</vt:i4>
      </vt:variant>
      <vt:variant>
        <vt:i4>5</vt:i4>
      </vt:variant>
      <vt:variant>
        <vt:lpwstr>http://www.nevo.co.il/case/22112345</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4522076</vt:i4>
      </vt:variant>
      <vt:variant>
        <vt:i4>12</vt:i4>
      </vt:variant>
      <vt:variant>
        <vt:i4>0</vt:i4>
      </vt:variant>
      <vt:variant>
        <vt:i4>5</vt:i4>
      </vt:variant>
      <vt:variant>
        <vt:lpwstr>http://www.nevo.co.il/law/70301/hCaS</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19242</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חליל בן סלימאן אלבלוי</vt:lpwstr>
  </property>
  <property fmtid="{D5CDD505-2E9C-101B-9397-08002B2CF9AE}" pid="10" name="LAWYER">
    <vt:lpwstr>אסיל אמון קאסם;נועם אליגון;ארז שלו</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20191028</vt:lpwstr>
  </property>
  <property fmtid="{D5CDD505-2E9C-101B-9397-08002B2CF9AE}" pid="14" name="TYPE_N_DATE">
    <vt:lpwstr>38020191028</vt:lpwstr>
  </property>
  <property fmtid="{D5CDD505-2E9C-101B-9397-08002B2CF9AE}" pid="15" name="WORDNUMPAGES">
    <vt:lpwstr>11</vt:lpwstr>
  </property>
  <property fmtid="{D5CDD505-2E9C-101B-9397-08002B2CF9AE}" pid="16" name="TYPE_ABS_DATE">
    <vt:lpwstr>380120191028</vt:lpwstr>
  </property>
  <property fmtid="{D5CDD505-2E9C-101B-9397-08002B2CF9AE}" pid="17" name="ISABSTRACT">
    <vt:lpwstr>Y</vt:lpwstr>
  </property>
  <property fmtid="{D5CDD505-2E9C-101B-9397-08002B2CF9AE}" pid="18" name="PADIMAIL">
    <vt:lpwstr>YES</vt:lpwstr>
  </property>
  <property fmtid="{D5CDD505-2E9C-101B-9397-08002B2CF9AE}" pid="19" name="NOSE1ID">
    <vt:lpwstr>77</vt:lpwstr>
  </property>
  <property fmtid="{D5CDD505-2E9C-101B-9397-08002B2CF9AE}" pid="20" name="NOSE2ID">
    <vt:lpwstr>1446</vt:lpwstr>
  </property>
  <property fmtid="{D5CDD505-2E9C-101B-9397-08002B2CF9AE}" pid="21" name="NOSE3ID">
    <vt:lpwstr>12553</vt:lpwstr>
  </property>
  <property fmtid="{D5CDD505-2E9C-101B-9397-08002B2CF9AE}" pid="22" name="NOSE11">
    <vt:lpwstr>עונשין</vt:lpwstr>
  </property>
  <property fmtid="{D5CDD505-2E9C-101B-9397-08002B2CF9AE}" pid="23" name="NOSE21">
    <vt:lpwstr>ענישה</vt:lpwstr>
  </property>
  <property fmtid="{D5CDD505-2E9C-101B-9397-08002B2CF9AE}" pid="24" name="NOSE31">
    <vt:lpwstr>מדיניות ענישה: החזקת נשק</vt:lpwstr>
  </property>
  <property fmtid="{D5CDD505-2E9C-101B-9397-08002B2CF9AE}" pid="25" name="PADIDATE">
    <vt:lpwstr>20191106</vt:lpwstr>
  </property>
  <property fmtid="{D5CDD505-2E9C-101B-9397-08002B2CF9AE}" pid="26" name="METAKZER">
    <vt:lpwstr>שירי</vt:lpwstr>
  </property>
  <property fmtid="{D5CDD505-2E9C-101B-9397-08002B2CF9AE}" pid="27" name="CASESLISTTMP1">
    <vt:lpwstr>16913730;7791493:2;5852404;6000182;22112345;22001830;22607175;21778276;21303448;23588441;25022775;24278714;25923515</vt:lpwstr>
  </property>
  <property fmtid="{D5CDD505-2E9C-101B-9397-08002B2CF9AE}" pid="28" name="BOOKGROUPTMP1">
    <vt:lpwstr/>
  </property>
  <property fmtid="{D5CDD505-2E9C-101B-9397-08002B2CF9AE}" pid="29" name="NOBOOKNEVO">
    <vt:lpwstr>2344</vt:lpwstr>
  </property>
  <property fmtid="{D5CDD505-2E9C-101B-9397-08002B2CF9AE}" pid="30" name="LAWLISTTMP1">
    <vt:lpwstr>70301/144.a:3;144.b;hCaS;186</vt:lpwstr>
  </property>
</Properties>
</file>