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5B50E9" w:rsidRPr="009C1883" w14:paraId="1C00F9DF" w14:textId="77777777" w:rsidTr="007663F9">
        <w:trPr>
          <w:trHeight w:hRule="exact" w:val="704"/>
          <w:jc w:val="center"/>
        </w:trPr>
        <w:tc>
          <w:tcPr>
            <w:tcW w:w="8721" w:type="dxa"/>
            <w:gridSpan w:val="2"/>
          </w:tcPr>
          <w:p w14:paraId="458B5C49" w14:textId="77777777" w:rsidR="005B50E9" w:rsidRPr="009C1883" w:rsidRDefault="005B50E9" w:rsidP="007663F9">
            <w:pPr>
              <w:pStyle w:val="a3"/>
              <w:jc w:val="center"/>
              <w:rPr>
                <w:rFonts w:ascii="Tahoma" w:hAnsi="Tahoma" w:cs="Tahoma"/>
                <w:b/>
                <w:bCs/>
                <w:color w:val="000080"/>
                <w:rtl/>
              </w:rPr>
            </w:pPr>
            <w:bookmarkStart w:id="0" w:name="FirstLawyer"/>
            <w:bookmarkStart w:id="1" w:name="LastJudge"/>
            <w:r w:rsidRPr="009C1883">
              <w:rPr>
                <w:rFonts w:ascii="Tahoma" w:hAnsi="Tahoma" w:cs="Tahoma"/>
                <w:b/>
                <w:bCs/>
                <w:color w:val="000080"/>
                <w:rtl/>
              </w:rPr>
              <w:t>בית משפט השלום בבאר שבע</w:t>
            </w:r>
          </w:p>
          <w:p w14:paraId="0E6035EA" w14:textId="77777777" w:rsidR="005B50E9" w:rsidRPr="009C1883" w:rsidRDefault="005B50E9" w:rsidP="007663F9">
            <w:pPr>
              <w:pStyle w:val="a3"/>
              <w:jc w:val="center"/>
              <w:rPr>
                <w:rFonts w:ascii="Tahoma" w:hAnsi="Tahoma" w:cs="Tahoma"/>
                <w:color w:val="000080"/>
                <w:rtl/>
              </w:rPr>
            </w:pPr>
          </w:p>
        </w:tc>
      </w:tr>
      <w:tr w:rsidR="005B50E9" w:rsidRPr="009C1883" w14:paraId="7082067A" w14:textId="77777777" w:rsidTr="007663F9">
        <w:trPr>
          <w:trHeight w:val="337"/>
          <w:jc w:val="center"/>
        </w:trPr>
        <w:tc>
          <w:tcPr>
            <w:tcW w:w="4473" w:type="dxa"/>
          </w:tcPr>
          <w:p w14:paraId="6C7EABC3" w14:textId="77777777" w:rsidR="005B50E9" w:rsidRPr="009C1883" w:rsidRDefault="005B50E9" w:rsidP="007663F9">
            <w:pPr>
              <w:rPr>
                <w:b/>
                <w:bCs/>
                <w:sz w:val="26"/>
                <w:szCs w:val="26"/>
                <w:rtl/>
              </w:rPr>
            </w:pPr>
          </w:p>
        </w:tc>
        <w:tc>
          <w:tcPr>
            <w:tcW w:w="4248" w:type="dxa"/>
          </w:tcPr>
          <w:p w14:paraId="52904A2E" w14:textId="77777777" w:rsidR="005B50E9" w:rsidRPr="009C1883" w:rsidRDefault="005B50E9" w:rsidP="007663F9">
            <w:pPr>
              <w:pStyle w:val="a3"/>
              <w:jc w:val="right"/>
              <w:rPr>
                <w:b/>
                <w:bCs/>
                <w:sz w:val="26"/>
                <w:szCs w:val="26"/>
                <w:rtl/>
              </w:rPr>
            </w:pPr>
            <w:r w:rsidRPr="009C1883">
              <w:rPr>
                <w:rFonts w:hint="cs"/>
                <w:b/>
                <w:bCs/>
                <w:sz w:val="26"/>
                <w:szCs w:val="26"/>
                <w:rtl/>
              </w:rPr>
              <w:t>ב' ניסן תשפ"א</w:t>
            </w:r>
          </w:p>
          <w:p w14:paraId="047AA7BF" w14:textId="77777777" w:rsidR="005B50E9" w:rsidRPr="009C1883" w:rsidRDefault="005B50E9" w:rsidP="007663F9">
            <w:pPr>
              <w:pStyle w:val="a3"/>
              <w:jc w:val="right"/>
              <w:rPr>
                <w:b/>
                <w:bCs/>
                <w:sz w:val="26"/>
                <w:szCs w:val="26"/>
                <w:rtl/>
              </w:rPr>
            </w:pPr>
            <w:r w:rsidRPr="009C1883">
              <w:rPr>
                <w:rFonts w:hint="cs"/>
                <w:b/>
                <w:bCs/>
                <w:sz w:val="26"/>
                <w:szCs w:val="26"/>
                <w:rtl/>
              </w:rPr>
              <w:t>15 מרץ 2021</w:t>
            </w:r>
          </w:p>
        </w:tc>
      </w:tr>
      <w:tr w:rsidR="005B50E9" w:rsidRPr="009C1883" w14:paraId="123FA474" w14:textId="77777777" w:rsidTr="007663F9">
        <w:trPr>
          <w:trHeight w:val="337"/>
          <w:jc w:val="center"/>
        </w:trPr>
        <w:tc>
          <w:tcPr>
            <w:tcW w:w="8721" w:type="dxa"/>
            <w:gridSpan w:val="2"/>
          </w:tcPr>
          <w:p w14:paraId="473F6A16" w14:textId="77777777" w:rsidR="005B50E9" w:rsidRPr="009C1883" w:rsidRDefault="009C1883" w:rsidP="007663F9">
            <w:pPr>
              <w:rPr>
                <w:b/>
                <w:bCs/>
                <w:sz w:val="26"/>
                <w:szCs w:val="26"/>
                <w:rtl/>
              </w:rPr>
            </w:pPr>
            <w:hyperlink r:id="rId7" w:history="1">
              <w:r w:rsidRPr="009C1883">
                <w:rPr>
                  <w:b/>
                  <w:bCs/>
                  <w:color w:val="0000FF"/>
                  <w:sz w:val="26"/>
                  <w:szCs w:val="26"/>
                  <w:u w:val="single"/>
                  <w:rtl/>
                </w:rPr>
                <w:t>ת"פ 52091-02-20</w:t>
              </w:r>
            </w:hyperlink>
            <w:r w:rsidR="005B50E9" w:rsidRPr="009C1883">
              <w:rPr>
                <w:b/>
                <w:bCs/>
                <w:sz w:val="26"/>
                <w:szCs w:val="26"/>
                <w:rtl/>
              </w:rPr>
              <w:t xml:space="preserve"> מדינת ישראל נ' אל אעסם</w:t>
            </w:r>
          </w:p>
          <w:p w14:paraId="66D599E4" w14:textId="77777777" w:rsidR="005B50E9" w:rsidRPr="009C1883" w:rsidRDefault="005B50E9" w:rsidP="007663F9">
            <w:pPr>
              <w:rPr>
                <w:rtl/>
              </w:rPr>
            </w:pPr>
          </w:p>
          <w:p w14:paraId="2B7DC01B" w14:textId="77777777" w:rsidR="005B50E9" w:rsidRPr="009C1883" w:rsidRDefault="005B50E9" w:rsidP="007663F9">
            <w:pPr>
              <w:rPr>
                <w:rtl/>
              </w:rPr>
            </w:pPr>
            <w:r w:rsidRPr="009C1883">
              <w:rPr>
                <w:rFonts w:hint="cs"/>
                <w:sz w:val="20"/>
                <w:szCs w:val="20"/>
                <w:rtl/>
              </w:rPr>
              <w:t>תיק חיצוני</w:t>
            </w:r>
            <w:r w:rsidRPr="009C1883">
              <w:rPr>
                <w:rFonts w:hint="cs"/>
                <w:rtl/>
              </w:rPr>
              <w:t xml:space="preserve">: </w:t>
            </w:r>
            <w:r w:rsidRPr="009C1883">
              <w:rPr>
                <w:sz w:val="20"/>
                <w:szCs w:val="20"/>
              </w:rPr>
              <w:t>69999/2020</w:t>
            </w:r>
          </w:p>
        </w:tc>
      </w:tr>
    </w:tbl>
    <w:p w14:paraId="2E94A50C" w14:textId="77777777" w:rsidR="005B50E9" w:rsidRPr="009C1883" w:rsidRDefault="005B50E9" w:rsidP="005B50E9">
      <w:pPr>
        <w:pStyle w:val="a3"/>
        <w:rPr>
          <w:rtl/>
        </w:rPr>
      </w:pPr>
      <w:r w:rsidRPr="009C1883">
        <w:rPr>
          <w:rtl/>
        </w:rPr>
        <w:t xml:space="preserve"> </w:t>
      </w:r>
    </w:p>
    <w:p w14:paraId="178C8BF6" w14:textId="77777777" w:rsidR="005B50E9" w:rsidRPr="009C1883" w:rsidRDefault="005B50E9" w:rsidP="005B50E9">
      <w:pPr>
        <w:suppressLineNumbers/>
        <w:rPr>
          <w:rtl/>
        </w:rPr>
      </w:pPr>
    </w:p>
    <w:p w14:paraId="05E2249A" w14:textId="77777777" w:rsidR="005B50E9" w:rsidRPr="009C1883" w:rsidRDefault="005B50E9" w:rsidP="005B50E9">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5B50E9" w:rsidRPr="009C1883" w14:paraId="354C2F41" w14:textId="77777777" w:rsidTr="005B50E9">
        <w:trPr>
          <w:jc w:val="center"/>
        </w:trPr>
        <w:tc>
          <w:tcPr>
            <w:tcW w:w="743" w:type="dxa"/>
            <w:shd w:val="clear" w:color="auto" w:fill="auto"/>
          </w:tcPr>
          <w:p w14:paraId="4FA2DF51" w14:textId="77777777" w:rsidR="005B50E9" w:rsidRPr="009C1883" w:rsidRDefault="005B50E9" w:rsidP="005B50E9">
            <w:pPr>
              <w:jc w:val="both"/>
              <w:rPr>
                <w:rFonts w:ascii="Arial" w:hAnsi="Arial"/>
                <w:b/>
                <w:bCs/>
              </w:rPr>
            </w:pPr>
            <w:r w:rsidRPr="009C1883">
              <w:rPr>
                <w:rFonts w:ascii="Arial" w:hAnsi="Arial" w:hint="cs"/>
                <w:b/>
                <w:bCs/>
                <w:rtl/>
              </w:rPr>
              <w:t>לפני</w:t>
            </w:r>
          </w:p>
        </w:tc>
        <w:tc>
          <w:tcPr>
            <w:tcW w:w="8077" w:type="dxa"/>
            <w:gridSpan w:val="2"/>
            <w:shd w:val="clear" w:color="auto" w:fill="auto"/>
          </w:tcPr>
          <w:p w14:paraId="365E092F" w14:textId="77777777" w:rsidR="005B50E9" w:rsidRPr="009C1883" w:rsidRDefault="005B50E9" w:rsidP="007663F9">
            <w:pPr>
              <w:rPr>
                <w:rFonts w:ascii="Arial" w:hAnsi="Arial"/>
                <w:b/>
                <w:bCs/>
                <w:rtl/>
              </w:rPr>
            </w:pPr>
            <w:r w:rsidRPr="009C1883">
              <w:rPr>
                <w:rFonts w:ascii="Arial" w:hAnsi="Arial" w:hint="cs"/>
                <w:b/>
                <w:bCs/>
                <w:rtl/>
              </w:rPr>
              <w:t>כב' ה</w:t>
            </w:r>
            <w:r w:rsidRPr="009C1883">
              <w:rPr>
                <w:rFonts w:ascii="Arial" w:hAnsi="Arial"/>
                <w:b/>
                <w:bCs/>
                <w:rtl/>
              </w:rPr>
              <w:t>שופט</w:t>
            </w:r>
            <w:r w:rsidRPr="009C1883">
              <w:rPr>
                <w:rFonts w:ascii="Arial" w:hAnsi="Arial" w:hint="cs"/>
                <w:b/>
                <w:bCs/>
                <w:rtl/>
              </w:rPr>
              <w:t xml:space="preserve">  </w:t>
            </w:r>
            <w:r w:rsidRPr="009C1883">
              <w:rPr>
                <w:rFonts w:ascii="Arial" w:hAnsi="Arial"/>
                <w:b/>
                <w:bCs/>
                <w:rtl/>
              </w:rPr>
              <w:t>רון סולקין</w:t>
            </w:r>
          </w:p>
          <w:p w14:paraId="509312FC" w14:textId="77777777" w:rsidR="005B50E9" w:rsidRPr="009C1883" w:rsidRDefault="005B50E9" w:rsidP="007663F9">
            <w:pPr>
              <w:rPr>
                <w:rFonts w:ascii="Arial" w:hAnsi="Arial" w:cs="FrankRuehl"/>
                <w:sz w:val="28"/>
                <w:szCs w:val="28"/>
                <w:highlight w:val="yellow"/>
              </w:rPr>
            </w:pPr>
          </w:p>
        </w:tc>
      </w:tr>
      <w:tr w:rsidR="005B50E9" w:rsidRPr="009C1883" w14:paraId="54553DD3" w14:textId="77777777" w:rsidTr="005B50E9">
        <w:trPr>
          <w:jc w:val="center"/>
        </w:trPr>
        <w:tc>
          <w:tcPr>
            <w:tcW w:w="3249" w:type="dxa"/>
            <w:gridSpan w:val="2"/>
            <w:shd w:val="clear" w:color="auto" w:fill="auto"/>
          </w:tcPr>
          <w:p w14:paraId="46BDA50F" w14:textId="77777777" w:rsidR="005B50E9" w:rsidRPr="009C1883" w:rsidRDefault="005B50E9" w:rsidP="005B50E9">
            <w:pPr>
              <w:bidi w:val="0"/>
              <w:jc w:val="right"/>
              <w:rPr>
                <w:rFonts w:ascii="Arial" w:hAnsi="Arial"/>
                <w:b/>
                <w:bCs/>
                <w:sz w:val="26"/>
                <w:szCs w:val="26"/>
                <w:rtl/>
              </w:rPr>
            </w:pPr>
            <w:bookmarkStart w:id="2" w:name="FirstAppellant"/>
            <w:r w:rsidRPr="009C1883">
              <w:rPr>
                <w:rFonts w:ascii="Arial" w:hAnsi="Arial" w:hint="cs"/>
                <w:b/>
                <w:bCs/>
                <w:sz w:val="26"/>
                <w:szCs w:val="26"/>
                <w:rtl/>
              </w:rPr>
              <w:t>המאשימה</w:t>
            </w:r>
          </w:p>
        </w:tc>
        <w:tc>
          <w:tcPr>
            <w:tcW w:w="5571" w:type="dxa"/>
            <w:shd w:val="clear" w:color="auto" w:fill="auto"/>
          </w:tcPr>
          <w:p w14:paraId="7471FF1F" w14:textId="77777777" w:rsidR="005B50E9" w:rsidRPr="009C1883" w:rsidRDefault="005B50E9" w:rsidP="007663F9">
            <w:pPr>
              <w:rPr>
                <w:b/>
                <w:bCs/>
                <w:sz w:val="26"/>
                <w:szCs w:val="26"/>
              </w:rPr>
            </w:pPr>
            <w:r w:rsidRPr="009C1883">
              <w:rPr>
                <w:rFonts w:ascii="Arial" w:hAnsi="Arial"/>
                <w:b/>
                <w:bCs/>
                <w:sz w:val="26"/>
                <w:szCs w:val="26"/>
                <w:rtl/>
              </w:rPr>
              <w:t>מדינת ישראל</w:t>
            </w:r>
            <w:r w:rsidRPr="009C1883">
              <w:rPr>
                <w:b/>
                <w:bCs/>
                <w:rtl/>
              </w:rPr>
              <w:t xml:space="preserve"> – פמ"</w:t>
            </w:r>
            <w:r w:rsidRPr="009C1883">
              <w:rPr>
                <w:rFonts w:hint="cs"/>
                <w:b/>
                <w:bCs/>
                <w:rtl/>
              </w:rPr>
              <w:t>ד</w:t>
            </w:r>
            <w:r w:rsidRPr="009C1883">
              <w:rPr>
                <w:b/>
                <w:bCs/>
                <w:rtl/>
              </w:rPr>
              <w:br/>
            </w:r>
            <w:r w:rsidRPr="009C1883">
              <w:rPr>
                <w:rFonts w:hint="cs"/>
                <w:b/>
                <w:bCs/>
                <w:rtl/>
              </w:rPr>
              <w:t>ע"י ב"כ המתמחה ספיר אסרף טטואני</w:t>
            </w:r>
          </w:p>
        </w:tc>
      </w:tr>
      <w:bookmarkEnd w:id="2"/>
      <w:tr w:rsidR="005B50E9" w:rsidRPr="009C1883" w14:paraId="129132A9" w14:textId="77777777" w:rsidTr="005B50E9">
        <w:trPr>
          <w:jc w:val="center"/>
        </w:trPr>
        <w:tc>
          <w:tcPr>
            <w:tcW w:w="8820" w:type="dxa"/>
            <w:gridSpan w:val="3"/>
            <w:shd w:val="clear" w:color="auto" w:fill="auto"/>
          </w:tcPr>
          <w:p w14:paraId="6531A157" w14:textId="77777777" w:rsidR="005B50E9" w:rsidRPr="009C1883" w:rsidRDefault="005B50E9" w:rsidP="007663F9">
            <w:pPr>
              <w:rPr>
                <w:rFonts w:ascii="Arial" w:hAnsi="Arial"/>
                <w:b/>
                <w:bCs/>
                <w:sz w:val="26"/>
                <w:szCs w:val="26"/>
                <w:rtl/>
              </w:rPr>
            </w:pPr>
          </w:p>
          <w:p w14:paraId="3C0770B4" w14:textId="77777777" w:rsidR="005B50E9" w:rsidRPr="009C1883" w:rsidRDefault="005B50E9" w:rsidP="005B50E9">
            <w:pPr>
              <w:jc w:val="center"/>
              <w:rPr>
                <w:rFonts w:ascii="Arial" w:hAnsi="Arial"/>
                <w:b/>
                <w:bCs/>
                <w:sz w:val="26"/>
                <w:szCs w:val="26"/>
                <w:rtl/>
              </w:rPr>
            </w:pPr>
            <w:r w:rsidRPr="009C1883">
              <w:rPr>
                <w:rFonts w:ascii="Arial" w:hAnsi="Arial"/>
                <w:b/>
                <w:bCs/>
                <w:sz w:val="26"/>
                <w:szCs w:val="26"/>
                <w:rtl/>
              </w:rPr>
              <w:t>נגד</w:t>
            </w:r>
          </w:p>
          <w:p w14:paraId="047B8B07" w14:textId="77777777" w:rsidR="005B50E9" w:rsidRPr="009C1883" w:rsidRDefault="005B50E9" w:rsidP="007663F9">
            <w:pPr>
              <w:rPr>
                <w:rFonts w:ascii="Arial" w:hAnsi="Arial"/>
                <w:b/>
                <w:bCs/>
                <w:sz w:val="26"/>
                <w:szCs w:val="26"/>
              </w:rPr>
            </w:pPr>
          </w:p>
        </w:tc>
      </w:tr>
      <w:tr w:rsidR="005B50E9" w:rsidRPr="009C1883" w14:paraId="392EAD3E" w14:textId="77777777" w:rsidTr="005B50E9">
        <w:trPr>
          <w:jc w:val="center"/>
        </w:trPr>
        <w:tc>
          <w:tcPr>
            <w:tcW w:w="3249" w:type="dxa"/>
            <w:gridSpan w:val="2"/>
            <w:shd w:val="clear" w:color="auto" w:fill="auto"/>
          </w:tcPr>
          <w:p w14:paraId="675129D3" w14:textId="77777777" w:rsidR="005B50E9" w:rsidRPr="009C1883" w:rsidRDefault="005B50E9" w:rsidP="007663F9">
            <w:pPr>
              <w:rPr>
                <w:rFonts w:ascii="Arial" w:hAnsi="Arial"/>
                <w:b/>
                <w:bCs/>
                <w:sz w:val="26"/>
                <w:szCs w:val="26"/>
              </w:rPr>
            </w:pPr>
            <w:r w:rsidRPr="009C1883">
              <w:rPr>
                <w:rFonts w:ascii="Arial" w:hAnsi="Arial" w:hint="cs"/>
                <w:b/>
                <w:bCs/>
                <w:sz w:val="26"/>
                <w:szCs w:val="26"/>
                <w:rtl/>
              </w:rPr>
              <w:t>הנאשם</w:t>
            </w:r>
          </w:p>
        </w:tc>
        <w:tc>
          <w:tcPr>
            <w:tcW w:w="5571" w:type="dxa"/>
            <w:shd w:val="clear" w:color="auto" w:fill="auto"/>
          </w:tcPr>
          <w:p w14:paraId="2FBE78D7" w14:textId="77777777" w:rsidR="005B50E9" w:rsidRPr="009C1883" w:rsidRDefault="005B50E9" w:rsidP="007663F9">
            <w:pPr>
              <w:rPr>
                <w:b/>
                <w:bCs/>
                <w:sz w:val="26"/>
                <w:szCs w:val="26"/>
                <w:rtl/>
              </w:rPr>
            </w:pPr>
            <w:r w:rsidRPr="009C1883">
              <w:rPr>
                <w:rFonts w:ascii="Arial" w:hAnsi="Arial"/>
                <w:b/>
                <w:bCs/>
                <w:sz w:val="26"/>
                <w:szCs w:val="26"/>
                <w:rtl/>
              </w:rPr>
              <w:t xml:space="preserve">דהן </w:t>
            </w:r>
            <w:r w:rsidRPr="009C1883">
              <w:rPr>
                <w:rFonts w:ascii="Arial" w:hAnsi="Arial" w:hint="cs"/>
                <w:b/>
                <w:bCs/>
                <w:sz w:val="26"/>
                <w:szCs w:val="26"/>
                <w:rtl/>
              </w:rPr>
              <w:t xml:space="preserve">בן מחמד </w:t>
            </w:r>
            <w:r w:rsidRPr="009C1883">
              <w:rPr>
                <w:rFonts w:ascii="Arial" w:hAnsi="Arial"/>
                <w:b/>
                <w:bCs/>
                <w:sz w:val="26"/>
                <w:szCs w:val="26"/>
                <w:rtl/>
              </w:rPr>
              <w:t>אל אעסם</w:t>
            </w:r>
            <w:r w:rsidRPr="009C1883">
              <w:rPr>
                <w:rFonts w:ascii="Arial" w:hAnsi="Arial"/>
                <w:b/>
                <w:bCs/>
                <w:sz w:val="26"/>
                <w:szCs w:val="26"/>
                <w:rtl/>
              </w:rPr>
              <w:br/>
            </w:r>
            <w:r w:rsidRPr="009C1883">
              <w:rPr>
                <w:rFonts w:hint="cs"/>
                <w:b/>
                <w:bCs/>
                <w:rtl/>
              </w:rPr>
              <w:t>ע"י ב"כ עו"ד סמיר אבו עאבד</w:t>
            </w:r>
          </w:p>
        </w:tc>
      </w:tr>
    </w:tbl>
    <w:p w14:paraId="4EB8F4E5" w14:textId="77777777" w:rsidR="00C67A2B" w:rsidRDefault="00C67A2B" w:rsidP="005B50E9">
      <w:pPr>
        <w:suppressLineNumbers/>
        <w:rPr>
          <w:rtl/>
        </w:rPr>
      </w:pPr>
    </w:p>
    <w:p w14:paraId="2897D913" w14:textId="77777777" w:rsidR="00C67A2B" w:rsidRPr="00C67A2B" w:rsidRDefault="00C67A2B" w:rsidP="00C67A2B">
      <w:pPr>
        <w:suppressLineNumbers/>
        <w:spacing w:after="120" w:line="240" w:lineRule="exact"/>
        <w:ind w:left="283" w:hanging="283"/>
        <w:jc w:val="both"/>
        <w:rPr>
          <w:rFonts w:ascii="FrankRuehl" w:hAnsi="FrankRuehl" w:cs="FrankRuehl"/>
          <w:rtl/>
        </w:rPr>
      </w:pPr>
    </w:p>
    <w:p w14:paraId="646F663F" w14:textId="77777777" w:rsidR="00D34E95" w:rsidRPr="00D34E95" w:rsidRDefault="00D34E95" w:rsidP="00D34E95">
      <w:pPr>
        <w:spacing w:before="120" w:after="120" w:line="240" w:lineRule="exact"/>
        <w:ind w:left="283" w:hanging="283"/>
        <w:jc w:val="both"/>
        <w:rPr>
          <w:rFonts w:ascii="FrankRuehl" w:hAnsi="FrankRuehl" w:cs="FrankRuehl"/>
          <w:rtl/>
        </w:rPr>
      </w:pPr>
    </w:p>
    <w:p w14:paraId="20B26F82" w14:textId="77777777" w:rsidR="00F86144" w:rsidRDefault="00F86144" w:rsidP="00F86144">
      <w:pPr>
        <w:spacing w:line="360" w:lineRule="auto"/>
        <w:jc w:val="both"/>
        <w:rPr>
          <w:rFonts w:ascii="Arial" w:hAnsi="Arial"/>
          <w:rtl/>
        </w:rPr>
      </w:pPr>
      <w:bookmarkStart w:id="3" w:name="LawTable"/>
      <w:bookmarkEnd w:id="3"/>
    </w:p>
    <w:p w14:paraId="786C81ED" w14:textId="77777777" w:rsidR="00F86144" w:rsidRPr="00F86144" w:rsidRDefault="00F86144" w:rsidP="00F86144">
      <w:pPr>
        <w:spacing w:before="120" w:after="120" w:line="240" w:lineRule="exact"/>
        <w:ind w:left="283" w:hanging="283"/>
        <w:jc w:val="both"/>
        <w:rPr>
          <w:rFonts w:ascii="FrankRuehl" w:hAnsi="FrankRuehl" w:cs="FrankRuehl"/>
          <w:rtl/>
        </w:rPr>
      </w:pPr>
    </w:p>
    <w:p w14:paraId="75C147AC" w14:textId="77777777" w:rsidR="00F86144" w:rsidRPr="00F86144" w:rsidRDefault="00F86144" w:rsidP="00F86144">
      <w:pPr>
        <w:spacing w:before="120" w:after="120" w:line="240" w:lineRule="exact"/>
        <w:ind w:left="283" w:hanging="283"/>
        <w:jc w:val="both"/>
        <w:rPr>
          <w:rFonts w:ascii="FrankRuehl" w:hAnsi="FrankRuehl" w:cs="FrankRuehl"/>
          <w:rtl/>
        </w:rPr>
      </w:pPr>
    </w:p>
    <w:p w14:paraId="12E784F4" w14:textId="77777777" w:rsidR="00F86144" w:rsidRPr="00F86144" w:rsidRDefault="00F86144" w:rsidP="00F86144">
      <w:pPr>
        <w:spacing w:before="120" w:after="120" w:line="240" w:lineRule="exact"/>
        <w:ind w:left="283" w:hanging="283"/>
        <w:jc w:val="both"/>
        <w:rPr>
          <w:rFonts w:ascii="FrankRuehl" w:hAnsi="FrankRuehl" w:cs="FrankRuehl"/>
          <w:rtl/>
        </w:rPr>
      </w:pPr>
      <w:r w:rsidRPr="00F86144">
        <w:rPr>
          <w:rFonts w:ascii="FrankRuehl" w:hAnsi="FrankRuehl" w:cs="FrankRuehl"/>
          <w:rtl/>
        </w:rPr>
        <w:t xml:space="preserve">חקיקה שאוזכרה: </w:t>
      </w:r>
    </w:p>
    <w:p w14:paraId="56E434AB" w14:textId="77777777" w:rsidR="00F86144" w:rsidRPr="00F86144" w:rsidRDefault="00F86144" w:rsidP="00F86144">
      <w:pPr>
        <w:spacing w:before="120" w:after="120" w:line="240" w:lineRule="exact"/>
        <w:ind w:left="283" w:hanging="283"/>
        <w:jc w:val="both"/>
        <w:rPr>
          <w:rFonts w:ascii="FrankRuehl" w:hAnsi="FrankRuehl" w:cs="FrankRuehl"/>
          <w:rtl/>
        </w:rPr>
      </w:pPr>
      <w:hyperlink r:id="rId8" w:history="1">
        <w:r w:rsidRPr="00F86144">
          <w:rPr>
            <w:rFonts w:ascii="FrankRuehl" w:hAnsi="FrankRuehl" w:cs="FrankRuehl"/>
            <w:color w:val="0000FF"/>
            <w:rtl/>
          </w:rPr>
          <w:t>חוק העונשין, תשל"ז-1977</w:t>
        </w:r>
      </w:hyperlink>
      <w:r w:rsidRPr="00F86144">
        <w:rPr>
          <w:rFonts w:ascii="FrankRuehl" w:hAnsi="FrankRuehl" w:cs="FrankRuehl"/>
          <w:rtl/>
        </w:rPr>
        <w:t xml:space="preserve">: סע'  </w:t>
      </w:r>
      <w:hyperlink r:id="rId9" w:history="1">
        <w:r w:rsidRPr="00F86144">
          <w:rPr>
            <w:rFonts w:ascii="FrankRuehl" w:hAnsi="FrankRuehl" w:cs="FrankRuehl"/>
            <w:color w:val="0000FF"/>
            <w:rtl/>
          </w:rPr>
          <w:t>144</w:t>
        </w:r>
      </w:hyperlink>
      <w:r w:rsidRPr="00F86144">
        <w:rPr>
          <w:rFonts w:ascii="FrankRuehl" w:hAnsi="FrankRuehl" w:cs="FrankRuehl"/>
          <w:rtl/>
        </w:rPr>
        <w:t xml:space="preserve">, </w:t>
      </w:r>
      <w:hyperlink r:id="rId10" w:history="1">
        <w:r w:rsidRPr="00F86144">
          <w:rPr>
            <w:rFonts w:ascii="FrankRuehl" w:hAnsi="FrankRuehl" w:cs="FrankRuehl"/>
            <w:color w:val="0000FF"/>
            <w:rtl/>
          </w:rPr>
          <w:t>144 (א)</w:t>
        </w:r>
      </w:hyperlink>
      <w:r w:rsidRPr="00F86144">
        <w:rPr>
          <w:rFonts w:ascii="FrankRuehl" w:hAnsi="FrankRuehl" w:cs="FrankRuehl"/>
          <w:rtl/>
        </w:rPr>
        <w:t xml:space="preserve">, </w:t>
      </w:r>
      <w:hyperlink r:id="rId11" w:history="1">
        <w:r w:rsidRPr="00F86144">
          <w:rPr>
            <w:rFonts w:ascii="FrankRuehl" w:hAnsi="FrankRuehl" w:cs="FrankRuehl"/>
            <w:color w:val="0000FF"/>
            <w:rtl/>
          </w:rPr>
          <w:t>144(ב)</w:t>
        </w:r>
      </w:hyperlink>
      <w:r w:rsidRPr="00F86144">
        <w:rPr>
          <w:rFonts w:ascii="FrankRuehl" w:hAnsi="FrankRuehl" w:cs="FrankRuehl"/>
          <w:rtl/>
        </w:rPr>
        <w:t xml:space="preserve">, </w:t>
      </w:r>
      <w:hyperlink r:id="rId12" w:history="1">
        <w:r w:rsidRPr="00F86144">
          <w:rPr>
            <w:rFonts w:ascii="FrankRuehl" w:hAnsi="FrankRuehl" w:cs="FrankRuehl"/>
            <w:color w:val="0000FF"/>
            <w:rtl/>
          </w:rPr>
          <w:t>186</w:t>
        </w:r>
      </w:hyperlink>
    </w:p>
    <w:p w14:paraId="0BC56E86" w14:textId="77777777" w:rsidR="00F86144" w:rsidRPr="00F86144" w:rsidRDefault="00F86144" w:rsidP="00F86144">
      <w:pPr>
        <w:spacing w:line="360" w:lineRule="auto"/>
        <w:jc w:val="both"/>
        <w:rPr>
          <w:rFonts w:ascii="Arial" w:hAnsi="Arial"/>
          <w:rtl/>
        </w:rPr>
      </w:pPr>
      <w:bookmarkStart w:id="4" w:name="LawTable_End"/>
      <w:bookmarkEnd w:id="4"/>
    </w:p>
    <w:p w14:paraId="302DBB76" w14:textId="77777777" w:rsidR="005B50E9" w:rsidRPr="00D34E95" w:rsidRDefault="005B50E9" w:rsidP="00D34E95">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5B50E9" w14:paraId="27DDEB15" w14:textId="77777777" w:rsidTr="005B50E9">
        <w:trPr>
          <w:jc w:val="center"/>
        </w:trPr>
        <w:tc>
          <w:tcPr>
            <w:tcW w:w="8820" w:type="dxa"/>
            <w:shd w:val="clear" w:color="auto" w:fill="auto"/>
          </w:tcPr>
          <w:p w14:paraId="657D5ADB" w14:textId="77777777" w:rsidR="009C1883" w:rsidRPr="009C1883" w:rsidRDefault="009C1883" w:rsidP="009C1883">
            <w:pPr>
              <w:bidi w:val="0"/>
              <w:jc w:val="center"/>
              <w:rPr>
                <w:rFonts w:ascii="Arial" w:hAnsi="Arial"/>
                <w:b/>
                <w:bCs/>
                <w:sz w:val="28"/>
                <w:szCs w:val="28"/>
                <w:u w:val="single"/>
              </w:rPr>
            </w:pPr>
            <w:bookmarkStart w:id="5" w:name="PsakDin" w:colFirst="0" w:colLast="0"/>
            <w:bookmarkEnd w:id="0"/>
            <w:bookmarkEnd w:id="1"/>
            <w:r w:rsidRPr="009C1883">
              <w:rPr>
                <w:rFonts w:ascii="Arial" w:hAnsi="Arial"/>
                <w:b/>
                <w:bCs/>
                <w:sz w:val="28"/>
                <w:szCs w:val="28"/>
                <w:u w:val="single"/>
                <w:rtl/>
              </w:rPr>
              <w:t>גזר דין</w:t>
            </w:r>
          </w:p>
          <w:p w14:paraId="15137E38" w14:textId="77777777" w:rsidR="005B50E9" w:rsidRPr="009C1883" w:rsidRDefault="005B50E9" w:rsidP="009C1883">
            <w:pPr>
              <w:bidi w:val="0"/>
              <w:jc w:val="center"/>
              <w:rPr>
                <w:rFonts w:ascii="Arial" w:hAnsi="Arial"/>
                <w:b/>
                <w:bCs/>
                <w:sz w:val="28"/>
                <w:szCs w:val="28"/>
                <w:u w:val="single"/>
              </w:rPr>
            </w:pPr>
          </w:p>
        </w:tc>
      </w:tr>
      <w:bookmarkEnd w:id="5"/>
    </w:tbl>
    <w:p w14:paraId="07905C13" w14:textId="77777777" w:rsidR="005B50E9" w:rsidRDefault="005B50E9" w:rsidP="005B50E9">
      <w:pPr>
        <w:spacing w:line="360" w:lineRule="auto"/>
        <w:jc w:val="both"/>
        <w:rPr>
          <w:rFonts w:ascii="Arial" w:hAnsi="Arial"/>
          <w:rtl/>
        </w:rPr>
      </w:pPr>
    </w:p>
    <w:p w14:paraId="4828F767" w14:textId="77777777" w:rsidR="005B50E9" w:rsidRDefault="005B50E9" w:rsidP="005B50E9">
      <w:pPr>
        <w:spacing w:line="360" w:lineRule="auto"/>
        <w:jc w:val="both"/>
        <w:rPr>
          <w:rFonts w:ascii="Arial" w:hAnsi="Arial"/>
          <w:rtl/>
        </w:rPr>
      </w:pPr>
      <w:r>
        <w:rPr>
          <w:rFonts w:ascii="Arial" w:hAnsi="Arial" w:hint="cs"/>
          <w:b/>
          <w:bCs/>
          <w:rtl/>
        </w:rPr>
        <w:t>כתב האישום והסדר הטיעון</w:t>
      </w:r>
    </w:p>
    <w:p w14:paraId="66A81497" w14:textId="77777777" w:rsidR="005B50E9" w:rsidRDefault="005B50E9" w:rsidP="005B50E9">
      <w:pPr>
        <w:spacing w:line="360" w:lineRule="auto"/>
        <w:jc w:val="both"/>
        <w:rPr>
          <w:rFonts w:ascii="Arial" w:hAnsi="Arial"/>
          <w:rtl/>
        </w:rPr>
      </w:pPr>
    </w:p>
    <w:p w14:paraId="592ACD74" w14:textId="77777777" w:rsidR="005B50E9" w:rsidRDefault="005B50E9" w:rsidP="005B50E9">
      <w:pPr>
        <w:spacing w:line="360" w:lineRule="auto"/>
        <w:jc w:val="both"/>
        <w:rPr>
          <w:rFonts w:ascii="Arial" w:hAnsi="Arial"/>
          <w:rtl/>
        </w:rPr>
      </w:pPr>
      <w:bookmarkStart w:id="6" w:name="ABSTRACT_START"/>
      <w:bookmarkEnd w:id="6"/>
      <w:r>
        <w:rPr>
          <w:rFonts w:ascii="Arial" w:hAnsi="Arial" w:hint="cs"/>
          <w:rtl/>
        </w:rPr>
        <w:t xml:space="preserve">הנאשם שלפני נותן את הדין בגין עבירת נשק (החזקה), בניגוד לסעיף </w:t>
      </w:r>
      <w:hyperlink r:id="rId13" w:history="1">
        <w:r w:rsidR="00C67A2B" w:rsidRPr="00C67A2B">
          <w:rPr>
            <w:rStyle w:val="Hyperlink"/>
            <w:rFonts w:ascii="Arial" w:hAnsi="Arial"/>
            <w:rtl/>
          </w:rPr>
          <w:t>144 (א)</w:t>
        </w:r>
      </w:hyperlink>
      <w:r>
        <w:rPr>
          <w:rFonts w:ascii="Arial" w:hAnsi="Arial" w:hint="cs"/>
          <w:rtl/>
        </w:rPr>
        <w:t xml:space="preserve"> רישא וסיפא ל</w:t>
      </w:r>
      <w:hyperlink r:id="rId14" w:history="1">
        <w:r w:rsidR="009C1883" w:rsidRPr="009C1883">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"החוק").</w:t>
      </w:r>
    </w:p>
    <w:p w14:paraId="5A18CADC" w14:textId="77777777" w:rsidR="005B50E9" w:rsidRDefault="005B50E9" w:rsidP="005B50E9">
      <w:pPr>
        <w:spacing w:line="360" w:lineRule="auto"/>
        <w:jc w:val="both"/>
        <w:rPr>
          <w:rFonts w:ascii="Arial" w:hAnsi="Arial"/>
          <w:rtl/>
        </w:rPr>
      </w:pPr>
    </w:p>
    <w:p w14:paraId="042B2D19" w14:textId="77777777" w:rsidR="005B50E9" w:rsidRDefault="005B50E9" w:rsidP="005B50E9">
      <w:pPr>
        <w:spacing w:line="360" w:lineRule="auto"/>
        <w:jc w:val="both"/>
        <w:rPr>
          <w:rFonts w:ascii="Arial" w:hAnsi="Arial"/>
          <w:rtl/>
        </w:rPr>
      </w:pPr>
      <w:r>
        <w:rPr>
          <w:rFonts w:ascii="Arial" w:hAnsi="Arial" w:hint="cs"/>
          <w:rtl/>
        </w:rPr>
        <w:t>בהתאם לעובדות כתב האישום המתוקן כא/1, במועד שאינו ידוע במדויק למאשימה, קיבל הנאשם לידיו נשק תת מקלע מאולתר 9 מ"מ אשר יורה ובכוחו להמית (להלן: "הנשק") ובנוסף, כ-20 קליעי 9 מ"מ (להלן: "התחמושת").</w:t>
      </w:r>
    </w:p>
    <w:p w14:paraId="076DBD07" w14:textId="77777777" w:rsidR="005B50E9" w:rsidRDefault="005B50E9" w:rsidP="005B50E9">
      <w:pPr>
        <w:spacing w:line="360" w:lineRule="auto"/>
        <w:jc w:val="both"/>
        <w:rPr>
          <w:rFonts w:ascii="Arial" w:hAnsi="Arial"/>
          <w:rtl/>
        </w:rPr>
      </w:pPr>
      <w:bookmarkStart w:id="7" w:name="ABSTRACT_END"/>
      <w:bookmarkEnd w:id="7"/>
    </w:p>
    <w:p w14:paraId="17F957B7" w14:textId="77777777" w:rsidR="005B50E9" w:rsidRDefault="005B50E9" w:rsidP="005B50E9">
      <w:pPr>
        <w:spacing w:line="360" w:lineRule="auto"/>
        <w:jc w:val="both"/>
        <w:rPr>
          <w:rFonts w:ascii="Arial" w:hAnsi="Arial"/>
          <w:rtl/>
        </w:rPr>
      </w:pPr>
      <w:r>
        <w:rPr>
          <w:rFonts w:ascii="Arial" w:hAnsi="Arial" w:hint="cs"/>
          <w:rtl/>
        </w:rPr>
        <w:t>מיום 14.02.20, החזיק הנאשם את הנשק והתחמושת הנ"ל בארון במטבח ביתו בשבט אלאעצם.</w:t>
      </w:r>
    </w:p>
    <w:p w14:paraId="53A6B45D" w14:textId="77777777" w:rsidR="005B50E9" w:rsidRDefault="005B50E9" w:rsidP="005B50E9">
      <w:pPr>
        <w:spacing w:line="360" w:lineRule="auto"/>
        <w:jc w:val="both"/>
        <w:rPr>
          <w:rFonts w:ascii="Arial" w:hAnsi="Arial"/>
          <w:rtl/>
        </w:rPr>
      </w:pPr>
    </w:p>
    <w:p w14:paraId="3D62260F" w14:textId="77777777" w:rsidR="005B50E9" w:rsidRDefault="005B50E9" w:rsidP="005B50E9">
      <w:pPr>
        <w:spacing w:line="360" w:lineRule="auto"/>
        <w:jc w:val="both"/>
        <w:rPr>
          <w:rFonts w:ascii="Arial" w:hAnsi="Arial"/>
          <w:rtl/>
        </w:rPr>
      </w:pPr>
      <w:r>
        <w:rPr>
          <w:rFonts w:ascii="Arial" w:hAnsi="Arial" w:hint="cs"/>
          <w:rtl/>
        </w:rPr>
        <w:t>ביום 16.02.20, סמוך לשעה 15:00, במסגרת פעילות משטרתית יזומה, הגיעו שוטרי תחנת העיירות אל ביתו של הנאשם בשבת אלאעצם, בכדי לערוך חיפוש בבית. במהלך החיפוש, איתרו השוטרים את הנשק והתחמושת בארון במטבח.</w:t>
      </w:r>
    </w:p>
    <w:p w14:paraId="795AD1DB" w14:textId="77777777" w:rsidR="005B50E9" w:rsidRDefault="005B50E9" w:rsidP="005B50E9">
      <w:pPr>
        <w:spacing w:line="360" w:lineRule="auto"/>
        <w:jc w:val="both"/>
        <w:rPr>
          <w:rFonts w:ascii="Arial" w:hAnsi="Arial"/>
          <w:rtl/>
        </w:rPr>
      </w:pPr>
    </w:p>
    <w:p w14:paraId="2C31B88B" w14:textId="77777777" w:rsidR="005B50E9" w:rsidRDefault="005B50E9" w:rsidP="005B50E9">
      <w:pPr>
        <w:spacing w:line="360" w:lineRule="auto"/>
        <w:jc w:val="both"/>
        <w:rPr>
          <w:rFonts w:ascii="Arial" w:hAnsi="Arial"/>
          <w:rtl/>
        </w:rPr>
      </w:pPr>
      <w:r>
        <w:rPr>
          <w:rFonts w:ascii="Arial" w:hAnsi="Arial" w:hint="cs"/>
          <w:rtl/>
        </w:rPr>
        <w:t xml:space="preserve">בין הצדדים נקשר הסדר טיעון (ת/1), במסגרתו תוקן כתב האישום. הנאשם הורשע בעובדות ובעבירות שבכתב האישום המתוקן, על פי הודאתו. </w:t>
      </w:r>
    </w:p>
    <w:p w14:paraId="0A817B40" w14:textId="77777777" w:rsidR="005B50E9" w:rsidRDefault="005B50E9" w:rsidP="005B50E9">
      <w:pPr>
        <w:spacing w:line="360" w:lineRule="auto"/>
        <w:jc w:val="both"/>
        <w:rPr>
          <w:rFonts w:ascii="Arial" w:hAnsi="Arial"/>
          <w:rtl/>
        </w:rPr>
      </w:pPr>
    </w:p>
    <w:p w14:paraId="2461F60E" w14:textId="77777777" w:rsidR="005B50E9" w:rsidRDefault="005B50E9" w:rsidP="005B50E9">
      <w:pPr>
        <w:spacing w:line="360" w:lineRule="auto"/>
        <w:jc w:val="both"/>
        <w:rPr>
          <w:rFonts w:ascii="Arial" w:hAnsi="Arial"/>
          <w:rtl/>
        </w:rPr>
      </w:pPr>
      <w:r>
        <w:rPr>
          <w:rFonts w:ascii="Arial" w:hAnsi="Arial" w:hint="cs"/>
          <w:rtl/>
        </w:rPr>
        <w:t xml:space="preserve">ההסדר לא כלל הסכמות עונשיות. </w:t>
      </w:r>
    </w:p>
    <w:p w14:paraId="5D294C94" w14:textId="77777777" w:rsidR="005B50E9" w:rsidRDefault="005B50E9" w:rsidP="005B50E9">
      <w:pPr>
        <w:spacing w:line="360" w:lineRule="auto"/>
        <w:jc w:val="both"/>
        <w:rPr>
          <w:rFonts w:ascii="Arial" w:hAnsi="Arial"/>
          <w:rtl/>
        </w:rPr>
      </w:pPr>
    </w:p>
    <w:p w14:paraId="146BAD46" w14:textId="77777777" w:rsidR="005B50E9" w:rsidRDefault="005B50E9" w:rsidP="005B50E9">
      <w:pPr>
        <w:spacing w:line="360" w:lineRule="auto"/>
        <w:jc w:val="both"/>
        <w:rPr>
          <w:rFonts w:ascii="Arial" w:hAnsi="Arial"/>
          <w:rtl/>
        </w:rPr>
      </w:pPr>
      <w:r>
        <w:rPr>
          <w:rFonts w:ascii="Arial" w:hAnsi="Arial" w:hint="cs"/>
          <w:rtl/>
        </w:rPr>
        <w:t>הנאשם הופנה לשירות המבחן למבוגרים, לקבלת תסקיר לענין העונש.</w:t>
      </w:r>
    </w:p>
    <w:p w14:paraId="01E3124D" w14:textId="77777777" w:rsidR="005B50E9" w:rsidRDefault="005B50E9" w:rsidP="005B50E9">
      <w:pPr>
        <w:spacing w:line="360" w:lineRule="auto"/>
        <w:jc w:val="both"/>
        <w:rPr>
          <w:rFonts w:ascii="Arial" w:hAnsi="Arial"/>
          <w:rtl/>
        </w:rPr>
      </w:pPr>
      <w:r>
        <w:rPr>
          <w:rFonts w:ascii="Arial" w:hAnsi="Arial" w:hint="cs"/>
          <w:rtl/>
        </w:rPr>
        <w:t xml:space="preserve">לאחר קבלת התסקיר, טענו הצדדים לעונש ומכאן </w:t>
      </w:r>
      <w:r>
        <w:rPr>
          <w:rFonts w:ascii="Arial" w:hAnsi="Arial"/>
          <w:rtl/>
        </w:rPr>
        <w:t>–</w:t>
      </w:r>
      <w:r>
        <w:rPr>
          <w:rFonts w:ascii="Arial" w:hAnsi="Arial" w:hint="cs"/>
          <w:rtl/>
        </w:rPr>
        <w:t xml:space="preserve"> גזר דין זה.</w:t>
      </w:r>
    </w:p>
    <w:p w14:paraId="7F41CC77" w14:textId="77777777" w:rsidR="005B50E9" w:rsidRDefault="005B50E9" w:rsidP="005B50E9">
      <w:pPr>
        <w:spacing w:line="360" w:lineRule="auto"/>
        <w:jc w:val="both"/>
        <w:rPr>
          <w:rFonts w:ascii="Arial" w:hAnsi="Arial"/>
          <w:rtl/>
        </w:rPr>
      </w:pPr>
    </w:p>
    <w:p w14:paraId="1A4DEFCA" w14:textId="77777777" w:rsidR="005B50E9" w:rsidRDefault="005B50E9" w:rsidP="005B50E9">
      <w:pPr>
        <w:spacing w:line="360" w:lineRule="auto"/>
        <w:jc w:val="both"/>
        <w:rPr>
          <w:rFonts w:ascii="Arial" w:hAnsi="Arial"/>
          <w:rtl/>
        </w:rPr>
      </w:pPr>
    </w:p>
    <w:p w14:paraId="3AF4DAD8" w14:textId="77777777" w:rsidR="005B50E9" w:rsidRDefault="005B50E9" w:rsidP="005B50E9">
      <w:pPr>
        <w:spacing w:line="360" w:lineRule="auto"/>
        <w:jc w:val="both"/>
        <w:rPr>
          <w:rFonts w:ascii="Arial" w:hAnsi="Arial"/>
          <w:rtl/>
        </w:rPr>
      </w:pPr>
      <w:r>
        <w:rPr>
          <w:rFonts w:ascii="Arial" w:hAnsi="Arial" w:hint="cs"/>
          <w:b/>
          <w:bCs/>
          <w:rtl/>
        </w:rPr>
        <w:t>ראיות לעונש</w:t>
      </w:r>
    </w:p>
    <w:p w14:paraId="5E7C6EBA" w14:textId="77777777" w:rsidR="005B50E9" w:rsidRDefault="005B50E9" w:rsidP="005B50E9">
      <w:pPr>
        <w:spacing w:line="360" w:lineRule="auto"/>
        <w:jc w:val="both"/>
        <w:rPr>
          <w:rFonts w:ascii="Arial" w:hAnsi="Arial"/>
          <w:rtl/>
        </w:rPr>
      </w:pPr>
    </w:p>
    <w:p w14:paraId="66B0C2BD" w14:textId="77777777" w:rsidR="005B50E9" w:rsidRDefault="005B50E9" w:rsidP="005B50E9">
      <w:pPr>
        <w:spacing w:line="360" w:lineRule="auto"/>
        <w:jc w:val="both"/>
        <w:rPr>
          <w:rFonts w:ascii="Arial" w:hAnsi="Arial"/>
          <w:rtl/>
        </w:rPr>
      </w:pPr>
      <w:r>
        <w:rPr>
          <w:rFonts w:ascii="Arial" w:hAnsi="Arial" w:hint="cs"/>
          <w:u w:val="single"/>
          <w:rtl/>
        </w:rPr>
        <w:t>התביעה</w:t>
      </w:r>
      <w:r>
        <w:rPr>
          <w:rFonts w:ascii="Arial" w:hAnsi="Arial" w:hint="cs"/>
          <w:rtl/>
        </w:rPr>
        <w:t xml:space="preserve"> לא הגישה ראיות לענין העונש.</w:t>
      </w:r>
    </w:p>
    <w:p w14:paraId="262BBF74" w14:textId="77777777" w:rsidR="005B50E9" w:rsidRDefault="005B50E9" w:rsidP="005B50E9">
      <w:pPr>
        <w:spacing w:line="360" w:lineRule="auto"/>
        <w:jc w:val="both"/>
        <w:rPr>
          <w:rFonts w:ascii="Arial" w:hAnsi="Arial"/>
          <w:rtl/>
        </w:rPr>
      </w:pPr>
    </w:p>
    <w:p w14:paraId="775C831A" w14:textId="77777777" w:rsidR="005B50E9" w:rsidRDefault="005B50E9" w:rsidP="005B50E9">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לענין העונש, מסמכים רפואיים של הנאשם (נ/1) </w:t>
      </w:r>
      <w:r>
        <w:rPr>
          <w:rFonts w:ascii="Arial" w:hAnsi="Arial"/>
          <w:rtl/>
        </w:rPr>
        <w:t>–</w:t>
      </w:r>
      <w:r>
        <w:rPr>
          <w:rFonts w:ascii="Arial" w:hAnsi="Arial" w:hint="cs"/>
          <w:rtl/>
        </w:rPr>
        <w:t xml:space="preserve"> הנאשם סובל מבעיות רפואיות שונות ובין היתר </w:t>
      </w:r>
      <w:r>
        <w:rPr>
          <w:rFonts w:ascii="Arial" w:hAnsi="Arial"/>
          <w:rtl/>
        </w:rPr>
        <w:t>–</w:t>
      </w:r>
      <w:r>
        <w:rPr>
          <w:rFonts w:ascii="Arial" w:hAnsi="Arial" w:hint="cs"/>
          <w:rtl/>
        </w:rPr>
        <w:t xml:space="preserve"> בעיות נשימתיות; סכרת. </w:t>
      </w:r>
    </w:p>
    <w:p w14:paraId="331E84F7" w14:textId="77777777" w:rsidR="005B50E9" w:rsidRDefault="005B50E9" w:rsidP="005B50E9">
      <w:pPr>
        <w:spacing w:line="360" w:lineRule="auto"/>
        <w:jc w:val="both"/>
        <w:rPr>
          <w:rFonts w:ascii="Arial" w:hAnsi="Arial"/>
          <w:rtl/>
        </w:rPr>
      </w:pPr>
    </w:p>
    <w:p w14:paraId="34DFCFC6" w14:textId="77777777" w:rsidR="005B50E9" w:rsidRDefault="005B50E9" w:rsidP="005B50E9">
      <w:pPr>
        <w:spacing w:line="360" w:lineRule="auto"/>
        <w:jc w:val="both"/>
        <w:rPr>
          <w:rFonts w:ascii="Arial" w:hAnsi="Arial"/>
          <w:rtl/>
        </w:rPr>
      </w:pPr>
    </w:p>
    <w:p w14:paraId="0932A2D2" w14:textId="77777777" w:rsidR="005B50E9" w:rsidRDefault="005B50E9" w:rsidP="005B50E9">
      <w:pPr>
        <w:spacing w:line="360" w:lineRule="auto"/>
        <w:jc w:val="both"/>
        <w:rPr>
          <w:rFonts w:ascii="Arial" w:hAnsi="Arial"/>
          <w:rtl/>
        </w:rPr>
      </w:pPr>
      <w:r w:rsidRPr="00A9509C">
        <w:rPr>
          <w:rFonts w:ascii="Arial" w:hAnsi="Arial" w:hint="cs"/>
          <w:b/>
          <w:bCs/>
          <w:rtl/>
        </w:rPr>
        <w:t>הערכת שירות המבחן למבוגרים</w:t>
      </w:r>
    </w:p>
    <w:p w14:paraId="769CF521" w14:textId="77777777" w:rsidR="005B50E9" w:rsidRDefault="005B50E9" w:rsidP="005B50E9">
      <w:pPr>
        <w:spacing w:line="360" w:lineRule="auto"/>
        <w:jc w:val="both"/>
        <w:rPr>
          <w:rFonts w:ascii="Arial" w:hAnsi="Arial"/>
          <w:rtl/>
        </w:rPr>
      </w:pPr>
    </w:p>
    <w:p w14:paraId="7E74DE95" w14:textId="77777777" w:rsidR="005B50E9" w:rsidRDefault="005B50E9" w:rsidP="005B50E9">
      <w:pPr>
        <w:spacing w:line="360" w:lineRule="auto"/>
        <w:jc w:val="both"/>
        <w:rPr>
          <w:rFonts w:ascii="Arial" w:hAnsi="Arial"/>
          <w:rtl/>
        </w:rPr>
      </w:pPr>
      <w:r>
        <w:rPr>
          <w:rFonts w:ascii="Arial" w:hAnsi="Arial" w:hint="cs"/>
          <w:rtl/>
        </w:rPr>
        <w:t>בענינו של הנאשם הוגש תסקיר המפרט את נסיבותיו האישיות, כבן 45, נשוי ואב ל-7 ילדים, עובד בקיוסק שפתח סמוך לביתו, ומקבל קצבת נכות מהמוסד לביטוח לאומי.</w:t>
      </w:r>
    </w:p>
    <w:p w14:paraId="648BF409" w14:textId="77777777" w:rsidR="005B50E9" w:rsidRDefault="005B50E9" w:rsidP="005B50E9">
      <w:pPr>
        <w:spacing w:line="360" w:lineRule="auto"/>
        <w:jc w:val="both"/>
        <w:rPr>
          <w:rFonts w:ascii="Arial" w:hAnsi="Arial"/>
          <w:rtl/>
        </w:rPr>
      </w:pPr>
    </w:p>
    <w:p w14:paraId="681DEB7D" w14:textId="77777777" w:rsidR="005B50E9" w:rsidRDefault="005B50E9" w:rsidP="005B50E9">
      <w:pPr>
        <w:spacing w:line="360" w:lineRule="auto"/>
        <w:jc w:val="both"/>
        <w:rPr>
          <w:rFonts w:ascii="Arial" w:hAnsi="Arial"/>
          <w:rtl/>
        </w:rPr>
      </w:pPr>
      <w:r>
        <w:rPr>
          <w:rFonts w:ascii="Arial" w:hAnsi="Arial" w:hint="cs"/>
          <w:rtl/>
        </w:rPr>
        <w:t>לדבריו, סובל מסכרת, אסטמה, מחלת ריאות ועתיד לעבור השתלת ריאות. עקב מצבו הרפואי, מזריק זריקות על בסיס קבוע ונוטל טיפול תרופתי קבוע. כן, שיתף, כי עקב מצבו הבריאותי, מבקר בתדירות גבוהה בבית החולים.</w:t>
      </w:r>
    </w:p>
    <w:p w14:paraId="5EDFFBAA" w14:textId="77777777" w:rsidR="005B50E9" w:rsidRDefault="005B50E9" w:rsidP="005B50E9">
      <w:pPr>
        <w:spacing w:line="360" w:lineRule="auto"/>
        <w:jc w:val="both"/>
        <w:rPr>
          <w:rFonts w:ascii="Arial" w:hAnsi="Arial"/>
          <w:rtl/>
        </w:rPr>
      </w:pPr>
    </w:p>
    <w:p w14:paraId="51C6A01E" w14:textId="77777777" w:rsidR="005B50E9" w:rsidRDefault="005B50E9" w:rsidP="005B50E9">
      <w:pPr>
        <w:spacing w:line="360" w:lineRule="auto"/>
        <w:jc w:val="both"/>
        <w:rPr>
          <w:rFonts w:ascii="Arial" w:hAnsi="Arial"/>
          <w:rtl/>
        </w:rPr>
      </w:pPr>
      <w:r>
        <w:rPr>
          <w:rFonts w:ascii="Arial" w:hAnsi="Arial" w:hint="cs"/>
          <w:rtl/>
        </w:rPr>
        <w:t>הנאשם שלל שימוש בחומרים משני תודעה ושלל התנסות בסמים ואלכוהול.</w:t>
      </w:r>
    </w:p>
    <w:p w14:paraId="4BF9864D" w14:textId="77777777" w:rsidR="005B50E9" w:rsidRDefault="005B50E9" w:rsidP="005B50E9">
      <w:pPr>
        <w:spacing w:line="360" w:lineRule="auto"/>
        <w:jc w:val="both"/>
        <w:rPr>
          <w:rFonts w:ascii="Arial" w:hAnsi="Arial"/>
          <w:rtl/>
        </w:rPr>
      </w:pPr>
    </w:p>
    <w:p w14:paraId="3EA204ED" w14:textId="77777777" w:rsidR="005B50E9" w:rsidRDefault="005B50E9" w:rsidP="005B50E9">
      <w:pPr>
        <w:spacing w:line="360" w:lineRule="auto"/>
        <w:jc w:val="both"/>
        <w:rPr>
          <w:rFonts w:ascii="Arial" w:hAnsi="Arial"/>
          <w:rtl/>
        </w:rPr>
      </w:pPr>
      <w:r>
        <w:rPr>
          <w:rFonts w:ascii="Arial" w:hAnsi="Arial" w:hint="cs"/>
          <w:rtl/>
        </w:rPr>
        <w:lastRenderedPageBreak/>
        <w:t>בהתייחס לעבירה, הודה הנאשם בביצועה. לדבריו, מצא את הנשק והתחמושת בתוך בור בשטח פתוח, ופחד לזרוק אותו או להשאירו שם, וכן, פחד להתקשר למשטרה, שמא יאשימו אותו בהחזקת נשק.</w:t>
      </w:r>
    </w:p>
    <w:p w14:paraId="68A3C07A" w14:textId="77777777" w:rsidR="005B50E9" w:rsidRDefault="005B50E9" w:rsidP="005B50E9">
      <w:pPr>
        <w:spacing w:line="360" w:lineRule="auto"/>
        <w:jc w:val="both"/>
        <w:rPr>
          <w:rFonts w:ascii="Arial" w:hAnsi="Arial"/>
          <w:rtl/>
        </w:rPr>
      </w:pPr>
    </w:p>
    <w:p w14:paraId="6D1BF3FD" w14:textId="77777777" w:rsidR="005B50E9" w:rsidRDefault="005B50E9" w:rsidP="005B50E9">
      <w:pPr>
        <w:spacing w:line="360" w:lineRule="auto"/>
        <w:jc w:val="both"/>
        <w:rPr>
          <w:rFonts w:ascii="Arial" w:hAnsi="Arial"/>
          <w:rtl/>
        </w:rPr>
      </w:pPr>
      <w:r>
        <w:rPr>
          <w:rFonts w:ascii="Arial" w:hAnsi="Arial" w:hint="cs"/>
          <w:rtl/>
        </w:rPr>
        <w:t>לדבריו, לא הבין את חומרת ההשלכות של החזקת הנשק והתחמושת בביתו, אך כיום מבין את החומרה והפיק לקח לעתיד. כן, הביע חרטה ובושה על מעשיו. כיום, לדבריו, יודע מה האלטרנטיבות להתמודדות.</w:t>
      </w:r>
    </w:p>
    <w:p w14:paraId="646C31C9" w14:textId="77777777" w:rsidR="005B50E9" w:rsidRDefault="005B50E9" w:rsidP="005B50E9">
      <w:pPr>
        <w:spacing w:line="360" w:lineRule="auto"/>
        <w:jc w:val="both"/>
        <w:rPr>
          <w:rFonts w:ascii="Arial" w:hAnsi="Arial"/>
          <w:rtl/>
        </w:rPr>
      </w:pPr>
    </w:p>
    <w:p w14:paraId="25BED60C" w14:textId="77777777" w:rsidR="005B50E9" w:rsidRDefault="005B50E9" w:rsidP="005B50E9">
      <w:pPr>
        <w:spacing w:line="360" w:lineRule="auto"/>
        <w:jc w:val="both"/>
        <w:rPr>
          <w:rFonts w:ascii="Arial" w:hAnsi="Arial"/>
          <w:rtl/>
        </w:rPr>
      </w:pPr>
      <w:r>
        <w:rPr>
          <w:rFonts w:ascii="Arial" w:hAnsi="Arial" w:hint="cs"/>
          <w:rtl/>
        </w:rPr>
        <w:t xml:space="preserve">שירות המבחן התרשם מאדם בוגר, אשר מפרנס את משפחתו ועד כה לא הסתבך עם החוק. </w:t>
      </w:r>
    </w:p>
    <w:p w14:paraId="25263EA9" w14:textId="77777777" w:rsidR="005B50E9" w:rsidRDefault="005B50E9" w:rsidP="005B50E9">
      <w:pPr>
        <w:spacing w:line="360" w:lineRule="auto"/>
        <w:jc w:val="both"/>
        <w:rPr>
          <w:rFonts w:ascii="Arial" w:hAnsi="Arial"/>
          <w:rtl/>
        </w:rPr>
      </w:pPr>
      <w:r>
        <w:rPr>
          <w:rFonts w:ascii="Arial" w:hAnsi="Arial" w:hint="cs"/>
          <w:rtl/>
        </w:rPr>
        <w:t>שירות המבחן למבוגרים המליץ על שילוב הנאשם בהליך טיפולי, במסגרת העמדתו במבחן למשך שנה; צו של"צ בהיקף 200 שעות אשר יהווה עונש חינוכי; ועל הטלת מאסר מותנה.</w:t>
      </w:r>
    </w:p>
    <w:p w14:paraId="473EAAFE" w14:textId="77777777" w:rsidR="005B50E9" w:rsidRDefault="005B50E9" w:rsidP="005B50E9">
      <w:pPr>
        <w:spacing w:line="360" w:lineRule="auto"/>
        <w:jc w:val="both"/>
        <w:rPr>
          <w:rFonts w:ascii="Arial" w:hAnsi="Arial"/>
          <w:rtl/>
        </w:rPr>
      </w:pPr>
    </w:p>
    <w:p w14:paraId="4A32A4B2" w14:textId="77777777" w:rsidR="005B50E9" w:rsidRDefault="005B50E9" w:rsidP="005B50E9">
      <w:pPr>
        <w:spacing w:line="360" w:lineRule="auto"/>
        <w:jc w:val="both"/>
        <w:rPr>
          <w:rFonts w:ascii="Arial" w:hAnsi="Arial"/>
          <w:rtl/>
        </w:rPr>
      </w:pPr>
      <w:r>
        <w:rPr>
          <w:rFonts w:ascii="Arial" w:hAnsi="Arial" w:hint="cs"/>
          <w:rtl/>
        </w:rPr>
        <w:t>לחילופין, המליץ שירות המבחן על ענישה במסגרת מאסר בפועל לריצוי בדרך של עבודות שירות.</w:t>
      </w:r>
    </w:p>
    <w:p w14:paraId="13E51303" w14:textId="77777777" w:rsidR="005B50E9" w:rsidRDefault="005B50E9" w:rsidP="005B50E9">
      <w:pPr>
        <w:spacing w:line="360" w:lineRule="auto"/>
        <w:jc w:val="both"/>
        <w:rPr>
          <w:rFonts w:ascii="Arial" w:hAnsi="Arial"/>
          <w:rtl/>
        </w:rPr>
      </w:pPr>
    </w:p>
    <w:p w14:paraId="56172577" w14:textId="77777777" w:rsidR="005B50E9" w:rsidRDefault="005B50E9" w:rsidP="005B50E9">
      <w:pPr>
        <w:spacing w:line="360" w:lineRule="auto"/>
        <w:jc w:val="both"/>
        <w:rPr>
          <w:rFonts w:ascii="Arial" w:hAnsi="Arial"/>
          <w:rtl/>
        </w:rPr>
      </w:pPr>
    </w:p>
    <w:p w14:paraId="51053C18" w14:textId="77777777" w:rsidR="005B50E9" w:rsidRDefault="005B50E9" w:rsidP="005B50E9">
      <w:pPr>
        <w:spacing w:line="360" w:lineRule="auto"/>
        <w:jc w:val="both"/>
        <w:rPr>
          <w:rFonts w:ascii="Arial" w:hAnsi="Arial"/>
          <w:rtl/>
        </w:rPr>
      </w:pPr>
      <w:r>
        <w:rPr>
          <w:rFonts w:ascii="Arial" w:hAnsi="Arial" w:hint="cs"/>
          <w:b/>
          <w:bCs/>
          <w:rtl/>
        </w:rPr>
        <w:t>טענות הצדדים</w:t>
      </w:r>
    </w:p>
    <w:p w14:paraId="50DF33D8" w14:textId="77777777" w:rsidR="005B50E9" w:rsidRDefault="005B50E9" w:rsidP="005B50E9">
      <w:pPr>
        <w:spacing w:line="360" w:lineRule="auto"/>
        <w:jc w:val="both"/>
        <w:rPr>
          <w:rFonts w:ascii="Arial" w:hAnsi="Arial"/>
          <w:rtl/>
        </w:rPr>
      </w:pPr>
    </w:p>
    <w:p w14:paraId="1DD4B81E" w14:textId="77777777" w:rsidR="005B50E9" w:rsidRDefault="005B50E9" w:rsidP="005B50E9">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והשלימה אותן על פה.</w:t>
      </w:r>
    </w:p>
    <w:p w14:paraId="04A817CA" w14:textId="77777777" w:rsidR="005B50E9" w:rsidRDefault="005B50E9" w:rsidP="005B50E9">
      <w:pPr>
        <w:spacing w:line="360" w:lineRule="auto"/>
        <w:jc w:val="both"/>
        <w:rPr>
          <w:rFonts w:ascii="Arial" w:hAnsi="Arial"/>
          <w:rtl/>
        </w:rPr>
      </w:pPr>
    </w:p>
    <w:p w14:paraId="3FA55F66" w14:textId="77777777" w:rsidR="005B50E9" w:rsidRDefault="005B50E9" w:rsidP="005B50E9">
      <w:pPr>
        <w:spacing w:line="360" w:lineRule="auto"/>
        <w:jc w:val="both"/>
        <w:rPr>
          <w:rFonts w:ascii="Arial" w:hAnsi="Arial"/>
          <w:rtl/>
        </w:rPr>
      </w:pPr>
      <w:r>
        <w:rPr>
          <w:rFonts w:ascii="Arial" w:hAnsi="Arial" w:hint="cs"/>
          <w:rtl/>
        </w:rPr>
        <w:t xml:space="preserve">התביעה הדגישה הערכים המוגנים שנפגעו </w:t>
      </w:r>
      <w:r>
        <w:rPr>
          <w:rFonts w:ascii="Arial" w:hAnsi="Arial"/>
          <w:rtl/>
        </w:rPr>
        <w:t>–</w:t>
      </w:r>
      <w:r>
        <w:rPr>
          <w:rFonts w:ascii="Arial" w:hAnsi="Arial" w:hint="cs"/>
          <w:rtl/>
        </w:rPr>
        <w:t xml:space="preserve"> הגנה על שלום הציבור ובטחונו; שמירת תחושת ביטחון היחיד והרבים; שמירה על שלטון החוק והסדר הציבורי; שמירה על גופו וחייו של האדם.</w:t>
      </w:r>
    </w:p>
    <w:p w14:paraId="46499CAD" w14:textId="77777777" w:rsidR="005B50E9" w:rsidRDefault="005B50E9" w:rsidP="005B50E9">
      <w:pPr>
        <w:spacing w:line="360" w:lineRule="auto"/>
        <w:jc w:val="both"/>
        <w:rPr>
          <w:rFonts w:ascii="Arial" w:hAnsi="Arial"/>
          <w:rtl/>
        </w:rPr>
      </w:pPr>
    </w:p>
    <w:p w14:paraId="110C83C6" w14:textId="77777777" w:rsidR="005B50E9" w:rsidRDefault="005B50E9" w:rsidP="005B50E9">
      <w:pPr>
        <w:spacing w:line="360" w:lineRule="auto"/>
        <w:jc w:val="both"/>
        <w:rPr>
          <w:rFonts w:ascii="Arial" w:hAnsi="Arial"/>
          <w:rtl/>
        </w:rPr>
      </w:pPr>
      <w:r>
        <w:rPr>
          <w:rFonts w:ascii="Arial" w:hAnsi="Arial" w:hint="cs"/>
          <w:rtl/>
        </w:rPr>
        <w:t>התביעה הדגישה את פוטנציאל הסיכון הנובע מהחזקת נשק חם ותחמושת, שלא כדין, אשר עלול למצוא דרכו לפעילות עבריינית או בטחונית.</w:t>
      </w:r>
    </w:p>
    <w:p w14:paraId="2827FE20" w14:textId="77777777" w:rsidR="005B50E9" w:rsidRDefault="005B50E9" w:rsidP="005B50E9">
      <w:pPr>
        <w:spacing w:line="360" w:lineRule="auto"/>
        <w:jc w:val="both"/>
        <w:rPr>
          <w:rFonts w:ascii="Arial" w:hAnsi="Arial"/>
          <w:rtl/>
        </w:rPr>
      </w:pPr>
    </w:p>
    <w:p w14:paraId="214CD822" w14:textId="77777777" w:rsidR="005B50E9" w:rsidRDefault="005B50E9" w:rsidP="005B50E9">
      <w:pPr>
        <w:spacing w:line="360" w:lineRule="auto"/>
        <w:jc w:val="both"/>
        <w:rPr>
          <w:rFonts w:ascii="Arial" w:hAnsi="Arial"/>
          <w:rtl/>
        </w:rPr>
      </w:pPr>
      <w:r>
        <w:rPr>
          <w:rFonts w:ascii="Arial" w:hAnsi="Arial" w:hint="cs"/>
          <w:rtl/>
        </w:rPr>
        <w:t xml:space="preserve">התביעה הפנתה גם לנסיבות החזקת הנשק והתחמושת </w:t>
      </w:r>
      <w:r>
        <w:rPr>
          <w:rFonts w:ascii="Arial" w:hAnsi="Arial"/>
          <w:rtl/>
        </w:rPr>
        <w:t>–</w:t>
      </w:r>
      <w:r>
        <w:rPr>
          <w:rFonts w:ascii="Arial" w:hAnsi="Arial" w:hint="cs"/>
          <w:rtl/>
        </w:rPr>
        <w:t xml:space="preserve"> אשר אוחסנו בתוך ארון מטבח בבית מגורים, בו מתגוררים קטינים.</w:t>
      </w:r>
    </w:p>
    <w:p w14:paraId="1C0C6745" w14:textId="77777777" w:rsidR="005B50E9" w:rsidRDefault="005B50E9" w:rsidP="005B50E9">
      <w:pPr>
        <w:spacing w:line="360" w:lineRule="auto"/>
        <w:jc w:val="both"/>
        <w:rPr>
          <w:rFonts w:ascii="Arial" w:hAnsi="Arial"/>
          <w:rtl/>
        </w:rPr>
      </w:pPr>
    </w:p>
    <w:p w14:paraId="22E29085" w14:textId="77777777" w:rsidR="005B50E9" w:rsidRDefault="005B50E9" w:rsidP="005B50E9">
      <w:pPr>
        <w:spacing w:line="360" w:lineRule="auto"/>
        <w:jc w:val="both"/>
        <w:rPr>
          <w:rFonts w:ascii="Arial" w:hAnsi="Arial"/>
          <w:rtl/>
        </w:rPr>
      </w:pPr>
      <w:r>
        <w:rPr>
          <w:rFonts w:ascii="Arial" w:hAnsi="Arial" w:hint="cs"/>
          <w:rtl/>
        </w:rPr>
        <w:t xml:space="preserve">התביעה הפנתה גם לטיב כלי הנשק </w:t>
      </w:r>
      <w:r>
        <w:rPr>
          <w:rFonts w:ascii="Arial" w:hAnsi="Arial"/>
          <w:rtl/>
        </w:rPr>
        <w:t>–</w:t>
      </w:r>
      <w:r>
        <w:rPr>
          <w:rFonts w:ascii="Arial" w:hAnsi="Arial" w:hint="cs"/>
          <w:rtl/>
        </w:rPr>
        <w:t xml:space="preserve"> תת מקלע 9 מ"מ, נשק אוטומטי המאופיין בקצב אש גבוה, דיוק נמוך ונזק גדול. כן, הנאשם החזיק לצד הנשק, גם 20 קליעי תחמושת באורך 9 מ"מ. </w:t>
      </w:r>
    </w:p>
    <w:p w14:paraId="68CEF89C" w14:textId="77777777" w:rsidR="005B50E9" w:rsidRDefault="005B50E9" w:rsidP="005B50E9">
      <w:pPr>
        <w:spacing w:line="360" w:lineRule="auto"/>
        <w:jc w:val="both"/>
        <w:rPr>
          <w:rFonts w:ascii="Arial" w:hAnsi="Arial"/>
          <w:rtl/>
        </w:rPr>
      </w:pPr>
    </w:p>
    <w:p w14:paraId="67245EA6" w14:textId="77777777" w:rsidR="005B50E9" w:rsidRDefault="005B50E9" w:rsidP="005B50E9">
      <w:pPr>
        <w:spacing w:line="360" w:lineRule="auto"/>
        <w:jc w:val="both"/>
        <w:rPr>
          <w:rFonts w:ascii="Arial" w:hAnsi="Arial"/>
          <w:rtl/>
        </w:rPr>
      </w:pPr>
      <w:r>
        <w:rPr>
          <w:rFonts w:ascii="Arial" w:hAnsi="Arial" w:hint="cs"/>
          <w:rtl/>
        </w:rPr>
        <w:t>התביעה עתרה למתחם ענישה הנע בין 26 ועד 40 חודשי מאסר בפועל, בתוספת מאסר מותנה מרתיע, קנס משמעותי וחילוט הנשק והתחמושת.</w:t>
      </w:r>
    </w:p>
    <w:p w14:paraId="794FE84F" w14:textId="77777777" w:rsidR="005B50E9" w:rsidRDefault="005B50E9" w:rsidP="005B50E9">
      <w:pPr>
        <w:spacing w:line="360" w:lineRule="auto"/>
        <w:jc w:val="both"/>
        <w:rPr>
          <w:rFonts w:ascii="Arial" w:hAnsi="Arial"/>
          <w:rtl/>
        </w:rPr>
      </w:pPr>
    </w:p>
    <w:p w14:paraId="09900F05" w14:textId="77777777" w:rsidR="005B50E9" w:rsidRDefault="005B50E9" w:rsidP="005B50E9">
      <w:pPr>
        <w:spacing w:line="360" w:lineRule="auto"/>
        <w:jc w:val="both"/>
        <w:rPr>
          <w:rFonts w:ascii="Arial" w:hAnsi="Arial"/>
          <w:rtl/>
        </w:rPr>
      </w:pPr>
      <w:r>
        <w:rPr>
          <w:rFonts w:ascii="Arial" w:hAnsi="Arial" w:hint="cs"/>
          <w:rtl/>
        </w:rPr>
        <w:t>התביעה ביקשה למקם את עונשו של הנאשם סמוך למרכז המתחם אליו עתרה.</w:t>
      </w:r>
    </w:p>
    <w:p w14:paraId="769CF114" w14:textId="77777777" w:rsidR="005B50E9" w:rsidRDefault="005B50E9" w:rsidP="005B50E9">
      <w:pPr>
        <w:spacing w:line="360" w:lineRule="auto"/>
        <w:jc w:val="both"/>
        <w:rPr>
          <w:rFonts w:ascii="Arial" w:hAnsi="Arial"/>
          <w:rtl/>
        </w:rPr>
      </w:pPr>
    </w:p>
    <w:p w14:paraId="7DD98A4B" w14:textId="77777777" w:rsidR="005B50E9" w:rsidRDefault="005B50E9" w:rsidP="005B50E9">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מדובר בנשק מאולתר, אשר הנאשם החזיק בו למשך יומיים.</w:t>
      </w:r>
    </w:p>
    <w:p w14:paraId="1D9B4D2B" w14:textId="77777777" w:rsidR="005B50E9" w:rsidRDefault="005B50E9" w:rsidP="005B50E9">
      <w:pPr>
        <w:spacing w:line="360" w:lineRule="auto"/>
        <w:jc w:val="both"/>
        <w:rPr>
          <w:rFonts w:ascii="Arial" w:hAnsi="Arial"/>
          <w:rtl/>
        </w:rPr>
      </w:pPr>
    </w:p>
    <w:p w14:paraId="69EC3014" w14:textId="77777777" w:rsidR="005B50E9" w:rsidRDefault="005B50E9" w:rsidP="005B50E9">
      <w:pPr>
        <w:spacing w:line="360" w:lineRule="auto"/>
        <w:jc w:val="both"/>
        <w:rPr>
          <w:rFonts w:ascii="Arial" w:hAnsi="Arial"/>
          <w:rtl/>
        </w:rPr>
      </w:pPr>
      <w:r>
        <w:rPr>
          <w:rFonts w:ascii="Arial" w:hAnsi="Arial" w:hint="cs"/>
          <w:rtl/>
        </w:rPr>
        <w:t xml:space="preserve">ההגנה ביקשה לייחס משקל למצבו הרפואי של הנאשם, היותו נכה בשיעור 100%, ולהיותו נעדר עבר פלילי. </w:t>
      </w:r>
    </w:p>
    <w:p w14:paraId="24FD57B8" w14:textId="77777777" w:rsidR="005B50E9" w:rsidRDefault="005B50E9" w:rsidP="005B50E9">
      <w:pPr>
        <w:spacing w:line="360" w:lineRule="auto"/>
        <w:jc w:val="both"/>
        <w:rPr>
          <w:rFonts w:ascii="Arial" w:hAnsi="Arial"/>
          <w:rtl/>
        </w:rPr>
      </w:pPr>
    </w:p>
    <w:p w14:paraId="261AE944" w14:textId="77777777" w:rsidR="005B50E9" w:rsidRDefault="005B50E9" w:rsidP="005B50E9">
      <w:pPr>
        <w:spacing w:line="360" w:lineRule="auto"/>
        <w:jc w:val="both"/>
        <w:rPr>
          <w:rFonts w:ascii="Arial" w:hAnsi="Arial"/>
          <w:rtl/>
        </w:rPr>
      </w:pPr>
      <w:r>
        <w:rPr>
          <w:rFonts w:ascii="Arial" w:hAnsi="Arial" w:hint="cs"/>
          <w:rtl/>
        </w:rPr>
        <w:t>כן, ביקשה ההגנה לייחס משקל להיות הנאשם מצוי בתנאים מגבילים מאז הגשת כתב האישום נגדו, ולא נרשמה לחובתו הפרה של התנאים.</w:t>
      </w:r>
    </w:p>
    <w:p w14:paraId="71738AC0" w14:textId="77777777" w:rsidR="005B50E9" w:rsidRDefault="005B50E9" w:rsidP="005B50E9">
      <w:pPr>
        <w:spacing w:line="360" w:lineRule="auto"/>
        <w:jc w:val="both"/>
        <w:rPr>
          <w:rFonts w:ascii="Arial" w:hAnsi="Arial"/>
          <w:rtl/>
        </w:rPr>
      </w:pPr>
    </w:p>
    <w:p w14:paraId="789ED8AA" w14:textId="77777777" w:rsidR="005B50E9" w:rsidRDefault="005B50E9" w:rsidP="005B50E9">
      <w:pPr>
        <w:spacing w:line="360" w:lineRule="auto"/>
        <w:jc w:val="both"/>
        <w:rPr>
          <w:rFonts w:ascii="Arial" w:hAnsi="Arial"/>
          <w:rtl/>
        </w:rPr>
      </w:pPr>
      <w:r>
        <w:rPr>
          <w:rFonts w:ascii="Arial" w:hAnsi="Arial" w:hint="cs"/>
          <w:rtl/>
        </w:rPr>
        <w:t>ההגנה טענה, כי מדובר באירוע חריג שאינו מאפיין את הנאשם, וטענה, כי הנאשם מצא את הנשק בשטח פתוח והחזיקו בביתו למשך יומיים.</w:t>
      </w:r>
    </w:p>
    <w:p w14:paraId="00EAE7C6" w14:textId="77777777" w:rsidR="005B50E9" w:rsidRDefault="005B50E9" w:rsidP="005B50E9">
      <w:pPr>
        <w:spacing w:line="360" w:lineRule="auto"/>
        <w:jc w:val="both"/>
        <w:rPr>
          <w:rFonts w:ascii="Arial" w:hAnsi="Arial"/>
          <w:rtl/>
        </w:rPr>
      </w:pPr>
    </w:p>
    <w:p w14:paraId="4ECA4DB4" w14:textId="77777777" w:rsidR="005B50E9" w:rsidRDefault="005B50E9" w:rsidP="005B50E9">
      <w:pPr>
        <w:spacing w:line="360" w:lineRule="auto"/>
        <w:jc w:val="both"/>
        <w:rPr>
          <w:rFonts w:ascii="Arial" w:hAnsi="Arial"/>
          <w:rtl/>
        </w:rPr>
      </w:pPr>
      <w:r>
        <w:rPr>
          <w:rFonts w:ascii="Arial" w:hAnsi="Arial" w:hint="cs"/>
          <w:rtl/>
        </w:rPr>
        <w:t>ההגנה ביקשה שלא לקבל את מתחם הענישה אליו עתרה התביעה וביקשה להטיל ענישה שיקומית.</w:t>
      </w:r>
    </w:p>
    <w:p w14:paraId="4213C3C4" w14:textId="77777777" w:rsidR="005B50E9" w:rsidRDefault="005B50E9" w:rsidP="005B50E9">
      <w:pPr>
        <w:spacing w:line="360" w:lineRule="auto"/>
        <w:jc w:val="both"/>
        <w:rPr>
          <w:rFonts w:ascii="Arial" w:hAnsi="Arial"/>
          <w:rtl/>
        </w:rPr>
      </w:pPr>
    </w:p>
    <w:p w14:paraId="0B49FF30" w14:textId="77777777" w:rsidR="005B50E9" w:rsidRDefault="005B50E9" w:rsidP="005B50E9">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עשה טעות, עליה לא יחזור בשנית. כן, הוסיף כי הוא אב ל-7 ילדים, אשתו אינה עובדת, ומצבו הבריאותי אינו תקין.</w:t>
      </w:r>
    </w:p>
    <w:p w14:paraId="30CF84C4" w14:textId="77777777" w:rsidR="005B50E9" w:rsidRDefault="005B50E9" w:rsidP="005B50E9">
      <w:pPr>
        <w:spacing w:line="360" w:lineRule="auto"/>
        <w:jc w:val="both"/>
        <w:rPr>
          <w:rFonts w:ascii="Arial" w:hAnsi="Arial"/>
          <w:rtl/>
        </w:rPr>
      </w:pPr>
    </w:p>
    <w:p w14:paraId="2425331D" w14:textId="77777777" w:rsidR="005B50E9" w:rsidRDefault="005B50E9" w:rsidP="005B50E9">
      <w:pPr>
        <w:spacing w:line="360" w:lineRule="auto"/>
        <w:jc w:val="both"/>
        <w:rPr>
          <w:rFonts w:ascii="Arial" w:hAnsi="Arial"/>
          <w:rtl/>
        </w:rPr>
      </w:pPr>
    </w:p>
    <w:p w14:paraId="4226A631" w14:textId="77777777" w:rsidR="005B50E9" w:rsidRDefault="005B50E9" w:rsidP="005B50E9">
      <w:pPr>
        <w:spacing w:line="360" w:lineRule="auto"/>
        <w:jc w:val="both"/>
        <w:rPr>
          <w:rFonts w:ascii="Arial" w:hAnsi="Arial"/>
          <w:rtl/>
        </w:rPr>
      </w:pPr>
      <w:r>
        <w:rPr>
          <w:rFonts w:ascii="Arial" w:hAnsi="Arial" w:hint="cs"/>
          <w:b/>
          <w:bCs/>
          <w:rtl/>
        </w:rPr>
        <w:t>דיון והכרעה</w:t>
      </w:r>
    </w:p>
    <w:p w14:paraId="5FC28AA7" w14:textId="77777777" w:rsidR="005B50E9" w:rsidRPr="00A76418" w:rsidRDefault="005B50E9" w:rsidP="005B50E9">
      <w:pPr>
        <w:spacing w:line="360" w:lineRule="auto"/>
        <w:jc w:val="both"/>
        <w:rPr>
          <w:rFonts w:ascii="Arial" w:hAnsi="Arial"/>
        </w:rPr>
      </w:pPr>
    </w:p>
    <w:p w14:paraId="454E153D" w14:textId="77777777" w:rsidR="005B50E9" w:rsidRDefault="005B50E9" w:rsidP="005B50E9">
      <w:pPr>
        <w:spacing w:line="360" w:lineRule="auto"/>
        <w:jc w:val="both"/>
        <w:rPr>
          <w:rFonts w:ascii="David" w:hAnsi="David"/>
          <w:rtl/>
        </w:rPr>
      </w:pPr>
      <w:r w:rsidRPr="00A76418">
        <w:rPr>
          <w:rFonts w:ascii="David" w:hAnsi="David"/>
          <w:rtl/>
        </w:rPr>
        <w:t>אין צורך להכביר מילים על פוטנציאל הסיכון הנובע מהחזקת נשק חם קטלני, שלא כדין.</w:t>
      </w:r>
      <w:r>
        <w:rPr>
          <w:rFonts w:ascii="David" w:hAnsi="David" w:hint="cs"/>
          <w:rtl/>
        </w:rPr>
        <w:t xml:space="preserve"> </w:t>
      </w:r>
      <w:r w:rsidRPr="00A76418">
        <w:rPr>
          <w:rFonts w:ascii="David" w:hAnsi="David"/>
          <w:rtl/>
        </w:rPr>
        <w:t>כלי הנשק עלול למצוא דרכו לפעילות שלילית, אם פלילית ואם נגד בטחון המדינה.</w:t>
      </w:r>
    </w:p>
    <w:p w14:paraId="5F91A691" w14:textId="77777777" w:rsidR="005B50E9" w:rsidRPr="00DB675B" w:rsidRDefault="005B50E9" w:rsidP="005B50E9">
      <w:pPr>
        <w:spacing w:line="360" w:lineRule="auto"/>
        <w:jc w:val="both"/>
        <w:rPr>
          <w:rFonts w:ascii="David" w:hAnsi="David"/>
        </w:rPr>
      </w:pPr>
    </w:p>
    <w:p w14:paraId="71AFE79B" w14:textId="77777777" w:rsidR="005B50E9" w:rsidRPr="00A76418" w:rsidRDefault="005B50E9" w:rsidP="005B50E9">
      <w:pPr>
        <w:spacing w:line="360" w:lineRule="auto"/>
        <w:jc w:val="both"/>
        <w:rPr>
          <w:rFonts w:ascii="Arial" w:hAnsi="Arial" w:cs="Arial"/>
        </w:rPr>
      </w:pPr>
      <w:r w:rsidRPr="00A76418">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04552AD6" w14:textId="77777777" w:rsidR="005B50E9" w:rsidRPr="00A76418" w:rsidRDefault="005B50E9" w:rsidP="005B50E9">
      <w:pPr>
        <w:spacing w:line="360" w:lineRule="auto"/>
        <w:jc w:val="both"/>
        <w:rPr>
          <w:rFonts w:cs="Times New Roman"/>
        </w:rPr>
      </w:pPr>
    </w:p>
    <w:p w14:paraId="5258FB3B" w14:textId="77777777" w:rsidR="005B50E9" w:rsidRPr="00A76418" w:rsidRDefault="005B50E9" w:rsidP="005B50E9">
      <w:pPr>
        <w:spacing w:line="360" w:lineRule="auto"/>
        <w:jc w:val="both"/>
        <w:rPr>
          <w:rFonts w:ascii="David" w:hAnsi="David"/>
        </w:rPr>
      </w:pPr>
      <w:r w:rsidRPr="00A76418">
        <w:rPr>
          <w:rFonts w:ascii="David" w:hAnsi="David"/>
          <w:rtl/>
        </w:rPr>
        <w:t>בנוסף, החזקת נשק כאמור עלולה להביא לפגיעה בשלטון החוק ובנושאי שלטון החוק, המבצעים את תפקידם.</w:t>
      </w:r>
    </w:p>
    <w:p w14:paraId="3AAAD5B5" w14:textId="77777777" w:rsidR="005B50E9" w:rsidRDefault="005B50E9" w:rsidP="005B50E9">
      <w:pPr>
        <w:spacing w:line="360" w:lineRule="auto"/>
        <w:jc w:val="both"/>
        <w:rPr>
          <w:rFonts w:ascii="David" w:hAnsi="David"/>
          <w:rtl/>
        </w:rPr>
      </w:pPr>
    </w:p>
    <w:p w14:paraId="46D56156" w14:textId="77777777" w:rsidR="005B50E9" w:rsidRPr="00A76418" w:rsidRDefault="005B50E9" w:rsidP="005B50E9">
      <w:pPr>
        <w:spacing w:line="360" w:lineRule="auto"/>
        <w:jc w:val="both"/>
        <w:rPr>
          <w:rFonts w:ascii="David" w:hAnsi="David"/>
        </w:rPr>
      </w:pPr>
    </w:p>
    <w:p w14:paraId="0303FF41" w14:textId="77777777" w:rsidR="005B50E9" w:rsidRDefault="005B50E9" w:rsidP="005B50E9">
      <w:pPr>
        <w:spacing w:line="360" w:lineRule="auto"/>
        <w:jc w:val="both"/>
        <w:rPr>
          <w:rFonts w:ascii="David" w:hAnsi="David"/>
          <w:rtl/>
        </w:rPr>
      </w:pPr>
    </w:p>
    <w:p w14:paraId="4B642060" w14:textId="77777777" w:rsidR="005B50E9" w:rsidRPr="00A76418" w:rsidRDefault="005B50E9" w:rsidP="005B50E9">
      <w:pPr>
        <w:spacing w:line="360" w:lineRule="auto"/>
        <w:jc w:val="both"/>
        <w:rPr>
          <w:rFonts w:ascii="David" w:hAnsi="David"/>
          <w:rtl/>
        </w:rPr>
      </w:pPr>
      <w:r w:rsidRPr="00A76418">
        <w:rPr>
          <w:rFonts w:ascii="David" w:hAnsi="David"/>
          <w:rtl/>
        </w:rPr>
        <w:t xml:space="preserve">בפסק הדין </w:t>
      </w:r>
      <w:hyperlink r:id="rId15" w:history="1">
        <w:r w:rsidR="009C1883" w:rsidRPr="009C1883">
          <w:rPr>
            <w:rFonts w:ascii="David" w:hAnsi="David"/>
            <w:color w:val="0000FF"/>
            <w:u w:val="single"/>
            <w:rtl/>
          </w:rPr>
          <w:t>ע"פ 3288/14</w:t>
        </w:r>
      </w:hyperlink>
      <w:r w:rsidRPr="00A76418">
        <w:rPr>
          <w:rFonts w:ascii="David" w:hAnsi="David"/>
          <w:rtl/>
        </w:rPr>
        <w:t xml:space="preserve"> </w:t>
      </w:r>
      <w:r w:rsidRPr="00A76418">
        <w:rPr>
          <w:rFonts w:ascii="David" w:hAnsi="David"/>
          <w:b/>
          <w:bCs/>
          <w:rtl/>
        </w:rPr>
        <w:t>מדינת ישראל נ' קריספל</w:t>
      </w:r>
      <w:r w:rsidRPr="00A76418">
        <w:rPr>
          <w:rFonts w:ascii="David" w:hAnsi="David"/>
          <w:rtl/>
        </w:rPr>
        <w:t xml:space="preserve"> (פורסם במאגרים), נאמר: </w:t>
      </w:r>
    </w:p>
    <w:p w14:paraId="5B3AF2D2" w14:textId="77777777" w:rsidR="005B50E9" w:rsidRPr="00A76418" w:rsidRDefault="005B50E9" w:rsidP="005B50E9">
      <w:pPr>
        <w:spacing w:line="360" w:lineRule="auto"/>
        <w:jc w:val="both"/>
        <w:rPr>
          <w:rFonts w:ascii="David" w:hAnsi="David"/>
          <w:rtl/>
        </w:rPr>
      </w:pPr>
    </w:p>
    <w:p w14:paraId="7F823B00" w14:textId="77777777" w:rsidR="005B50E9" w:rsidRPr="00DB675B" w:rsidRDefault="005B50E9" w:rsidP="005B50E9">
      <w:pPr>
        <w:spacing w:line="360" w:lineRule="auto"/>
        <w:jc w:val="both"/>
        <w:rPr>
          <w:rFonts w:ascii="Aharoni" w:hAnsi="Aharoni" w:cs="Aharoni"/>
        </w:rPr>
      </w:pPr>
      <w:r w:rsidRPr="00A76418">
        <w:rPr>
          <w:rFonts w:ascii="Aharoni" w:hAnsi="Aharoni"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421E719A" w14:textId="77777777" w:rsidR="005B50E9" w:rsidRPr="00A76418" w:rsidRDefault="005B50E9" w:rsidP="005B50E9">
      <w:pPr>
        <w:spacing w:line="360" w:lineRule="auto"/>
        <w:jc w:val="both"/>
        <w:rPr>
          <w:rFonts w:ascii="David" w:hAnsi="David"/>
          <w:rtl/>
        </w:rPr>
      </w:pPr>
    </w:p>
    <w:p w14:paraId="24F8EB80" w14:textId="77777777" w:rsidR="005B50E9" w:rsidRPr="00A76418" w:rsidRDefault="005B50E9" w:rsidP="005B50E9">
      <w:pPr>
        <w:spacing w:line="360" w:lineRule="auto"/>
        <w:jc w:val="both"/>
        <w:rPr>
          <w:rFonts w:ascii="David" w:hAnsi="David"/>
          <w:rtl/>
        </w:rPr>
      </w:pPr>
      <w:r w:rsidRPr="00A76418">
        <w:rPr>
          <w:rFonts w:ascii="David" w:hAnsi="David"/>
          <w:rtl/>
        </w:rPr>
        <w:t xml:space="preserve">בפסק הדין </w:t>
      </w:r>
      <w:hyperlink r:id="rId16" w:history="1">
        <w:r w:rsidR="009C1883" w:rsidRPr="009C1883">
          <w:rPr>
            <w:rFonts w:ascii="David" w:hAnsi="David"/>
            <w:color w:val="0000FF"/>
            <w:u w:val="single"/>
            <w:rtl/>
          </w:rPr>
          <w:t>ע"פ 4945/13</w:t>
        </w:r>
      </w:hyperlink>
      <w:r w:rsidRPr="00A76418">
        <w:rPr>
          <w:rFonts w:ascii="David" w:hAnsi="David"/>
          <w:rtl/>
        </w:rPr>
        <w:t xml:space="preserve"> </w:t>
      </w:r>
      <w:r w:rsidRPr="00A76418">
        <w:rPr>
          <w:rFonts w:ascii="David" w:hAnsi="David"/>
          <w:b/>
          <w:bCs/>
          <w:rtl/>
        </w:rPr>
        <w:t>סלימאן, נ' מדינת ישראל</w:t>
      </w:r>
      <w:r w:rsidRPr="00A76418">
        <w:rPr>
          <w:rFonts w:ascii="David" w:hAnsi="David"/>
          <w:rtl/>
        </w:rPr>
        <w:t xml:space="preserve"> (פורסם במאגרים), נאמר:</w:t>
      </w:r>
    </w:p>
    <w:p w14:paraId="7C6F5D12" w14:textId="77777777" w:rsidR="005B50E9" w:rsidRPr="00A76418" w:rsidRDefault="005B50E9" w:rsidP="005B50E9">
      <w:pPr>
        <w:spacing w:line="360" w:lineRule="auto"/>
        <w:jc w:val="both"/>
        <w:rPr>
          <w:rFonts w:ascii="David" w:hAnsi="David"/>
        </w:rPr>
      </w:pPr>
    </w:p>
    <w:p w14:paraId="575277FE" w14:textId="77777777" w:rsidR="005B50E9" w:rsidRPr="00A76418" w:rsidRDefault="005B50E9" w:rsidP="005B50E9">
      <w:pPr>
        <w:spacing w:line="360" w:lineRule="auto"/>
        <w:jc w:val="both"/>
        <w:rPr>
          <w:rFonts w:ascii="Calibri" w:hAnsi="Calibri" w:cs="Calibri"/>
        </w:rPr>
      </w:pPr>
      <w:r w:rsidRPr="00A76418">
        <w:rPr>
          <w:rFonts w:ascii="Aharoni" w:hAnsi="Aharoni" w:cs="Aharoni" w:hint="cs"/>
          <w:rtl/>
        </w:rPr>
        <w:t>... התגלגלותם של כלי נשק מיד ליד ללא פיקוח עלולה להוביל להגעתם בדרך לא דרך לגורמים פליליים ועוינים. אין לדעת מה יעלה בגורלם של</w:t>
      </w:r>
      <w:r w:rsidR="009C1883">
        <w:rPr>
          <w:rFonts w:ascii="Aharoni" w:hAnsi="Aharoni" w:cs="Aharoni" w:hint="cs"/>
          <w:rtl/>
        </w:rPr>
        <w:t xml:space="preserve"> </w:t>
      </w:r>
      <w:r w:rsidRPr="00A76418">
        <w:rPr>
          <w:rFonts w:ascii="Aharoni" w:hAnsi="Aharoni" w:cs="Aharoni" w:hint="cs"/>
          <w:rtl/>
        </w:rPr>
        <w:t xml:space="preserve"> ולאלו תוצאות הרסניות יובילו. ודוק: הסיכון שנשקף לשלום הציבור צריך להילקח בחשבון על ידי כל מי שמחזיק בידו נשק שלא כדין, </w:t>
      </w:r>
      <w:r w:rsidRPr="00A76418">
        <w:rPr>
          <w:rFonts w:ascii="Aharoni" w:hAnsi="Aharoni" w:cs="Aharoni" w:hint="cs"/>
          <w:u w:val="single"/>
          <w:rtl/>
        </w:rPr>
        <w:t>גם אם אינו מחזיק בו למטרת ביצוען של עבירות אחרות</w:t>
      </w:r>
      <w:r w:rsidRPr="00A76418">
        <w:rPr>
          <w:rFonts w:ascii="Aharoni" w:hAnsi="Aharoni"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1D2403D" w14:textId="77777777" w:rsidR="005B50E9" w:rsidRPr="00A76418" w:rsidRDefault="005B50E9" w:rsidP="005B50E9">
      <w:pPr>
        <w:spacing w:line="360" w:lineRule="auto"/>
        <w:jc w:val="both"/>
        <w:rPr>
          <w:rFonts w:ascii="David" w:hAnsi="David"/>
        </w:rPr>
      </w:pPr>
      <w:r w:rsidRPr="00A76418">
        <w:rPr>
          <w:rFonts w:ascii="David" w:hAnsi="David"/>
          <w:rtl/>
        </w:rPr>
        <w:t>[ההדגשה אינה במקור].</w:t>
      </w:r>
    </w:p>
    <w:p w14:paraId="49F72C64" w14:textId="77777777" w:rsidR="005B50E9" w:rsidRPr="00A76418" w:rsidRDefault="005B50E9" w:rsidP="005B50E9">
      <w:pPr>
        <w:spacing w:line="360" w:lineRule="auto"/>
        <w:jc w:val="both"/>
        <w:rPr>
          <w:rFonts w:ascii="David" w:hAnsi="David"/>
        </w:rPr>
      </w:pPr>
    </w:p>
    <w:p w14:paraId="2A6ED611" w14:textId="77777777" w:rsidR="005B50E9" w:rsidRPr="00A76418" w:rsidRDefault="005B50E9" w:rsidP="005B50E9">
      <w:pPr>
        <w:spacing w:line="360" w:lineRule="auto"/>
        <w:jc w:val="both"/>
        <w:rPr>
          <w:rFonts w:ascii="David" w:hAnsi="David"/>
          <w:rtl/>
        </w:rPr>
      </w:pPr>
      <w:r w:rsidRPr="00A76418">
        <w:rPr>
          <w:rFonts w:ascii="David" w:hAnsi="David"/>
          <w:rtl/>
        </w:rPr>
        <w:t xml:space="preserve">בשורה של פסקי דין נקבע, כי </w:t>
      </w:r>
      <w:r w:rsidRPr="00A76418">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A76418">
        <w:rPr>
          <w:rFonts w:ascii="David" w:hAnsi="David"/>
          <w:rtl/>
        </w:rPr>
        <w:t xml:space="preserve">. ראו </w:t>
      </w:r>
      <w:hyperlink r:id="rId17" w:history="1">
        <w:r w:rsidR="009C1883" w:rsidRPr="009C1883">
          <w:rPr>
            <w:rFonts w:ascii="David" w:hAnsi="David"/>
            <w:color w:val="0000FF"/>
            <w:u w:val="single"/>
            <w:rtl/>
          </w:rPr>
          <w:t>רע"פ 2718/04</w:t>
        </w:r>
      </w:hyperlink>
      <w:r w:rsidRPr="00A76418">
        <w:rPr>
          <w:rFonts w:ascii="David" w:hAnsi="David"/>
          <w:rtl/>
        </w:rPr>
        <w:t xml:space="preserve"> </w:t>
      </w:r>
      <w:r w:rsidRPr="00A76418">
        <w:rPr>
          <w:rFonts w:ascii="David" w:hAnsi="David"/>
          <w:b/>
          <w:bCs/>
          <w:rtl/>
        </w:rPr>
        <w:t>אבו דאחל נ' מדינת ישראל</w:t>
      </w:r>
      <w:r w:rsidRPr="00A76418">
        <w:rPr>
          <w:rFonts w:ascii="David" w:hAnsi="David"/>
          <w:rtl/>
        </w:rPr>
        <w:t xml:space="preserve"> (פורסם במאגרים):</w:t>
      </w:r>
    </w:p>
    <w:p w14:paraId="79170691" w14:textId="77777777" w:rsidR="005B50E9" w:rsidRPr="00A76418" w:rsidRDefault="005B50E9" w:rsidP="005B50E9">
      <w:pPr>
        <w:spacing w:line="360" w:lineRule="auto"/>
        <w:jc w:val="both"/>
        <w:rPr>
          <w:rFonts w:ascii="David" w:hAnsi="David"/>
          <w:rtl/>
        </w:rPr>
      </w:pPr>
    </w:p>
    <w:p w14:paraId="0363D1F4" w14:textId="77777777" w:rsidR="005B50E9" w:rsidRPr="00A76418" w:rsidRDefault="005B50E9" w:rsidP="005B50E9">
      <w:pPr>
        <w:spacing w:line="360" w:lineRule="auto"/>
        <w:jc w:val="both"/>
        <w:rPr>
          <w:rFonts w:ascii="Aharoni" w:hAnsi="Aharoni" w:cs="Aharoni"/>
          <w:rtl/>
        </w:rPr>
      </w:pPr>
      <w:r w:rsidRPr="00A76418">
        <w:rPr>
          <w:rFonts w:ascii="Aharoni" w:hAnsi="Aharoni"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77A3910" w14:textId="77777777" w:rsidR="005B50E9" w:rsidRPr="00A76418" w:rsidRDefault="005B50E9" w:rsidP="005B50E9">
      <w:pPr>
        <w:spacing w:line="360" w:lineRule="auto"/>
        <w:jc w:val="both"/>
        <w:rPr>
          <w:rFonts w:ascii="David" w:hAnsi="David"/>
          <w:rtl/>
        </w:rPr>
      </w:pPr>
    </w:p>
    <w:p w14:paraId="16EBCFDD" w14:textId="77777777" w:rsidR="005B50E9" w:rsidRPr="00A76418" w:rsidRDefault="005B50E9" w:rsidP="005B50E9">
      <w:pPr>
        <w:spacing w:line="360" w:lineRule="auto"/>
        <w:jc w:val="both"/>
        <w:rPr>
          <w:rFonts w:ascii="David" w:hAnsi="David"/>
          <w:rtl/>
        </w:rPr>
      </w:pPr>
      <w:r w:rsidRPr="00A76418">
        <w:rPr>
          <w:rFonts w:ascii="David" w:hAnsi="David"/>
          <w:rtl/>
        </w:rPr>
        <w:t xml:space="preserve">עוד ראו </w:t>
      </w:r>
      <w:hyperlink r:id="rId18" w:history="1">
        <w:r w:rsidR="009C1883" w:rsidRPr="009C1883">
          <w:rPr>
            <w:rFonts w:ascii="David" w:hAnsi="David"/>
            <w:color w:val="0000FF"/>
            <w:u w:val="single"/>
            <w:rtl/>
          </w:rPr>
          <w:t>ע"פ 5220/09</w:t>
        </w:r>
      </w:hyperlink>
      <w:r w:rsidRPr="00A76418">
        <w:rPr>
          <w:rFonts w:ascii="David" w:hAnsi="David"/>
          <w:rtl/>
        </w:rPr>
        <w:t xml:space="preserve"> </w:t>
      </w:r>
      <w:r w:rsidRPr="00A76418">
        <w:rPr>
          <w:rFonts w:ascii="David" w:hAnsi="David"/>
          <w:b/>
          <w:bCs/>
          <w:rtl/>
        </w:rPr>
        <w:t xml:space="preserve">עוואודה נ' מדינת ישראל </w:t>
      </w:r>
      <w:r w:rsidRPr="00A76418">
        <w:rPr>
          <w:rFonts w:ascii="David" w:hAnsi="David"/>
          <w:rtl/>
        </w:rPr>
        <w:t>(פורסם במאגרים):</w:t>
      </w:r>
    </w:p>
    <w:p w14:paraId="6F921BD6" w14:textId="77777777" w:rsidR="005B50E9" w:rsidRPr="00A76418" w:rsidRDefault="005B50E9" w:rsidP="005B50E9">
      <w:pPr>
        <w:spacing w:line="360" w:lineRule="auto"/>
        <w:jc w:val="both"/>
        <w:rPr>
          <w:rFonts w:ascii="David" w:hAnsi="David"/>
          <w:rtl/>
        </w:rPr>
      </w:pPr>
    </w:p>
    <w:p w14:paraId="5342D6AE" w14:textId="77777777" w:rsidR="005B50E9" w:rsidRPr="00A76418" w:rsidRDefault="005B50E9" w:rsidP="005B50E9">
      <w:pPr>
        <w:spacing w:line="360" w:lineRule="auto"/>
        <w:jc w:val="both"/>
        <w:rPr>
          <w:rFonts w:ascii="David" w:hAnsi="David"/>
          <w:rtl/>
        </w:rPr>
      </w:pPr>
      <w:r w:rsidRPr="00A76418">
        <w:rPr>
          <w:rFonts w:ascii="Aharoni" w:hAnsi="Aharoni" w:cs="Aharoni" w:hint="cs"/>
          <w:rtl/>
        </w:rPr>
        <w:t xml:space="preserve">אשר על כן משכבר נקבע הכלל לפיו </w:t>
      </w:r>
      <w:r w:rsidRPr="00A76418">
        <w:rPr>
          <w:rFonts w:ascii="Aharoni" w:hAnsi="Aharoni" w:cs="Aharoni" w:hint="cs"/>
          <w:u w:val="single"/>
          <w:rtl/>
        </w:rPr>
        <w:t>ככלל יש לאסור את המבצעים עבירה זו, גם אם מדובר בעבירה ראשונה</w:t>
      </w:r>
      <w:r w:rsidRPr="00A76418">
        <w:rPr>
          <w:rFonts w:ascii="Aharoni" w:hAnsi="Aharoni" w:cs="Aharoni" w:hint="cs"/>
          <w:rtl/>
        </w:rPr>
        <w:t>, מאחורי סורג ובריח, ואילו אורך התקופה כלול בנסיבות הספציפיות של העושה והמעשה.</w:t>
      </w:r>
    </w:p>
    <w:p w14:paraId="4632A774" w14:textId="77777777" w:rsidR="005B50E9" w:rsidRDefault="005B50E9" w:rsidP="005B50E9">
      <w:pPr>
        <w:spacing w:line="360" w:lineRule="auto"/>
        <w:jc w:val="both"/>
        <w:rPr>
          <w:rFonts w:ascii="David" w:hAnsi="David"/>
          <w:rtl/>
        </w:rPr>
      </w:pPr>
      <w:r>
        <w:rPr>
          <w:rFonts w:ascii="David" w:hAnsi="David"/>
          <w:rtl/>
        </w:rPr>
        <w:t>[ההדגשה אינה במקור]</w:t>
      </w:r>
      <w:r>
        <w:rPr>
          <w:rFonts w:ascii="David" w:hAnsi="David" w:hint="cs"/>
          <w:rtl/>
        </w:rPr>
        <w:t>.</w:t>
      </w:r>
    </w:p>
    <w:p w14:paraId="204EE99B" w14:textId="77777777" w:rsidR="005B50E9" w:rsidRDefault="005B50E9" w:rsidP="005B50E9">
      <w:pPr>
        <w:spacing w:line="360" w:lineRule="auto"/>
        <w:jc w:val="both"/>
        <w:rPr>
          <w:rFonts w:ascii="David" w:hAnsi="David"/>
          <w:rtl/>
        </w:rPr>
      </w:pPr>
      <w:r>
        <w:rPr>
          <w:rFonts w:ascii="David" w:hAnsi="David" w:hint="cs"/>
          <w:b/>
          <w:bCs/>
          <w:rtl/>
        </w:rPr>
        <w:t>מתחם ענישה</w:t>
      </w:r>
    </w:p>
    <w:p w14:paraId="0E649855" w14:textId="77777777" w:rsidR="005B50E9" w:rsidRDefault="005B50E9" w:rsidP="005B50E9">
      <w:pPr>
        <w:spacing w:line="360" w:lineRule="auto"/>
        <w:jc w:val="both"/>
        <w:rPr>
          <w:rFonts w:ascii="David" w:hAnsi="David"/>
          <w:rtl/>
        </w:rPr>
      </w:pPr>
    </w:p>
    <w:p w14:paraId="4434B11F" w14:textId="77777777" w:rsidR="005B50E9" w:rsidRPr="00A76418" w:rsidRDefault="005B50E9" w:rsidP="005B50E9">
      <w:pPr>
        <w:spacing w:line="360" w:lineRule="auto"/>
        <w:jc w:val="both"/>
        <w:rPr>
          <w:rFonts w:ascii="David" w:hAnsi="David"/>
          <w:rtl/>
        </w:rPr>
      </w:pPr>
      <w:r>
        <w:rPr>
          <w:rFonts w:ascii="David" w:hAnsi="David" w:hint="cs"/>
          <w:rtl/>
        </w:rPr>
        <w:t>לצורך סקירת מדיניות הענישה הנוהגת, תובא להלן פסיקה רלוונטית:</w:t>
      </w:r>
    </w:p>
    <w:p w14:paraId="347BCD9A" w14:textId="77777777" w:rsidR="005B50E9" w:rsidRPr="00A76418" w:rsidRDefault="005B50E9" w:rsidP="005B50E9">
      <w:pPr>
        <w:spacing w:line="360" w:lineRule="auto"/>
        <w:jc w:val="both"/>
        <w:rPr>
          <w:rFonts w:ascii="David" w:hAnsi="David"/>
          <w:rtl/>
        </w:rPr>
      </w:pPr>
    </w:p>
    <w:p w14:paraId="0C8B5089"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בפסק הדין </w:t>
      </w:r>
      <w:hyperlink r:id="rId19" w:history="1">
        <w:r w:rsidR="009C1883" w:rsidRPr="009C1883">
          <w:rPr>
            <w:rFonts w:ascii="David" w:hAnsi="David"/>
            <w:color w:val="0000FF"/>
            <w:u w:val="single"/>
            <w:rtl/>
          </w:rPr>
          <w:t>עפ"ג 23419-01-17</w:t>
        </w:r>
      </w:hyperlink>
      <w:r w:rsidRPr="00F34391">
        <w:rPr>
          <w:rFonts w:ascii="David" w:hAnsi="David"/>
          <w:b/>
          <w:bCs/>
          <w:rtl/>
        </w:rPr>
        <w:t xml:space="preserve"> מדינת ישראל נ' זניד ואח'</w:t>
      </w:r>
      <w:r w:rsidRPr="00F34391">
        <w:rPr>
          <w:rFonts w:ascii="David" w:hAnsi="David"/>
          <w:rtl/>
        </w:rPr>
        <w:t xml:space="preserve"> (פורסם במאגרים), נדון ערעור המדינה בעניינם של שני משיבים, האחד - נתפס מחזיק אקדח בקוטר 9 מ"מ ביחד עם מחסנית ובה 17</w:t>
      </w:r>
      <w:r w:rsidR="009C1883">
        <w:rPr>
          <w:rFonts w:ascii="David" w:hAnsi="David"/>
          <w:rtl/>
        </w:rPr>
        <w:t xml:space="preserve"> </w:t>
      </w:r>
      <w:r w:rsidRPr="00F34391">
        <w:rPr>
          <w:rFonts w:ascii="David" w:hAnsi="David"/>
          <w:rtl/>
        </w:rPr>
        <w:t xml:space="preserve"> כדורים; וכן רובה סער מאולתר דמוי </w:t>
      </w:r>
      <w:r w:rsidRPr="00F34391">
        <w:rPr>
          <w:rFonts w:ascii="Arial" w:hAnsi="Arial" w:cs="Arial"/>
        </w:rPr>
        <w:t>M16</w:t>
      </w:r>
      <w:r w:rsidRPr="00F34391">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F34391">
        <w:rPr>
          <w:rFonts w:ascii="David" w:hAnsi="David"/>
          <w:u w:val="single"/>
          <w:rtl/>
        </w:rPr>
        <w:t>המתחמים שנקבעו על ידי בית משפט השלום נמוכים יתר על המידה</w:t>
      </w:r>
      <w:r w:rsidRPr="00F34391">
        <w:rPr>
          <w:rFonts w:ascii="David" w:hAnsi="David"/>
          <w:rtl/>
        </w:rPr>
        <w:t xml:space="preserve">. </w:t>
      </w:r>
    </w:p>
    <w:p w14:paraId="579D451A" w14:textId="77777777" w:rsidR="005B50E9" w:rsidRPr="00A76418" w:rsidRDefault="005B50E9" w:rsidP="005B50E9">
      <w:pPr>
        <w:spacing w:line="360" w:lineRule="auto"/>
        <w:jc w:val="both"/>
        <w:rPr>
          <w:rFonts w:ascii="David" w:hAnsi="David"/>
          <w:rtl/>
        </w:rPr>
      </w:pPr>
    </w:p>
    <w:p w14:paraId="4770CC2A"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sidRPr="00F34391">
        <w:rPr>
          <w:rFonts w:ascii="David" w:hAnsi="David"/>
          <w:u w:val="single"/>
          <w:rtl/>
        </w:rPr>
        <w:t>אחד</w:t>
      </w:r>
      <w:r w:rsidRPr="00F34391">
        <w:rPr>
          <w:rFonts w:ascii="David" w:hAnsi="David"/>
          <w:rtl/>
        </w:rPr>
        <w:t xml:space="preserve"> מסוג תת מקלע בצירוף מחסנית ובה 10 כדורים. ראו </w:t>
      </w:r>
      <w:hyperlink r:id="rId20" w:history="1">
        <w:r w:rsidR="009C1883" w:rsidRPr="009C1883">
          <w:rPr>
            <w:rFonts w:ascii="David" w:hAnsi="David"/>
            <w:color w:val="0000FF"/>
            <w:u w:val="single"/>
            <w:rtl/>
          </w:rPr>
          <w:t>ת.פ 7544-11-16</w:t>
        </w:r>
      </w:hyperlink>
      <w:r w:rsidRPr="00F34391">
        <w:rPr>
          <w:rFonts w:ascii="David" w:hAnsi="David"/>
          <w:rtl/>
        </w:rPr>
        <w:t xml:space="preserve"> </w:t>
      </w:r>
      <w:r w:rsidRPr="00F34391">
        <w:rPr>
          <w:rFonts w:ascii="David" w:hAnsi="David"/>
          <w:b/>
          <w:bCs/>
          <w:rtl/>
        </w:rPr>
        <w:t xml:space="preserve">מדינת ישראל נ' אלאסד </w:t>
      </w:r>
      <w:r w:rsidRPr="00F34391">
        <w:rPr>
          <w:rFonts w:ascii="David" w:hAnsi="David"/>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9C1883" w:rsidRPr="009C1883">
          <w:rPr>
            <w:rFonts w:ascii="David" w:hAnsi="David"/>
            <w:color w:val="0000FF"/>
            <w:u w:val="single"/>
            <w:rtl/>
          </w:rPr>
          <w:t>עפ"ג 22885-05-17</w:t>
        </w:r>
      </w:hyperlink>
      <w:r w:rsidRPr="00F34391">
        <w:rPr>
          <w:rFonts w:ascii="David" w:hAnsi="David"/>
          <w:rtl/>
        </w:rPr>
        <w:t xml:space="preserve"> </w:t>
      </w:r>
      <w:r w:rsidRPr="00F34391">
        <w:rPr>
          <w:rFonts w:ascii="David" w:hAnsi="David"/>
          <w:b/>
          <w:bCs/>
          <w:rtl/>
        </w:rPr>
        <w:t>אלאסד נ' מדינת ישראל</w:t>
      </w:r>
      <w:r w:rsidRPr="00F34391">
        <w:rPr>
          <w:rFonts w:ascii="David" w:hAnsi="David"/>
          <w:rtl/>
        </w:rPr>
        <w:t xml:space="preserve"> (פורסם במאגרים).</w:t>
      </w:r>
    </w:p>
    <w:p w14:paraId="4D55394E" w14:textId="77777777" w:rsidR="005B50E9" w:rsidRPr="00A76418" w:rsidRDefault="005B50E9" w:rsidP="005B50E9">
      <w:pPr>
        <w:spacing w:line="360" w:lineRule="auto"/>
        <w:jc w:val="both"/>
        <w:rPr>
          <w:rFonts w:ascii="David" w:hAnsi="David"/>
          <w:rtl/>
        </w:rPr>
      </w:pPr>
    </w:p>
    <w:p w14:paraId="59843B34"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בפסק הדין </w:t>
      </w:r>
      <w:hyperlink r:id="rId22" w:history="1">
        <w:r w:rsidR="009C1883" w:rsidRPr="009C1883">
          <w:rPr>
            <w:rFonts w:ascii="David" w:hAnsi="David"/>
            <w:color w:val="0000FF"/>
            <w:u w:val="single"/>
            <w:rtl/>
          </w:rPr>
          <w:t>ע"פ 4945/13</w:t>
        </w:r>
      </w:hyperlink>
      <w:r w:rsidRPr="00F34391">
        <w:rPr>
          <w:rFonts w:ascii="David" w:hAnsi="David"/>
          <w:rtl/>
        </w:rPr>
        <w:t xml:space="preserve"> </w:t>
      </w:r>
      <w:r w:rsidRPr="00F34391">
        <w:rPr>
          <w:rFonts w:ascii="David" w:hAnsi="David"/>
          <w:b/>
          <w:bCs/>
          <w:rtl/>
        </w:rPr>
        <w:t>מדינת ישראל נ' סלימאן</w:t>
      </w:r>
      <w:r w:rsidRPr="00F34391">
        <w:rPr>
          <w:rFonts w:ascii="David" w:hAnsi="David"/>
          <w:rtl/>
        </w:rPr>
        <w:t xml:space="preserve"> (פורסם במאגרים), אושר מתחם ענישה שינוע בין שנה ועד שלוש שנות מאסר, בגין החזקת כלי נשק</w:t>
      </w:r>
      <w:r w:rsidR="009C1883">
        <w:rPr>
          <w:rFonts w:ascii="David" w:hAnsi="David"/>
          <w:rtl/>
        </w:rPr>
        <w:t xml:space="preserve"> </w:t>
      </w:r>
      <w:r w:rsidRPr="00F34391">
        <w:rPr>
          <w:rFonts w:ascii="David" w:hAnsi="David"/>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C67A2B" w:rsidRPr="00C67A2B">
          <w:rPr>
            <w:rStyle w:val="Hyperlink"/>
            <w:rFonts w:ascii="David" w:hAnsi="David"/>
            <w:rtl/>
          </w:rPr>
          <w:t>לסעיף 144(ב)</w:t>
        </w:r>
      </w:hyperlink>
      <w:r w:rsidRPr="00F34391">
        <w:rPr>
          <w:rFonts w:ascii="David" w:hAnsi="David"/>
          <w:rtl/>
        </w:rPr>
        <w:t xml:space="preserve"> ל</w:t>
      </w:r>
      <w:hyperlink r:id="rId24" w:history="1">
        <w:r w:rsidR="009C1883" w:rsidRPr="009C1883">
          <w:rPr>
            <w:rFonts w:ascii="David" w:hAnsi="David"/>
            <w:color w:val="0000FF"/>
            <w:u w:val="single"/>
            <w:rtl/>
          </w:rPr>
          <w:t>חוק העונשין</w:t>
        </w:r>
      </w:hyperlink>
      <w:r w:rsidRPr="00F34391">
        <w:rPr>
          <w:rFonts w:ascii="David" w:hAnsi="David"/>
          <w:rtl/>
        </w:rPr>
        <w:t>, תשל"ז-1977.</w:t>
      </w:r>
    </w:p>
    <w:p w14:paraId="40E019E0" w14:textId="77777777" w:rsidR="005B50E9" w:rsidRPr="00A76418" w:rsidRDefault="005B50E9" w:rsidP="005B50E9">
      <w:pPr>
        <w:spacing w:line="360" w:lineRule="auto"/>
        <w:jc w:val="both"/>
        <w:rPr>
          <w:rFonts w:ascii="David" w:hAnsi="David"/>
          <w:rtl/>
        </w:rPr>
      </w:pPr>
    </w:p>
    <w:p w14:paraId="704D7400"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 </w:t>
      </w:r>
      <w:r w:rsidRPr="00F34391">
        <w:rPr>
          <w:rFonts w:ascii="David" w:hAnsi="David" w:hint="cs"/>
          <w:rtl/>
        </w:rPr>
        <w:t>ב</w:t>
      </w:r>
      <w:r w:rsidRPr="00F34391">
        <w:rPr>
          <w:rFonts w:ascii="David" w:hAnsi="David"/>
          <w:rtl/>
        </w:rPr>
        <w:t>גזר דין</w:t>
      </w:r>
      <w:r w:rsidRPr="00F34391">
        <w:rPr>
          <w:rFonts w:ascii="David" w:hAnsi="David" w:hint="cs"/>
          <w:rtl/>
        </w:rPr>
        <w:t xml:space="preserve"> </w:t>
      </w:r>
      <w:hyperlink r:id="rId25" w:history="1">
        <w:r w:rsidR="009C1883" w:rsidRPr="009C1883">
          <w:rPr>
            <w:rFonts w:ascii="David" w:hAnsi="David"/>
            <w:color w:val="0000FF"/>
            <w:u w:val="single"/>
            <w:rtl/>
          </w:rPr>
          <w:t>ת"פ 32560-12-16</w:t>
        </w:r>
      </w:hyperlink>
      <w:r w:rsidRPr="00F34391">
        <w:rPr>
          <w:rFonts w:ascii="David" w:hAnsi="David"/>
          <w:rtl/>
        </w:rPr>
        <w:t xml:space="preserve"> </w:t>
      </w:r>
      <w:r w:rsidRPr="00F34391">
        <w:rPr>
          <w:rFonts w:ascii="David" w:hAnsi="David"/>
          <w:b/>
          <w:bCs/>
          <w:rtl/>
        </w:rPr>
        <w:t>מדינת ישראל נ' אלסאריעה (</w:t>
      </w:r>
      <w:r w:rsidRPr="00F34391">
        <w:rPr>
          <w:rFonts w:ascii="David" w:hAnsi="David"/>
          <w:rtl/>
        </w:rPr>
        <w:t>פורסם במאגרים</w:t>
      </w:r>
      <w:r>
        <w:rPr>
          <w:rFonts w:ascii="David" w:hAnsi="David" w:hint="cs"/>
          <w:rtl/>
        </w:rPr>
        <w:t>)</w:t>
      </w:r>
      <w:r w:rsidRPr="00F34391">
        <w:rPr>
          <w:rFonts w:ascii="David" w:hAnsi="David"/>
          <w:rtl/>
        </w:rPr>
        <w:t xml:space="preserve">, נדון נאשם בגין עבירה של נסיון להחזקת אקדח מסוג ברטה (העבירה תוקנה לנסיון, במסגרת הסדר טעון, בשל כך </w:t>
      </w:r>
      <w:r w:rsidRPr="00F34391">
        <w:rPr>
          <w:rFonts w:ascii="David" w:hAnsi="David"/>
          <w:u w:val="single"/>
          <w:rtl/>
        </w:rPr>
        <w:t>שהנשק לא היה תקין</w:t>
      </w:r>
      <w:r w:rsidRPr="00F34391">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w:t>
      </w:r>
      <w:r>
        <w:rPr>
          <w:rFonts w:ascii="David" w:hAnsi="David" w:hint="cs"/>
          <w:rtl/>
        </w:rPr>
        <w:t xml:space="preserve"> </w:t>
      </w:r>
      <w:r w:rsidRPr="00F34391">
        <w:rPr>
          <w:rFonts w:ascii="David" w:hAnsi="David"/>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666804BB" w14:textId="77777777" w:rsidR="005B50E9" w:rsidRPr="00A76418" w:rsidRDefault="005B50E9" w:rsidP="005B50E9">
      <w:pPr>
        <w:spacing w:line="360" w:lineRule="auto"/>
        <w:jc w:val="both"/>
        <w:rPr>
          <w:rFonts w:ascii="David" w:hAnsi="David"/>
          <w:b/>
          <w:bCs/>
          <w:u w:val="single"/>
          <w:rtl/>
        </w:rPr>
      </w:pPr>
    </w:p>
    <w:p w14:paraId="3F8A66F4" w14:textId="77777777" w:rsidR="005B50E9" w:rsidRPr="0088588E" w:rsidRDefault="005B50E9" w:rsidP="005B50E9">
      <w:pPr>
        <w:pStyle w:val="a9"/>
        <w:numPr>
          <w:ilvl w:val="0"/>
          <w:numId w:val="1"/>
        </w:numPr>
        <w:spacing w:line="360" w:lineRule="auto"/>
        <w:jc w:val="both"/>
        <w:rPr>
          <w:rFonts w:ascii="David" w:hAnsi="David"/>
          <w:rtl/>
        </w:rPr>
      </w:pPr>
      <w:r w:rsidRPr="0088588E">
        <w:rPr>
          <w:rFonts w:ascii="David" w:hAnsi="David"/>
          <w:rtl/>
        </w:rPr>
        <w:t>בפסק דין נוסף, העמיד בית המשפט המחוזי, בשבתו כבית משפט לערעורים פליליים, העונש על החזקת רובה סער בודד על 22 חדשי מאסר בפועל, כשאחת מחברי ההרכב, בדעת מיעוט, הציעה להעמידו על 28 חדשי מאסר בפועל. אכן, באותו מקרה (</w:t>
      </w:r>
      <w:hyperlink r:id="rId26" w:history="1">
        <w:r w:rsidR="009C1883" w:rsidRPr="009C1883">
          <w:rPr>
            <w:rFonts w:ascii="David" w:hAnsi="David"/>
            <w:color w:val="0000FF"/>
            <w:u w:val="single"/>
            <w:rtl/>
          </w:rPr>
          <w:t>עפ"ג 32503-04-19</w:t>
        </w:r>
      </w:hyperlink>
      <w:r w:rsidRPr="0088588E">
        <w:rPr>
          <w:rFonts w:ascii="David" w:hAnsi="David"/>
          <w:rtl/>
        </w:rPr>
        <w:t xml:space="preserve"> </w:t>
      </w:r>
      <w:r w:rsidRPr="0088588E">
        <w:rPr>
          <w:rFonts w:ascii="David" w:hAnsi="David"/>
          <w:b/>
          <w:bCs/>
          <w:rtl/>
        </w:rPr>
        <w:t>אלקורעאן נ'</w:t>
      </w:r>
      <w:r w:rsidR="009C1883">
        <w:rPr>
          <w:rFonts w:ascii="David" w:hAnsi="David"/>
          <w:b/>
          <w:bCs/>
          <w:rtl/>
        </w:rPr>
        <w:t xml:space="preserve"> </w:t>
      </w:r>
      <w:r w:rsidRPr="0088588E">
        <w:rPr>
          <w:rFonts w:ascii="David" w:hAnsi="David"/>
          <w:b/>
          <w:bCs/>
          <w:rtl/>
        </w:rPr>
        <w:t xml:space="preserve"> מדינת ישראל</w:t>
      </w:r>
      <w:r w:rsidRPr="0088588E">
        <w:rPr>
          <w:rFonts w:ascii="David" w:hAnsi="David"/>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3B9C837F" w14:textId="77777777" w:rsidR="005B50E9" w:rsidRPr="00A76418" w:rsidRDefault="005B50E9" w:rsidP="005B50E9">
      <w:pPr>
        <w:spacing w:line="360" w:lineRule="auto"/>
        <w:jc w:val="both"/>
        <w:rPr>
          <w:rFonts w:ascii="David" w:hAnsi="David"/>
          <w:rtl/>
        </w:rPr>
      </w:pPr>
    </w:p>
    <w:p w14:paraId="7E6D6557" w14:textId="77777777" w:rsidR="005B50E9" w:rsidRPr="005A30CC" w:rsidRDefault="005B50E9" w:rsidP="005B50E9">
      <w:pPr>
        <w:pStyle w:val="a9"/>
        <w:numPr>
          <w:ilvl w:val="0"/>
          <w:numId w:val="2"/>
        </w:numPr>
        <w:spacing w:line="360" w:lineRule="auto"/>
        <w:jc w:val="both"/>
        <w:rPr>
          <w:rFonts w:ascii="David" w:hAnsi="David"/>
          <w:rtl/>
        </w:rPr>
      </w:pPr>
      <w:r w:rsidRPr="005A30CC">
        <w:rPr>
          <w:rFonts w:ascii="David" w:hAnsi="David"/>
          <w:rtl/>
        </w:rPr>
        <w:t xml:space="preserve">בפסק דין נוסף, שניתן בתקופה האחרונה, נדחה ערעור ההגנה על עונש בפועל בן 18 חודשים בתוספת מאסר מותנה וקנס בסך 12,000 ₪, שהושתו על צעיר שהחזיק כלי נשק מסוג </w:t>
      </w:r>
      <w:r w:rsidRPr="005A30CC">
        <w:rPr>
          <w:rFonts w:ascii="David" w:hAnsi="David"/>
          <w:u w:val="single"/>
          <w:rtl/>
        </w:rPr>
        <w:t>תת מקלע מאולתר</w:t>
      </w:r>
      <w:r w:rsidRPr="005A30CC">
        <w:rPr>
          <w:rFonts w:ascii="David" w:hAnsi="David"/>
          <w:rtl/>
        </w:rPr>
        <w:t>.</w:t>
      </w:r>
    </w:p>
    <w:p w14:paraId="45D5C260" w14:textId="77777777" w:rsidR="005B50E9" w:rsidRPr="005A30CC" w:rsidRDefault="005B50E9" w:rsidP="005B50E9">
      <w:pPr>
        <w:pStyle w:val="a9"/>
        <w:spacing w:line="360" w:lineRule="auto"/>
        <w:jc w:val="both"/>
        <w:rPr>
          <w:rFonts w:ascii="David" w:hAnsi="David"/>
          <w:rtl/>
        </w:rPr>
      </w:pPr>
      <w:r w:rsidRPr="005A30CC">
        <w:rPr>
          <w:rFonts w:ascii="David" w:hAnsi="David"/>
          <w:rtl/>
        </w:rPr>
        <w:t>אותו מער</w:t>
      </w:r>
      <w:r>
        <w:rPr>
          <w:rFonts w:ascii="David" w:hAnsi="David" w:hint="cs"/>
          <w:rtl/>
        </w:rPr>
        <w:t>ע</w:t>
      </w:r>
      <w:r w:rsidRPr="005A30CC">
        <w:rPr>
          <w:rFonts w:ascii="David" w:hAnsi="David"/>
          <w:rtl/>
        </w:rPr>
        <w:t xml:space="preserve">ר החזיק בנשק למשך </w:t>
      </w:r>
      <w:r w:rsidRPr="005A30CC">
        <w:rPr>
          <w:rFonts w:ascii="David" w:hAnsi="David"/>
          <w:u w:val="single"/>
          <w:rtl/>
        </w:rPr>
        <w:t>עשרה ימים בלבד</w:t>
      </w:r>
      <w:r w:rsidRPr="005A30CC">
        <w:rPr>
          <w:rFonts w:ascii="David" w:hAnsi="David"/>
          <w:rtl/>
        </w:rPr>
        <w:t xml:space="preserve"> ואף הוסכם, כי החזיקו בעבור אחר.</w:t>
      </w:r>
    </w:p>
    <w:p w14:paraId="348EBBCF" w14:textId="77777777" w:rsidR="005B50E9" w:rsidRPr="005A30CC" w:rsidRDefault="005B50E9" w:rsidP="005B50E9">
      <w:pPr>
        <w:pStyle w:val="a9"/>
        <w:spacing w:line="360" w:lineRule="auto"/>
        <w:jc w:val="both"/>
        <w:rPr>
          <w:rFonts w:ascii="David" w:hAnsi="David"/>
          <w:rtl/>
        </w:rPr>
      </w:pPr>
      <w:r w:rsidRPr="005A30CC">
        <w:rPr>
          <w:rFonts w:ascii="David" w:hAnsi="David"/>
          <w:rtl/>
        </w:rPr>
        <w:t xml:space="preserve">בית המשפט המחוזי, בשבתו כבית משפט לערעורים פליליים, הרכב בראשות הנשיאה כב' השופטת ר' יפה-כץ, ציין: </w:t>
      </w:r>
      <w:r w:rsidRPr="005A30CC">
        <w:rPr>
          <w:rFonts w:ascii="David" w:hAnsi="David" w:hint="cs"/>
          <w:rtl/>
        </w:rPr>
        <w:t xml:space="preserve"> </w:t>
      </w:r>
    </w:p>
    <w:p w14:paraId="62C7D35B" w14:textId="77777777" w:rsidR="005B50E9" w:rsidRPr="00A76418" w:rsidRDefault="005B50E9" w:rsidP="005B50E9">
      <w:pPr>
        <w:spacing w:line="360" w:lineRule="auto"/>
        <w:jc w:val="both"/>
        <w:rPr>
          <w:rFonts w:ascii="David" w:hAnsi="David"/>
          <w:rtl/>
        </w:rPr>
      </w:pPr>
    </w:p>
    <w:p w14:paraId="27043E20" w14:textId="77777777" w:rsidR="005B50E9" w:rsidRPr="005A30CC" w:rsidRDefault="005B50E9" w:rsidP="005B50E9">
      <w:pPr>
        <w:pStyle w:val="a9"/>
        <w:spacing w:line="360" w:lineRule="auto"/>
        <w:jc w:val="both"/>
        <w:rPr>
          <w:rFonts w:ascii="Aharoni" w:hAnsi="Aharoni" w:cs="Aharoni"/>
          <w:rtl/>
        </w:rPr>
      </w:pPr>
      <w:r w:rsidRPr="005A30CC">
        <w:rPr>
          <w:rFonts w:ascii="Aharoni" w:hAnsi="Aharoni" w:cs="Aharoni" w:hint="cs"/>
          <w:rtl/>
        </w:rPr>
        <w:t>בית המשפט קמא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68D012F6" w14:textId="77777777" w:rsidR="005B50E9" w:rsidRPr="005A30CC" w:rsidRDefault="005B50E9" w:rsidP="005B50E9">
      <w:pPr>
        <w:pStyle w:val="a9"/>
        <w:spacing w:line="360" w:lineRule="auto"/>
        <w:jc w:val="both"/>
        <w:rPr>
          <w:rFonts w:ascii="Aharoni" w:hAnsi="Aharoni" w:cs="Aharoni"/>
          <w:rtl/>
        </w:rPr>
      </w:pPr>
      <w:r w:rsidRPr="005A30CC">
        <w:rPr>
          <w:rFonts w:ascii="Aharoni" w:hAnsi="Aharoni" w:cs="Aharoni" w:hint="cs"/>
          <w:rtl/>
        </w:rPr>
        <w:t>בית משפט קמה הדגיש את העובדה כי העבירה של החזקת נשק הפכה למכה של</w:t>
      </w:r>
      <w:r w:rsidR="009C1883">
        <w:rPr>
          <w:rFonts w:ascii="Aharoni" w:hAnsi="Aharoni" w:cs="Aharoni" w:hint="cs"/>
          <w:rtl/>
        </w:rPr>
        <w:t xml:space="preserve"> </w:t>
      </w:r>
      <w:r w:rsidRPr="005A30CC">
        <w:rPr>
          <w:rFonts w:ascii="Aharoni" w:hAnsi="Aharoni" w:cs="Aharoni" w:hint="cs"/>
          <w:rtl/>
        </w:rPr>
        <w:t xml:space="preserve"> אזור הדרום, ואף צדק, כאשר קבע שלא ניתן להתעלם מנסיבה זו בעת קביעת העונש הראוי למערער.</w:t>
      </w:r>
    </w:p>
    <w:p w14:paraId="11745032" w14:textId="77777777" w:rsidR="005B50E9" w:rsidRPr="00A76418" w:rsidRDefault="005B50E9" w:rsidP="005B50E9">
      <w:pPr>
        <w:spacing w:line="360" w:lineRule="auto"/>
        <w:jc w:val="both"/>
        <w:rPr>
          <w:rFonts w:ascii="David" w:hAnsi="David"/>
          <w:rtl/>
        </w:rPr>
      </w:pPr>
      <w:r w:rsidRPr="00A76418">
        <w:rPr>
          <w:rFonts w:ascii="David" w:hAnsi="David"/>
          <w:rtl/>
        </w:rPr>
        <w:t xml:space="preserve">ראו </w:t>
      </w:r>
      <w:hyperlink r:id="rId27" w:history="1">
        <w:r w:rsidR="009C1883" w:rsidRPr="009C1883">
          <w:rPr>
            <w:rFonts w:ascii="David" w:hAnsi="David"/>
            <w:color w:val="0000FF"/>
            <w:u w:val="single"/>
            <w:rtl/>
          </w:rPr>
          <w:t>עפ"ג 4673-08-19</w:t>
        </w:r>
      </w:hyperlink>
      <w:r w:rsidRPr="00A76418">
        <w:rPr>
          <w:rFonts w:ascii="David" w:hAnsi="David"/>
          <w:rtl/>
        </w:rPr>
        <w:t xml:space="preserve"> </w:t>
      </w:r>
      <w:r w:rsidRPr="00A76418">
        <w:rPr>
          <w:rFonts w:ascii="David" w:hAnsi="David"/>
          <w:b/>
          <w:bCs/>
          <w:rtl/>
        </w:rPr>
        <w:t xml:space="preserve">אבו מוסא נ' מדינת ישראל </w:t>
      </w:r>
      <w:r w:rsidRPr="00A76418">
        <w:rPr>
          <w:rFonts w:ascii="David" w:hAnsi="David"/>
          <w:rtl/>
        </w:rPr>
        <w:t>(פורסם במאגרים</w:t>
      </w:r>
      <w:r>
        <w:rPr>
          <w:rFonts w:ascii="David" w:hAnsi="David" w:hint="cs"/>
          <w:rtl/>
        </w:rPr>
        <w:t xml:space="preserve"> </w:t>
      </w:r>
      <w:r>
        <w:rPr>
          <w:rFonts w:ascii="David" w:hAnsi="David"/>
          <w:rtl/>
        </w:rPr>
        <w:t>–</w:t>
      </w:r>
      <w:r>
        <w:rPr>
          <w:rFonts w:ascii="David" w:hAnsi="David" w:hint="cs"/>
          <w:rtl/>
        </w:rPr>
        <w:t xml:space="preserve"> להלן: "</w:t>
      </w:r>
      <w:r>
        <w:rPr>
          <w:rFonts w:ascii="David" w:hAnsi="David" w:hint="cs"/>
          <w:b/>
          <w:bCs/>
          <w:rtl/>
        </w:rPr>
        <w:t>פרשת אבו מוסא"</w:t>
      </w:r>
      <w:r w:rsidRPr="00A76418">
        <w:rPr>
          <w:rFonts w:ascii="David" w:hAnsi="David"/>
          <w:rtl/>
        </w:rPr>
        <w:t>).</w:t>
      </w:r>
    </w:p>
    <w:p w14:paraId="36354610" w14:textId="77777777" w:rsidR="005B50E9" w:rsidRPr="00A76418" w:rsidRDefault="005B50E9" w:rsidP="005B50E9">
      <w:pPr>
        <w:spacing w:line="360" w:lineRule="auto"/>
        <w:jc w:val="both"/>
        <w:rPr>
          <w:rFonts w:ascii="David" w:hAnsi="David"/>
          <w:rtl/>
        </w:rPr>
      </w:pPr>
    </w:p>
    <w:p w14:paraId="34CD9A9F" w14:textId="77777777" w:rsidR="005B50E9" w:rsidRPr="00A76418" w:rsidRDefault="005B50E9" w:rsidP="005B50E9">
      <w:pPr>
        <w:spacing w:line="360" w:lineRule="auto"/>
        <w:jc w:val="both"/>
        <w:rPr>
          <w:rFonts w:ascii="David" w:hAnsi="David"/>
          <w:rtl/>
        </w:rPr>
      </w:pPr>
      <w:r w:rsidRPr="00A76418">
        <w:rPr>
          <w:rFonts w:ascii="David" w:hAnsi="David"/>
          <w:rtl/>
        </w:rPr>
        <w:t xml:space="preserve">עוד ראו, לעניין מתחם הענישה, מספר גזרי דין שניתנו לאחרונה: </w:t>
      </w:r>
      <w:hyperlink r:id="rId28" w:history="1">
        <w:r w:rsidR="009C1883" w:rsidRPr="009C1883">
          <w:rPr>
            <w:rFonts w:ascii="David" w:hAnsi="David"/>
            <w:color w:val="0000FF"/>
            <w:u w:val="single"/>
            <w:rtl/>
          </w:rPr>
          <w:t>ת.פ. 30406-04-16</w:t>
        </w:r>
      </w:hyperlink>
      <w:r w:rsidRPr="00A76418">
        <w:rPr>
          <w:rFonts w:ascii="David" w:hAnsi="David"/>
          <w:rtl/>
        </w:rPr>
        <w:t xml:space="preserve"> </w:t>
      </w:r>
      <w:r w:rsidRPr="00A76418">
        <w:rPr>
          <w:rFonts w:ascii="David" w:hAnsi="David"/>
          <w:b/>
          <w:bCs/>
          <w:rtl/>
        </w:rPr>
        <w:t xml:space="preserve">מדינת ישראל נ' אבו עאמר; </w:t>
      </w:r>
      <w:hyperlink r:id="rId29" w:history="1">
        <w:r w:rsidR="009C1883" w:rsidRPr="009C1883">
          <w:rPr>
            <w:rFonts w:ascii="David" w:hAnsi="David"/>
            <w:color w:val="0000FF"/>
            <w:u w:val="single"/>
            <w:rtl/>
          </w:rPr>
          <w:t>ת.פ. 65912-01-18</w:t>
        </w:r>
      </w:hyperlink>
      <w:r w:rsidRPr="00A76418">
        <w:rPr>
          <w:rFonts w:ascii="David" w:hAnsi="David"/>
          <w:b/>
          <w:bCs/>
          <w:rtl/>
        </w:rPr>
        <w:t xml:space="preserve"> מדינת ישראל נ' אבו מדעם ואח' </w:t>
      </w:r>
      <w:r w:rsidRPr="00A76418">
        <w:rPr>
          <w:rFonts w:ascii="David" w:hAnsi="David"/>
          <w:rtl/>
        </w:rPr>
        <w:t xml:space="preserve">(גזרי הדין פורסמו במאגרים). </w:t>
      </w:r>
      <w:r w:rsidRPr="005A30CC">
        <w:rPr>
          <w:rFonts w:ascii="David" w:hAnsi="David"/>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sidRPr="00A76418">
        <w:rPr>
          <w:rFonts w:ascii="David" w:hAnsi="David"/>
          <w:rtl/>
        </w:rPr>
        <w:t xml:space="preserve">. הנאשם השני – שנתפס מחזיק רובה סער ושני אקדחים חצי אוטומטיים, כשכולם אינם תקינים – נידון לעונש מאסר בפועל בן 30 חודשים, כשערכאת הערעור לא מצאה להתערב בעניינו. ראו </w:t>
      </w:r>
      <w:hyperlink r:id="rId30" w:history="1">
        <w:r w:rsidR="009C1883" w:rsidRPr="009C1883">
          <w:rPr>
            <w:rFonts w:ascii="David" w:hAnsi="David"/>
            <w:color w:val="0000FF"/>
            <w:u w:val="single"/>
            <w:rtl/>
          </w:rPr>
          <w:t>עפ"ג 23083-03-19</w:t>
        </w:r>
      </w:hyperlink>
      <w:r w:rsidRPr="00A76418">
        <w:rPr>
          <w:rFonts w:ascii="David" w:hAnsi="David"/>
          <w:rtl/>
        </w:rPr>
        <w:t xml:space="preserve"> </w:t>
      </w:r>
      <w:r w:rsidRPr="00A76418">
        <w:rPr>
          <w:rFonts w:ascii="David" w:hAnsi="David"/>
          <w:b/>
          <w:bCs/>
          <w:rtl/>
        </w:rPr>
        <w:t>אבו מדע'ם ואח' נ' מדינת ישראל (</w:t>
      </w:r>
      <w:r w:rsidRPr="00A76418">
        <w:rPr>
          <w:rFonts w:ascii="David" w:hAnsi="David"/>
          <w:rtl/>
        </w:rPr>
        <w:t>פורסם במאגרים – 17.07.19)</w:t>
      </w:r>
      <w:r w:rsidRPr="00A76418">
        <w:rPr>
          <w:rFonts w:ascii="David" w:hAnsi="David"/>
          <w:b/>
          <w:bCs/>
          <w:rtl/>
        </w:rPr>
        <w:t xml:space="preserve">. </w:t>
      </w:r>
    </w:p>
    <w:p w14:paraId="4EB19230" w14:textId="77777777" w:rsidR="005B50E9" w:rsidRPr="00A76418" w:rsidRDefault="005B50E9" w:rsidP="005B50E9">
      <w:pPr>
        <w:spacing w:line="360" w:lineRule="auto"/>
        <w:jc w:val="both"/>
        <w:rPr>
          <w:rFonts w:ascii="David" w:hAnsi="David"/>
          <w:rtl/>
        </w:rPr>
      </w:pPr>
    </w:p>
    <w:p w14:paraId="0D421FC5" w14:textId="77777777" w:rsidR="005B50E9" w:rsidRPr="00A76418" w:rsidRDefault="005B50E9" w:rsidP="005B50E9">
      <w:pPr>
        <w:spacing w:line="360" w:lineRule="auto"/>
        <w:jc w:val="both"/>
        <w:rPr>
          <w:rFonts w:ascii="David" w:hAnsi="David"/>
          <w:rtl/>
        </w:rPr>
      </w:pPr>
      <w:r w:rsidRPr="005A30CC">
        <w:rPr>
          <w:rFonts w:ascii="David" w:hAnsi="David"/>
          <w:rtl/>
        </w:rPr>
        <w:t>ולאחרונה, נדון נאשם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בפועל, כשהסיבה לקביעת המתחם שם היתה (ממש כמו במקרה שלפנינו) כי הנ</w:t>
      </w:r>
      <w:r w:rsidRPr="005A30CC">
        <w:rPr>
          <w:rFonts w:ascii="David" w:hAnsi="David" w:hint="cs"/>
          <w:rtl/>
        </w:rPr>
        <w:t>ש</w:t>
      </w:r>
      <w:r w:rsidRPr="005A30CC">
        <w:rPr>
          <w:rFonts w:ascii="David" w:hAnsi="David"/>
          <w:rtl/>
        </w:rPr>
        <w:t>ק הוחזק בליווית תחמושת</w:t>
      </w:r>
      <w:r w:rsidRPr="005A30CC">
        <w:rPr>
          <w:rFonts w:ascii="David" w:hAnsi="David" w:hint="cs"/>
          <w:rtl/>
        </w:rPr>
        <w:t>.</w:t>
      </w:r>
      <w:r w:rsidRPr="0088588E">
        <w:rPr>
          <w:rFonts w:ascii="David" w:hAnsi="David" w:hint="cs"/>
          <w:rtl/>
        </w:rPr>
        <w:t xml:space="preserve"> </w:t>
      </w:r>
      <w:r w:rsidRPr="00A76418">
        <w:rPr>
          <w:rFonts w:ascii="David" w:hAnsi="David"/>
          <w:rtl/>
        </w:rPr>
        <w:t xml:space="preserve">ראו </w:t>
      </w:r>
      <w:hyperlink r:id="rId31" w:history="1">
        <w:r w:rsidR="009C1883" w:rsidRPr="009C1883">
          <w:rPr>
            <w:rFonts w:ascii="David" w:hAnsi="David"/>
            <w:color w:val="0000FF"/>
            <w:u w:val="single"/>
            <w:rtl/>
          </w:rPr>
          <w:t>ת.פ. 19417-11-16</w:t>
        </w:r>
      </w:hyperlink>
      <w:r w:rsidRPr="00A76418">
        <w:rPr>
          <w:rFonts w:ascii="David" w:hAnsi="David"/>
          <w:rtl/>
        </w:rPr>
        <w:t xml:space="preserve"> </w:t>
      </w:r>
      <w:r w:rsidRPr="00A76418">
        <w:rPr>
          <w:rFonts w:ascii="David" w:hAnsi="David"/>
          <w:b/>
          <w:bCs/>
          <w:rtl/>
        </w:rPr>
        <w:t>מדינת ישראל נ'</w:t>
      </w:r>
      <w:r w:rsidRPr="00A76418">
        <w:rPr>
          <w:rFonts w:ascii="David" w:hAnsi="David"/>
          <w:rtl/>
        </w:rPr>
        <w:t xml:space="preserve"> </w:t>
      </w:r>
      <w:r w:rsidRPr="00A76418">
        <w:rPr>
          <w:rFonts w:ascii="David" w:hAnsi="David"/>
          <w:b/>
          <w:bCs/>
          <w:rtl/>
        </w:rPr>
        <w:t xml:space="preserve">אבו אלקיעאן (פורסם במאגרים). </w:t>
      </w:r>
      <w:r w:rsidRPr="00A76418">
        <w:rPr>
          <w:rFonts w:ascii="David" w:hAnsi="David"/>
          <w:rtl/>
        </w:rPr>
        <w:t xml:space="preserve">באותו מקרה, דובר על נאשם, שהיה ללא הרשעות (ואף ללא רישומים) קודמים, לאחר שירות צבאי ארוך בסדיר ובקבע, מוכר כדמות ציבורית במגזר אליו משתייך. </w:t>
      </w:r>
    </w:p>
    <w:p w14:paraId="3CC9845C" w14:textId="77777777" w:rsidR="005B50E9" w:rsidRPr="00A76418" w:rsidRDefault="005B50E9" w:rsidP="005B50E9">
      <w:pPr>
        <w:spacing w:line="360" w:lineRule="auto"/>
        <w:jc w:val="both"/>
        <w:rPr>
          <w:rFonts w:ascii="David" w:hAnsi="David"/>
          <w:b/>
          <w:bCs/>
          <w:u w:val="single"/>
          <w:rtl/>
        </w:rPr>
      </w:pPr>
    </w:p>
    <w:p w14:paraId="19E79551" w14:textId="77777777" w:rsidR="005B50E9" w:rsidRPr="00A76418" w:rsidRDefault="005B50E9" w:rsidP="005B50E9">
      <w:pPr>
        <w:spacing w:line="360" w:lineRule="auto"/>
        <w:jc w:val="both"/>
        <w:rPr>
          <w:rFonts w:ascii="David" w:hAnsi="David"/>
          <w:rtl/>
        </w:rPr>
      </w:pPr>
      <w:r w:rsidRPr="00A76418">
        <w:rPr>
          <w:rFonts w:ascii="David" w:hAnsi="David"/>
          <w:rtl/>
        </w:rPr>
        <w:t xml:space="preserve">לפני מספר שנים, פורסמה הנחיית פרקליט המדינה מס' </w:t>
      </w:r>
      <w:r w:rsidR="009C1883">
        <w:rPr>
          <w:rFonts w:ascii="David" w:hAnsi="David"/>
          <w:rtl/>
        </w:rPr>
        <w:t xml:space="preserve"> </w:t>
      </w:r>
      <w:r w:rsidRPr="00A76418">
        <w:rPr>
          <w:rFonts w:ascii="David" w:hAnsi="David"/>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w:t>
      </w:r>
      <w:r w:rsidRPr="00A76418">
        <w:rPr>
          <w:rFonts w:ascii="David" w:hAnsi="David"/>
          <w:u w:val="single"/>
          <w:rtl/>
        </w:rPr>
        <w:t>ברמה אחת לפני הרמה החמורה ביותר</w:t>
      </w:r>
      <w:r w:rsidRPr="00A76418">
        <w:rPr>
          <w:rFonts w:ascii="David" w:hAnsi="David"/>
          <w:rtl/>
        </w:rPr>
        <w:t xml:space="preserve">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6457FA5F" w14:textId="77777777" w:rsidR="005B50E9" w:rsidRPr="00A76418" w:rsidRDefault="005B50E9" w:rsidP="005B50E9">
      <w:pPr>
        <w:spacing w:line="360" w:lineRule="auto"/>
        <w:jc w:val="both"/>
        <w:rPr>
          <w:rFonts w:ascii="David" w:hAnsi="David"/>
          <w:rtl/>
        </w:rPr>
      </w:pPr>
    </w:p>
    <w:p w14:paraId="1E2D0653" w14:textId="77777777" w:rsidR="005B50E9" w:rsidRPr="00A76418" w:rsidRDefault="005B50E9" w:rsidP="005B50E9">
      <w:pPr>
        <w:spacing w:line="360" w:lineRule="auto"/>
        <w:jc w:val="both"/>
        <w:rPr>
          <w:rFonts w:ascii="David" w:hAnsi="David"/>
          <w:rtl/>
        </w:rPr>
      </w:pPr>
      <w:r w:rsidRPr="00A76418">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A76418">
        <w:rPr>
          <w:rFonts w:ascii="David" w:hAnsi="David"/>
          <w:u w:val="single"/>
          <w:rtl/>
        </w:rPr>
        <w:t>פליליים</w:t>
      </w:r>
      <w:r w:rsidRPr="00A76418">
        <w:rPr>
          <w:rFonts w:ascii="David" w:hAnsi="David"/>
          <w:rtl/>
        </w:rPr>
        <w:t xml:space="preserve"> באמצעות נשק חם. זאת, מבלי לקחת בחשבון פיגועים על רקע בטחוני או עבירות שנאה.</w:t>
      </w:r>
    </w:p>
    <w:p w14:paraId="405862A3" w14:textId="77777777" w:rsidR="005B50E9" w:rsidRPr="00A76418" w:rsidRDefault="005B50E9" w:rsidP="005B50E9">
      <w:pPr>
        <w:spacing w:line="360" w:lineRule="auto"/>
        <w:jc w:val="both"/>
        <w:rPr>
          <w:rFonts w:ascii="David" w:hAnsi="David"/>
          <w:rtl/>
        </w:rPr>
      </w:pPr>
    </w:p>
    <w:p w14:paraId="19CCE1CE" w14:textId="77777777" w:rsidR="005B50E9" w:rsidRPr="00A76418" w:rsidRDefault="005B50E9" w:rsidP="005B50E9">
      <w:pPr>
        <w:spacing w:line="360" w:lineRule="auto"/>
        <w:jc w:val="both"/>
        <w:rPr>
          <w:rFonts w:ascii="David" w:hAnsi="David"/>
          <w:rtl/>
        </w:rPr>
      </w:pPr>
      <w:r w:rsidRPr="00A76418">
        <w:rPr>
          <w:rFonts w:ascii="David" w:hAnsi="David"/>
          <w:rtl/>
        </w:rPr>
        <w:t xml:space="preserve">ריבוי כתבי האישום בגין עבירות אלה בשנים האחרונות, מאשש טענת התביעה, כי </w:t>
      </w:r>
      <w:r w:rsidRPr="00A76418">
        <w:rPr>
          <w:rFonts w:ascii="David" w:hAnsi="David"/>
          <w:u w:val="single"/>
          <w:rtl/>
        </w:rPr>
        <w:t>העבירה הנדונה הפכה ל"מכת מדינה"</w:t>
      </w:r>
      <w:r w:rsidRPr="00A76418">
        <w:rPr>
          <w:rFonts w:ascii="David" w:hAnsi="David"/>
          <w:rtl/>
        </w:rPr>
        <w:t>. חלק מהגורמים לכך, הוא הנגישות הרבה לכלי נשק. נפיצות כלי הנשק יוצרת ס</w:t>
      </w:r>
      <w:r>
        <w:rPr>
          <w:rFonts w:ascii="David" w:hAnsi="David"/>
          <w:rtl/>
        </w:rPr>
        <w:t>כנה של ממש לבטחון הציבור, כפי ה</w:t>
      </w:r>
      <w:r>
        <w:rPr>
          <w:rFonts w:ascii="David" w:hAnsi="David" w:hint="cs"/>
          <w:rtl/>
        </w:rPr>
        <w:t>א</w:t>
      </w:r>
      <w:r w:rsidRPr="00A76418">
        <w:rPr>
          <w:rFonts w:ascii="David" w:hAnsi="David"/>
          <w:rtl/>
        </w:rPr>
        <w:t>מרה הידועה, לפיה, כלי הנשק שהופיע במערכה הראשונה, חוזר להופיע במערכות שלאחר מכן. ובעת האחרונה, די בהצצה חטופה בכל מהדורת חדשות כמעט, כדי להתרשם מהנזקים הקשים, אשר נגרמים מכלי הנשק, המוחזקים על ידי מי שאינו מורשה לכך.</w:t>
      </w:r>
    </w:p>
    <w:p w14:paraId="63FF6676" w14:textId="77777777" w:rsidR="005B50E9" w:rsidRPr="00A76418" w:rsidRDefault="005B50E9" w:rsidP="005B50E9">
      <w:pPr>
        <w:spacing w:line="360" w:lineRule="auto"/>
        <w:jc w:val="both"/>
        <w:rPr>
          <w:rFonts w:ascii="David" w:hAnsi="David"/>
          <w:rtl/>
        </w:rPr>
      </w:pPr>
    </w:p>
    <w:p w14:paraId="580AB9C6" w14:textId="77777777" w:rsidR="005B50E9" w:rsidRDefault="005B50E9" w:rsidP="005B50E9">
      <w:pPr>
        <w:spacing w:line="360" w:lineRule="auto"/>
        <w:jc w:val="both"/>
        <w:rPr>
          <w:rFonts w:ascii="David" w:hAnsi="David"/>
          <w:rtl/>
        </w:rPr>
      </w:pPr>
      <w:r w:rsidRPr="009329E3">
        <w:rPr>
          <w:rFonts w:ascii="David" w:hAnsi="David"/>
          <w:rtl/>
        </w:rPr>
        <w:t>הסיכון גובר כאשר המדובר בכלי נשק אוטומטי, ולעניין זה, גם כלי מאולתר – הוא כלי נשק מסוכן, שבכוחו להמית ובשנים האחרונות אירעו אינספור פיגועים פליליים ואף בטחוניים, אשר גרמו למותם של בני אדם, באמצעות כלי נשק מסוג זה.</w:t>
      </w:r>
    </w:p>
    <w:p w14:paraId="2E85B2E7" w14:textId="77777777" w:rsidR="005B50E9" w:rsidRDefault="005B50E9" w:rsidP="005B50E9">
      <w:pPr>
        <w:spacing w:line="360" w:lineRule="auto"/>
        <w:jc w:val="both"/>
        <w:rPr>
          <w:rFonts w:ascii="David" w:hAnsi="David"/>
          <w:rtl/>
        </w:rPr>
      </w:pPr>
    </w:p>
    <w:p w14:paraId="5A2D16D1" w14:textId="77777777" w:rsidR="005B50E9" w:rsidRDefault="005B50E9" w:rsidP="005B50E9">
      <w:pPr>
        <w:spacing w:line="360" w:lineRule="auto"/>
        <w:jc w:val="both"/>
        <w:rPr>
          <w:rFonts w:ascii="David" w:hAnsi="David"/>
          <w:rtl/>
        </w:rPr>
      </w:pPr>
      <w:r w:rsidRPr="005A30CC">
        <w:rPr>
          <w:rFonts w:ascii="David" w:hAnsi="David" w:hint="cs"/>
          <w:u w:val="single"/>
          <w:rtl/>
        </w:rPr>
        <w:t xml:space="preserve">הדברים הגיעו עד כדי כך, שבשנה האחרונה שומעים אנו על קיפוד חייהם של אזרחים כתוצאה מסכסוכים בהם נערך שימוש בנשק חם </w:t>
      </w:r>
      <w:r w:rsidRPr="005A30CC">
        <w:rPr>
          <w:rFonts w:ascii="David" w:hAnsi="David"/>
          <w:u w:val="single"/>
          <w:rtl/>
        </w:rPr>
        <w:t>–</w:t>
      </w:r>
      <w:r w:rsidRPr="005A30CC">
        <w:rPr>
          <w:rFonts w:ascii="David" w:hAnsi="David" w:hint="cs"/>
          <w:u w:val="single"/>
          <w:rtl/>
        </w:rPr>
        <w:t xml:space="preserve"> מדי יום ביומו</w:t>
      </w:r>
      <w:r>
        <w:rPr>
          <w:rFonts w:ascii="David" w:hAnsi="David" w:hint="cs"/>
          <w:rtl/>
        </w:rPr>
        <w:t>.</w:t>
      </w:r>
    </w:p>
    <w:p w14:paraId="0ED13409" w14:textId="77777777" w:rsidR="005B50E9" w:rsidRDefault="005B50E9" w:rsidP="005B50E9">
      <w:pPr>
        <w:spacing w:line="360" w:lineRule="auto"/>
        <w:jc w:val="both"/>
        <w:rPr>
          <w:rFonts w:ascii="David" w:hAnsi="David"/>
          <w:rtl/>
        </w:rPr>
      </w:pPr>
    </w:p>
    <w:p w14:paraId="0AC5E429" w14:textId="77777777" w:rsidR="005B50E9" w:rsidRDefault="005B50E9" w:rsidP="005B50E9">
      <w:pPr>
        <w:spacing w:line="360" w:lineRule="auto"/>
        <w:jc w:val="both"/>
        <w:rPr>
          <w:rFonts w:ascii="David" w:hAnsi="David"/>
          <w:rtl/>
        </w:rPr>
      </w:pPr>
      <w:r>
        <w:rPr>
          <w:rFonts w:ascii="David" w:hAnsi="David" w:hint="cs"/>
          <w:rtl/>
        </w:rPr>
        <w:t xml:space="preserve">הנאשם החזיק, לצד הנשק, גם תחמושת חיה (בגין כך הורשע גם בעבירה בניגוד לסיפא של </w:t>
      </w:r>
      <w:hyperlink r:id="rId32" w:history="1">
        <w:r w:rsidR="00C67A2B" w:rsidRPr="00C67A2B">
          <w:rPr>
            <w:rStyle w:val="Hyperlink"/>
            <w:rFonts w:ascii="David" w:hAnsi="David" w:hint="eastAsia"/>
            <w:rtl/>
          </w:rPr>
          <w:t>סעיף</w:t>
        </w:r>
        <w:r w:rsidR="00C67A2B" w:rsidRPr="00C67A2B">
          <w:rPr>
            <w:rStyle w:val="Hyperlink"/>
            <w:rFonts w:ascii="David" w:hAnsi="David"/>
            <w:rtl/>
          </w:rPr>
          <w:t xml:space="preserve"> 144</w:t>
        </w:r>
      </w:hyperlink>
      <w:r>
        <w:rPr>
          <w:rFonts w:ascii="David" w:hAnsi="David" w:hint="cs"/>
          <w:rtl/>
        </w:rPr>
        <w:t xml:space="preserve"> הנ"ל) ובכך הועצם פוטנציאל הסיכון המידי הנובע ממנו.</w:t>
      </w:r>
    </w:p>
    <w:p w14:paraId="64CEB6C9" w14:textId="77777777" w:rsidR="005B50E9" w:rsidRDefault="005B50E9" w:rsidP="005B50E9">
      <w:pPr>
        <w:spacing w:line="360" w:lineRule="auto"/>
        <w:jc w:val="both"/>
        <w:rPr>
          <w:rFonts w:ascii="David" w:hAnsi="David"/>
          <w:rtl/>
        </w:rPr>
      </w:pPr>
    </w:p>
    <w:p w14:paraId="69471834" w14:textId="77777777" w:rsidR="005B50E9" w:rsidRDefault="005B50E9" w:rsidP="005B50E9">
      <w:pPr>
        <w:spacing w:line="360" w:lineRule="auto"/>
        <w:jc w:val="both"/>
        <w:rPr>
          <w:rFonts w:ascii="David" w:hAnsi="David"/>
          <w:rtl/>
        </w:rPr>
      </w:pPr>
      <w:r>
        <w:rPr>
          <w:rFonts w:ascii="David" w:hAnsi="David" w:hint="cs"/>
          <w:rtl/>
        </w:rPr>
        <w:t xml:space="preserve">לנוכח התפשטות הפעילות העברינית הכוללת שימוש בנשק חם בעת האחרונה, ראוי לקבוע החמרה מסוימת, באופן הדרגתי, במתחמים שנקבעו, כשהמתחם בגין אחזקת נשק חם אוטומטי מסוג רובה סער או תת מקלע </w:t>
      </w:r>
      <w:r>
        <w:rPr>
          <w:rFonts w:ascii="David" w:hAnsi="David"/>
          <w:rtl/>
        </w:rPr>
        <w:t>–</w:t>
      </w:r>
      <w:r>
        <w:rPr>
          <w:rFonts w:ascii="David" w:hAnsi="David" w:hint="cs"/>
          <w:rtl/>
        </w:rPr>
        <w:t xml:space="preserve"> יועמד בין 20 ועד 40 חדשים מאסר בפועל. עם זאת, משאין עונשין אלא אם מזהירים, במקרה דנן, יתן הנאשם את הדין לפי המתחם שנהג עד כה בפסיקת בית המשפט, קרי: בין 18 עד 36 חדשים.</w:t>
      </w:r>
    </w:p>
    <w:p w14:paraId="67788544" w14:textId="77777777" w:rsidR="005B50E9" w:rsidRPr="001449FB" w:rsidRDefault="005B50E9" w:rsidP="005B50E9">
      <w:pPr>
        <w:spacing w:line="360" w:lineRule="auto"/>
        <w:jc w:val="both"/>
        <w:rPr>
          <w:rFonts w:ascii="David" w:hAnsi="David"/>
          <w:rtl/>
        </w:rPr>
      </w:pPr>
      <w:r>
        <w:rPr>
          <w:rFonts w:ascii="David" w:hAnsi="David" w:hint="cs"/>
          <w:rtl/>
        </w:rPr>
        <w:t xml:space="preserve">העובדה, כי הנאשם הסליק הנשק בביתו ימים ספורים בלבד </w:t>
      </w:r>
      <w:r>
        <w:rPr>
          <w:rFonts w:ascii="David" w:hAnsi="David"/>
          <w:rtl/>
        </w:rPr>
        <w:t>–</w:t>
      </w:r>
      <w:r>
        <w:rPr>
          <w:rFonts w:ascii="David" w:hAnsi="David" w:hint="cs"/>
          <w:rtl/>
        </w:rPr>
        <w:t xml:space="preserve"> אין בה כדי להביא לשינוי המתחם. פעמים רבות מוחזק נשק בידיים עברייניות תקופה קצרה, אם לצורך פעילות מסוימת ואם לכל צורך אחר. בכך אין כדי להמעיט את הסיכון הנובע ממנו. טענת זו נדחתה כבר בגזר הדין בעניין </w:t>
      </w:r>
      <w:r w:rsidRPr="001449FB">
        <w:rPr>
          <w:rFonts w:ascii="David" w:hAnsi="David" w:hint="cs"/>
          <w:b/>
          <w:bCs/>
          <w:rtl/>
        </w:rPr>
        <w:t xml:space="preserve">פרשת </w:t>
      </w:r>
      <w:r>
        <w:rPr>
          <w:rFonts w:ascii="David" w:hAnsi="David" w:hint="cs"/>
          <w:b/>
          <w:bCs/>
          <w:rtl/>
        </w:rPr>
        <w:t>אבו מוסא</w:t>
      </w:r>
      <w:r>
        <w:rPr>
          <w:rFonts w:ascii="David" w:hAnsi="David" w:hint="cs"/>
          <w:rtl/>
        </w:rPr>
        <w:t xml:space="preserve"> לעיל וכאמור </w:t>
      </w:r>
      <w:r>
        <w:rPr>
          <w:rFonts w:ascii="David" w:hAnsi="David"/>
          <w:rtl/>
        </w:rPr>
        <w:t>–</w:t>
      </w:r>
      <w:r>
        <w:rPr>
          <w:rFonts w:ascii="David" w:hAnsi="David" w:hint="cs"/>
          <w:rtl/>
        </w:rPr>
        <w:t xml:space="preserve"> ערעור ההגנה על גזר הדין שם </w:t>
      </w:r>
      <w:r>
        <w:rPr>
          <w:rFonts w:ascii="David" w:hAnsi="David"/>
          <w:rtl/>
        </w:rPr>
        <w:t>–</w:t>
      </w:r>
      <w:r>
        <w:rPr>
          <w:rFonts w:ascii="David" w:hAnsi="David" w:hint="cs"/>
          <w:rtl/>
        </w:rPr>
        <w:t xml:space="preserve"> נדחה. </w:t>
      </w:r>
    </w:p>
    <w:p w14:paraId="159D5DA5" w14:textId="77777777" w:rsidR="005B50E9" w:rsidRDefault="005B50E9" w:rsidP="005B50E9">
      <w:pPr>
        <w:spacing w:line="360" w:lineRule="auto"/>
        <w:jc w:val="both"/>
        <w:rPr>
          <w:rFonts w:ascii="David" w:hAnsi="David"/>
          <w:rtl/>
        </w:rPr>
      </w:pPr>
    </w:p>
    <w:p w14:paraId="511E318C" w14:textId="77777777" w:rsidR="005B50E9" w:rsidRDefault="005B50E9" w:rsidP="005B50E9">
      <w:pPr>
        <w:spacing w:line="360" w:lineRule="auto"/>
        <w:jc w:val="both"/>
        <w:rPr>
          <w:rFonts w:ascii="David" w:hAnsi="David"/>
          <w:rtl/>
        </w:rPr>
      </w:pPr>
    </w:p>
    <w:p w14:paraId="0E5FA0F4" w14:textId="77777777" w:rsidR="005B50E9" w:rsidRDefault="005B50E9" w:rsidP="005B50E9">
      <w:pPr>
        <w:spacing w:line="360" w:lineRule="auto"/>
        <w:jc w:val="both"/>
        <w:rPr>
          <w:rFonts w:ascii="David" w:hAnsi="David"/>
          <w:rtl/>
        </w:rPr>
      </w:pPr>
      <w:r>
        <w:rPr>
          <w:rFonts w:ascii="David" w:hAnsi="David" w:hint="cs"/>
          <w:b/>
          <w:bCs/>
          <w:rtl/>
        </w:rPr>
        <w:t>קביעת הענישה הספציפית בתוך המתחם</w:t>
      </w:r>
    </w:p>
    <w:p w14:paraId="05AE62FF" w14:textId="77777777" w:rsidR="005B50E9" w:rsidRDefault="005B50E9" w:rsidP="005B50E9">
      <w:pPr>
        <w:spacing w:line="360" w:lineRule="auto"/>
        <w:jc w:val="both"/>
        <w:rPr>
          <w:rFonts w:ascii="David" w:hAnsi="David"/>
          <w:rtl/>
        </w:rPr>
      </w:pPr>
    </w:p>
    <w:p w14:paraId="0E188683" w14:textId="77777777" w:rsidR="005B50E9" w:rsidRDefault="005B50E9" w:rsidP="005B50E9">
      <w:pPr>
        <w:spacing w:line="360" w:lineRule="auto"/>
        <w:jc w:val="both"/>
        <w:rPr>
          <w:rFonts w:ascii="David" w:hAnsi="David"/>
          <w:rtl/>
        </w:rPr>
      </w:pPr>
      <w:r>
        <w:rPr>
          <w:rFonts w:ascii="David" w:hAnsi="David" w:hint="cs"/>
          <w:rtl/>
        </w:rPr>
        <w:t>לזכות הנאשם, בית המשפט ייקח בחשבון את גילו הצעיר; מצבו המשפחתי; מצבו הבריאותי עליו הצביעה ההגנה; היעדר הרשעות קודמות; הודאתו באשמה; הפרוגנוזה החיובית משירות המבחן למבוגרים.</w:t>
      </w:r>
    </w:p>
    <w:p w14:paraId="5DED1A11" w14:textId="77777777" w:rsidR="005B50E9" w:rsidRDefault="005B50E9" w:rsidP="005B50E9">
      <w:pPr>
        <w:spacing w:line="360" w:lineRule="auto"/>
        <w:jc w:val="both"/>
        <w:rPr>
          <w:rFonts w:ascii="David" w:hAnsi="David"/>
          <w:rtl/>
        </w:rPr>
      </w:pPr>
    </w:p>
    <w:p w14:paraId="6C0DED24" w14:textId="77777777" w:rsidR="005B50E9" w:rsidRDefault="005B50E9" w:rsidP="005B50E9">
      <w:pPr>
        <w:spacing w:line="360" w:lineRule="auto"/>
        <w:rPr>
          <w:rFonts w:ascii="David" w:hAnsi="David"/>
        </w:rPr>
      </w:pPr>
      <w:r>
        <w:rPr>
          <w:rFonts w:ascii="David" w:hAnsi="David"/>
          <w:rtl/>
        </w:rPr>
        <w:t>בית המשפט אינו מוצא מקום לאמץ המלצת שירות המבחן למבוגרים, להסתפק בענישה חינוכית, במסגרת צו של"צ</w:t>
      </w:r>
      <w:r>
        <w:rPr>
          <w:rFonts w:ascii="David" w:hAnsi="David" w:hint="cs"/>
          <w:rtl/>
        </w:rPr>
        <w:t xml:space="preserve"> או לחילופין, מאסר לריצוי בדרך של עבודות שירות</w:t>
      </w:r>
      <w:r>
        <w:rPr>
          <w:rFonts w:ascii="David" w:hAnsi="David"/>
          <w:rtl/>
        </w:rPr>
        <w:t>. עתיר</w:t>
      </w:r>
      <w:r>
        <w:rPr>
          <w:rFonts w:ascii="David" w:hAnsi="David" w:hint="cs"/>
          <w:rtl/>
        </w:rPr>
        <w:t>ה</w:t>
      </w:r>
      <w:r>
        <w:rPr>
          <w:rFonts w:ascii="David" w:hAnsi="David"/>
          <w:rtl/>
        </w:rPr>
        <w:t xml:space="preserve"> </w:t>
      </w:r>
      <w:r>
        <w:rPr>
          <w:rFonts w:ascii="David" w:hAnsi="David" w:hint="cs"/>
          <w:rtl/>
        </w:rPr>
        <w:t xml:space="preserve">זו חורגת באופן קיצוני </w:t>
      </w:r>
      <w:r>
        <w:rPr>
          <w:rFonts w:ascii="David" w:hAnsi="David"/>
          <w:rtl/>
        </w:rPr>
        <w:t>ממתחם הענישה הראוי. כבר נפסק, לא פעם, כי שיקום איננו מילת קסם, המצדיקה חריגה מהמתחם בכל מקרה שהוא.</w:t>
      </w:r>
    </w:p>
    <w:p w14:paraId="6D4F7EA7" w14:textId="77777777" w:rsidR="005B50E9" w:rsidRDefault="005B50E9" w:rsidP="005B50E9">
      <w:pPr>
        <w:spacing w:line="360" w:lineRule="auto"/>
        <w:rPr>
          <w:rFonts w:ascii="David" w:hAnsi="David"/>
          <w:rtl/>
        </w:rPr>
      </w:pPr>
    </w:p>
    <w:p w14:paraId="1DBAC12F" w14:textId="77777777" w:rsidR="005B50E9" w:rsidRDefault="005B50E9" w:rsidP="005B50E9">
      <w:pPr>
        <w:spacing w:line="360" w:lineRule="auto"/>
        <w:rPr>
          <w:rFonts w:ascii="David" w:hAnsi="David"/>
          <w:rtl/>
        </w:rPr>
      </w:pPr>
      <w:r>
        <w:rPr>
          <w:rFonts w:ascii="David" w:hAnsi="David"/>
          <w:rtl/>
        </w:rPr>
        <w:t xml:space="preserve">ענישה בהתאם </w:t>
      </w:r>
      <w:r>
        <w:rPr>
          <w:rFonts w:ascii="David" w:hAnsi="David" w:hint="cs"/>
          <w:rtl/>
        </w:rPr>
        <w:t>לעתירת שירות המבחן למבוגרים</w:t>
      </w:r>
      <w:r>
        <w:rPr>
          <w:rFonts w:ascii="David" w:hAnsi="David"/>
          <w:rtl/>
        </w:rPr>
        <w:t xml:space="preserve"> – לא יהיה בה כדי לשקף כלל את עיקרון ההלימה, אשר קיבל הבכורה במסגרת שיקולי הענישה, שלא לדבר על הרתעת היחיד – הנאשם – והרתעת הרבים.</w:t>
      </w:r>
    </w:p>
    <w:p w14:paraId="2091ECF0" w14:textId="77777777" w:rsidR="005B50E9" w:rsidRDefault="005B50E9" w:rsidP="005B50E9">
      <w:pPr>
        <w:spacing w:line="360" w:lineRule="auto"/>
        <w:rPr>
          <w:rFonts w:ascii="David" w:hAnsi="David"/>
          <w:rtl/>
        </w:rPr>
      </w:pPr>
    </w:p>
    <w:p w14:paraId="193B63E5" w14:textId="77777777" w:rsidR="005B50E9" w:rsidRDefault="005B50E9" w:rsidP="005B50E9">
      <w:pPr>
        <w:spacing w:line="360" w:lineRule="auto"/>
        <w:rPr>
          <w:rFonts w:ascii="David" w:hAnsi="David"/>
          <w:rtl/>
        </w:rPr>
      </w:pPr>
      <w:r>
        <w:rPr>
          <w:rFonts w:ascii="David" w:hAnsi="David"/>
          <w:rtl/>
        </w:rPr>
        <w:t xml:space="preserve">מכלול הנתונים מצביע, אם כן, לכיוון ענישה </w:t>
      </w:r>
      <w:r>
        <w:rPr>
          <w:rFonts w:ascii="David" w:hAnsi="David" w:hint="cs"/>
          <w:rtl/>
        </w:rPr>
        <w:t>ברף התחתון של מתחם הענישה.</w:t>
      </w:r>
    </w:p>
    <w:p w14:paraId="1673FE38" w14:textId="77777777" w:rsidR="005B50E9" w:rsidRDefault="005B50E9" w:rsidP="005B50E9">
      <w:pPr>
        <w:spacing w:line="360" w:lineRule="auto"/>
        <w:rPr>
          <w:rFonts w:ascii="David" w:hAnsi="David"/>
          <w:rtl/>
        </w:rPr>
      </w:pPr>
    </w:p>
    <w:p w14:paraId="7AEC5C65" w14:textId="77777777" w:rsidR="005B50E9" w:rsidRDefault="005B50E9" w:rsidP="005B50E9">
      <w:pPr>
        <w:spacing w:line="360" w:lineRule="auto"/>
        <w:jc w:val="both"/>
        <w:rPr>
          <w:rFonts w:ascii="David" w:hAnsi="David"/>
          <w:rtl/>
        </w:rPr>
      </w:pPr>
      <w:r>
        <w:rPr>
          <w:rFonts w:ascii="David" w:hAnsi="David"/>
          <w:rtl/>
        </w:rPr>
        <w:t xml:space="preserve">כמובן, יושת על הנאשם עונש צופה פני עתיד, לבל </w:t>
      </w:r>
      <w:r>
        <w:rPr>
          <w:rFonts w:ascii="David" w:hAnsi="David" w:hint="cs"/>
          <w:rtl/>
        </w:rPr>
        <w:t>יהין להחזיק</w:t>
      </w:r>
      <w:r>
        <w:rPr>
          <w:rFonts w:ascii="David" w:hAnsi="David"/>
          <w:rtl/>
        </w:rPr>
        <w:t xml:space="preserve"> שוב בכלי נשק כלשהו, חם או קר.</w:t>
      </w:r>
    </w:p>
    <w:p w14:paraId="58A1756B" w14:textId="77777777" w:rsidR="005B50E9" w:rsidRDefault="005B50E9" w:rsidP="005B50E9">
      <w:pPr>
        <w:spacing w:line="360" w:lineRule="auto"/>
        <w:jc w:val="both"/>
        <w:rPr>
          <w:rFonts w:ascii="David" w:hAnsi="David"/>
          <w:rtl/>
        </w:rPr>
      </w:pPr>
    </w:p>
    <w:p w14:paraId="452264E9" w14:textId="77777777" w:rsidR="005B50E9" w:rsidRDefault="005B50E9" w:rsidP="005B50E9">
      <w:pPr>
        <w:spacing w:line="360" w:lineRule="auto"/>
        <w:jc w:val="both"/>
        <w:rPr>
          <w:rFonts w:ascii="David" w:hAnsi="David"/>
          <w:rtl/>
        </w:rPr>
      </w:pPr>
      <w:r>
        <w:rPr>
          <w:rFonts w:ascii="David" w:hAnsi="David"/>
          <w:rtl/>
        </w:rPr>
        <w:t xml:space="preserve">כן יושת על הנאשם עיצום כספי, בהינתן, כי המדובר בכלי נשק ובתחמושת בעלי שווי כספי </w:t>
      </w:r>
      <w:r>
        <w:rPr>
          <w:rFonts w:ascii="David" w:hAnsi="David" w:hint="cs"/>
          <w:rtl/>
        </w:rPr>
        <w:t>לא מבוטל</w:t>
      </w:r>
      <w:r>
        <w:rPr>
          <w:rFonts w:ascii="David" w:hAnsi="David"/>
          <w:rtl/>
        </w:rPr>
        <w:t>.</w:t>
      </w:r>
    </w:p>
    <w:p w14:paraId="53860CB8" w14:textId="77777777" w:rsidR="005B50E9" w:rsidRDefault="005B50E9" w:rsidP="005B50E9">
      <w:pPr>
        <w:spacing w:line="360" w:lineRule="auto"/>
        <w:jc w:val="both"/>
        <w:rPr>
          <w:rFonts w:ascii="David" w:hAnsi="David"/>
          <w:rtl/>
        </w:rPr>
      </w:pPr>
    </w:p>
    <w:p w14:paraId="58A2D306" w14:textId="77777777" w:rsidR="005B50E9" w:rsidRDefault="005B50E9" w:rsidP="005B50E9">
      <w:pPr>
        <w:spacing w:line="360" w:lineRule="auto"/>
        <w:jc w:val="both"/>
        <w:rPr>
          <w:rFonts w:ascii="David" w:hAnsi="David"/>
          <w:rtl/>
        </w:rPr>
      </w:pPr>
    </w:p>
    <w:p w14:paraId="79866165" w14:textId="77777777" w:rsidR="005B50E9" w:rsidRDefault="005B50E9" w:rsidP="005B50E9">
      <w:pPr>
        <w:spacing w:line="360" w:lineRule="auto"/>
        <w:jc w:val="both"/>
        <w:rPr>
          <w:rFonts w:ascii="David" w:hAnsi="David"/>
          <w:rtl/>
        </w:rPr>
      </w:pPr>
    </w:p>
    <w:p w14:paraId="33536630" w14:textId="77777777" w:rsidR="005B50E9" w:rsidRDefault="005B50E9" w:rsidP="005B50E9">
      <w:pPr>
        <w:spacing w:line="360" w:lineRule="auto"/>
        <w:jc w:val="both"/>
        <w:rPr>
          <w:rFonts w:ascii="David" w:hAnsi="David"/>
          <w:rtl/>
        </w:rPr>
      </w:pPr>
    </w:p>
    <w:p w14:paraId="21841B14" w14:textId="77777777" w:rsidR="005B50E9" w:rsidRPr="00AC2C02" w:rsidRDefault="005B50E9" w:rsidP="005B50E9">
      <w:pPr>
        <w:spacing w:line="360" w:lineRule="auto"/>
        <w:jc w:val="both"/>
        <w:rPr>
          <w:rFonts w:ascii="David" w:hAnsi="David"/>
          <w:rtl/>
        </w:rPr>
      </w:pPr>
      <w:r>
        <w:rPr>
          <w:rFonts w:ascii="David" w:hAnsi="David" w:hint="cs"/>
          <w:b/>
          <w:bCs/>
          <w:rtl/>
        </w:rPr>
        <w:t>סיכום</w:t>
      </w:r>
    </w:p>
    <w:p w14:paraId="640F875C" w14:textId="77777777" w:rsidR="005B50E9" w:rsidRDefault="005B50E9" w:rsidP="005B50E9">
      <w:pPr>
        <w:spacing w:line="360" w:lineRule="auto"/>
        <w:jc w:val="both"/>
        <w:rPr>
          <w:rFonts w:ascii="David" w:hAnsi="David"/>
          <w:rtl/>
        </w:rPr>
      </w:pPr>
      <w:r>
        <w:rPr>
          <w:rFonts w:ascii="David" w:hAnsi="David" w:hint="cs"/>
          <w:rtl/>
        </w:rPr>
        <w:t>לאחר שבית המשפט עיין בטיעוני התביעה בכתב; שמע טיעוני הצדדים על פה; עיין בראיות לעונש; עיין בתסקיר שירות המבחן למבוגרים; ולאחר ששמע דברו האחרון של הנאשם,</w:t>
      </w:r>
      <w:r>
        <w:rPr>
          <w:rFonts w:ascii="David" w:hAnsi="David"/>
          <w:rtl/>
        </w:rPr>
        <w:t xml:space="preserve"> גוזר בית המשפט על הנאשם את העונשים </w:t>
      </w:r>
      <w:r>
        <w:rPr>
          <w:rFonts w:ascii="David" w:hAnsi="David" w:hint="cs"/>
          <w:rtl/>
        </w:rPr>
        <w:t>כדלקמן</w:t>
      </w:r>
      <w:r>
        <w:rPr>
          <w:rFonts w:ascii="David" w:hAnsi="David"/>
          <w:rtl/>
        </w:rPr>
        <w:t>:</w:t>
      </w:r>
    </w:p>
    <w:p w14:paraId="42C8BDFF" w14:textId="77777777" w:rsidR="005B50E9" w:rsidRDefault="005B50E9" w:rsidP="005B50E9">
      <w:pPr>
        <w:spacing w:line="360" w:lineRule="auto"/>
        <w:jc w:val="both"/>
        <w:rPr>
          <w:rFonts w:ascii="David" w:hAnsi="David"/>
          <w:rtl/>
        </w:rPr>
      </w:pPr>
    </w:p>
    <w:p w14:paraId="2A2DB6DB" w14:textId="77777777" w:rsidR="005B50E9" w:rsidRDefault="005B50E9" w:rsidP="005B50E9">
      <w:pPr>
        <w:spacing w:line="360" w:lineRule="auto"/>
        <w:jc w:val="both"/>
        <w:rPr>
          <w:rFonts w:ascii="David" w:hAnsi="David"/>
          <w:rtl/>
        </w:rPr>
      </w:pPr>
      <w:r>
        <w:rPr>
          <w:rFonts w:ascii="David" w:hAnsi="David"/>
          <w:rtl/>
        </w:rPr>
        <w:t>א.</w:t>
      </w:r>
      <w:r w:rsidR="009C1883">
        <w:rPr>
          <w:rFonts w:ascii="David" w:hAnsi="David"/>
          <w:rtl/>
        </w:rPr>
        <w:t xml:space="preserve">        </w:t>
      </w:r>
      <w:r>
        <w:rPr>
          <w:rFonts w:ascii="David" w:hAnsi="David"/>
          <w:rtl/>
        </w:rPr>
        <w:t xml:space="preserve"> </w:t>
      </w:r>
      <w:r>
        <w:rPr>
          <w:rFonts w:ascii="David" w:hAnsi="David" w:hint="cs"/>
          <w:rtl/>
        </w:rPr>
        <w:t>18</w:t>
      </w:r>
      <w:r>
        <w:rPr>
          <w:rFonts w:ascii="David" w:hAnsi="David"/>
          <w:rtl/>
        </w:rPr>
        <w:t xml:space="preserve"> חודשי מאסר בפועל, בניכוי ימי מעצרו בהתאם לרישומי שב"ס;</w:t>
      </w:r>
    </w:p>
    <w:p w14:paraId="36CCB385" w14:textId="77777777" w:rsidR="005B50E9" w:rsidRDefault="005B50E9" w:rsidP="005B50E9">
      <w:pPr>
        <w:spacing w:line="360" w:lineRule="auto"/>
        <w:ind w:left="720" w:hanging="720"/>
        <w:jc w:val="both"/>
        <w:rPr>
          <w:rFonts w:ascii="David" w:hAnsi="David"/>
          <w:rtl/>
        </w:rPr>
      </w:pPr>
      <w:r>
        <w:rPr>
          <w:rFonts w:ascii="David" w:hAnsi="David"/>
          <w:rtl/>
        </w:rPr>
        <w:t>ב.</w:t>
      </w:r>
      <w:r w:rsidR="009C1883">
        <w:rPr>
          <w:rFonts w:ascii="David" w:hAnsi="David"/>
          <w:rtl/>
        </w:rPr>
        <w:t xml:space="preserve">        </w:t>
      </w:r>
      <w:r>
        <w:rPr>
          <w:rFonts w:ascii="David" w:hAnsi="David"/>
          <w:rtl/>
        </w:rPr>
        <w:t xml:space="preserve"> 12 חודשי מאסר על תנאי למשך 3 שנים מהיום; והתנאי – שהנאשם לא יעבור עבירה מסוג פשע בניגוד </w:t>
      </w:r>
      <w:hyperlink r:id="rId33" w:history="1">
        <w:r w:rsidR="00C67A2B" w:rsidRPr="00C67A2B">
          <w:rPr>
            <w:rStyle w:val="Hyperlink"/>
            <w:rFonts w:ascii="David" w:hAnsi="David"/>
            <w:rtl/>
          </w:rPr>
          <w:t>לסעיף 144</w:t>
        </w:r>
      </w:hyperlink>
      <w:r>
        <w:rPr>
          <w:rFonts w:ascii="David" w:hAnsi="David"/>
          <w:rtl/>
        </w:rPr>
        <w:t xml:space="preserve"> ל</w:t>
      </w:r>
      <w:hyperlink r:id="rId34" w:history="1">
        <w:r w:rsidR="009C1883" w:rsidRPr="009C1883">
          <w:rPr>
            <w:rFonts w:ascii="David" w:hAnsi="David"/>
            <w:color w:val="0000FF"/>
            <w:u w:val="single"/>
            <w:rtl/>
          </w:rPr>
          <w:t>חוק העונשין</w:t>
        </w:r>
      </w:hyperlink>
      <w:r>
        <w:rPr>
          <w:rFonts w:ascii="David" w:hAnsi="David"/>
          <w:rtl/>
        </w:rPr>
        <w:t xml:space="preserve">, תשל"ז – 1977; </w:t>
      </w:r>
    </w:p>
    <w:p w14:paraId="660FC57D" w14:textId="77777777" w:rsidR="005B50E9" w:rsidRDefault="005B50E9" w:rsidP="005B50E9">
      <w:pPr>
        <w:spacing w:line="360" w:lineRule="auto"/>
        <w:ind w:left="720" w:hanging="720"/>
        <w:jc w:val="both"/>
        <w:rPr>
          <w:rFonts w:ascii="David" w:hAnsi="David"/>
          <w:rtl/>
        </w:rPr>
      </w:pPr>
      <w:r>
        <w:rPr>
          <w:rFonts w:ascii="David" w:hAnsi="David"/>
          <w:rtl/>
        </w:rPr>
        <w:t>ג.</w:t>
      </w:r>
      <w:r w:rsidR="009C1883">
        <w:rPr>
          <w:rFonts w:ascii="David" w:hAnsi="David"/>
          <w:rtl/>
        </w:rPr>
        <w:t xml:space="preserve">         </w:t>
      </w:r>
      <w:r>
        <w:rPr>
          <w:rFonts w:ascii="David" w:hAnsi="David"/>
          <w:rtl/>
        </w:rPr>
        <w:t xml:space="preserve"> 6 חודשי מאסר על תנאי למשך 3 שנים מהיום; והתנאי – שהנאשם לא יעבור עבירה מסוג עוון בניגוד </w:t>
      </w:r>
      <w:hyperlink r:id="rId35" w:history="1">
        <w:r w:rsidR="00C67A2B" w:rsidRPr="00C67A2B">
          <w:rPr>
            <w:rStyle w:val="Hyperlink"/>
            <w:rFonts w:ascii="David" w:hAnsi="David"/>
            <w:rtl/>
          </w:rPr>
          <w:t>לסעיף 144</w:t>
        </w:r>
      </w:hyperlink>
      <w:r>
        <w:rPr>
          <w:rFonts w:ascii="David" w:hAnsi="David"/>
          <w:rtl/>
        </w:rPr>
        <w:t xml:space="preserve"> ל</w:t>
      </w:r>
      <w:hyperlink r:id="rId36" w:history="1">
        <w:r w:rsidR="009C1883" w:rsidRPr="009C1883">
          <w:rPr>
            <w:rFonts w:ascii="David" w:hAnsi="David"/>
            <w:color w:val="0000FF"/>
            <w:u w:val="single"/>
            <w:rtl/>
          </w:rPr>
          <w:t>חוק העונשין</w:t>
        </w:r>
      </w:hyperlink>
      <w:r>
        <w:rPr>
          <w:rFonts w:ascii="David" w:hAnsi="David"/>
          <w:rtl/>
        </w:rPr>
        <w:t>, תשל"ז – 1977;</w:t>
      </w:r>
      <w:r w:rsidR="009C1883">
        <w:rPr>
          <w:rFonts w:ascii="David" w:hAnsi="David"/>
          <w:rtl/>
        </w:rPr>
        <w:t xml:space="preserve"> </w:t>
      </w:r>
      <w:r>
        <w:rPr>
          <w:rFonts w:ascii="David" w:hAnsi="David"/>
          <w:rtl/>
        </w:rPr>
        <w:t xml:space="preserve"> או עבירה </w:t>
      </w:r>
      <w:r>
        <w:rPr>
          <w:rFonts w:ascii="David" w:hAnsi="David" w:hint="cs"/>
          <w:rtl/>
        </w:rPr>
        <w:t xml:space="preserve">כלשהי </w:t>
      </w:r>
      <w:r>
        <w:rPr>
          <w:rFonts w:ascii="David" w:hAnsi="David"/>
          <w:rtl/>
        </w:rPr>
        <w:t xml:space="preserve">בניגוד </w:t>
      </w:r>
      <w:hyperlink r:id="rId37" w:history="1">
        <w:r w:rsidR="00C67A2B" w:rsidRPr="00C67A2B">
          <w:rPr>
            <w:rStyle w:val="Hyperlink"/>
            <w:rFonts w:ascii="David" w:hAnsi="David"/>
            <w:rtl/>
          </w:rPr>
          <w:t>לסעיף 186</w:t>
        </w:r>
      </w:hyperlink>
      <w:r>
        <w:rPr>
          <w:rFonts w:ascii="David" w:hAnsi="David"/>
          <w:rtl/>
        </w:rPr>
        <w:t xml:space="preserve"> לאותו חוק;</w:t>
      </w:r>
    </w:p>
    <w:p w14:paraId="061833E4" w14:textId="77777777" w:rsidR="005B50E9" w:rsidRDefault="005B50E9" w:rsidP="005B50E9">
      <w:pPr>
        <w:spacing w:line="360" w:lineRule="auto"/>
        <w:ind w:left="720" w:hanging="720"/>
        <w:jc w:val="both"/>
        <w:rPr>
          <w:rFonts w:ascii="David" w:hAnsi="David"/>
          <w:rtl/>
        </w:rPr>
      </w:pPr>
      <w:r>
        <w:rPr>
          <w:rFonts w:ascii="David" w:hAnsi="David"/>
          <w:rtl/>
        </w:rPr>
        <w:t>ד.</w:t>
      </w:r>
      <w:r w:rsidR="009C1883">
        <w:rPr>
          <w:rFonts w:ascii="David" w:hAnsi="David"/>
          <w:rtl/>
        </w:rPr>
        <w:t xml:space="preserve">        </w:t>
      </w:r>
      <w:r>
        <w:rPr>
          <w:rFonts w:ascii="David" w:hAnsi="David"/>
          <w:rtl/>
        </w:rPr>
        <w:t xml:space="preserve"> קנס בסך </w:t>
      </w:r>
      <w:r>
        <w:rPr>
          <w:rFonts w:ascii="David" w:hAnsi="David" w:hint="cs"/>
          <w:rtl/>
        </w:rPr>
        <w:t>12</w:t>
      </w:r>
      <w:r>
        <w:rPr>
          <w:rFonts w:ascii="David" w:hAnsi="David"/>
          <w:rtl/>
        </w:rPr>
        <w:t xml:space="preserve">,000 ₪ או </w:t>
      </w:r>
      <w:r>
        <w:rPr>
          <w:rFonts w:ascii="David" w:hAnsi="David" w:hint="cs"/>
          <w:rtl/>
        </w:rPr>
        <w:t>90</w:t>
      </w:r>
      <w:r>
        <w:rPr>
          <w:rFonts w:ascii="David" w:hAnsi="David"/>
          <w:rtl/>
        </w:rPr>
        <w:t xml:space="preserve"> ימי מאסר תמורתו. הקנס ישולם ב-10 שיעורים שווים ורצופים החל מיום 15.</w:t>
      </w:r>
      <w:r>
        <w:rPr>
          <w:rFonts w:ascii="David" w:hAnsi="David" w:hint="cs"/>
          <w:rtl/>
        </w:rPr>
        <w:t>04</w:t>
      </w:r>
      <w:r>
        <w:rPr>
          <w:rFonts w:ascii="David" w:hAnsi="David"/>
          <w:rtl/>
        </w:rPr>
        <w:t>.2</w:t>
      </w:r>
      <w:r>
        <w:rPr>
          <w:rFonts w:ascii="David" w:hAnsi="David" w:hint="cs"/>
          <w:rtl/>
        </w:rPr>
        <w:t>1</w:t>
      </w:r>
      <w:r w:rsidR="009C1883">
        <w:rPr>
          <w:rFonts w:ascii="David" w:hAnsi="David"/>
          <w:rtl/>
        </w:rPr>
        <w:t xml:space="preserve"> </w:t>
      </w:r>
      <w:r>
        <w:rPr>
          <w:rFonts w:ascii="David" w:hAnsi="David"/>
          <w:rtl/>
        </w:rPr>
        <w:t xml:space="preserve"> ובכל 15 לחודש שלאחר מכן. לא יועבר אחד התשלומים במועד – תעמוד היתרה לפירעון מידי;</w:t>
      </w:r>
    </w:p>
    <w:p w14:paraId="698B5F62" w14:textId="77777777" w:rsidR="005B50E9" w:rsidRDefault="005B50E9" w:rsidP="005B50E9">
      <w:pPr>
        <w:spacing w:line="360" w:lineRule="auto"/>
        <w:ind w:left="720" w:hanging="720"/>
        <w:jc w:val="both"/>
        <w:rPr>
          <w:rFonts w:ascii="David" w:hAnsi="David"/>
          <w:rtl/>
        </w:rPr>
      </w:pPr>
      <w:r>
        <w:rPr>
          <w:rFonts w:ascii="David" w:hAnsi="David"/>
          <w:rtl/>
        </w:rPr>
        <w:t>ו.</w:t>
      </w:r>
      <w:r w:rsidR="009C1883">
        <w:rPr>
          <w:rFonts w:ascii="David" w:hAnsi="David"/>
          <w:rtl/>
        </w:rPr>
        <w:t xml:space="preserve">         </w:t>
      </w:r>
      <w:r>
        <w:rPr>
          <w:rFonts w:ascii="David" w:hAnsi="David"/>
          <w:rtl/>
        </w:rPr>
        <w:t xml:space="preserve"> נשק ותחמושת – </w:t>
      </w:r>
      <w:r>
        <w:rPr>
          <w:rFonts w:ascii="David" w:hAnsi="David" w:hint="cs"/>
          <w:rtl/>
        </w:rPr>
        <w:t>יושמדו, בחלוף תקופת הערעור</w:t>
      </w:r>
      <w:r>
        <w:rPr>
          <w:rFonts w:ascii="David" w:hAnsi="David"/>
          <w:rtl/>
        </w:rPr>
        <w:t>.</w:t>
      </w:r>
    </w:p>
    <w:p w14:paraId="22D71D3A" w14:textId="77777777" w:rsidR="005B50E9" w:rsidRDefault="005B50E9" w:rsidP="005B50E9">
      <w:pPr>
        <w:spacing w:line="360" w:lineRule="auto"/>
        <w:ind w:left="720" w:hanging="720"/>
        <w:jc w:val="both"/>
        <w:rPr>
          <w:rFonts w:ascii="David" w:hAnsi="David"/>
          <w:rtl/>
        </w:rPr>
      </w:pPr>
    </w:p>
    <w:p w14:paraId="3188FFC1" w14:textId="77777777" w:rsidR="005B50E9" w:rsidRDefault="005B50E9" w:rsidP="005B50E9">
      <w:pPr>
        <w:spacing w:after="160" w:line="276" w:lineRule="auto"/>
        <w:rPr>
          <w:rFonts w:ascii="Calibri" w:hAnsi="Calibri"/>
          <w:rtl/>
        </w:rPr>
      </w:pPr>
      <w:r>
        <w:rPr>
          <w:rFonts w:ascii="Calibri" w:hAnsi="Calibri" w:hint="cs"/>
          <w:rtl/>
        </w:rPr>
        <w:t>הנאשם יתייצב לריצוי עונשו כעת.</w:t>
      </w:r>
    </w:p>
    <w:p w14:paraId="6FC8661A" w14:textId="77777777" w:rsidR="005B50E9" w:rsidRPr="00FD0AD8" w:rsidRDefault="009C1883" w:rsidP="005B50E9">
      <w:pPr>
        <w:spacing w:after="160" w:line="276" w:lineRule="auto"/>
        <w:rPr>
          <w:rFonts w:ascii="Calibri" w:hAnsi="Calibri"/>
          <w:rtl/>
        </w:rPr>
      </w:pPr>
      <w:r w:rsidRPr="009C1883">
        <w:rPr>
          <w:rFonts w:ascii="Calibri" w:hAnsi="Calibri"/>
          <w:color w:val="FFFFFF"/>
          <w:sz w:val="2"/>
          <w:szCs w:val="2"/>
          <w:rtl/>
        </w:rPr>
        <w:t>5129371</w:t>
      </w:r>
      <w:r w:rsidR="005B50E9" w:rsidRPr="00FD0AD8">
        <w:rPr>
          <w:rFonts w:ascii="Calibri" w:hAnsi="Calibri" w:hint="eastAsia"/>
          <w:rtl/>
        </w:rPr>
        <w:t>עותק</w:t>
      </w:r>
      <w:r w:rsidR="005B50E9" w:rsidRPr="00FD0AD8">
        <w:rPr>
          <w:rFonts w:ascii="Calibri" w:hAnsi="Calibri"/>
          <w:rtl/>
        </w:rPr>
        <w:t xml:space="preserve"> </w:t>
      </w:r>
      <w:r w:rsidR="005B50E9" w:rsidRPr="00FD0AD8">
        <w:rPr>
          <w:rFonts w:ascii="Calibri" w:hAnsi="Calibri" w:hint="eastAsia"/>
          <w:rtl/>
        </w:rPr>
        <w:t>גזר</w:t>
      </w:r>
      <w:r w:rsidR="005B50E9" w:rsidRPr="00FD0AD8">
        <w:rPr>
          <w:rFonts w:ascii="Calibri" w:hAnsi="Calibri"/>
          <w:rtl/>
        </w:rPr>
        <w:t xml:space="preserve"> </w:t>
      </w:r>
      <w:r w:rsidR="005B50E9" w:rsidRPr="00FD0AD8">
        <w:rPr>
          <w:rFonts w:ascii="Calibri" w:hAnsi="Calibri" w:hint="eastAsia"/>
          <w:rtl/>
        </w:rPr>
        <w:t>הדין</w:t>
      </w:r>
      <w:r w:rsidR="005B50E9" w:rsidRPr="00FD0AD8">
        <w:rPr>
          <w:rFonts w:ascii="Calibri" w:hAnsi="Calibri"/>
          <w:rtl/>
        </w:rPr>
        <w:t xml:space="preserve"> </w:t>
      </w:r>
      <w:r w:rsidR="005B50E9" w:rsidRPr="00FD0AD8">
        <w:rPr>
          <w:rFonts w:ascii="Calibri" w:hAnsi="Calibri" w:hint="eastAsia"/>
          <w:rtl/>
        </w:rPr>
        <w:t>יועבר</w:t>
      </w:r>
      <w:r w:rsidR="005B50E9" w:rsidRPr="00FD0AD8">
        <w:rPr>
          <w:rFonts w:ascii="Calibri" w:hAnsi="Calibri"/>
          <w:rtl/>
        </w:rPr>
        <w:t xml:space="preserve"> </w:t>
      </w:r>
      <w:r w:rsidR="005B50E9" w:rsidRPr="00FD0AD8">
        <w:rPr>
          <w:rFonts w:ascii="Calibri" w:hAnsi="Calibri" w:hint="eastAsia"/>
          <w:rtl/>
        </w:rPr>
        <w:t>לשירות</w:t>
      </w:r>
      <w:r w:rsidR="005B50E9" w:rsidRPr="00FD0AD8">
        <w:rPr>
          <w:rFonts w:ascii="Calibri" w:hAnsi="Calibri"/>
          <w:rtl/>
        </w:rPr>
        <w:t xml:space="preserve"> </w:t>
      </w:r>
      <w:r w:rsidR="005B50E9" w:rsidRPr="00FD0AD8">
        <w:rPr>
          <w:rFonts w:ascii="Calibri" w:hAnsi="Calibri" w:hint="eastAsia"/>
          <w:rtl/>
        </w:rPr>
        <w:t>המבחן</w:t>
      </w:r>
      <w:r w:rsidR="005B50E9" w:rsidRPr="00FD0AD8">
        <w:rPr>
          <w:rFonts w:ascii="Calibri" w:hAnsi="Calibri"/>
          <w:rtl/>
        </w:rPr>
        <w:t xml:space="preserve"> </w:t>
      </w:r>
      <w:r w:rsidR="005B50E9" w:rsidRPr="00FD0AD8">
        <w:rPr>
          <w:rFonts w:ascii="Calibri" w:hAnsi="Calibri" w:hint="eastAsia"/>
          <w:rtl/>
        </w:rPr>
        <w:t>למבוגרים</w:t>
      </w:r>
      <w:r w:rsidR="005B50E9">
        <w:rPr>
          <w:rFonts w:ascii="Calibri" w:hAnsi="Calibri" w:hint="cs"/>
          <w:rtl/>
        </w:rPr>
        <w:t>.</w:t>
      </w:r>
    </w:p>
    <w:p w14:paraId="7601EF39" w14:textId="77777777" w:rsidR="005B50E9" w:rsidRPr="00FD0AD8" w:rsidRDefault="009C1883" w:rsidP="005B50E9">
      <w:pPr>
        <w:spacing w:after="160" w:line="276" w:lineRule="auto"/>
        <w:rPr>
          <w:rFonts w:ascii="Calibri" w:hAnsi="Calibri"/>
          <w:rtl/>
        </w:rPr>
      </w:pPr>
      <w:r w:rsidRPr="009C1883">
        <w:rPr>
          <w:rFonts w:ascii="Calibri" w:hAnsi="Calibri"/>
          <w:color w:val="FFFFFF"/>
          <w:sz w:val="2"/>
          <w:szCs w:val="2"/>
          <w:rtl/>
        </w:rPr>
        <w:t>54678313</w:t>
      </w:r>
      <w:r w:rsidR="005B50E9" w:rsidRPr="00FD0AD8">
        <w:rPr>
          <w:rFonts w:ascii="Calibri" w:hAnsi="Calibri" w:hint="eastAsia"/>
          <w:rtl/>
        </w:rPr>
        <w:t>הודעה</w:t>
      </w:r>
      <w:r w:rsidR="005B50E9" w:rsidRPr="00FD0AD8">
        <w:rPr>
          <w:rFonts w:ascii="Calibri" w:hAnsi="Calibri"/>
          <w:rtl/>
        </w:rPr>
        <w:t xml:space="preserve"> </w:t>
      </w:r>
      <w:r w:rsidR="005B50E9" w:rsidRPr="00FD0AD8">
        <w:rPr>
          <w:rFonts w:ascii="Calibri" w:hAnsi="Calibri" w:hint="eastAsia"/>
          <w:rtl/>
        </w:rPr>
        <w:t>זכות</w:t>
      </w:r>
      <w:r w:rsidR="005B50E9" w:rsidRPr="00FD0AD8">
        <w:rPr>
          <w:rFonts w:ascii="Calibri" w:hAnsi="Calibri"/>
          <w:rtl/>
        </w:rPr>
        <w:t xml:space="preserve"> </w:t>
      </w:r>
      <w:r w:rsidR="005B50E9" w:rsidRPr="00FD0AD8">
        <w:rPr>
          <w:rFonts w:ascii="Calibri" w:hAnsi="Calibri" w:hint="eastAsia"/>
          <w:rtl/>
        </w:rPr>
        <w:t>הערעור</w:t>
      </w:r>
      <w:r w:rsidR="005B50E9" w:rsidRPr="00FD0AD8">
        <w:rPr>
          <w:rFonts w:ascii="Calibri" w:hAnsi="Calibri"/>
          <w:rtl/>
        </w:rPr>
        <w:t>.</w:t>
      </w:r>
    </w:p>
    <w:p w14:paraId="4343609B" w14:textId="77777777" w:rsidR="005B50E9" w:rsidRDefault="005B50E9" w:rsidP="005B50E9">
      <w:pPr>
        <w:spacing w:line="360" w:lineRule="auto"/>
        <w:jc w:val="both"/>
        <w:rPr>
          <w:rFonts w:ascii="Arial" w:hAnsi="Arial"/>
          <w:rtl/>
        </w:rPr>
      </w:pPr>
    </w:p>
    <w:p w14:paraId="0ADE00BD" w14:textId="77777777" w:rsidR="005B50E9" w:rsidRDefault="009C1883" w:rsidP="005B50E9">
      <w:pPr>
        <w:spacing w:line="360" w:lineRule="auto"/>
        <w:jc w:val="both"/>
        <w:rPr>
          <w:rFonts w:ascii="Arial" w:hAnsi="Arial"/>
          <w:rtl/>
        </w:rPr>
      </w:pPr>
      <w:bookmarkStart w:id="8" w:name="Nitan"/>
      <w:r>
        <w:rPr>
          <w:rFonts w:ascii="Arial" w:hAnsi="Arial"/>
          <w:rtl/>
        </w:rPr>
        <w:t xml:space="preserve">ניתנה היום, ב' ניסן תשפ"א, 15 מרץ 2021, במעמד הצדדים. </w:t>
      </w:r>
      <w:bookmarkEnd w:id="8"/>
    </w:p>
    <w:p w14:paraId="01CF11C1" w14:textId="77777777" w:rsidR="005B50E9" w:rsidRDefault="005B50E9" w:rsidP="005B50E9">
      <w:pPr>
        <w:spacing w:line="360" w:lineRule="auto"/>
        <w:ind w:left="3600" w:firstLine="720"/>
        <w:jc w:val="center"/>
      </w:pPr>
    </w:p>
    <w:p w14:paraId="7FE8CA56" w14:textId="77777777" w:rsidR="005B50E9" w:rsidRPr="00C67A2B" w:rsidRDefault="00C67A2B" w:rsidP="005B50E9">
      <w:pPr>
        <w:spacing w:line="360" w:lineRule="auto"/>
        <w:ind w:left="3600" w:firstLine="720"/>
        <w:jc w:val="center"/>
        <w:rPr>
          <w:rFonts w:ascii="Arial" w:hAnsi="Arial"/>
          <w:color w:val="FFFFFF"/>
          <w:sz w:val="2"/>
          <w:szCs w:val="2"/>
          <w:rtl/>
        </w:rPr>
      </w:pPr>
      <w:r w:rsidRPr="00C67A2B">
        <w:rPr>
          <w:rFonts w:ascii="Arial" w:hAnsi="Arial"/>
          <w:color w:val="FFFFFF"/>
          <w:sz w:val="2"/>
          <w:szCs w:val="2"/>
          <w:rtl/>
        </w:rPr>
        <w:t>5129371</w:t>
      </w:r>
    </w:p>
    <w:p w14:paraId="20A75269" w14:textId="77777777" w:rsidR="009C1883" w:rsidRPr="00C67A2B" w:rsidRDefault="00C67A2B" w:rsidP="00C67A2B">
      <w:pPr>
        <w:keepNext/>
        <w:rPr>
          <w:rFonts w:ascii="David" w:hAnsi="David" w:hint="cs"/>
          <w:color w:val="FFFFFF"/>
          <w:sz w:val="2"/>
          <w:szCs w:val="2"/>
        </w:rPr>
      </w:pPr>
      <w:r w:rsidRPr="00C67A2B">
        <w:rPr>
          <w:rFonts w:ascii="David" w:hAnsi="David"/>
          <w:color w:val="FFFFFF"/>
          <w:sz w:val="2"/>
          <w:szCs w:val="2"/>
          <w:rtl/>
        </w:rPr>
        <w:t>54678313</w:t>
      </w:r>
    </w:p>
    <w:p w14:paraId="4E1158CA" w14:textId="77777777" w:rsidR="009C1883" w:rsidRDefault="009C1883" w:rsidP="009C1883">
      <w:pPr>
        <w:rPr>
          <w:rtl/>
        </w:rPr>
      </w:pPr>
    </w:p>
    <w:p w14:paraId="0A8824A3" w14:textId="77777777" w:rsidR="009C1883" w:rsidRDefault="009C1883" w:rsidP="009C188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3F2403B" w14:textId="77777777" w:rsidR="00C67A2B" w:rsidRPr="00C67A2B" w:rsidRDefault="00C67A2B" w:rsidP="00C67A2B">
      <w:pPr>
        <w:keepNext/>
        <w:rPr>
          <w:rFonts w:ascii="David" w:hAnsi="David" w:hint="cs"/>
          <w:color w:val="000000"/>
          <w:sz w:val="22"/>
          <w:szCs w:val="22"/>
          <w:rtl/>
        </w:rPr>
      </w:pPr>
    </w:p>
    <w:p w14:paraId="1F96E80F" w14:textId="77777777" w:rsidR="00C67A2B" w:rsidRPr="00C67A2B" w:rsidRDefault="00C67A2B" w:rsidP="00C67A2B">
      <w:pPr>
        <w:keepNext/>
        <w:rPr>
          <w:rFonts w:ascii="David" w:hAnsi="David"/>
          <w:color w:val="000000"/>
          <w:sz w:val="22"/>
          <w:szCs w:val="22"/>
          <w:rtl/>
        </w:rPr>
      </w:pPr>
      <w:r w:rsidRPr="00C67A2B">
        <w:rPr>
          <w:rFonts w:ascii="David" w:hAnsi="David"/>
          <w:color w:val="000000"/>
          <w:sz w:val="22"/>
          <w:szCs w:val="22"/>
          <w:rtl/>
        </w:rPr>
        <w:t>רון סולקין 54678313-/</w:t>
      </w:r>
    </w:p>
    <w:p w14:paraId="7B514C01" w14:textId="77777777" w:rsidR="009C1883" w:rsidRPr="009C1883" w:rsidRDefault="00C67A2B" w:rsidP="00C67A2B">
      <w:pPr>
        <w:rPr>
          <w:rFonts w:hint="cs"/>
          <w:color w:val="0000FF"/>
          <w:u w:val="single"/>
        </w:rPr>
      </w:pPr>
      <w:r w:rsidRPr="00C67A2B">
        <w:rPr>
          <w:color w:val="000000"/>
          <w:u w:val="single"/>
          <w:rtl/>
        </w:rPr>
        <w:t>נוסח מסמך זה כפוף לשינויי ניסוח ועריכה</w:t>
      </w:r>
    </w:p>
    <w:sectPr w:rsidR="009C1883" w:rsidRPr="009C1883" w:rsidSect="00C67A2B">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2E570" w14:textId="77777777" w:rsidR="0065344C" w:rsidRDefault="0065344C" w:rsidP="00C70F07">
      <w:r>
        <w:separator/>
      </w:r>
    </w:p>
  </w:endnote>
  <w:endnote w:type="continuationSeparator" w:id="0">
    <w:p w14:paraId="2D2B0FF7" w14:textId="77777777" w:rsidR="0065344C" w:rsidRDefault="0065344C" w:rsidP="00C7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C741" w14:textId="77777777" w:rsidR="00C67A2B" w:rsidRDefault="00C67A2B" w:rsidP="00C67A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76BC78" w14:textId="77777777" w:rsidR="009C1883" w:rsidRPr="00C67A2B" w:rsidRDefault="00C67A2B" w:rsidP="00C67A2B">
    <w:pPr>
      <w:pStyle w:val="a5"/>
      <w:pBdr>
        <w:top w:val="single" w:sz="4" w:space="1" w:color="auto"/>
        <w:between w:val="single" w:sz="4" w:space="0" w:color="auto"/>
      </w:pBdr>
      <w:spacing w:after="60"/>
      <w:jc w:val="center"/>
      <w:rPr>
        <w:rFonts w:ascii="FrankRuehl" w:hAnsi="FrankRuehl" w:cs="FrankRuehl"/>
        <w:color w:val="000000"/>
      </w:rPr>
    </w:pPr>
    <w:r w:rsidRPr="00C67A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BFAF" w14:textId="77777777" w:rsidR="00C67A2B" w:rsidRDefault="00C67A2B" w:rsidP="00C67A2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51A10">
      <w:rPr>
        <w:rStyle w:val="a8"/>
        <w:rFonts w:ascii="FrankRuehl" w:hAnsi="FrankRuehl" w:cs="FrankRuehl"/>
        <w:noProof/>
        <w:rtl/>
      </w:rPr>
      <w:t>1</w:t>
    </w:r>
    <w:r>
      <w:rPr>
        <w:rStyle w:val="a8"/>
        <w:rFonts w:ascii="FrankRuehl" w:hAnsi="FrankRuehl" w:cs="FrankRuehl"/>
        <w:rtl/>
      </w:rPr>
      <w:fldChar w:fldCharType="end"/>
    </w:r>
  </w:p>
  <w:p w14:paraId="37546D7F" w14:textId="77777777" w:rsidR="007663F9" w:rsidRPr="00C67A2B" w:rsidRDefault="00C67A2B" w:rsidP="00C67A2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C67A2B">
      <w:rPr>
        <w:rStyle w:val="a8"/>
        <w:rFonts w:ascii="FrankRuehl" w:hAnsi="FrankRuehl" w:cs="FrankRuehl" w:hint="cs"/>
        <w:color w:val="000000"/>
      </w:rPr>
      <w:pict w14:anchorId="703B1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192D" w14:textId="77777777" w:rsidR="0065344C" w:rsidRDefault="0065344C" w:rsidP="00C70F07">
      <w:r>
        <w:separator/>
      </w:r>
    </w:p>
  </w:footnote>
  <w:footnote w:type="continuationSeparator" w:id="0">
    <w:p w14:paraId="4C4A490B" w14:textId="77777777" w:rsidR="0065344C" w:rsidRDefault="0065344C" w:rsidP="00C70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EB1E" w14:textId="77777777" w:rsidR="009C1883" w:rsidRPr="00C67A2B" w:rsidRDefault="00C67A2B" w:rsidP="00C67A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52091-02-20</w:t>
    </w:r>
    <w:r>
      <w:rPr>
        <w:rFonts w:ascii="David" w:hAnsi="David"/>
        <w:color w:val="000000"/>
        <w:sz w:val="22"/>
        <w:szCs w:val="22"/>
        <w:rtl/>
      </w:rPr>
      <w:tab/>
      <w:t xml:space="preserve"> מדינת ישראל  נ' דהן בן מחמד אל 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8147" w14:textId="77777777" w:rsidR="009C1883" w:rsidRPr="00C67A2B" w:rsidRDefault="00C67A2B" w:rsidP="00C67A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52091-02-20</w:t>
    </w:r>
    <w:r>
      <w:rPr>
        <w:rFonts w:ascii="David" w:hAnsi="David"/>
        <w:color w:val="000000"/>
        <w:sz w:val="22"/>
        <w:szCs w:val="22"/>
        <w:rtl/>
      </w:rPr>
      <w:tab/>
      <w:t xml:space="preserve"> מדינת ישראל  נ' דהן בן מחמד אל 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573CE"/>
    <w:multiLevelType w:val="hybridMultilevel"/>
    <w:tmpl w:val="18D4DD7A"/>
    <w:lvl w:ilvl="0" w:tplc="79B0E43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27153"/>
    <w:multiLevelType w:val="hybridMultilevel"/>
    <w:tmpl w:val="898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004165">
    <w:abstractNumId w:val="0"/>
  </w:num>
  <w:num w:numId="2" w16cid:durableId="70182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50E9"/>
    <w:rsid w:val="001B5A3B"/>
    <w:rsid w:val="001E5EDC"/>
    <w:rsid w:val="00540443"/>
    <w:rsid w:val="00551A10"/>
    <w:rsid w:val="005B50E9"/>
    <w:rsid w:val="0065344C"/>
    <w:rsid w:val="007663F9"/>
    <w:rsid w:val="00776955"/>
    <w:rsid w:val="00800208"/>
    <w:rsid w:val="009C1883"/>
    <w:rsid w:val="00B72ED7"/>
    <w:rsid w:val="00C0620C"/>
    <w:rsid w:val="00C67A2B"/>
    <w:rsid w:val="00C70F07"/>
    <w:rsid w:val="00D34E95"/>
    <w:rsid w:val="00F86144"/>
    <w:rsid w:val="00FC2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065345"/>
  <w15:chartTrackingRefBased/>
  <w15:docId w15:val="{4837915E-CE7E-49B9-BE9F-5357D180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50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50E9"/>
    <w:pPr>
      <w:tabs>
        <w:tab w:val="center" w:pos="4153"/>
        <w:tab w:val="right" w:pos="8306"/>
      </w:tabs>
    </w:pPr>
  </w:style>
  <w:style w:type="character" w:customStyle="1" w:styleId="a4">
    <w:name w:val="כותרת עליונה תו"/>
    <w:link w:val="a3"/>
    <w:rsid w:val="005B50E9"/>
    <w:rPr>
      <w:rFonts w:ascii="Times New Roman" w:eastAsia="Times New Roman" w:hAnsi="Times New Roman" w:cs="David"/>
      <w:sz w:val="24"/>
      <w:szCs w:val="24"/>
    </w:rPr>
  </w:style>
  <w:style w:type="paragraph" w:styleId="a5">
    <w:name w:val="footer"/>
    <w:basedOn w:val="a"/>
    <w:link w:val="a6"/>
    <w:rsid w:val="005B50E9"/>
    <w:pPr>
      <w:tabs>
        <w:tab w:val="center" w:pos="4153"/>
        <w:tab w:val="right" w:pos="8306"/>
      </w:tabs>
    </w:pPr>
  </w:style>
  <w:style w:type="character" w:customStyle="1" w:styleId="a6">
    <w:name w:val="כותרת תחתונה תו"/>
    <w:link w:val="a5"/>
    <w:rsid w:val="005B50E9"/>
    <w:rPr>
      <w:rFonts w:ascii="Times New Roman" w:eastAsia="Times New Roman" w:hAnsi="Times New Roman" w:cs="David"/>
      <w:sz w:val="24"/>
      <w:szCs w:val="24"/>
    </w:rPr>
  </w:style>
  <w:style w:type="table" w:styleId="a7">
    <w:name w:val="Table Grid"/>
    <w:basedOn w:val="a1"/>
    <w:rsid w:val="005B50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50E9"/>
    <w:rPr>
      <w:noProof w:val="0"/>
    </w:rPr>
  </w:style>
  <w:style w:type="paragraph" w:styleId="a9">
    <w:name w:val="List Paragraph"/>
    <w:basedOn w:val="a"/>
    <w:qFormat/>
    <w:rsid w:val="005B50E9"/>
    <w:pPr>
      <w:ind w:left="720"/>
      <w:contextualSpacing/>
    </w:pPr>
  </w:style>
  <w:style w:type="character" w:styleId="aa">
    <w:name w:val="line number"/>
    <w:rsid w:val="005B50E9"/>
  </w:style>
  <w:style w:type="character" w:styleId="Hyperlink">
    <w:name w:val="Hyperlink"/>
    <w:rsid w:val="009C1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5623200" TargetMode="External"/><Relationship Id="rId39" Type="http://schemas.openxmlformats.org/officeDocument/2006/relationships/header" Target="header1.xml"/><Relationship Id="rId21" Type="http://schemas.openxmlformats.org/officeDocument/2006/relationships/hyperlink" Target="http://www.nevo.co.il/case/22607175"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case/26478630"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case/2358844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 TargetMode="External"/><Relationship Id="rId37" Type="http://schemas.openxmlformats.org/officeDocument/2006/relationships/hyperlink" Target="http://www.nevo.co.il/law/70301/18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1303448"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case/2156748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5923515" TargetMode="External"/><Relationship Id="rId30" Type="http://schemas.openxmlformats.org/officeDocument/2006/relationships/hyperlink" Target="http://www.nevo.co.il/case/25526059" TargetMode="External"/><Relationship Id="rId35" Type="http://schemas.openxmlformats.org/officeDocument/2006/relationships/hyperlink" Target="http://www.nevo.co.il/law/70301/144"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86"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2909</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17423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3670135</vt:i4>
      </vt:variant>
      <vt:variant>
        <vt:i4>72</vt:i4>
      </vt:variant>
      <vt:variant>
        <vt:i4>0</vt:i4>
      </vt:variant>
      <vt:variant>
        <vt:i4>5</vt:i4>
      </vt:variant>
      <vt:variant>
        <vt:lpwstr>http://www.nevo.co.il/case/21567481</vt:lpwstr>
      </vt:variant>
      <vt:variant>
        <vt:lpwstr/>
      </vt:variant>
      <vt:variant>
        <vt:i4>3407987</vt:i4>
      </vt:variant>
      <vt:variant>
        <vt:i4>69</vt:i4>
      </vt:variant>
      <vt:variant>
        <vt:i4>0</vt:i4>
      </vt:variant>
      <vt:variant>
        <vt:i4>5</vt:i4>
      </vt:variant>
      <vt:variant>
        <vt:lpwstr>http://www.nevo.co.il/case/25526059</vt:lpwstr>
      </vt:variant>
      <vt:variant>
        <vt:lpwstr/>
      </vt:variant>
      <vt:variant>
        <vt:i4>3866747</vt:i4>
      </vt:variant>
      <vt:variant>
        <vt:i4>66</vt:i4>
      </vt:variant>
      <vt:variant>
        <vt:i4>0</vt:i4>
      </vt:variant>
      <vt:variant>
        <vt:i4>5</vt:i4>
      </vt:variant>
      <vt:variant>
        <vt:lpwstr>http://www.nevo.co.il/case/23588441</vt:lpwstr>
      </vt:variant>
      <vt:variant>
        <vt:lpwstr/>
      </vt:variant>
      <vt:variant>
        <vt:i4>3539057</vt:i4>
      </vt:variant>
      <vt:variant>
        <vt:i4>63</vt:i4>
      </vt:variant>
      <vt:variant>
        <vt:i4>0</vt:i4>
      </vt:variant>
      <vt:variant>
        <vt:i4>5</vt:i4>
      </vt:variant>
      <vt:variant>
        <vt:lpwstr>http://www.nevo.co.il/case/21303448</vt:lpwstr>
      </vt:variant>
      <vt:variant>
        <vt:lpwstr/>
      </vt:variant>
      <vt:variant>
        <vt:i4>3735670</vt:i4>
      </vt:variant>
      <vt:variant>
        <vt:i4>60</vt:i4>
      </vt:variant>
      <vt:variant>
        <vt:i4>0</vt:i4>
      </vt:variant>
      <vt:variant>
        <vt:i4>5</vt:i4>
      </vt:variant>
      <vt:variant>
        <vt:lpwstr>http://www.nevo.co.il/case/25923515</vt:lpwstr>
      </vt:variant>
      <vt:variant>
        <vt:lpwstr/>
      </vt:variant>
      <vt:variant>
        <vt:i4>3604593</vt:i4>
      </vt:variant>
      <vt:variant>
        <vt:i4>57</vt:i4>
      </vt:variant>
      <vt:variant>
        <vt:i4>0</vt:i4>
      </vt:variant>
      <vt:variant>
        <vt:i4>5</vt:i4>
      </vt:variant>
      <vt:variant>
        <vt:lpwstr>http://www.nevo.co.il/case/25623200</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3997811</vt:i4>
      </vt:variant>
      <vt:variant>
        <vt:i4>0</vt:i4>
      </vt:variant>
      <vt:variant>
        <vt:i4>0</vt:i4>
      </vt:variant>
      <vt:variant>
        <vt:i4>5</vt:i4>
      </vt:variant>
      <vt:variant>
        <vt:lpwstr>http://www.nevo.co.il/case/26478630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52091</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דהן בן מחמד אל אעסם</vt:lpwstr>
  </property>
  <property fmtid="{D5CDD505-2E9C-101B-9397-08002B2CF9AE}" pid="10" name="LAWYER">
    <vt:lpwstr>סמיר אבו עאבד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20210315</vt:lpwstr>
  </property>
  <property fmtid="{D5CDD505-2E9C-101B-9397-08002B2CF9AE}" pid="14" name="TYPE_N_DATE">
    <vt:lpwstr>38020210315</vt:lpwstr>
  </property>
  <property fmtid="{D5CDD505-2E9C-101B-9397-08002B2CF9AE}" pid="15" name="WORDNUMPAGES">
    <vt:lpwstr>10</vt:lpwstr>
  </property>
  <property fmtid="{D5CDD505-2E9C-101B-9397-08002B2CF9AE}" pid="16" name="TYPE_ABS_DATE">
    <vt:lpwstr>380020210315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26478630;16913730;7791493:2;5852404;6000182;22112345;22001830;22607175;21778276;25623200;25923515;21303448;23588441;25526059;21567481</vt:lpwstr>
  </property>
  <property fmtid="{D5CDD505-2E9C-101B-9397-08002B2CF9AE}" pid="36" name="LAWLISTTMP1">
    <vt:lpwstr>70301/144.a;144.b;144:3;186</vt:lpwstr>
  </property>
</Properties>
</file>