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22352" w14:textId="77777777" w:rsidR="002645F0" w:rsidRDefault="002645F0">
      <w:pPr>
        <w:pStyle w:val="a3"/>
        <w:rPr>
          <w:rtl/>
        </w:rPr>
      </w:pPr>
      <w:bookmarkStart w:id="0" w:name="LastJudge"/>
    </w:p>
    <w:p w14:paraId="1951B1DF" w14:textId="77777777" w:rsidR="002645F0" w:rsidRDefault="002645F0">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5"/>
        <w:gridCol w:w="4531"/>
        <w:gridCol w:w="992"/>
        <w:gridCol w:w="2234"/>
      </w:tblGrid>
      <w:tr w:rsidR="002645F0" w14:paraId="13000DC4"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6E216A83" w14:textId="77777777" w:rsidR="002645F0" w:rsidRDefault="002645F0">
            <w:pPr>
              <w:spacing w:line="240" w:lineRule="auto"/>
              <w:jc w:val="center"/>
              <w:rPr>
                <w:b/>
                <w:bCs/>
                <w:spacing w:val="110"/>
                <w:sz w:val="40"/>
                <w:szCs w:val="40"/>
              </w:rPr>
            </w:pPr>
          </w:p>
        </w:tc>
      </w:tr>
      <w:tr w:rsidR="002645F0" w14:paraId="7A17D4D7" w14:textId="77777777">
        <w:trPr>
          <w:cantSplit/>
          <w:trHeight w:val="195"/>
        </w:trPr>
        <w:tc>
          <w:tcPr>
            <w:tcW w:w="5302" w:type="dxa"/>
            <w:gridSpan w:val="2"/>
            <w:vMerge w:val="restart"/>
            <w:tcBorders>
              <w:top w:val="single" w:sz="4" w:space="0" w:color="auto"/>
              <w:left w:val="single" w:sz="4" w:space="0" w:color="auto"/>
              <w:bottom w:val="single" w:sz="4" w:space="0" w:color="auto"/>
              <w:right w:val="single" w:sz="4" w:space="0" w:color="auto"/>
            </w:tcBorders>
          </w:tcPr>
          <w:p w14:paraId="041CDA85" w14:textId="77777777" w:rsidR="002645F0" w:rsidRDefault="002645F0">
            <w:pPr>
              <w:rPr>
                <w:b/>
                <w:bCs/>
                <w:sz w:val="24"/>
                <w:szCs w:val="24"/>
              </w:rPr>
            </w:pPr>
            <w:r>
              <w:rPr>
                <w:rFonts w:hint="cs"/>
                <w:b/>
                <w:bCs/>
                <w:sz w:val="24"/>
                <w:szCs w:val="24"/>
                <w:rtl/>
              </w:rPr>
              <w:t>בית משפט מחוזי חיפה</w:t>
            </w:r>
          </w:p>
        </w:tc>
        <w:tc>
          <w:tcPr>
            <w:tcW w:w="3227" w:type="dxa"/>
            <w:gridSpan w:val="2"/>
            <w:tcBorders>
              <w:top w:val="single" w:sz="4" w:space="0" w:color="auto"/>
              <w:left w:val="single" w:sz="4" w:space="0" w:color="auto"/>
              <w:bottom w:val="single" w:sz="4" w:space="0" w:color="auto"/>
              <w:right w:val="single" w:sz="4" w:space="0" w:color="auto"/>
            </w:tcBorders>
          </w:tcPr>
          <w:p w14:paraId="61F7CA46" w14:textId="77777777" w:rsidR="002645F0" w:rsidRDefault="002645F0">
            <w:pPr>
              <w:rPr>
                <w:b/>
                <w:bCs/>
                <w:sz w:val="24"/>
                <w:szCs w:val="24"/>
              </w:rPr>
            </w:pPr>
            <w:r>
              <w:rPr>
                <w:rFonts w:hint="cs"/>
                <w:b/>
                <w:bCs/>
                <w:sz w:val="24"/>
                <w:szCs w:val="24"/>
                <w:rtl/>
              </w:rPr>
              <w:t>פ  005127/06</w:t>
            </w:r>
          </w:p>
        </w:tc>
      </w:tr>
      <w:tr w:rsidR="002645F0" w14:paraId="6EF9CC61"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F4D2E25" w14:textId="77777777" w:rsidR="002645F0" w:rsidRDefault="002645F0">
            <w:pPr>
              <w:bidi w:val="0"/>
              <w:spacing w:line="240" w:lineRule="auto"/>
              <w:jc w:val="left"/>
              <w:rPr>
                <w:b/>
                <w:bCs/>
                <w:sz w:val="24"/>
                <w:szCs w:val="24"/>
              </w:rPr>
            </w:pPr>
          </w:p>
        </w:tc>
        <w:tc>
          <w:tcPr>
            <w:tcW w:w="3227" w:type="dxa"/>
            <w:gridSpan w:val="2"/>
            <w:tcBorders>
              <w:top w:val="single" w:sz="4" w:space="0" w:color="auto"/>
              <w:left w:val="single" w:sz="4" w:space="0" w:color="auto"/>
              <w:bottom w:val="single" w:sz="4" w:space="0" w:color="auto"/>
              <w:right w:val="single" w:sz="4" w:space="0" w:color="auto"/>
            </w:tcBorders>
          </w:tcPr>
          <w:p w14:paraId="4EF02CF7" w14:textId="77777777" w:rsidR="002645F0" w:rsidRDefault="002645F0">
            <w:pPr>
              <w:rPr>
                <w:b/>
                <w:bCs/>
                <w:sz w:val="24"/>
                <w:szCs w:val="24"/>
              </w:rPr>
            </w:pPr>
          </w:p>
        </w:tc>
      </w:tr>
      <w:tr w:rsidR="002645F0" w14:paraId="4C202136"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00229E7A" w14:textId="77777777" w:rsidR="002645F0" w:rsidRDefault="002645F0">
            <w:pPr>
              <w:rPr>
                <w:b/>
                <w:bCs/>
                <w:sz w:val="24"/>
                <w:szCs w:val="24"/>
              </w:rPr>
            </w:pPr>
            <w:r>
              <w:rPr>
                <w:rFonts w:hint="cs"/>
                <w:b/>
                <w:bCs/>
                <w:sz w:val="24"/>
                <w:szCs w:val="24"/>
                <w:rtl/>
              </w:rPr>
              <w:t>בפני:</w:t>
            </w:r>
          </w:p>
        </w:tc>
        <w:tc>
          <w:tcPr>
            <w:tcW w:w="4536" w:type="dxa"/>
            <w:tcBorders>
              <w:top w:val="single" w:sz="4" w:space="0" w:color="auto"/>
              <w:left w:val="single" w:sz="4" w:space="0" w:color="auto"/>
              <w:bottom w:val="single" w:sz="4" w:space="0" w:color="auto"/>
              <w:right w:val="single" w:sz="4" w:space="0" w:color="auto"/>
            </w:tcBorders>
          </w:tcPr>
          <w:p w14:paraId="4B265DE6" w14:textId="77777777" w:rsidR="002645F0" w:rsidRDefault="002645F0">
            <w:pPr>
              <w:rPr>
                <w:b/>
                <w:bCs/>
                <w:sz w:val="24"/>
                <w:szCs w:val="24"/>
              </w:rPr>
            </w:pPr>
            <w:r>
              <w:rPr>
                <w:rFonts w:hint="cs"/>
                <w:b/>
                <w:bCs/>
                <w:sz w:val="24"/>
                <w:szCs w:val="24"/>
                <w:rtl/>
              </w:rPr>
              <w:t>כב' השופט ר. שפירא</w:t>
            </w:r>
          </w:p>
        </w:tc>
        <w:tc>
          <w:tcPr>
            <w:tcW w:w="99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9ED2783" w14:textId="77777777" w:rsidR="002645F0" w:rsidRDefault="002645F0">
            <w:pPr>
              <w:rPr>
                <w:b/>
                <w:bCs/>
                <w:sz w:val="24"/>
                <w:szCs w:val="24"/>
              </w:rPr>
            </w:pPr>
            <w:r>
              <w:rPr>
                <w:rFonts w:hint="cs"/>
                <w:b/>
                <w:bCs/>
                <w:sz w:val="24"/>
                <w:szCs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3A117E1E" w14:textId="77777777" w:rsidR="002645F0" w:rsidRDefault="002645F0">
            <w:pPr>
              <w:rPr>
                <w:b/>
                <w:bCs/>
                <w:sz w:val="24"/>
                <w:szCs w:val="24"/>
              </w:rPr>
            </w:pPr>
            <w:r>
              <w:rPr>
                <w:rFonts w:hint="cs"/>
                <w:b/>
                <w:bCs/>
                <w:sz w:val="24"/>
                <w:szCs w:val="24"/>
                <w:rtl/>
              </w:rPr>
              <w:t>10/07/2006</w:t>
            </w:r>
          </w:p>
        </w:tc>
      </w:tr>
    </w:tbl>
    <w:p w14:paraId="07A6E611" w14:textId="77777777" w:rsidR="002645F0" w:rsidRDefault="002645F0">
      <w:pPr>
        <w:rPr>
          <w:rFonts w:hint="cs"/>
          <w:szCs w:val="22"/>
          <w:rtl/>
        </w:rPr>
      </w:pPr>
    </w:p>
    <w:p w14:paraId="28D4DEA9" w14:textId="77777777" w:rsidR="002645F0" w:rsidRDefault="002645F0">
      <w:pPr>
        <w:rPr>
          <w:rFonts w:hint="cs"/>
          <w:b/>
          <w:bCs/>
          <w:sz w:val="28"/>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4820"/>
        <w:gridCol w:w="2409"/>
      </w:tblGrid>
      <w:tr w:rsidR="002645F0" w14:paraId="25CD5DE0" w14:textId="77777777">
        <w:tc>
          <w:tcPr>
            <w:tcW w:w="1362" w:type="dxa"/>
          </w:tcPr>
          <w:p w14:paraId="096ED3FD" w14:textId="77777777" w:rsidR="002645F0" w:rsidRDefault="002645F0">
            <w:pPr>
              <w:rPr>
                <w:b/>
                <w:bCs/>
                <w:sz w:val="28"/>
              </w:rPr>
            </w:pPr>
            <w:bookmarkStart w:id="1" w:name="FirstAppellant"/>
            <w:r>
              <w:rPr>
                <w:rFonts w:hint="cs"/>
                <w:b/>
                <w:bCs/>
                <w:sz w:val="28"/>
                <w:rtl/>
              </w:rPr>
              <w:t>-בעניין:</w:t>
            </w:r>
          </w:p>
        </w:tc>
        <w:tc>
          <w:tcPr>
            <w:tcW w:w="4820" w:type="dxa"/>
          </w:tcPr>
          <w:p w14:paraId="7BC7352C" w14:textId="77777777" w:rsidR="002645F0" w:rsidRDefault="002645F0">
            <w:pPr>
              <w:rPr>
                <w:b/>
                <w:bCs/>
                <w:sz w:val="28"/>
              </w:rPr>
            </w:pPr>
            <w:r>
              <w:rPr>
                <w:rFonts w:hint="cs"/>
                <w:b/>
                <w:bCs/>
                <w:sz w:val="28"/>
                <w:rtl/>
              </w:rPr>
              <w:t>מדינת ישראל</w:t>
            </w:r>
          </w:p>
        </w:tc>
        <w:tc>
          <w:tcPr>
            <w:tcW w:w="2409" w:type="dxa"/>
          </w:tcPr>
          <w:p w14:paraId="244FD5E4" w14:textId="77777777" w:rsidR="002645F0" w:rsidRDefault="002645F0">
            <w:pPr>
              <w:pStyle w:val="5"/>
              <w:rPr>
                <w:sz w:val="28"/>
                <w:u w:val="none"/>
              </w:rPr>
            </w:pPr>
            <w:r>
              <w:rPr>
                <w:rFonts w:hint="cs"/>
                <w:sz w:val="28"/>
                <w:u w:val="none"/>
                <w:rtl/>
              </w:rPr>
              <w:t>המאשימה</w:t>
            </w:r>
          </w:p>
        </w:tc>
      </w:tr>
      <w:bookmarkEnd w:id="1"/>
      <w:tr w:rsidR="002645F0" w14:paraId="02749DEF" w14:textId="77777777">
        <w:tc>
          <w:tcPr>
            <w:tcW w:w="1362" w:type="dxa"/>
          </w:tcPr>
          <w:p w14:paraId="5297303E" w14:textId="77777777" w:rsidR="002645F0" w:rsidRDefault="002645F0">
            <w:pPr>
              <w:rPr>
                <w:b/>
                <w:bCs/>
                <w:sz w:val="28"/>
              </w:rPr>
            </w:pPr>
          </w:p>
        </w:tc>
        <w:tc>
          <w:tcPr>
            <w:tcW w:w="4820" w:type="dxa"/>
          </w:tcPr>
          <w:p w14:paraId="0D229A83" w14:textId="77777777" w:rsidR="002645F0" w:rsidRDefault="002645F0">
            <w:pPr>
              <w:jc w:val="center"/>
              <w:rPr>
                <w:b/>
                <w:bCs/>
                <w:sz w:val="28"/>
              </w:rPr>
            </w:pPr>
            <w:r>
              <w:rPr>
                <w:rFonts w:hint="cs"/>
                <w:b/>
                <w:bCs/>
                <w:sz w:val="28"/>
                <w:rtl/>
              </w:rPr>
              <w:t>נ  ג  ד</w:t>
            </w:r>
          </w:p>
        </w:tc>
        <w:tc>
          <w:tcPr>
            <w:tcW w:w="2409" w:type="dxa"/>
          </w:tcPr>
          <w:p w14:paraId="038E3ADB" w14:textId="77777777" w:rsidR="002645F0" w:rsidRDefault="002645F0">
            <w:pPr>
              <w:rPr>
                <w:b/>
                <w:bCs/>
                <w:sz w:val="28"/>
              </w:rPr>
            </w:pPr>
          </w:p>
        </w:tc>
      </w:tr>
      <w:tr w:rsidR="002645F0" w14:paraId="2D281A4B" w14:textId="77777777">
        <w:tc>
          <w:tcPr>
            <w:tcW w:w="1362" w:type="dxa"/>
          </w:tcPr>
          <w:p w14:paraId="4EDB7A0B" w14:textId="77777777" w:rsidR="002645F0" w:rsidRDefault="002645F0">
            <w:pPr>
              <w:rPr>
                <w:b/>
                <w:bCs/>
                <w:sz w:val="28"/>
              </w:rPr>
            </w:pPr>
            <w:bookmarkStart w:id="2" w:name="שם_ב" w:colFirst="1" w:colLast="1"/>
          </w:p>
        </w:tc>
        <w:tc>
          <w:tcPr>
            <w:tcW w:w="4820" w:type="dxa"/>
          </w:tcPr>
          <w:p w14:paraId="54E5D5E2" w14:textId="77777777" w:rsidR="002645F0" w:rsidRDefault="002645F0">
            <w:pPr>
              <w:rPr>
                <w:b/>
                <w:bCs/>
                <w:sz w:val="28"/>
              </w:rPr>
            </w:pPr>
            <w:r>
              <w:rPr>
                <w:rFonts w:hint="cs"/>
                <w:b/>
                <w:bCs/>
                <w:sz w:val="28"/>
                <w:rtl/>
              </w:rPr>
              <w:t xml:space="preserve">מיסור בן מחמוד כרכור, ת"ז </w:t>
            </w:r>
            <w:r w:rsidR="00037291">
              <w:rPr>
                <w:b/>
                <w:bCs/>
                <w:sz w:val="28"/>
              </w:rPr>
              <w:t>xxxxxxxxx</w:t>
            </w:r>
          </w:p>
        </w:tc>
        <w:tc>
          <w:tcPr>
            <w:tcW w:w="2409" w:type="dxa"/>
          </w:tcPr>
          <w:p w14:paraId="104B2070" w14:textId="77777777" w:rsidR="002645F0" w:rsidRDefault="002645F0">
            <w:pPr>
              <w:pStyle w:val="4"/>
              <w:rPr>
                <w:sz w:val="28"/>
                <w:u w:val="none"/>
              </w:rPr>
            </w:pPr>
            <w:r>
              <w:rPr>
                <w:rFonts w:hint="cs"/>
                <w:sz w:val="28"/>
                <w:u w:val="none"/>
                <w:rtl/>
              </w:rPr>
              <w:t>הנאשם</w:t>
            </w:r>
          </w:p>
        </w:tc>
      </w:tr>
    </w:tbl>
    <w:p w14:paraId="76856C29" w14:textId="77777777" w:rsidR="007046ED" w:rsidRDefault="007046ED">
      <w:pPr>
        <w:rPr>
          <w:sz w:val="28"/>
          <w:rtl/>
        </w:rPr>
      </w:pPr>
      <w:bookmarkStart w:id="3" w:name="LawTable"/>
      <w:bookmarkEnd w:id="2"/>
      <w:bookmarkEnd w:id="3"/>
    </w:p>
    <w:p w14:paraId="77935495" w14:textId="77777777" w:rsidR="007046ED" w:rsidRPr="007046ED" w:rsidRDefault="007046ED" w:rsidP="007046ED">
      <w:pPr>
        <w:spacing w:after="120" w:line="240" w:lineRule="exact"/>
        <w:ind w:left="283" w:hanging="283"/>
        <w:rPr>
          <w:rFonts w:ascii="FrankRuehl" w:hAnsi="FrankRuehl" w:cs="FrankRuehl"/>
          <w:sz w:val="24"/>
          <w:szCs w:val="24"/>
          <w:rtl/>
        </w:rPr>
      </w:pPr>
    </w:p>
    <w:p w14:paraId="6A20C359" w14:textId="77777777" w:rsidR="007046ED" w:rsidRPr="007046ED" w:rsidRDefault="007046ED" w:rsidP="007046ED">
      <w:pPr>
        <w:spacing w:after="120" w:line="240" w:lineRule="exact"/>
        <w:ind w:left="283" w:hanging="283"/>
        <w:rPr>
          <w:rFonts w:ascii="FrankRuehl" w:hAnsi="FrankRuehl" w:cs="FrankRuehl"/>
          <w:sz w:val="24"/>
          <w:szCs w:val="24"/>
          <w:rtl/>
        </w:rPr>
      </w:pPr>
      <w:r w:rsidRPr="007046ED">
        <w:rPr>
          <w:rFonts w:ascii="FrankRuehl" w:hAnsi="FrankRuehl" w:cs="FrankRuehl"/>
          <w:sz w:val="24"/>
          <w:szCs w:val="24"/>
          <w:rtl/>
        </w:rPr>
        <w:t xml:space="preserve">חקיקה שאוזכרה: </w:t>
      </w:r>
    </w:p>
    <w:p w14:paraId="05F32AD7" w14:textId="77777777" w:rsidR="007046ED" w:rsidRPr="007046ED" w:rsidRDefault="007046ED" w:rsidP="007046ED">
      <w:pPr>
        <w:spacing w:after="120" w:line="240" w:lineRule="exact"/>
        <w:ind w:left="283" w:hanging="283"/>
        <w:rPr>
          <w:rFonts w:ascii="FrankRuehl" w:hAnsi="FrankRuehl" w:cs="FrankRuehl"/>
          <w:sz w:val="24"/>
          <w:szCs w:val="24"/>
          <w:rtl/>
        </w:rPr>
      </w:pPr>
      <w:hyperlink r:id="rId6" w:history="1">
        <w:r w:rsidRPr="007046ED">
          <w:rPr>
            <w:rFonts w:ascii="FrankRuehl" w:hAnsi="FrankRuehl" w:cs="FrankRuehl"/>
            <w:color w:val="0000FF"/>
            <w:sz w:val="24"/>
            <w:szCs w:val="24"/>
            <w:u w:val="single"/>
            <w:rtl/>
          </w:rPr>
          <w:t>חוק העונשין, תשל"ז-1977</w:t>
        </w:r>
      </w:hyperlink>
      <w:r w:rsidRPr="007046ED">
        <w:rPr>
          <w:rFonts w:ascii="FrankRuehl" w:hAnsi="FrankRuehl" w:cs="FrankRuehl"/>
          <w:sz w:val="24"/>
          <w:szCs w:val="24"/>
          <w:rtl/>
        </w:rPr>
        <w:t xml:space="preserve">: סע'  </w:t>
      </w:r>
      <w:hyperlink r:id="rId7" w:history="1">
        <w:r w:rsidRPr="007046ED">
          <w:rPr>
            <w:rFonts w:ascii="FrankRuehl" w:hAnsi="FrankRuehl" w:cs="FrankRuehl"/>
            <w:color w:val="0000FF"/>
            <w:sz w:val="24"/>
            <w:szCs w:val="24"/>
            <w:u w:val="single"/>
            <w:rtl/>
          </w:rPr>
          <w:t>144(א)</w:t>
        </w:r>
      </w:hyperlink>
      <w:r w:rsidRPr="007046ED">
        <w:rPr>
          <w:rFonts w:ascii="FrankRuehl" w:hAnsi="FrankRuehl" w:cs="FrankRuehl"/>
          <w:sz w:val="24"/>
          <w:szCs w:val="24"/>
          <w:rtl/>
        </w:rPr>
        <w:t xml:space="preserve">, </w:t>
      </w:r>
      <w:hyperlink r:id="rId8" w:history="1">
        <w:r w:rsidRPr="007046ED">
          <w:rPr>
            <w:rFonts w:ascii="FrankRuehl" w:hAnsi="FrankRuehl" w:cs="FrankRuehl"/>
            <w:color w:val="0000FF"/>
            <w:sz w:val="24"/>
            <w:szCs w:val="24"/>
            <w:u w:val="single"/>
            <w:rtl/>
          </w:rPr>
          <w:t>413</w:t>
        </w:r>
      </w:hyperlink>
    </w:p>
    <w:p w14:paraId="5CBF3718" w14:textId="77777777" w:rsidR="007046ED" w:rsidRPr="007046ED" w:rsidRDefault="007046ED" w:rsidP="007046ED">
      <w:pPr>
        <w:spacing w:after="120" w:line="240" w:lineRule="exact"/>
        <w:ind w:left="283" w:hanging="283"/>
        <w:rPr>
          <w:rFonts w:ascii="FrankRuehl" w:hAnsi="FrankRuehl" w:cs="FrankRuehl"/>
          <w:sz w:val="24"/>
          <w:szCs w:val="24"/>
          <w:rtl/>
        </w:rPr>
      </w:pPr>
    </w:p>
    <w:p w14:paraId="2EB18E61" w14:textId="77777777" w:rsidR="007046ED" w:rsidRPr="007046ED" w:rsidRDefault="007046ED">
      <w:pPr>
        <w:rPr>
          <w:sz w:val="28"/>
          <w:rtl/>
        </w:rPr>
      </w:pPr>
      <w:bookmarkStart w:id="4" w:name="LawTable_End"/>
      <w:bookmarkEnd w:id="4"/>
    </w:p>
    <w:p w14:paraId="6CAFDFF9" w14:textId="77777777" w:rsidR="007046ED" w:rsidRPr="007046ED" w:rsidRDefault="007046ED">
      <w:pPr>
        <w:rPr>
          <w:sz w:val="28"/>
          <w:rtl/>
        </w:rPr>
      </w:pPr>
    </w:p>
    <w:p w14:paraId="32305143" w14:textId="77777777" w:rsidR="007046ED" w:rsidRPr="007046ED" w:rsidRDefault="007046ED">
      <w:pPr>
        <w:rPr>
          <w:b/>
          <w:bCs/>
          <w:sz w:val="28"/>
          <w:rtl/>
        </w:rPr>
      </w:pPr>
    </w:p>
    <w:p w14:paraId="02AA5049" w14:textId="77777777" w:rsidR="002645F0" w:rsidRPr="007046ED" w:rsidRDefault="002645F0">
      <w:pPr>
        <w:rPr>
          <w:rFonts w:hint="cs"/>
          <w:b/>
          <w:bCs/>
          <w:sz w:val="28"/>
          <w:rtl/>
        </w:rPr>
      </w:pPr>
    </w:p>
    <w:p w14:paraId="5AD6A4EF" w14:textId="77777777" w:rsidR="00037291" w:rsidRPr="00037291" w:rsidRDefault="00037291">
      <w:pPr>
        <w:jc w:val="center"/>
        <w:rPr>
          <w:sz w:val="28"/>
          <w:rtl/>
        </w:rPr>
      </w:pPr>
      <w:bookmarkStart w:id="5" w:name="סוג_מסמך"/>
    </w:p>
    <w:p w14:paraId="7782494D" w14:textId="77777777" w:rsidR="00037291" w:rsidRPr="00037291" w:rsidRDefault="00037291">
      <w:pPr>
        <w:jc w:val="center"/>
        <w:rPr>
          <w:b/>
          <w:bCs/>
          <w:sz w:val="28"/>
          <w:rtl/>
        </w:rPr>
      </w:pPr>
    </w:p>
    <w:p w14:paraId="5C431611" w14:textId="77777777" w:rsidR="002645F0" w:rsidRPr="00037291" w:rsidRDefault="002645F0">
      <w:pPr>
        <w:jc w:val="center"/>
        <w:rPr>
          <w:b/>
          <w:bCs/>
          <w:sz w:val="28"/>
          <w:rtl/>
        </w:rPr>
      </w:pPr>
    </w:p>
    <w:p w14:paraId="14B27733" w14:textId="77777777" w:rsidR="002645F0" w:rsidRDefault="002645F0">
      <w:pPr>
        <w:jc w:val="center"/>
        <w:rPr>
          <w:b/>
          <w:bCs/>
          <w:sz w:val="28"/>
          <w:u w:val="single"/>
          <w:rtl/>
        </w:rPr>
      </w:pPr>
      <w:bookmarkStart w:id="6" w:name="PsakDin"/>
      <w:bookmarkEnd w:id="0"/>
      <w:r>
        <w:rPr>
          <w:b/>
          <w:bCs/>
          <w:sz w:val="28"/>
          <w:u w:val="single"/>
          <w:rtl/>
        </w:rPr>
        <w:t>גזר דין</w:t>
      </w:r>
    </w:p>
    <w:bookmarkEnd w:id="6"/>
    <w:p w14:paraId="1D939E05" w14:textId="77777777" w:rsidR="002645F0" w:rsidRDefault="002645F0">
      <w:pPr>
        <w:jc w:val="center"/>
        <w:rPr>
          <w:rFonts w:hint="cs"/>
          <w:b/>
          <w:bCs/>
          <w:sz w:val="28"/>
          <w:u w:val="single"/>
          <w:rtl/>
        </w:rPr>
      </w:pPr>
    </w:p>
    <w:p w14:paraId="4321EC06" w14:textId="77777777" w:rsidR="002645F0" w:rsidRDefault="002645F0">
      <w:pPr>
        <w:ind w:left="720" w:hanging="720"/>
        <w:rPr>
          <w:rFonts w:hint="cs"/>
          <w:b/>
          <w:bCs/>
          <w:sz w:val="28"/>
          <w:rtl/>
        </w:rPr>
      </w:pPr>
      <w:r>
        <w:rPr>
          <w:rFonts w:hint="cs"/>
          <w:b/>
          <w:bCs/>
          <w:sz w:val="28"/>
          <w:rtl/>
        </w:rPr>
        <w:t>1.</w:t>
      </w:r>
      <w:r>
        <w:rPr>
          <w:rFonts w:hint="cs"/>
          <w:sz w:val="28"/>
          <w:rtl/>
        </w:rPr>
        <w:tab/>
      </w:r>
      <w:r>
        <w:rPr>
          <w:rFonts w:hint="cs"/>
          <w:b/>
          <w:bCs/>
          <w:sz w:val="28"/>
          <w:u w:val="single"/>
          <w:rtl/>
        </w:rPr>
        <w:t>העבירות בהן הורשע הנאשם:</w:t>
      </w:r>
      <w:r>
        <w:rPr>
          <w:rFonts w:hint="cs"/>
          <w:b/>
          <w:bCs/>
          <w:sz w:val="28"/>
          <w:rtl/>
        </w:rPr>
        <w:t xml:space="preserve"> </w:t>
      </w:r>
    </w:p>
    <w:p w14:paraId="07688397" w14:textId="77777777" w:rsidR="002645F0" w:rsidRDefault="002645F0">
      <w:pPr>
        <w:ind w:left="720" w:hanging="720"/>
        <w:rPr>
          <w:rFonts w:hint="cs"/>
          <w:b/>
          <w:bCs/>
          <w:sz w:val="28"/>
          <w:rtl/>
        </w:rPr>
      </w:pPr>
    </w:p>
    <w:p w14:paraId="4F8CF06D" w14:textId="77777777" w:rsidR="002645F0" w:rsidRDefault="002645F0">
      <w:pPr>
        <w:ind w:left="720"/>
        <w:rPr>
          <w:rFonts w:hint="cs"/>
          <w:sz w:val="28"/>
          <w:rtl/>
        </w:rPr>
      </w:pPr>
      <w:bookmarkStart w:id="7" w:name="ABSTRACT_START"/>
      <w:bookmarkEnd w:id="7"/>
      <w:r>
        <w:rPr>
          <w:rFonts w:hint="cs"/>
          <w:sz w:val="28"/>
          <w:rtl/>
        </w:rPr>
        <w:t xml:space="preserve">הנאשם הורשע על פי הודאתו בעבירה של החזקת נשק, עבירה לפי </w:t>
      </w:r>
      <w:hyperlink r:id="rId9" w:history="1">
        <w:r w:rsidR="007046ED" w:rsidRPr="007046ED">
          <w:rPr>
            <w:color w:val="0000FF"/>
            <w:sz w:val="28"/>
            <w:u w:val="single"/>
            <w:rtl/>
          </w:rPr>
          <w:t>סעיף 144(א)</w:t>
        </w:r>
      </w:hyperlink>
      <w:r>
        <w:rPr>
          <w:rFonts w:hint="cs"/>
          <w:sz w:val="28"/>
          <w:rtl/>
        </w:rPr>
        <w:t xml:space="preserve"> רישא ל</w:t>
      </w:r>
      <w:hyperlink r:id="rId10" w:history="1">
        <w:r w:rsidR="00037291" w:rsidRPr="00037291">
          <w:rPr>
            <w:rStyle w:val="Hyperlink"/>
            <w:rFonts w:hint="eastAsia"/>
            <w:sz w:val="28"/>
            <w:rtl/>
          </w:rPr>
          <w:t>חוק</w:t>
        </w:r>
        <w:r w:rsidR="00037291" w:rsidRPr="00037291">
          <w:rPr>
            <w:rStyle w:val="Hyperlink"/>
            <w:sz w:val="28"/>
            <w:rtl/>
          </w:rPr>
          <w:t xml:space="preserve"> העונשין</w:t>
        </w:r>
      </w:hyperlink>
      <w:r>
        <w:rPr>
          <w:rFonts w:hint="cs"/>
          <w:sz w:val="28"/>
          <w:rtl/>
        </w:rPr>
        <w:t>, בעבירה של החזקת נכס חשוד כגנוב</w:t>
      </w:r>
      <w:bookmarkStart w:id="8" w:name="ABSTRACT_END"/>
      <w:bookmarkEnd w:id="8"/>
      <w:r>
        <w:rPr>
          <w:rFonts w:hint="cs"/>
          <w:sz w:val="28"/>
          <w:rtl/>
        </w:rPr>
        <w:t xml:space="preserve">, עבירה לפי </w:t>
      </w:r>
      <w:hyperlink r:id="rId11" w:history="1">
        <w:r w:rsidR="007046ED" w:rsidRPr="007046ED">
          <w:rPr>
            <w:color w:val="0000FF"/>
            <w:sz w:val="28"/>
            <w:u w:val="single"/>
            <w:rtl/>
          </w:rPr>
          <w:t>סעיף 413</w:t>
        </w:r>
      </w:hyperlink>
      <w:r>
        <w:rPr>
          <w:rFonts w:hint="cs"/>
          <w:sz w:val="28"/>
          <w:rtl/>
        </w:rPr>
        <w:t xml:space="preserve"> לחוק העונשין. על פי עובדות כתב האישום הגיע הנאשם לחוף הים בג'אסר א זרקא, כשברשותו אקדח ותחמושת. מדובר באקדח שנגנב מבית בראשון-לציון. הנאשם נסע עם הנשק הנ"ל לבקא אל גרביה תוך שהוא מסתיר אתה נזק ברכב של האדם שהסיעו, ובדרך נעצר והנשק נתפס. </w:t>
      </w:r>
    </w:p>
    <w:p w14:paraId="6CF064C1" w14:textId="77777777" w:rsidR="002645F0" w:rsidRDefault="002645F0">
      <w:pPr>
        <w:rPr>
          <w:rFonts w:hint="cs"/>
          <w:sz w:val="28"/>
          <w:rtl/>
        </w:rPr>
      </w:pPr>
    </w:p>
    <w:p w14:paraId="5D56342D" w14:textId="77777777" w:rsidR="002645F0" w:rsidRDefault="002645F0">
      <w:pPr>
        <w:ind w:left="720"/>
        <w:rPr>
          <w:rFonts w:hint="cs"/>
          <w:sz w:val="28"/>
          <w:rtl/>
        </w:rPr>
      </w:pPr>
      <w:r>
        <w:rPr>
          <w:rFonts w:hint="cs"/>
          <w:sz w:val="28"/>
          <w:rtl/>
        </w:rPr>
        <w:t xml:space="preserve">כאמור, הודה הנאשם והורשע בעובדות כתב האישום, זאת לאחר שתוקן כתב האישום, הכל בישיבה הראשונה ובמסגרת הסדר, אשר לא כלל הסכמה לעניין ענישה. </w:t>
      </w:r>
    </w:p>
    <w:p w14:paraId="4F1C8A1F" w14:textId="77777777" w:rsidR="002645F0" w:rsidRDefault="002645F0">
      <w:pPr>
        <w:ind w:left="720" w:hanging="720"/>
        <w:rPr>
          <w:rFonts w:hint="cs"/>
          <w:sz w:val="28"/>
          <w:rtl/>
        </w:rPr>
      </w:pPr>
      <w:r>
        <w:rPr>
          <w:rFonts w:hint="cs"/>
          <w:sz w:val="28"/>
          <w:rtl/>
        </w:rPr>
        <w:tab/>
      </w:r>
    </w:p>
    <w:p w14:paraId="14EBB70F" w14:textId="77777777" w:rsidR="002645F0" w:rsidRDefault="002645F0">
      <w:pPr>
        <w:pStyle w:val="10"/>
        <w:spacing w:line="360" w:lineRule="auto"/>
        <w:ind w:left="720" w:hanging="720"/>
        <w:jc w:val="both"/>
        <w:rPr>
          <w:rFonts w:hint="cs"/>
          <w:b/>
          <w:bCs/>
          <w:sz w:val="28"/>
          <w:szCs w:val="28"/>
          <w:u w:val="single"/>
          <w:rtl/>
        </w:rPr>
      </w:pPr>
      <w:r>
        <w:rPr>
          <w:rFonts w:hint="cs"/>
          <w:b/>
          <w:bCs/>
          <w:sz w:val="28"/>
          <w:szCs w:val="28"/>
          <w:rtl/>
        </w:rPr>
        <w:t>2.</w:t>
      </w:r>
      <w:r>
        <w:rPr>
          <w:rFonts w:hint="cs"/>
          <w:b/>
          <w:bCs/>
          <w:sz w:val="28"/>
          <w:szCs w:val="28"/>
          <w:rtl/>
        </w:rPr>
        <w:tab/>
      </w:r>
      <w:r>
        <w:rPr>
          <w:rFonts w:hint="cs"/>
          <w:b/>
          <w:bCs/>
          <w:sz w:val="28"/>
          <w:szCs w:val="28"/>
          <w:u w:val="single"/>
          <w:rtl/>
        </w:rPr>
        <w:t>הטיעון לעונש:</w:t>
      </w:r>
    </w:p>
    <w:p w14:paraId="31DA6E3A" w14:textId="77777777" w:rsidR="002645F0" w:rsidRDefault="002645F0">
      <w:pPr>
        <w:pStyle w:val="10"/>
        <w:spacing w:line="360" w:lineRule="auto"/>
        <w:ind w:left="720" w:hanging="720"/>
        <w:jc w:val="both"/>
        <w:rPr>
          <w:rFonts w:hint="cs"/>
          <w:b/>
          <w:bCs/>
          <w:sz w:val="28"/>
          <w:szCs w:val="28"/>
          <w:u w:val="single"/>
          <w:rtl/>
        </w:rPr>
      </w:pPr>
    </w:p>
    <w:p w14:paraId="23C36E41" w14:textId="77777777" w:rsidR="002645F0" w:rsidRDefault="002645F0">
      <w:pPr>
        <w:pStyle w:val="10"/>
        <w:spacing w:line="360" w:lineRule="auto"/>
        <w:ind w:left="720" w:hanging="720"/>
        <w:jc w:val="both"/>
        <w:rPr>
          <w:rFonts w:hint="cs"/>
          <w:sz w:val="28"/>
          <w:szCs w:val="28"/>
          <w:rtl/>
        </w:rPr>
      </w:pPr>
      <w:r>
        <w:rPr>
          <w:rFonts w:hint="cs"/>
          <w:sz w:val="28"/>
          <w:szCs w:val="28"/>
          <w:rtl/>
        </w:rPr>
        <w:tab/>
        <w:t>התביעה עותרת לגזור על הנאשם עונש של מאסר. לנאשם זה הרשעות קודמות בעבירות אלימות, כאשר רק לאחרונה נדון בת.פ.</w:t>
      </w:r>
      <w:hyperlink r:id="rId12" w:history="1">
        <w:r w:rsidR="007046ED" w:rsidRPr="007046ED">
          <w:rPr>
            <w:color w:val="0000FF"/>
            <w:sz w:val="28"/>
            <w:szCs w:val="28"/>
            <w:u w:val="single"/>
            <w:rtl/>
          </w:rPr>
          <w:t xml:space="preserve">3054/04 </w:t>
        </w:r>
      </w:hyperlink>
      <w:r>
        <w:rPr>
          <w:rFonts w:hint="cs"/>
          <w:sz w:val="28"/>
          <w:szCs w:val="28"/>
          <w:rtl/>
        </w:rPr>
        <w:t xml:space="preserve"> של בית המשפט המחוזי בחיפה ל- 24 חודשי מאסר, וזאת בעבירה של חבלה חמורה בנסיבות מחמירות. </w:t>
      </w:r>
    </w:p>
    <w:p w14:paraId="1B697C85" w14:textId="77777777" w:rsidR="002645F0" w:rsidRDefault="002645F0">
      <w:pPr>
        <w:pStyle w:val="10"/>
        <w:spacing w:line="360" w:lineRule="auto"/>
        <w:ind w:left="720"/>
        <w:jc w:val="both"/>
        <w:rPr>
          <w:rFonts w:hint="cs"/>
          <w:sz w:val="28"/>
          <w:szCs w:val="28"/>
          <w:rtl/>
        </w:rPr>
      </w:pPr>
      <w:r>
        <w:rPr>
          <w:rFonts w:hint="cs"/>
          <w:sz w:val="28"/>
          <w:szCs w:val="28"/>
          <w:rtl/>
        </w:rPr>
        <w:t xml:space="preserve">הנאשם שוחרר מאסרו רק ביום 30.3.06, וחזר לבצע עבירות תוך פחות משלושה חודשים ממועד שחרורו. </w:t>
      </w:r>
    </w:p>
    <w:p w14:paraId="38DACA0A" w14:textId="77777777" w:rsidR="002645F0" w:rsidRDefault="002645F0">
      <w:pPr>
        <w:pStyle w:val="10"/>
        <w:spacing w:line="360" w:lineRule="auto"/>
        <w:ind w:left="720"/>
        <w:jc w:val="both"/>
        <w:rPr>
          <w:rFonts w:hint="cs"/>
          <w:sz w:val="28"/>
          <w:szCs w:val="28"/>
          <w:rtl/>
        </w:rPr>
      </w:pPr>
    </w:p>
    <w:p w14:paraId="3C85C5AA" w14:textId="77777777" w:rsidR="002645F0" w:rsidRDefault="002645F0">
      <w:pPr>
        <w:pStyle w:val="10"/>
        <w:spacing w:line="360" w:lineRule="auto"/>
        <w:ind w:left="720" w:hanging="720"/>
        <w:jc w:val="both"/>
        <w:rPr>
          <w:rFonts w:hint="cs"/>
          <w:sz w:val="28"/>
          <w:szCs w:val="28"/>
          <w:rtl/>
        </w:rPr>
      </w:pPr>
      <w:r>
        <w:rPr>
          <w:rFonts w:hint="cs"/>
          <w:sz w:val="28"/>
          <w:szCs w:val="28"/>
          <w:rtl/>
        </w:rPr>
        <w:tab/>
        <w:t xml:space="preserve">בנסיבות אלו עותרת המאשימה לגזור עליו עונש אשר מעבר לחומרת העבירה, יגן על הציבור מפני נאשם אשר חוזר לדרך הפשע מיד לאחר ששוחרר ממאסר קודם. </w:t>
      </w:r>
    </w:p>
    <w:p w14:paraId="72FCD10A" w14:textId="77777777" w:rsidR="002645F0" w:rsidRDefault="002645F0">
      <w:pPr>
        <w:pStyle w:val="10"/>
        <w:spacing w:line="360" w:lineRule="auto"/>
        <w:jc w:val="both"/>
        <w:rPr>
          <w:rFonts w:hint="cs"/>
          <w:sz w:val="28"/>
          <w:szCs w:val="28"/>
          <w:rtl/>
        </w:rPr>
      </w:pPr>
    </w:p>
    <w:p w14:paraId="67EC5501" w14:textId="77777777" w:rsidR="002645F0" w:rsidRDefault="002645F0">
      <w:pPr>
        <w:pStyle w:val="10"/>
        <w:spacing w:line="360" w:lineRule="auto"/>
        <w:ind w:left="720" w:hanging="720"/>
        <w:jc w:val="both"/>
        <w:rPr>
          <w:rFonts w:hint="cs"/>
          <w:sz w:val="28"/>
          <w:szCs w:val="28"/>
          <w:rtl/>
        </w:rPr>
      </w:pPr>
      <w:r>
        <w:rPr>
          <w:rFonts w:hint="cs"/>
          <w:sz w:val="28"/>
          <w:szCs w:val="28"/>
          <w:rtl/>
        </w:rPr>
        <w:tab/>
        <w:t xml:space="preserve">ב"כ הנאשם טען כי הנאשם שינה את אורחות חייו, וזאת כאשר לאחר מאסרו התחתן והקים משפחה. לטענת הסניגור החזיק הנאשם את הנשק למטרות הגנה עצמית. אציין רק כי תיאור זה אין בו כדי להצדיק החזקת נשק ללא רישיון, מה גם שמדובר בנשק שנגנב מבעליו. </w:t>
      </w:r>
    </w:p>
    <w:p w14:paraId="7086089D" w14:textId="77777777" w:rsidR="002645F0" w:rsidRDefault="002645F0">
      <w:pPr>
        <w:pStyle w:val="10"/>
        <w:spacing w:line="360" w:lineRule="auto"/>
        <w:ind w:left="720" w:hanging="720"/>
        <w:jc w:val="both"/>
        <w:rPr>
          <w:rFonts w:hint="cs"/>
          <w:sz w:val="28"/>
          <w:szCs w:val="28"/>
          <w:rtl/>
        </w:rPr>
      </w:pPr>
    </w:p>
    <w:p w14:paraId="61055589" w14:textId="77777777" w:rsidR="002645F0" w:rsidRDefault="002645F0">
      <w:pPr>
        <w:pStyle w:val="10"/>
        <w:spacing w:line="360" w:lineRule="auto"/>
        <w:ind w:left="720" w:hanging="720"/>
        <w:jc w:val="both"/>
        <w:rPr>
          <w:rFonts w:hint="cs"/>
          <w:sz w:val="28"/>
          <w:szCs w:val="28"/>
          <w:rtl/>
        </w:rPr>
      </w:pPr>
      <w:r>
        <w:rPr>
          <w:rFonts w:hint="cs"/>
          <w:sz w:val="28"/>
          <w:szCs w:val="28"/>
          <w:rtl/>
        </w:rPr>
        <w:tab/>
        <w:t xml:space="preserve">עוד ציין הסניגור, כי הנאשם עזב את כפר ג'סר א זרקא ועבר להתגורר בבקע אל גרביה וזאת במטרה לנתק עצמו מהמקום בו היה מעורב בעבירות בהן הורשע בעבר. הוא החל לעבוד בצורה סדירה, וניסה לשנות את חייו. </w:t>
      </w:r>
    </w:p>
    <w:p w14:paraId="24AF5531" w14:textId="77777777" w:rsidR="002645F0" w:rsidRDefault="002645F0">
      <w:pPr>
        <w:pStyle w:val="10"/>
        <w:spacing w:line="360" w:lineRule="auto"/>
        <w:ind w:left="720" w:hanging="720"/>
        <w:jc w:val="both"/>
        <w:rPr>
          <w:rFonts w:hint="cs"/>
          <w:sz w:val="28"/>
          <w:szCs w:val="28"/>
          <w:rtl/>
        </w:rPr>
      </w:pPr>
    </w:p>
    <w:p w14:paraId="75640C45" w14:textId="77777777" w:rsidR="002645F0" w:rsidRDefault="002645F0">
      <w:pPr>
        <w:pStyle w:val="10"/>
        <w:spacing w:line="360" w:lineRule="auto"/>
        <w:ind w:left="720"/>
        <w:jc w:val="both"/>
        <w:rPr>
          <w:rFonts w:hint="cs"/>
          <w:sz w:val="28"/>
          <w:szCs w:val="28"/>
          <w:rtl/>
        </w:rPr>
      </w:pPr>
      <w:r>
        <w:rPr>
          <w:rFonts w:hint="cs"/>
          <w:sz w:val="28"/>
          <w:szCs w:val="28"/>
          <w:rtl/>
        </w:rPr>
        <w:t xml:space="preserve">בנסיבות אלו מבקש הסניגור שלא למצות עם הנאשם את הדין ולהביא בחשבון את הודאתו מיד בפתח הדיון וחרטתו. </w:t>
      </w:r>
    </w:p>
    <w:p w14:paraId="1A379A3F" w14:textId="77777777" w:rsidR="002645F0" w:rsidRDefault="002645F0">
      <w:pPr>
        <w:pStyle w:val="10"/>
        <w:spacing w:line="360" w:lineRule="auto"/>
        <w:jc w:val="both"/>
        <w:rPr>
          <w:rFonts w:hint="cs"/>
          <w:sz w:val="28"/>
          <w:szCs w:val="28"/>
          <w:rtl/>
        </w:rPr>
      </w:pPr>
    </w:p>
    <w:p w14:paraId="62251B02" w14:textId="77777777" w:rsidR="002645F0" w:rsidRDefault="002645F0">
      <w:pPr>
        <w:pStyle w:val="10"/>
        <w:spacing w:line="360" w:lineRule="auto"/>
        <w:ind w:left="720" w:hanging="720"/>
        <w:jc w:val="both"/>
        <w:rPr>
          <w:rFonts w:hint="cs"/>
          <w:sz w:val="28"/>
          <w:szCs w:val="28"/>
          <w:rtl/>
        </w:rPr>
      </w:pPr>
      <w:r>
        <w:rPr>
          <w:rFonts w:hint="cs"/>
          <w:sz w:val="28"/>
          <w:szCs w:val="28"/>
          <w:rtl/>
        </w:rPr>
        <w:tab/>
        <w:t xml:space="preserve">הנאשם הביע חרטה וביקש להשתקם. </w:t>
      </w:r>
    </w:p>
    <w:p w14:paraId="4489F770" w14:textId="77777777" w:rsidR="002645F0" w:rsidRDefault="002645F0">
      <w:pPr>
        <w:pStyle w:val="10"/>
        <w:spacing w:line="360" w:lineRule="auto"/>
        <w:ind w:left="567" w:hanging="567"/>
        <w:jc w:val="both"/>
        <w:rPr>
          <w:rFonts w:hint="cs"/>
          <w:sz w:val="28"/>
          <w:szCs w:val="28"/>
          <w:rtl/>
        </w:rPr>
      </w:pPr>
      <w:r>
        <w:rPr>
          <w:rFonts w:hint="cs"/>
          <w:sz w:val="28"/>
          <w:szCs w:val="28"/>
          <w:rtl/>
        </w:rPr>
        <w:tab/>
      </w:r>
    </w:p>
    <w:p w14:paraId="7BE66A1C" w14:textId="77777777" w:rsidR="002645F0" w:rsidRDefault="002645F0">
      <w:pPr>
        <w:pStyle w:val="10"/>
        <w:spacing w:line="360" w:lineRule="auto"/>
        <w:ind w:left="720" w:hanging="720"/>
        <w:jc w:val="both"/>
        <w:rPr>
          <w:rFonts w:hint="cs"/>
          <w:b/>
          <w:bCs/>
          <w:sz w:val="28"/>
          <w:szCs w:val="28"/>
          <w:rtl/>
        </w:rPr>
      </w:pPr>
      <w:r>
        <w:rPr>
          <w:rFonts w:hint="cs"/>
          <w:b/>
          <w:bCs/>
          <w:sz w:val="28"/>
          <w:szCs w:val="28"/>
          <w:rtl/>
        </w:rPr>
        <w:lastRenderedPageBreak/>
        <w:t>3.</w:t>
      </w:r>
      <w:r>
        <w:rPr>
          <w:rFonts w:hint="cs"/>
          <w:b/>
          <w:bCs/>
          <w:sz w:val="28"/>
          <w:szCs w:val="28"/>
          <w:rtl/>
        </w:rPr>
        <w:tab/>
      </w:r>
      <w:r>
        <w:rPr>
          <w:rFonts w:hint="cs"/>
          <w:b/>
          <w:bCs/>
          <w:sz w:val="28"/>
          <w:szCs w:val="28"/>
          <w:u w:val="single"/>
          <w:rtl/>
        </w:rPr>
        <w:t>שיקולי בית המשפט לעניין הענישה</w:t>
      </w:r>
      <w:r>
        <w:rPr>
          <w:rFonts w:hint="cs"/>
          <w:b/>
          <w:bCs/>
          <w:sz w:val="28"/>
          <w:szCs w:val="28"/>
          <w:rtl/>
        </w:rPr>
        <w:t>:</w:t>
      </w:r>
    </w:p>
    <w:p w14:paraId="5181BFFD" w14:textId="77777777" w:rsidR="002645F0" w:rsidRDefault="002645F0">
      <w:pPr>
        <w:pStyle w:val="10"/>
        <w:spacing w:line="360" w:lineRule="auto"/>
        <w:ind w:left="720" w:hanging="720"/>
        <w:jc w:val="both"/>
        <w:rPr>
          <w:rFonts w:hint="cs"/>
          <w:b/>
          <w:bCs/>
          <w:sz w:val="28"/>
          <w:szCs w:val="28"/>
          <w:rtl/>
        </w:rPr>
      </w:pPr>
    </w:p>
    <w:p w14:paraId="79AF24A6" w14:textId="77777777" w:rsidR="002645F0" w:rsidRDefault="002645F0">
      <w:pPr>
        <w:pStyle w:val="10"/>
        <w:spacing w:line="360" w:lineRule="auto"/>
        <w:ind w:left="720" w:hanging="720"/>
        <w:jc w:val="both"/>
        <w:rPr>
          <w:rFonts w:hint="cs"/>
          <w:sz w:val="28"/>
          <w:szCs w:val="28"/>
          <w:rtl/>
        </w:rPr>
      </w:pPr>
      <w:r>
        <w:rPr>
          <w:rFonts w:hint="cs"/>
          <w:sz w:val="28"/>
          <w:szCs w:val="28"/>
          <w:rtl/>
        </w:rPr>
        <w:tab/>
        <w:t xml:space="preserve">כאמור, הורשע הנאשם בעבירה של החזקת נשק לפי </w:t>
      </w:r>
      <w:hyperlink r:id="rId13" w:history="1">
        <w:r w:rsidR="007046ED" w:rsidRPr="007046ED">
          <w:rPr>
            <w:color w:val="0000FF"/>
            <w:sz w:val="28"/>
            <w:szCs w:val="28"/>
            <w:u w:val="single"/>
            <w:rtl/>
          </w:rPr>
          <w:t>סעיף 144(א)</w:t>
        </w:r>
      </w:hyperlink>
      <w:r>
        <w:rPr>
          <w:rFonts w:hint="cs"/>
          <w:sz w:val="28"/>
          <w:szCs w:val="28"/>
          <w:rtl/>
        </w:rPr>
        <w:t xml:space="preserve">, עבירה אשר העונש בגינה 7 שנות מאסר, ועוד הורשע הוא בעבירה לפי </w:t>
      </w:r>
      <w:hyperlink r:id="rId14" w:history="1">
        <w:r w:rsidR="007046ED" w:rsidRPr="007046ED">
          <w:rPr>
            <w:color w:val="0000FF"/>
            <w:sz w:val="28"/>
            <w:szCs w:val="28"/>
            <w:u w:val="single"/>
            <w:rtl/>
          </w:rPr>
          <w:t>סעיף 413</w:t>
        </w:r>
      </w:hyperlink>
      <w:r>
        <w:rPr>
          <w:rFonts w:hint="cs"/>
          <w:sz w:val="28"/>
          <w:szCs w:val="28"/>
          <w:rtl/>
        </w:rPr>
        <w:t xml:space="preserve"> ל</w:t>
      </w:r>
      <w:hyperlink r:id="rId15" w:history="1">
        <w:r w:rsidR="00037291" w:rsidRPr="00037291">
          <w:rPr>
            <w:rStyle w:val="Hyperlink"/>
            <w:rFonts w:hint="eastAsia"/>
            <w:sz w:val="28"/>
            <w:szCs w:val="28"/>
            <w:rtl/>
          </w:rPr>
          <w:t>חוק</w:t>
        </w:r>
        <w:r w:rsidR="00037291" w:rsidRPr="00037291">
          <w:rPr>
            <w:rStyle w:val="Hyperlink"/>
            <w:sz w:val="28"/>
            <w:szCs w:val="28"/>
            <w:rtl/>
          </w:rPr>
          <w:t xml:space="preserve"> העונשין</w:t>
        </w:r>
      </w:hyperlink>
      <w:r>
        <w:rPr>
          <w:rFonts w:hint="cs"/>
          <w:sz w:val="28"/>
          <w:szCs w:val="28"/>
          <w:rtl/>
        </w:rPr>
        <w:t xml:space="preserve">, שהעונש בגינה הוא 3 שנות מאסר.  העונש הקבוע בחוק מנחה את בית המשפט בבואו לגזור את הדין. במקרה זה אציין, כי עוד יש להביא בחשבון כי כתב האישום המתוקן הוא מסוג כתבי האישום המובאים בפני בית משפט שלום, ועניין זה הובא בחשבון על ידי במסגרת מכלול שיקולי הענישה. </w:t>
      </w:r>
    </w:p>
    <w:p w14:paraId="4F1DE90B" w14:textId="77777777" w:rsidR="002645F0" w:rsidRDefault="002645F0">
      <w:pPr>
        <w:pStyle w:val="10"/>
        <w:spacing w:line="360" w:lineRule="auto"/>
        <w:jc w:val="both"/>
        <w:rPr>
          <w:rFonts w:hint="cs"/>
          <w:sz w:val="28"/>
          <w:szCs w:val="28"/>
          <w:rtl/>
        </w:rPr>
      </w:pPr>
    </w:p>
    <w:p w14:paraId="498224D6" w14:textId="77777777" w:rsidR="002645F0" w:rsidRDefault="002645F0">
      <w:pPr>
        <w:pStyle w:val="10"/>
        <w:spacing w:line="360" w:lineRule="auto"/>
        <w:ind w:left="720" w:hanging="720"/>
        <w:jc w:val="both"/>
        <w:rPr>
          <w:rFonts w:hint="cs"/>
          <w:sz w:val="28"/>
          <w:szCs w:val="28"/>
          <w:rtl/>
        </w:rPr>
      </w:pPr>
      <w:r>
        <w:rPr>
          <w:rFonts w:hint="cs"/>
          <w:sz w:val="28"/>
          <w:szCs w:val="28"/>
          <w:rtl/>
        </w:rPr>
        <w:tab/>
        <w:t xml:space="preserve">עם זאת, לא ניתן להתעלם מסמיכות הארועים שבין מועד שחרורו של הנאשם ממאסר והמועד בו הוא נתפס כאשר הוא מבצע עבירה. במקרה זה לא נעשה כל שימוש בנשק, אולם בבואו של בית המשפט להביא בחשבון את מכלול שיקולי הענישה, עליו גם לקחת במסגרת שיקוליו את הסיכון שיש מעצם המצאותו של נשק בידי מי שמחזיק אותו ללא היתר. בדרך כלל נשק מסוג זה מוצא עצמו במוקדם או במאוחר כרכיב בפשיעה חמורה יותר. </w:t>
      </w:r>
    </w:p>
    <w:p w14:paraId="20CBF76B" w14:textId="77777777" w:rsidR="002645F0" w:rsidRDefault="002645F0">
      <w:pPr>
        <w:pStyle w:val="10"/>
        <w:spacing w:line="360" w:lineRule="auto"/>
        <w:jc w:val="both"/>
        <w:rPr>
          <w:rFonts w:hint="cs"/>
          <w:sz w:val="28"/>
          <w:szCs w:val="28"/>
          <w:rtl/>
        </w:rPr>
      </w:pPr>
    </w:p>
    <w:p w14:paraId="4BDF76E6" w14:textId="77777777" w:rsidR="002645F0" w:rsidRDefault="002645F0">
      <w:pPr>
        <w:pStyle w:val="10"/>
        <w:spacing w:line="360" w:lineRule="auto"/>
        <w:ind w:left="720" w:hanging="720"/>
        <w:jc w:val="both"/>
        <w:rPr>
          <w:rFonts w:hint="cs"/>
          <w:sz w:val="28"/>
          <w:szCs w:val="28"/>
          <w:rtl/>
        </w:rPr>
      </w:pPr>
      <w:r>
        <w:rPr>
          <w:rFonts w:hint="cs"/>
          <w:sz w:val="28"/>
          <w:szCs w:val="28"/>
          <w:rtl/>
        </w:rPr>
        <w:tab/>
        <w:t>הלכה היא כי בעבירות של החזקה ושימוש בנשק ללא היתר יש להחמיר עם נאשמים, וזאת כדי להגן על החברה.</w:t>
      </w:r>
    </w:p>
    <w:p w14:paraId="56E123C7" w14:textId="77777777" w:rsidR="002645F0" w:rsidRDefault="002645F0">
      <w:pPr>
        <w:pStyle w:val="10"/>
        <w:spacing w:line="360" w:lineRule="auto"/>
        <w:ind w:left="720" w:hanging="720"/>
        <w:jc w:val="both"/>
        <w:rPr>
          <w:rFonts w:hint="cs"/>
          <w:sz w:val="28"/>
          <w:szCs w:val="28"/>
          <w:rtl/>
        </w:rPr>
      </w:pPr>
    </w:p>
    <w:p w14:paraId="16267B69" w14:textId="77777777" w:rsidR="002645F0" w:rsidRDefault="002645F0">
      <w:pPr>
        <w:pStyle w:val="10"/>
        <w:spacing w:line="360" w:lineRule="auto"/>
        <w:ind w:left="720" w:hanging="720"/>
        <w:jc w:val="both"/>
        <w:rPr>
          <w:rFonts w:hint="cs"/>
          <w:sz w:val="28"/>
          <w:szCs w:val="28"/>
          <w:rtl/>
        </w:rPr>
      </w:pPr>
      <w:r>
        <w:rPr>
          <w:rFonts w:hint="cs"/>
          <w:sz w:val="28"/>
          <w:szCs w:val="28"/>
          <w:rtl/>
        </w:rPr>
        <w:tab/>
        <w:t xml:space="preserve">על הסיכון הנגרם לחברה כתוצאה מהפצת נשק בצורה בלתי חוקית עמד בית המשפט העליון כבר פסק בעבר בע"פ 910/85, </w:t>
      </w:r>
      <w:hyperlink r:id="rId16" w:history="1">
        <w:r w:rsidR="007046ED" w:rsidRPr="007046ED">
          <w:rPr>
            <w:b/>
            <w:bCs/>
            <w:color w:val="0000FF"/>
            <w:sz w:val="28"/>
            <w:szCs w:val="28"/>
            <w:u w:val="single"/>
            <w:rtl/>
          </w:rPr>
          <w:t>אברהים קונדוס ואח' נ. מדינת ישראל</w:t>
        </w:r>
      </w:hyperlink>
      <w:r>
        <w:rPr>
          <w:rFonts w:hint="cs"/>
          <w:sz w:val="28"/>
          <w:szCs w:val="28"/>
          <w:rtl/>
        </w:rPr>
        <w:t>, פורסם בתקדין עליון 86(2) עמ' 670, כי:</w:t>
      </w:r>
    </w:p>
    <w:p w14:paraId="5D59371F" w14:textId="77777777" w:rsidR="002645F0" w:rsidRDefault="002645F0">
      <w:pPr>
        <w:ind w:left="567" w:hanging="567"/>
        <w:rPr>
          <w:rFonts w:hint="cs"/>
          <w:sz w:val="28"/>
          <w:rtl/>
        </w:rPr>
      </w:pPr>
    </w:p>
    <w:p w14:paraId="42A48125" w14:textId="77777777" w:rsidR="002645F0" w:rsidRDefault="002645F0">
      <w:pPr>
        <w:pStyle w:val="a6"/>
        <w:spacing w:line="360" w:lineRule="auto"/>
        <w:rPr>
          <w:rFonts w:hint="cs"/>
          <w:rtl/>
        </w:rPr>
      </w:pPr>
      <w:r>
        <w:rPr>
          <w:rFonts w:hint="cs"/>
          <w:rtl/>
        </w:rPr>
        <w:t>"אין אנו יכולים להתעלם מהעובדה, שהחזקת נשק שלא כדין היא עבירה נפוצה, אשר מסכנת את בטחון הציבור במידה רצינית והדברים ידועים. חשוב שתחדור לתודעת כל תושבי המדינה הידיעה, שמי שביודעין מקבל לרשותו כלי נשק שלא כדין, צפוי בגין עבירה זו לעונש מכאיב, אפילו אין הוא מתכוון אישית לבצע פשע מסוים מוגדר בעזרת הנשק האמור."</w:t>
      </w:r>
    </w:p>
    <w:p w14:paraId="3BFB3CF6" w14:textId="77777777" w:rsidR="002645F0" w:rsidRDefault="002645F0">
      <w:pPr>
        <w:pStyle w:val="10"/>
        <w:jc w:val="both"/>
        <w:rPr>
          <w:rFonts w:hint="cs"/>
          <w:sz w:val="28"/>
          <w:szCs w:val="28"/>
          <w:rtl/>
        </w:rPr>
      </w:pPr>
    </w:p>
    <w:p w14:paraId="305E7F03" w14:textId="77777777" w:rsidR="002645F0" w:rsidRDefault="002645F0">
      <w:pPr>
        <w:pStyle w:val="10"/>
        <w:spacing w:line="360" w:lineRule="auto"/>
        <w:ind w:left="720"/>
        <w:jc w:val="both"/>
        <w:rPr>
          <w:rFonts w:hint="cs"/>
          <w:sz w:val="28"/>
          <w:szCs w:val="28"/>
          <w:rtl/>
        </w:rPr>
      </w:pPr>
      <w:r>
        <w:rPr>
          <w:rFonts w:hint="cs"/>
          <w:sz w:val="28"/>
          <w:szCs w:val="28"/>
          <w:rtl/>
        </w:rPr>
        <w:t>נכונים לענין זה דברים שנאמרו ב</w:t>
      </w:r>
      <w:hyperlink r:id="rId17" w:history="1">
        <w:r w:rsidR="00037291" w:rsidRPr="00037291">
          <w:rPr>
            <w:rStyle w:val="Hyperlink"/>
            <w:rFonts w:hint="eastAsia"/>
            <w:sz w:val="28"/>
            <w:szCs w:val="28"/>
            <w:rtl/>
          </w:rPr>
          <w:t>ע</w:t>
        </w:r>
        <w:r w:rsidR="00037291" w:rsidRPr="00037291">
          <w:rPr>
            <w:rStyle w:val="Hyperlink"/>
            <w:sz w:val="28"/>
            <w:szCs w:val="28"/>
            <w:rtl/>
          </w:rPr>
          <w:t>"פ 6941/01</w:t>
        </w:r>
      </w:hyperlink>
      <w:r>
        <w:rPr>
          <w:rFonts w:hint="cs"/>
          <w:sz w:val="28"/>
          <w:szCs w:val="28"/>
          <w:rtl/>
        </w:rPr>
        <w:t xml:space="preserve">, </w:t>
      </w:r>
      <w:r>
        <w:rPr>
          <w:rFonts w:hint="cs"/>
          <w:b/>
          <w:bCs/>
          <w:sz w:val="28"/>
          <w:szCs w:val="28"/>
          <w:u w:val="single"/>
          <w:rtl/>
        </w:rPr>
        <w:t>מדינת ישראל נ. חיים פינטו</w:t>
      </w:r>
      <w:r>
        <w:rPr>
          <w:rFonts w:hint="cs"/>
          <w:sz w:val="28"/>
          <w:szCs w:val="28"/>
          <w:rtl/>
        </w:rPr>
        <w:t xml:space="preserve">, פורסם בתקדין עליון 2002(1), 669: </w:t>
      </w:r>
    </w:p>
    <w:p w14:paraId="343B612B" w14:textId="77777777" w:rsidR="002645F0" w:rsidRDefault="002645F0">
      <w:pPr>
        <w:pStyle w:val="a6"/>
        <w:spacing w:line="360" w:lineRule="auto"/>
        <w:rPr>
          <w:rFonts w:hint="cs"/>
          <w:rtl/>
        </w:rPr>
      </w:pPr>
    </w:p>
    <w:p w14:paraId="650B889C" w14:textId="77777777" w:rsidR="002645F0" w:rsidRDefault="002645F0">
      <w:pPr>
        <w:pStyle w:val="a6"/>
        <w:spacing w:line="360" w:lineRule="auto"/>
        <w:rPr>
          <w:rFonts w:hint="cs"/>
          <w:rtl/>
        </w:rPr>
      </w:pPr>
      <w:r>
        <w:rPr>
          <w:rFonts w:hint="cs"/>
          <w:rtl/>
        </w:rPr>
        <w:t>"...ופעולות יזומות שנעשו ע"י המשיב לקראת מכירתו של נשק זה, יש בהן כדי להצביע על סכנה רבה, ואלמלא סוכלה פעולת המכירה עת נתפס הנשק ע"י סוכן, עלול היה הנשק להגיע לידיהם של אנשים המסכנים את בטחון הציבור, בין על דרך של פעולות חבלניות, או על דרך של מעשים פליליים המסכנים חיי אדם. בבואו להעניש על ביצוע עבירות מסוג זה, על בית המשפט לתת משקל הולם לאינטרס הציבור בהרתעה גם אל מול הנסיבות האישיות של העבריין."</w:t>
      </w:r>
    </w:p>
    <w:p w14:paraId="0684A849" w14:textId="77777777" w:rsidR="002645F0" w:rsidRDefault="002645F0">
      <w:pPr>
        <w:pStyle w:val="10"/>
        <w:jc w:val="both"/>
        <w:rPr>
          <w:rFonts w:hint="cs"/>
          <w:sz w:val="28"/>
          <w:szCs w:val="28"/>
          <w:rtl/>
        </w:rPr>
      </w:pPr>
    </w:p>
    <w:p w14:paraId="2A38A34E" w14:textId="77777777" w:rsidR="002645F0" w:rsidRDefault="002645F0">
      <w:pPr>
        <w:pStyle w:val="10"/>
        <w:spacing w:line="360" w:lineRule="auto"/>
        <w:ind w:left="720" w:hanging="720"/>
        <w:jc w:val="both"/>
        <w:rPr>
          <w:rFonts w:hint="cs"/>
          <w:sz w:val="28"/>
          <w:szCs w:val="28"/>
          <w:rtl/>
        </w:rPr>
      </w:pPr>
      <w:r>
        <w:rPr>
          <w:rFonts w:hint="cs"/>
          <w:sz w:val="28"/>
          <w:szCs w:val="28"/>
          <w:rtl/>
        </w:rPr>
        <w:tab/>
        <w:t>לא בכדי קבע המחוקק עונשים מרתיעים למבצעי עבירות בנשק. כוונת החקיקה הינה ברורה, להרתיע אנשים מלבצע עבירות אשר מעבר להיותן חמורות עלולות הן להוביל בהמשך לתוצאות חמורות אף יותר, וזאת אם יעשה בנשק שימוש על ידי גורמים פליליים ו/או שימוש כנגד בטחון המדינה.       ראה:</w:t>
      </w:r>
    </w:p>
    <w:p w14:paraId="59DDB64F" w14:textId="77777777" w:rsidR="002645F0" w:rsidRDefault="002645F0">
      <w:pPr>
        <w:pStyle w:val="10"/>
        <w:ind w:left="567"/>
        <w:jc w:val="both"/>
        <w:rPr>
          <w:rFonts w:hint="cs"/>
          <w:sz w:val="28"/>
          <w:szCs w:val="28"/>
          <w:rtl/>
        </w:rPr>
      </w:pPr>
    </w:p>
    <w:p w14:paraId="29A7DFC6" w14:textId="77777777" w:rsidR="002645F0" w:rsidRDefault="00037291">
      <w:pPr>
        <w:pStyle w:val="10"/>
        <w:spacing w:line="360" w:lineRule="auto"/>
        <w:ind w:left="1440" w:hanging="720"/>
        <w:rPr>
          <w:rFonts w:hint="cs"/>
          <w:b/>
          <w:bCs/>
          <w:sz w:val="28"/>
          <w:szCs w:val="28"/>
          <w:rtl/>
        </w:rPr>
      </w:pPr>
      <w:hyperlink r:id="rId18" w:history="1">
        <w:r w:rsidRPr="00037291">
          <w:rPr>
            <w:rStyle w:val="Hyperlink"/>
            <w:rFonts w:hint="eastAsia"/>
            <w:b/>
            <w:bCs/>
            <w:sz w:val="28"/>
            <w:szCs w:val="28"/>
            <w:rtl/>
          </w:rPr>
          <w:t>ע</w:t>
        </w:r>
        <w:r w:rsidRPr="00037291">
          <w:rPr>
            <w:rStyle w:val="Hyperlink"/>
            <w:b/>
            <w:bCs/>
            <w:sz w:val="28"/>
            <w:szCs w:val="28"/>
            <w:rtl/>
          </w:rPr>
          <w:t>"פ 4609/98</w:t>
        </w:r>
      </w:hyperlink>
      <w:r w:rsidR="002645F0">
        <w:rPr>
          <w:rFonts w:hint="cs"/>
          <w:b/>
          <w:bCs/>
          <w:sz w:val="28"/>
          <w:szCs w:val="28"/>
          <w:rtl/>
        </w:rPr>
        <w:t xml:space="preserve">, </w:t>
      </w:r>
      <w:r w:rsidR="002645F0">
        <w:rPr>
          <w:rFonts w:hint="cs"/>
          <w:b/>
          <w:bCs/>
          <w:sz w:val="28"/>
          <w:szCs w:val="28"/>
          <w:u w:val="single"/>
          <w:rtl/>
        </w:rPr>
        <w:t>טהה ואח' נ' מדינת ישראל</w:t>
      </w:r>
      <w:r w:rsidR="002645F0">
        <w:rPr>
          <w:rFonts w:hint="cs"/>
          <w:b/>
          <w:bCs/>
          <w:sz w:val="28"/>
          <w:szCs w:val="28"/>
          <w:rtl/>
        </w:rPr>
        <w:t>, תק - על 99 (2), 716;</w:t>
      </w:r>
    </w:p>
    <w:p w14:paraId="28407810" w14:textId="77777777" w:rsidR="002645F0" w:rsidRDefault="00037291">
      <w:pPr>
        <w:pStyle w:val="10"/>
        <w:spacing w:line="360" w:lineRule="auto"/>
        <w:ind w:left="1440" w:hanging="720"/>
        <w:rPr>
          <w:rFonts w:hint="cs"/>
          <w:b/>
          <w:bCs/>
          <w:sz w:val="28"/>
          <w:szCs w:val="28"/>
          <w:rtl/>
        </w:rPr>
      </w:pPr>
      <w:hyperlink r:id="rId19" w:history="1">
        <w:r w:rsidRPr="00037291">
          <w:rPr>
            <w:rStyle w:val="Hyperlink"/>
            <w:rFonts w:hint="eastAsia"/>
            <w:b/>
            <w:bCs/>
            <w:sz w:val="28"/>
            <w:szCs w:val="28"/>
            <w:rtl/>
          </w:rPr>
          <w:t>ע</w:t>
        </w:r>
        <w:r w:rsidRPr="00037291">
          <w:rPr>
            <w:rStyle w:val="Hyperlink"/>
            <w:b/>
            <w:bCs/>
            <w:sz w:val="28"/>
            <w:szCs w:val="28"/>
            <w:rtl/>
          </w:rPr>
          <w:t>"פ 353/86</w:t>
        </w:r>
      </w:hyperlink>
      <w:r w:rsidR="002645F0">
        <w:rPr>
          <w:rFonts w:hint="cs"/>
          <w:b/>
          <w:bCs/>
          <w:sz w:val="28"/>
          <w:szCs w:val="28"/>
          <w:rtl/>
        </w:rPr>
        <w:t xml:space="preserve">, </w:t>
      </w:r>
      <w:r w:rsidR="002645F0">
        <w:rPr>
          <w:rFonts w:hint="cs"/>
          <w:b/>
          <w:bCs/>
          <w:sz w:val="28"/>
          <w:szCs w:val="28"/>
          <w:u w:val="single"/>
          <w:rtl/>
        </w:rPr>
        <w:t>מדינת ישראל נ' מחמוד</w:t>
      </w:r>
      <w:r w:rsidR="002645F0">
        <w:rPr>
          <w:rFonts w:hint="cs"/>
          <w:b/>
          <w:bCs/>
          <w:sz w:val="28"/>
          <w:szCs w:val="28"/>
          <w:rtl/>
        </w:rPr>
        <w:t>, תק - על 86 (2), 940;</w:t>
      </w:r>
    </w:p>
    <w:p w14:paraId="4C4ABC14" w14:textId="77777777" w:rsidR="002645F0" w:rsidRDefault="002645F0">
      <w:pPr>
        <w:pStyle w:val="10"/>
        <w:spacing w:line="360" w:lineRule="auto"/>
        <w:ind w:left="1440" w:hanging="720"/>
        <w:rPr>
          <w:rFonts w:hint="cs"/>
          <w:b/>
          <w:bCs/>
          <w:sz w:val="28"/>
          <w:szCs w:val="28"/>
          <w:rtl/>
        </w:rPr>
      </w:pPr>
      <w:r>
        <w:rPr>
          <w:rFonts w:hint="cs"/>
          <w:b/>
          <w:bCs/>
          <w:sz w:val="28"/>
          <w:szCs w:val="28"/>
          <w:rtl/>
        </w:rPr>
        <w:t xml:space="preserve">ע"פ 7263/01, </w:t>
      </w:r>
      <w:r>
        <w:rPr>
          <w:rFonts w:hint="cs"/>
          <w:b/>
          <w:bCs/>
          <w:sz w:val="28"/>
          <w:szCs w:val="28"/>
          <w:u w:val="single"/>
          <w:rtl/>
        </w:rPr>
        <w:t>עוואד נ' מדינת ישראל</w:t>
      </w:r>
      <w:r>
        <w:rPr>
          <w:rFonts w:hint="cs"/>
          <w:b/>
          <w:bCs/>
          <w:sz w:val="28"/>
          <w:szCs w:val="28"/>
          <w:rtl/>
        </w:rPr>
        <w:t>, תק - על 2002 (1), 338.</w:t>
      </w:r>
    </w:p>
    <w:p w14:paraId="6A1E22EE" w14:textId="77777777" w:rsidR="002645F0" w:rsidRDefault="002645F0">
      <w:pPr>
        <w:pStyle w:val="10"/>
        <w:spacing w:line="360" w:lineRule="auto"/>
        <w:ind w:left="567"/>
        <w:jc w:val="both"/>
        <w:rPr>
          <w:rFonts w:hint="cs"/>
          <w:sz w:val="28"/>
          <w:szCs w:val="28"/>
          <w:rtl/>
        </w:rPr>
      </w:pPr>
    </w:p>
    <w:p w14:paraId="212EF23C" w14:textId="77777777" w:rsidR="002645F0" w:rsidRDefault="002645F0">
      <w:pPr>
        <w:pStyle w:val="10"/>
        <w:spacing w:line="360" w:lineRule="auto"/>
        <w:ind w:left="720" w:hanging="720"/>
        <w:jc w:val="both"/>
        <w:rPr>
          <w:rFonts w:hint="cs"/>
          <w:sz w:val="28"/>
          <w:szCs w:val="28"/>
          <w:rtl/>
        </w:rPr>
      </w:pPr>
      <w:r>
        <w:rPr>
          <w:rFonts w:hint="cs"/>
          <w:sz w:val="28"/>
          <w:szCs w:val="28"/>
          <w:rtl/>
        </w:rPr>
        <w:tab/>
        <w:t>בבואנו לגזור את הדין עלינו להביא לידי ביטוי את כוונת החקיקה ומטרתה באופן שלא יהווה החוק סיסמא ריקה מתוכן. ראה:</w:t>
      </w:r>
    </w:p>
    <w:p w14:paraId="210F9F3F" w14:textId="77777777" w:rsidR="002645F0" w:rsidRDefault="002645F0">
      <w:pPr>
        <w:ind w:left="567" w:hanging="567"/>
        <w:rPr>
          <w:rFonts w:hint="cs"/>
          <w:sz w:val="28"/>
          <w:rtl/>
        </w:rPr>
      </w:pPr>
    </w:p>
    <w:p w14:paraId="6F5CF73F" w14:textId="77777777" w:rsidR="002645F0" w:rsidRDefault="002645F0">
      <w:pPr>
        <w:ind w:left="720" w:hanging="720"/>
        <w:rPr>
          <w:rFonts w:hint="cs"/>
          <w:b/>
          <w:bCs/>
          <w:sz w:val="28"/>
          <w:rtl/>
        </w:rPr>
      </w:pPr>
      <w:r>
        <w:rPr>
          <w:rFonts w:hint="cs"/>
          <w:sz w:val="28"/>
          <w:rtl/>
        </w:rPr>
        <w:tab/>
      </w:r>
      <w:hyperlink r:id="rId20" w:history="1">
        <w:r w:rsidR="00037291" w:rsidRPr="00037291">
          <w:rPr>
            <w:rStyle w:val="Hyperlink"/>
            <w:rFonts w:hint="eastAsia"/>
            <w:b/>
            <w:bCs/>
            <w:sz w:val="28"/>
            <w:rtl/>
          </w:rPr>
          <w:t>ע</w:t>
        </w:r>
        <w:r w:rsidR="00037291" w:rsidRPr="00037291">
          <w:rPr>
            <w:rStyle w:val="Hyperlink"/>
            <w:b/>
            <w:bCs/>
            <w:sz w:val="28"/>
            <w:rtl/>
          </w:rPr>
          <w:t>"פ 2620/93, פלוני נ' מדינת ישראל, פ"ד מט</w:t>
        </w:r>
      </w:hyperlink>
      <w:r>
        <w:rPr>
          <w:rFonts w:hint="cs"/>
          <w:b/>
          <w:bCs/>
          <w:sz w:val="28"/>
          <w:rtl/>
        </w:rPr>
        <w:t xml:space="preserve">(3), עמ' 1. </w:t>
      </w:r>
    </w:p>
    <w:p w14:paraId="5C86110A" w14:textId="77777777" w:rsidR="002645F0" w:rsidRDefault="002645F0">
      <w:pPr>
        <w:ind w:left="567" w:hanging="567"/>
        <w:rPr>
          <w:rFonts w:hint="cs"/>
          <w:sz w:val="28"/>
          <w:rtl/>
        </w:rPr>
      </w:pPr>
    </w:p>
    <w:p w14:paraId="1E488EDE" w14:textId="77777777" w:rsidR="002645F0" w:rsidRDefault="002645F0">
      <w:pPr>
        <w:pStyle w:val="10"/>
        <w:spacing w:line="360" w:lineRule="auto"/>
        <w:ind w:left="720" w:hanging="720"/>
        <w:jc w:val="both"/>
        <w:rPr>
          <w:rFonts w:hint="cs"/>
          <w:sz w:val="28"/>
          <w:szCs w:val="28"/>
          <w:rtl/>
        </w:rPr>
      </w:pPr>
      <w:r>
        <w:rPr>
          <w:rFonts w:hint="cs"/>
          <w:sz w:val="28"/>
          <w:szCs w:val="28"/>
          <w:rtl/>
        </w:rPr>
        <w:tab/>
        <w:t>מעבר לכך, חובת בית המשפט הינה להגן על קורבנות העבירה. כשם שנאשם זכאי כי שיקומו וצרכיו יילקחו בחשבון במסגרת שיקולי הענישה כך גם זכאים  אלו העלולים להיפגע ממנו או מאחרים כמותו, להגנת בית המשפט. ככל שמעשיו של נאשם חמורים יותר כך גם גובר הצורך לשים את הדגש על הגנת הקורבנות (בין אם קורבנות בפועל או קורבנות פוטנציאליים). ראה</w:t>
      </w:r>
      <w:r>
        <w:rPr>
          <w:rFonts w:hint="cs"/>
          <w:sz w:val="28"/>
          <w:szCs w:val="28"/>
        </w:rPr>
        <w:t xml:space="preserve"> </w:t>
      </w:r>
      <w:r>
        <w:rPr>
          <w:rFonts w:hint="cs"/>
          <w:sz w:val="28"/>
          <w:szCs w:val="28"/>
          <w:rtl/>
        </w:rPr>
        <w:t>ב</w:t>
      </w:r>
      <w:hyperlink r:id="rId21" w:history="1">
        <w:r w:rsidR="00037291" w:rsidRPr="00037291">
          <w:rPr>
            <w:rStyle w:val="Hyperlink"/>
            <w:rFonts w:hint="eastAsia"/>
            <w:b/>
            <w:bCs/>
            <w:sz w:val="28"/>
            <w:szCs w:val="28"/>
            <w:rtl/>
          </w:rPr>
          <w:t>ע</w:t>
        </w:r>
        <w:r w:rsidR="00037291" w:rsidRPr="00037291">
          <w:rPr>
            <w:rStyle w:val="Hyperlink"/>
            <w:b/>
            <w:bCs/>
            <w:sz w:val="28"/>
            <w:szCs w:val="28"/>
            <w:rtl/>
          </w:rPr>
          <w:t>"פ 4872/95, מדינת ישראל נ' גל אילון ו2- אח, פ"ד נג</w:t>
        </w:r>
      </w:hyperlink>
      <w:r>
        <w:rPr>
          <w:rFonts w:hint="cs"/>
          <w:b/>
          <w:bCs/>
          <w:sz w:val="28"/>
          <w:szCs w:val="28"/>
          <w:rtl/>
        </w:rPr>
        <w:t xml:space="preserve">(3), 1, עמ' 8-9, </w:t>
      </w:r>
      <w:r>
        <w:rPr>
          <w:rFonts w:hint="cs"/>
          <w:sz w:val="28"/>
          <w:szCs w:val="28"/>
          <w:rtl/>
        </w:rPr>
        <w:t>שם נאמרו גם הדברים הבאים, המנחים אותנו בבואנו לגזור את הדין</w:t>
      </w:r>
      <w:r>
        <w:rPr>
          <w:sz w:val="28"/>
          <w:szCs w:val="28"/>
        </w:rPr>
        <w:t>:</w:t>
      </w:r>
    </w:p>
    <w:p w14:paraId="609D9325" w14:textId="77777777" w:rsidR="002645F0" w:rsidRDefault="002645F0">
      <w:pPr>
        <w:ind w:left="720"/>
        <w:rPr>
          <w:rFonts w:hint="cs"/>
          <w:sz w:val="28"/>
          <w:rtl/>
        </w:rPr>
      </w:pPr>
    </w:p>
    <w:p w14:paraId="1822CAA2" w14:textId="77777777" w:rsidR="002645F0" w:rsidRDefault="002645F0">
      <w:pPr>
        <w:ind w:left="1134" w:right="1134"/>
        <w:rPr>
          <w:rFonts w:hint="cs"/>
          <w:b/>
          <w:bCs/>
          <w:sz w:val="28"/>
          <w:rtl/>
        </w:rPr>
      </w:pPr>
      <w:r>
        <w:rPr>
          <w:rFonts w:hint="cs"/>
          <w:b/>
          <w:bCs/>
          <w:sz w:val="28"/>
          <w:rtl/>
        </w:rPr>
        <w:t>"מבחינת האינטרס הציבורי, אין זה מספיק להטמיע בחוק סטנדרטים של התנהגות. הציבור חייב לראותם מיושמים בכל עת ולראות בהם חלק בלתי נפרד מנוהגים חברתיים מקובלים המגינים על גופו, רכושו וכבודו של כל אחד מתוכו. ענישה סלחנית במקרים של התנהגות עבריינית חמורה, עלולה להביא להתמוטטות עכבות מוסריות, להתפרש כהתפשרות על ערכים ועל נורמות, לפגוע באמינות מימושו של האיום בעונש מאחורי החוק ולהעביר מסר שלילי לעבריינים פוטנציאליים המועדים לבצע עבירות מאותו סוג. באותו אופן בו השתת עונש ממשי הוא בבחינת ביטוי חברתי חריף לגינוי לו ראויים המעשים החמורים, כך אימוץ הגישה הסלחנית תחליש הכרת האיסור שבהתנהגות</w:t>
      </w:r>
      <w:r>
        <w:rPr>
          <w:b/>
          <w:bCs/>
          <w:sz w:val="28"/>
        </w:rPr>
        <w:t>"</w:t>
      </w:r>
      <w:r>
        <w:rPr>
          <w:rFonts w:hint="cs"/>
          <w:b/>
          <w:bCs/>
          <w:sz w:val="28"/>
          <w:rtl/>
        </w:rPr>
        <w:t>.</w:t>
      </w:r>
    </w:p>
    <w:p w14:paraId="09C47AAD" w14:textId="77777777" w:rsidR="002645F0" w:rsidRDefault="002645F0">
      <w:pPr>
        <w:ind w:left="1134" w:right="1134"/>
        <w:rPr>
          <w:rFonts w:hint="cs"/>
          <w:b/>
          <w:bCs/>
          <w:sz w:val="28"/>
          <w:rtl/>
        </w:rPr>
      </w:pPr>
    </w:p>
    <w:p w14:paraId="51A2FFCF" w14:textId="77777777" w:rsidR="002645F0" w:rsidRDefault="002645F0">
      <w:pPr>
        <w:pStyle w:val="10"/>
        <w:spacing w:line="360" w:lineRule="auto"/>
        <w:ind w:left="720" w:hanging="720"/>
        <w:jc w:val="both"/>
        <w:rPr>
          <w:rFonts w:hint="cs"/>
          <w:sz w:val="28"/>
          <w:szCs w:val="28"/>
          <w:rtl/>
        </w:rPr>
      </w:pPr>
      <w:r>
        <w:rPr>
          <w:rFonts w:hint="cs"/>
          <w:sz w:val="28"/>
          <w:szCs w:val="28"/>
          <w:rtl/>
        </w:rPr>
        <w:tab/>
        <w:t xml:space="preserve">בהתאם, המדיניות הראויה לענישה בעבירות נשק הינה להחמיר בעונש וזאת כדי להרתיע מבצעי עבירות מסוג זה מפני ביצוען ולהגן על הציבור. </w:t>
      </w:r>
    </w:p>
    <w:p w14:paraId="753C948B" w14:textId="77777777" w:rsidR="002645F0" w:rsidRDefault="002645F0">
      <w:pPr>
        <w:rPr>
          <w:rFonts w:hint="cs"/>
          <w:sz w:val="28"/>
          <w:rtl/>
        </w:rPr>
      </w:pPr>
    </w:p>
    <w:p w14:paraId="301B8B5D" w14:textId="77777777" w:rsidR="002645F0" w:rsidRDefault="002645F0">
      <w:pPr>
        <w:pStyle w:val="10"/>
        <w:spacing w:line="360" w:lineRule="auto"/>
        <w:ind w:left="720" w:hanging="720"/>
        <w:rPr>
          <w:sz w:val="28"/>
          <w:szCs w:val="28"/>
          <w:rtl/>
        </w:rPr>
      </w:pPr>
      <w:r>
        <w:rPr>
          <w:rFonts w:hint="cs"/>
          <w:sz w:val="28"/>
          <w:szCs w:val="28"/>
          <w:rtl/>
        </w:rPr>
        <w:tab/>
        <w:t xml:space="preserve">במקרה זה הצורך בהגנת הציבור מתחזק בשים לב לעובדה שהעבירות בוצעו מיד לאחר שחרור הנאשם ממאסר, דבר שיש בו כדי להעיד על כך שמאסר אינו מרתיעו. מכאן, שבמקרה זה על בית המשפט לגזור עונש שיהיה בו כדי להרתיע את הנאשם ולהגן על הציבור מפניו. </w:t>
      </w:r>
    </w:p>
    <w:p w14:paraId="2BBE33CC" w14:textId="77777777" w:rsidR="002645F0" w:rsidRDefault="002645F0">
      <w:pPr>
        <w:pStyle w:val="10"/>
        <w:spacing w:line="360" w:lineRule="auto"/>
        <w:rPr>
          <w:rFonts w:hint="cs"/>
          <w:sz w:val="28"/>
          <w:szCs w:val="28"/>
          <w:rtl/>
        </w:rPr>
      </w:pPr>
    </w:p>
    <w:p w14:paraId="3AD5D7C0" w14:textId="77777777" w:rsidR="002645F0" w:rsidRDefault="002645F0">
      <w:pPr>
        <w:pStyle w:val="10"/>
        <w:spacing w:line="360" w:lineRule="auto"/>
        <w:ind w:left="720" w:hanging="720"/>
        <w:rPr>
          <w:rFonts w:hint="cs"/>
          <w:sz w:val="28"/>
          <w:szCs w:val="28"/>
          <w:rtl/>
        </w:rPr>
      </w:pPr>
      <w:r>
        <w:rPr>
          <w:rFonts w:hint="cs"/>
          <w:sz w:val="28"/>
          <w:szCs w:val="28"/>
          <w:rtl/>
        </w:rPr>
        <w:tab/>
        <w:t xml:space="preserve">הבאתי בחשבון במסגרת השיקולים לקולא כי הנאשם הודה מיד בפתח משפטו. עוד הבאתי בחשבון את חרטתו, את העובדה כי התחתן לאחרונה ולכאורה ניסה להתרחק ממוקדי הפשיעה שהיה קשור אליהם בעבר. עם זאת, וגם בהביאי בחשבון את כל האמור לעיל, סבור אני כי במקרה זה יש מקום לגזור על הנאשם עונש של מאסר משמעותי. </w:t>
      </w:r>
    </w:p>
    <w:p w14:paraId="38C2B4E5" w14:textId="77777777" w:rsidR="002645F0" w:rsidRDefault="002645F0">
      <w:pPr>
        <w:pStyle w:val="10"/>
        <w:spacing w:line="360" w:lineRule="auto"/>
        <w:jc w:val="both"/>
        <w:rPr>
          <w:rFonts w:hint="cs"/>
          <w:b/>
          <w:bCs/>
          <w:sz w:val="28"/>
          <w:szCs w:val="28"/>
          <w:rtl/>
        </w:rPr>
      </w:pPr>
    </w:p>
    <w:p w14:paraId="20A28E5C" w14:textId="77777777" w:rsidR="002645F0" w:rsidRDefault="002645F0">
      <w:pPr>
        <w:pStyle w:val="10"/>
        <w:spacing w:line="360" w:lineRule="auto"/>
        <w:ind w:left="720" w:hanging="720"/>
        <w:jc w:val="both"/>
        <w:rPr>
          <w:rFonts w:hint="cs"/>
          <w:b/>
          <w:bCs/>
          <w:sz w:val="28"/>
          <w:szCs w:val="28"/>
          <w:rtl/>
        </w:rPr>
      </w:pPr>
      <w:r>
        <w:rPr>
          <w:rFonts w:hint="cs"/>
          <w:b/>
          <w:bCs/>
          <w:sz w:val="28"/>
          <w:szCs w:val="28"/>
          <w:rtl/>
        </w:rPr>
        <w:t>4.</w:t>
      </w:r>
      <w:r>
        <w:rPr>
          <w:rFonts w:hint="cs"/>
          <w:b/>
          <w:bCs/>
          <w:sz w:val="28"/>
          <w:szCs w:val="28"/>
          <w:rtl/>
        </w:rPr>
        <w:tab/>
      </w:r>
      <w:r>
        <w:rPr>
          <w:rFonts w:hint="cs"/>
          <w:b/>
          <w:bCs/>
          <w:sz w:val="28"/>
          <w:szCs w:val="28"/>
          <w:u w:val="single"/>
          <w:rtl/>
        </w:rPr>
        <w:t>סיכום הענישה וגזר הדין</w:t>
      </w:r>
      <w:r>
        <w:rPr>
          <w:rFonts w:hint="cs"/>
          <w:b/>
          <w:bCs/>
          <w:sz w:val="28"/>
          <w:szCs w:val="28"/>
          <w:rtl/>
        </w:rPr>
        <w:t>:</w:t>
      </w:r>
    </w:p>
    <w:p w14:paraId="173C18BF" w14:textId="77777777" w:rsidR="002645F0" w:rsidRDefault="002645F0">
      <w:pPr>
        <w:pStyle w:val="10"/>
        <w:spacing w:line="360" w:lineRule="auto"/>
        <w:ind w:left="720" w:hanging="720"/>
        <w:jc w:val="both"/>
        <w:rPr>
          <w:rFonts w:hint="cs"/>
          <w:b/>
          <w:bCs/>
          <w:sz w:val="28"/>
          <w:szCs w:val="28"/>
          <w:rtl/>
        </w:rPr>
      </w:pPr>
    </w:p>
    <w:p w14:paraId="778E0923" w14:textId="77777777" w:rsidR="002645F0" w:rsidRDefault="002645F0">
      <w:pPr>
        <w:ind w:left="720" w:hanging="720"/>
        <w:rPr>
          <w:rFonts w:hint="cs"/>
          <w:sz w:val="28"/>
          <w:rtl/>
        </w:rPr>
      </w:pPr>
      <w:r>
        <w:rPr>
          <w:rFonts w:hint="cs"/>
          <w:sz w:val="28"/>
          <w:rtl/>
        </w:rPr>
        <w:tab/>
        <w:t>אשר על כן, לאחר ששמעתי את טיעוני הצדדים ושקלתי את כל האמור לעיל, אני גוזר את דינו של הנאשם כדלקמן:</w:t>
      </w:r>
    </w:p>
    <w:p w14:paraId="1F0174EF" w14:textId="77777777" w:rsidR="002645F0" w:rsidRDefault="002645F0">
      <w:pPr>
        <w:rPr>
          <w:rFonts w:hint="cs"/>
          <w:sz w:val="28"/>
          <w:rtl/>
        </w:rPr>
      </w:pPr>
    </w:p>
    <w:p w14:paraId="15EFB9FC" w14:textId="77777777" w:rsidR="002645F0" w:rsidRDefault="002645F0">
      <w:pPr>
        <w:ind w:left="720" w:hanging="720"/>
        <w:rPr>
          <w:rFonts w:hint="cs"/>
          <w:sz w:val="28"/>
          <w:rtl/>
        </w:rPr>
      </w:pPr>
      <w:r>
        <w:rPr>
          <w:rFonts w:hint="cs"/>
          <w:sz w:val="28"/>
          <w:rtl/>
        </w:rPr>
        <w:tab/>
        <w:t>אני גוזר על הנאשם לרצות 36 חודשי מאסר, מהם 24 חודשי מאסר לריצוי בפועל ו- 12 חודשי מאסר מותנה. התנאי הוא שהנאשם לא יעבור העבירות בהם הורשע וכן כל עבירה בנשק וכל עבירת רכוש שהיא פשע בתוך 24 חודשים ממועד שחרורו ממאסר, ויורשע בגינה.</w:t>
      </w:r>
    </w:p>
    <w:p w14:paraId="28BEC520" w14:textId="77777777" w:rsidR="002645F0" w:rsidRDefault="002645F0">
      <w:pPr>
        <w:rPr>
          <w:rFonts w:hint="cs"/>
          <w:sz w:val="28"/>
          <w:rtl/>
        </w:rPr>
      </w:pPr>
    </w:p>
    <w:p w14:paraId="399D2887" w14:textId="77777777" w:rsidR="002645F0" w:rsidRDefault="002645F0">
      <w:pPr>
        <w:ind w:left="720" w:hanging="720"/>
        <w:rPr>
          <w:rFonts w:hint="cs"/>
          <w:sz w:val="28"/>
          <w:rtl/>
        </w:rPr>
      </w:pPr>
      <w:r>
        <w:rPr>
          <w:rFonts w:hint="cs"/>
          <w:sz w:val="28"/>
          <w:rtl/>
        </w:rPr>
        <w:tab/>
        <w:t xml:space="preserve">סך הכל ירצה הנאשם 24 חודשי מאסר, שמניינם החל מיום 10.6.06, מועד מעצרו. </w:t>
      </w:r>
    </w:p>
    <w:p w14:paraId="5D289CF5" w14:textId="77777777" w:rsidR="002645F0" w:rsidRDefault="002645F0">
      <w:pPr>
        <w:rPr>
          <w:rFonts w:hint="cs"/>
          <w:sz w:val="28"/>
          <w:rtl/>
        </w:rPr>
      </w:pPr>
    </w:p>
    <w:p w14:paraId="7A1A3BA4" w14:textId="77777777" w:rsidR="002645F0" w:rsidRDefault="002645F0">
      <w:pPr>
        <w:ind w:left="720"/>
        <w:rPr>
          <w:rFonts w:hint="cs"/>
          <w:b/>
          <w:bCs/>
          <w:sz w:val="28"/>
          <w:rtl/>
        </w:rPr>
      </w:pPr>
      <w:r>
        <w:rPr>
          <w:rFonts w:hint="cs"/>
          <w:b/>
          <w:bCs/>
          <w:sz w:val="28"/>
          <w:u w:val="single"/>
          <w:rtl/>
        </w:rPr>
        <w:t>המזכירות תכין פקודת מאסר בהתאם</w:t>
      </w:r>
      <w:r>
        <w:rPr>
          <w:rFonts w:hint="cs"/>
          <w:b/>
          <w:bCs/>
          <w:sz w:val="28"/>
          <w:rtl/>
        </w:rPr>
        <w:t>.</w:t>
      </w:r>
    </w:p>
    <w:p w14:paraId="5B6EFE35" w14:textId="77777777" w:rsidR="002645F0" w:rsidRDefault="002645F0">
      <w:pPr>
        <w:rPr>
          <w:rFonts w:hint="cs"/>
          <w:b/>
          <w:bCs/>
          <w:sz w:val="28"/>
          <w:rtl/>
        </w:rPr>
      </w:pPr>
    </w:p>
    <w:p w14:paraId="4C1B2C5E" w14:textId="77777777" w:rsidR="002645F0" w:rsidRDefault="002645F0">
      <w:pPr>
        <w:ind w:left="720" w:hanging="720"/>
        <w:rPr>
          <w:rFonts w:hint="cs"/>
          <w:sz w:val="28"/>
          <w:rtl/>
        </w:rPr>
      </w:pPr>
      <w:r>
        <w:rPr>
          <w:rFonts w:hint="cs"/>
          <w:sz w:val="28"/>
          <w:rtl/>
        </w:rPr>
        <w:tab/>
        <w:t xml:space="preserve">בנסיבות מצבו כלכלי של הנאשם לא מצאתי מקום לגזור עליו ענישה נוספת. </w:t>
      </w:r>
    </w:p>
    <w:p w14:paraId="4981E851" w14:textId="77777777" w:rsidR="002645F0" w:rsidRDefault="002645F0">
      <w:pPr>
        <w:rPr>
          <w:rFonts w:hint="cs"/>
          <w:sz w:val="28"/>
          <w:rtl/>
        </w:rPr>
      </w:pPr>
    </w:p>
    <w:p w14:paraId="17BA40EC" w14:textId="77777777" w:rsidR="002645F0" w:rsidRDefault="002645F0">
      <w:pPr>
        <w:ind w:left="720"/>
        <w:rPr>
          <w:rFonts w:hint="cs"/>
          <w:sz w:val="28"/>
          <w:rtl/>
        </w:rPr>
      </w:pPr>
      <w:r>
        <w:rPr>
          <w:rFonts w:hint="cs"/>
          <w:sz w:val="28"/>
          <w:rtl/>
        </w:rPr>
        <w:t xml:space="preserve">אני מתיר לתביעה/משטרה להחזיר את הנשק נשוא כתב האישום לבעליו, וזאת לאחר שפסק הדין יהפוך לחלוט, ובכפוף להצגת רישיון נשק בר תוקף על ידי הבעלים. </w:t>
      </w:r>
    </w:p>
    <w:p w14:paraId="5F595AE0" w14:textId="77777777" w:rsidR="002645F0" w:rsidRDefault="002645F0">
      <w:pPr>
        <w:rPr>
          <w:rFonts w:hint="cs"/>
          <w:sz w:val="28"/>
          <w:rtl/>
        </w:rPr>
      </w:pPr>
    </w:p>
    <w:p w14:paraId="0200259C" w14:textId="77777777" w:rsidR="002645F0" w:rsidRDefault="002645F0">
      <w:pPr>
        <w:rPr>
          <w:rFonts w:hint="cs"/>
          <w:sz w:val="30"/>
          <w:rtl/>
        </w:rPr>
      </w:pPr>
    </w:p>
    <w:p w14:paraId="5AAF8A2B" w14:textId="77777777" w:rsidR="002645F0" w:rsidRDefault="002645F0">
      <w:pPr>
        <w:rPr>
          <w:rFonts w:hint="cs"/>
          <w:color w:val="000000"/>
          <w:sz w:val="30"/>
          <w:rtl/>
        </w:rPr>
      </w:pPr>
      <w:r>
        <w:rPr>
          <w:rFonts w:hint="cs"/>
          <w:b/>
          <w:bCs/>
          <w:color w:val="000000"/>
          <w:sz w:val="30"/>
          <w:u w:val="single"/>
          <w:rtl/>
        </w:rPr>
        <w:t>הודע לנאשם על זכותו לערער בבית המשפט העליון, תוך 45 יום מהיום</w:t>
      </w:r>
      <w:r>
        <w:rPr>
          <w:rFonts w:hint="cs"/>
          <w:color w:val="000000"/>
          <w:sz w:val="30"/>
          <w:rtl/>
        </w:rPr>
        <w:t>.</w:t>
      </w:r>
    </w:p>
    <w:p w14:paraId="1B546BD1" w14:textId="77777777" w:rsidR="002645F0" w:rsidRDefault="002645F0">
      <w:pPr>
        <w:rPr>
          <w:rFonts w:hint="cs"/>
          <w:b/>
          <w:bCs/>
          <w:color w:val="000000"/>
          <w:sz w:val="30"/>
          <w:rtl/>
        </w:rPr>
      </w:pPr>
    </w:p>
    <w:p w14:paraId="10B8F364" w14:textId="77777777" w:rsidR="002645F0" w:rsidRDefault="002645F0">
      <w:pPr>
        <w:rPr>
          <w:rFonts w:hint="cs"/>
          <w:b/>
          <w:bCs/>
          <w:color w:val="000000"/>
          <w:sz w:val="30"/>
          <w:rtl/>
        </w:rPr>
      </w:pPr>
    </w:p>
    <w:p w14:paraId="225DFB3A" w14:textId="77777777" w:rsidR="002645F0" w:rsidRDefault="002645F0">
      <w:pPr>
        <w:rPr>
          <w:b/>
          <w:bCs/>
          <w:color w:val="FFFFFF"/>
          <w:sz w:val="2"/>
          <w:szCs w:val="2"/>
          <w:rtl/>
        </w:rPr>
      </w:pPr>
    </w:p>
    <w:p w14:paraId="0A7BA6E2" w14:textId="77777777" w:rsidR="002645F0" w:rsidRDefault="002645F0">
      <w:pPr>
        <w:rPr>
          <w:b/>
          <w:bCs/>
          <w:color w:val="FFFFFF"/>
          <w:sz w:val="2"/>
          <w:szCs w:val="2"/>
          <w:rtl/>
        </w:rPr>
      </w:pPr>
      <w:r>
        <w:rPr>
          <w:b/>
          <w:bCs/>
          <w:color w:val="FFFFFF"/>
          <w:sz w:val="2"/>
          <w:szCs w:val="2"/>
          <w:rtl/>
        </w:rPr>
        <w:t>5129371</w:t>
      </w:r>
    </w:p>
    <w:p w14:paraId="44BDD22A" w14:textId="77777777" w:rsidR="002645F0" w:rsidRDefault="002645F0">
      <w:pPr>
        <w:rPr>
          <w:rFonts w:hint="cs"/>
          <w:b/>
          <w:bCs/>
          <w:color w:val="000000"/>
          <w:sz w:val="30"/>
          <w:rtl/>
        </w:rPr>
      </w:pPr>
      <w:r>
        <w:rPr>
          <w:b/>
          <w:bCs/>
          <w:color w:val="FFFFFF"/>
          <w:sz w:val="2"/>
          <w:szCs w:val="2"/>
          <w:rtl/>
        </w:rPr>
        <w:t>54678313</w:t>
      </w:r>
      <w:r>
        <w:rPr>
          <w:b/>
          <w:bCs/>
          <w:color w:val="000000"/>
          <w:sz w:val="30"/>
          <w:rtl/>
        </w:rPr>
        <w:t xml:space="preserve">ניתן היום י"ד בתמוז, תשס"ו (10 ביולי 2006) במעמד הנאשם, הסנגור וב"כ </w:t>
      </w:r>
      <w:r>
        <w:rPr>
          <w:rFonts w:hint="cs"/>
          <w:b/>
          <w:bCs/>
          <w:color w:val="000000"/>
          <w:sz w:val="30"/>
          <w:rtl/>
        </w:rPr>
        <w:t xml:space="preserve">המאשימה. </w:t>
      </w:r>
    </w:p>
    <w:p w14:paraId="41347996" w14:textId="77777777" w:rsidR="002645F0" w:rsidRDefault="002645F0">
      <w:pPr>
        <w:rPr>
          <w:rFonts w:hint="cs"/>
          <w:b/>
          <w:bCs/>
          <w:color w:val="000000"/>
          <w:sz w:val="30"/>
          <w:rtl/>
        </w:rPr>
      </w:pPr>
    </w:p>
    <w:p w14:paraId="152951A7" w14:textId="77777777" w:rsidR="002645F0" w:rsidRDefault="002645F0">
      <w:pPr>
        <w:keepNext/>
        <w:jc w:val="left"/>
        <w:rPr>
          <w:rFonts w:hAnsi="David" w:hint="cs"/>
          <w:color w:val="000000"/>
          <w:szCs w:val="22"/>
          <w:rtl/>
        </w:rPr>
      </w:pPr>
    </w:p>
    <w:p w14:paraId="6D2E2531" w14:textId="77777777" w:rsidR="002645F0" w:rsidRDefault="002645F0">
      <w:pPr>
        <w:keepNext/>
        <w:jc w:val="left"/>
        <w:rPr>
          <w:rFonts w:hAnsi="David"/>
          <w:color w:val="FFFFFF"/>
          <w:sz w:val="2"/>
          <w:szCs w:val="2"/>
          <w:rtl/>
        </w:rPr>
      </w:pPr>
    </w:p>
    <w:p w14:paraId="1E55CB7A" w14:textId="77777777" w:rsidR="002645F0" w:rsidRDefault="002645F0">
      <w:pPr>
        <w:keepNext/>
        <w:jc w:val="left"/>
        <w:rPr>
          <w:rFonts w:hAnsi="David"/>
          <w:color w:val="FFFFFF"/>
          <w:sz w:val="2"/>
          <w:szCs w:val="2"/>
          <w:rtl/>
        </w:rPr>
      </w:pPr>
      <w:r>
        <w:rPr>
          <w:rFonts w:hAnsi="David"/>
          <w:color w:val="FFFFFF"/>
          <w:sz w:val="2"/>
          <w:szCs w:val="2"/>
          <w:rtl/>
        </w:rPr>
        <w:t>5129371</w:t>
      </w:r>
    </w:p>
    <w:p w14:paraId="5C6BD8C4" w14:textId="77777777" w:rsidR="002645F0" w:rsidRDefault="002645F0">
      <w:pPr>
        <w:keepNext/>
        <w:jc w:val="left"/>
        <w:rPr>
          <w:rFonts w:hAnsi="David" w:hint="cs"/>
          <w:color w:val="000000"/>
          <w:szCs w:val="22"/>
          <w:rtl/>
        </w:rPr>
      </w:pPr>
    </w:p>
    <w:p w14:paraId="3067C20D" w14:textId="77777777" w:rsidR="002645F0" w:rsidRDefault="002645F0">
      <w:pPr>
        <w:keepNext/>
        <w:jc w:val="left"/>
        <w:rPr>
          <w:rFonts w:hAnsi="David"/>
          <w:color w:val="000000"/>
          <w:szCs w:val="22"/>
          <w:rtl/>
        </w:rPr>
      </w:pPr>
      <w:r>
        <w:rPr>
          <w:rFonts w:hAnsi="David"/>
          <w:color w:val="000000"/>
          <w:szCs w:val="22"/>
          <w:rtl/>
        </w:rPr>
        <w:t>ר. שפירא 54678313-5127/06</w:t>
      </w:r>
    </w:p>
    <w:p w14:paraId="178C4750" w14:textId="77777777" w:rsidR="002645F0" w:rsidRDefault="002645F0">
      <w:pPr>
        <w:rPr>
          <w:rFonts w:hint="cs"/>
          <w:b/>
          <w:bCs/>
          <w:color w:val="000000"/>
          <w:sz w:val="30"/>
          <w:rtl/>
        </w:rPr>
      </w:pPr>
    </w:p>
    <w:tbl>
      <w:tblPr>
        <w:tblW w:w="0" w:type="auto"/>
        <w:tblInd w:w="6436" w:type="dxa"/>
        <w:tblBorders>
          <w:top w:val="single" w:sz="4" w:space="0" w:color="auto"/>
        </w:tblBorders>
        <w:tblLook w:val="0000" w:firstRow="0" w:lastRow="0" w:firstColumn="0" w:lastColumn="0" w:noHBand="0" w:noVBand="0"/>
      </w:tblPr>
      <w:tblGrid>
        <w:gridCol w:w="2086"/>
      </w:tblGrid>
      <w:tr w:rsidR="002645F0" w14:paraId="274066D8" w14:textId="77777777">
        <w:tc>
          <w:tcPr>
            <w:tcW w:w="2093" w:type="dxa"/>
            <w:tcBorders>
              <w:top w:val="single" w:sz="4" w:space="0" w:color="auto"/>
              <w:left w:val="nil"/>
              <w:bottom w:val="nil"/>
              <w:right w:val="nil"/>
            </w:tcBorders>
          </w:tcPr>
          <w:p w14:paraId="7B9892B0" w14:textId="77777777" w:rsidR="002645F0" w:rsidRDefault="002645F0">
            <w:pPr>
              <w:jc w:val="center"/>
              <w:rPr>
                <w:b/>
                <w:bCs/>
                <w:sz w:val="30"/>
              </w:rPr>
            </w:pPr>
            <w:r>
              <w:rPr>
                <w:rFonts w:hint="cs"/>
                <w:b/>
                <w:bCs/>
                <w:sz w:val="30"/>
                <w:rtl/>
              </w:rPr>
              <w:t>ר. שפירא, שופט</w:t>
            </w:r>
          </w:p>
        </w:tc>
      </w:tr>
    </w:tbl>
    <w:p w14:paraId="6CB63E83" w14:textId="77777777" w:rsidR="002645F0" w:rsidRDefault="002645F0">
      <w:pPr>
        <w:jc w:val="right"/>
        <w:rPr>
          <w:rFonts w:hint="cs"/>
          <w:b/>
          <w:bCs/>
          <w:color w:val="FF0000"/>
          <w:sz w:val="24"/>
          <w:rtl/>
        </w:rPr>
      </w:pPr>
    </w:p>
    <w:p w14:paraId="268923D3" w14:textId="77777777" w:rsidR="002645F0" w:rsidRDefault="002645F0">
      <w:pPr>
        <w:pStyle w:val="10"/>
        <w:rPr>
          <w:sz w:val="18"/>
          <w:szCs w:val="20"/>
          <w:rtl/>
        </w:rPr>
      </w:pPr>
    </w:p>
    <w:p w14:paraId="76300F6B" w14:textId="77777777" w:rsidR="002645F0" w:rsidRDefault="002645F0">
      <w:pPr>
        <w:pStyle w:val="10"/>
        <w:rPr>
          <w:rFonts w:hint="cs"/>
          <w:color w:val="000000"/>
          <w:rtl/>
        </w:rPr>
      </w:pPr>
      <w:r>
        <w:rPr>
          <w:rFonts w:hint="cs"/>
          <w:rtl/>
        </w:rPr>
        <w:t>הקלדנית: ליאת פ.</w:t>
      </w:r>
      <w:bookmarkEnd w:id="5"/>
    </w:p>
    <w:p w14:paraId="2CCC7DCC" w14:textId="77777777" w:rsidR="002645F0" w:rsidRDefault="002645F0">
      <w:pPr>
        <w:pStyle w:val="10"/>
        <w:rPr>
          <w:rFonts w:hint="cs"/>
          <w:rtl/>
        </w:rPr>
      </w:pPr>
      <w:r>
        <w:rPr>
          <w:color w:val="000000"/>
          <w:rtl/>
        </w:rPr>
        <w:t>נוסח מסמך זה כפוף לשינויי ניסוח ועריכה</w:t>
      </w:r>
    </w:p>
    <w:sectPr w:rsidR="002645F0">
      <w:headerReference w:type="even" r:id="rId22"/>
      <w:headerReference w:type="default" r:id="rId23"/>
      <w:footerReference w:type="even" r:id="rId24"/>
      <w:footerReference w:type="default" r:id="rId25"/>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35F8A" w14:textId="77777777" w:rsidR="00BC3CF5" w:rsidRPr="004041ED" w:rsidRDefault="00BC3CF5">
      <w:pPr>
        <w:rPr>
          <w:rFonts w:cs="Times New Roman"/>
          <w:szCs w:val="20"/>
        </w:rPr>
      </w:pPr>
      <w:r>
        <w:separator/>
      </w:r>
    </w:p>
  </w:endnote>
  <w:endnote w:type="continuationSeparator" w:id="0">
    <w:p w14:paraId="47AE3D76" w14:textId="77777777" w:rsidR="00BC3CF5" w:rsidRPr="004041ED" w:rsidRDefault="00BC3CF5">
      <w:pPr>
        <w:rPr>
          <w:rFonts w:cs="Times New Roman"/>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CDF46" w14:textId="77777777" w:rsidR="00570DDA" w:rsidRDefault="00570DDA">
    <w:pPr>
      <w:pStyle w:val="a4"/>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471E56D2" w14:textId="77777777" w:rsidR="00570DDA" w:rsidRDefault="00570DDA">
    <w:pPr>
      <w:pStyle w:val="a4"/>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1F5A0AF" w14:textId="77777777" w:rsidR="00570DDA" w:rsidRDefault="00570DDA">
    <w:pPr>
      <w:pStyle w:val="a4"/>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Z:\-00000-ps-final-0000000\0000-delemata\2006-10\delemata-2006-10-03\17_06-10-03_17\06079550-l01\m06005127-464.doc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37DB1" w14:textId="77777777" w:rsidR="00570DDA" w:rsidRDefault="00570DDA">
    <w:pPr>
      <w:pStyle w:val="a4"/>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67877">
      <w:rPr>
        <w:rFonts w:hAnsi="FrankRuehl" w:cs="FrankRuehl"/>
        <w:noProof/>
        <w:sz w:val="24"/>
        <w:rtl/>
      </w:rPr>
      <w:t>2</w:t>
    </w:r>
    <w:r>
      <w:rPr>
        <w:rFonts w:hAnsi="FrankRuehl" w:cs="FrankRuehl"/>
        <w:sz w:val="24"/>
        <w:rtl/>
      </w:rPr>
      <w:fldChar w:fldCharType="end"/>
    </w:r>
  </w:p>
  <w:p w14:paraId="18A9F101" w14:textId="77777777" w:rsidR="00570DDA" w:rsidRDefault="00570DDA">
    <w:pPr>
      <w:pStyle w:val="a4"/>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8F7706" w14:textId="77777777" w:rsidR="00570DDA" w:rsidRDefault="00570DDA">
    <w:pPr>
      <w:pStyle w:val="a4"/>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Z:\-00000-ps-final-0000000\0000-delemata\2006-10\delemata-2006-10-03\17_06-10-03_17\06079550-l01\m06005127-464.doc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24204" w14:textId="77777777" w:rsidR="00BC3CF5" w:rsidRPr="004041ED" w:rsidRDefault="00BC3CF5">
      <w:pPr>
        <w:rPr>
          <w:rFonts w:cs="Times New Roman"/>
          <w:szCs w:val="20"/>
        </w:rPr>
      </w:pPr>
      <w:r>
        <w:separator/>
      </w:r>
    </w:p>
  </w:footnote>
  <w:footnote w:type="continuationSeparator" w:id="0">
    <w:p w14:paraId="6C1D3919" w14:textId="77777777" w:rsidR="00BC3CF5" w:rsidRPr="004041ED" w:rsidRDefault="00BC3CF5">
      <w:pPr>
        <w:rPr>
          <w:rFonts w:cs="Times New Roman"/>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5A717" w14:textId="77777777" w:rsidR="00570DDA" w:rsidRDefault="00570DDA">
    <w:pPr>
      <w:pStyle w:val="a3"/>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(חי') 5127/06</w:t>
    </w:r>
    <w:r>
      <w:rPr>
        <w:rFonts w:hAnsi="David"/>
        <w:color w:val="000000"/>
        <w:szCs w:val="22"/>
        <w:rtl/>
      </w:rPr>
      <w:tab/>
      <w:t xml:space="preserve"> מדינת ישראל נ' מיסור בן מחמוד כרכור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4358E" w14:textId="77777777" w:rsidR="00570DDA" w:rsidRDefault="00570DDA">
    <w:pPr>
      <w:pStyle w:val="a3"/>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(חי') 5127/06</w:t>
    </w:r>
    <w:r>
      <w:rPr>
        <w:rFonts w:hAnsi="David"/>
        <w:color w:val="000000"/>
        <w:szCs w:val="22"/>
        <w:rtl/>
      </w:rPr>
      <w:tab/>
      <w:t xml:space="preserve"> מדינת ישראל נ' מיסור בן מחמוד כרכור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1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2645F0"/>
    <w:rsid w:val="00037291"/>
    <w:rsid w:val="00044D19"/>
    <w:rsid w:val="002645F0"/>
    <w:rsid w:val="00567877"/>
    <w:rsid w:val="00570DDA"/>
    <w:rsid w:val="0061549D"/>
    <w:rsid w:val="007046ED"/>
    <w:rsid w:val="00BC3CF5"/>
    <w:rsid w:val="00E944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E05CCD"/>
  <w15:chartTrackingRefBased/>
  <w15:docId w15:val="{F6544EB4-103F-4F87-8186-F8CA84E4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spacing w:line="360" w:lineRule="auto"/>
      <w:jc w:val="both"/>
    </w:pPr>
    <w:rPr>
      <w:rFonts w:cs="David"/>
      <w:sz w:val="22"/>
      <w:szCs w:val="28"/>
      <w:lang w:eastAsia="he-IL"/>
    </w:rPr>
  </w:style>
  <w:style w:type="paragraph" w:styleId="1">
    <w:name w:val="heading 1"/>
    <w:basedOn w:val="a"/>
    <w:next w:val="a"/>
    <w:qFormat/>
    <w:pPr>
      <w:keepNext/>
      <w:jc w:val="center"/>
      <w:outlineLvl w:val="0"/>
    </w:pPr>
    <w:rPr>
      <w:b/>
      <w:bCs/>
      <w:sz w:val="32"/>
      <w:szCs w:val="32"/>
      <w:u w:val="single"/>
    </w:rPr>
  </w:style>
  <w:style w:type="paragraph" w:styleId="2">
    <w:name w:val="heading 2"/>
    <w:basedOn w:val="a"/>
    <w:next w:val="a"/>
    <w:qFormat/>
    <w:pPr>
      <w:keepNext/>
      <w:snapToGrid w:val="0"/>
      <w:spacing w:before="240" w:after="60"/>
      <w:jc w:val="center"/>
      <w:outlineLvl w:val="1"/>
    </w:pPr>
    <w:rPr>
      <w:rFonts w:ascii="Arial"/>
      <w:b/>
      <w:bCs/>
      <w:sz w:val="24"/>
      <w:u w:val="single"/>
    </w:rPr>
  </w:style>
  <w:style w:type="paragraph" w:styleId="3">
    <w:name w:val="heading 3"/>
    <w:basedOn w:val="a"/>
    <w:next w:val="a"/>
    <w:qFormat/>
    <w:pPr>
      <w:keepNext/>
      <w:outlineLvl w:val="2"/>
    </w:pPr>
    <w:rPr>
      <w:b/>
      <w:bCs/>
    </w:rPr>
  </w:style>
  <w:style w:type="paragraph" w:styleId="4">
    <w:name w:val="heading 4"/>
    <w:basedOn w:val="a"/>
    <w:next w:val="a"/>
    <w:qFormat/>
    <w:pPr>
      <w:keepNext/>
      <w:outlineLvl w:val="3"/>
    </w:pPr>
    <w:rPr>
      <w:b/>
      <w:bCs/>
      <w:u w:val="single"/>
    </w:rPr>
  </w:style>
  <w:style w:type="paragraph" w:styleId="5">
    <w:name w:val="heading 5"/>
    <w:basedOn w:val="a"/>
    <w:next w:val="a"/>
    <w:qFormat/>
    <w:pPr>
      <w:keepNext/>
      <w:outlineLvl w:val="4"/>
    </w:pPr>
    <w:rPr>
      <w:b/>
      <w:bCs/>
      <w:u w:val="singl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rPr>
      <w:szCs w:val="24"/>
    </w:rPr>
  </w:style>
  <w:style w:type="paragraph" w:styleId="a4">
    <w:name w:val="footer"/>
    <w:basedOn w:val="a"/>
    <w:pPr>
      <w:tabs>
        <w:tab w:val="center" w:pos="4153"/>
        <w:tab w:val="right" w:pos="8306"/>
      </w:tabs>
      <w:snapToGrid w:val="0"/>
    </w:pPr>
    <w:rPr>
      <w:szCs w:val="24"/>
    </w:rPr>
  </w:style>
  <w:style w:type="paragraph" w:customStyle="1" w:styleId="10">
    <w:name w:val="רגיל1"/>
    <w:pPr>
      <w:bidi/>
      <w:snapToGrid w:val="0"/>
    </w:pPr>
    <w:rPr>
      <w:rFonts w:cs="David"/>
      <w:szCs w:val="24"/>
      <w:lang w:eastAsia="he-IL"/>
    </w:rPr>
  </w:style>
  <w:style w:type="paragraph" w:customStyle="1" w:styleId="a5">
    <w:name w:val="שמות"/>
    <w:basedOn w:val="a"/>
    <w:pPr>
      <w:suppressLineNumbers/>
      <w:snapToGrid w:val="0"/>
    </w:pPr>
    <w:rPr>
      <w:b/>
      <w:bCs/>
      <w:szCs w:val="24"/>
    </w:rPr>
  </w:style>
  <w:style w:type="paragraph" w:styleId="a6">
    <w:name w:val="Quote"/>
    <w:basedOn w:val="a"/>
    <w:qFormat/>
    <w:pPr>
      <w:overflowPunct w:val="0"/>
      <w:autoSpaceDE w:val="0"/>
      <w:autoSpaceDN w:val="0"/>
      <w:adjustRightInd w:val="0"/>
      <w:spacing w:line="240" w:lineRule="auto"/>
      <w:ind w:left="1418" w:right="1418"/>
    </w:pPr>
    <w:rPr>
      <w:b/>
      <w:bCs/>
      <w:sz w:val="28"/>
    </w:rPr>
  </w:style>
  <w:style w:type="paragraph" w:customStyle="1" w:styleId="11">
    <w:name w:val="חתימה1"/>
    <w:basedOn w:val="2"/>
    <w:pPr>
      <w:suppressLineNumbers/>
    </w:pPr>
    <w:rPr>
      <w:rFonts w:hAnsi="Arial"/>
      <w:bCs w:val="0"/>
      <w:szCs w:val="24"/>
    </w:rPr>
  </w:style>
  <w:style w:type="paragraph" w:customStyle="1" w:styleId="a7">
    <w:name w:val="החלטה"/>
    <w:basedOn w:val="10"/>
    <w:pPr>
      <w:suppressLineNumbers/>
    </w:pPr>
    <w:rPr>
      <w:bCs/>
    </w:rPr>
  </w:style>
  <w:style w:type="paragraph" w:customStyle="1" w:styleId="a8">
    <w:name w:val="חקירה"/>
    <w:basedOn w:val="10"/>
    <w:pPr>
      <w:suppressLineNumbers/>
    </w:pPr>
  </w:style>
  <w:style w:type="character" w:styleId="a9">
    <w:name w:val="page number"/>
    <w:rPr>
      <w:rFonts w:cs="David"/>
    </w:rPr>
  </w:style>
  <w:style w:type="paragraph" w:styleId="aa">
    <w:name w:val="Balloon Text"/>
    <w:basedOn w:val="a"/>
    <w:semiHidden/>
    <w:rsid w:val="00037291"/>
    <w:rPr>
      <w:rFonts w:ascii="Tahoma" w:hAnsi="Tahoma" w:cs="Tahoma"/>
      <w:sz w:val="16"/>
      <w:szCs w:val="16"/>
    </w:rPr>
  </w:style>
  <w:style w:type="character" w:styleId="Hyperlink">
    <w:name w:val="Hyperlink"/>
    <w:rsid w:val="000372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13"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case/5707014"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case/17924718" TargetMode="External"/><Relationship Id="rId7" Type="http://schemas.openxmlformats.org/officeDocument/2006/relationships/hyperlink" Target="http://www.nevo.co.il/law/70301/144.a" TargetMode="External"/><Relationship Id="rId12" Type="http://schemas.openxmlformats.org/officeDocument/2006/relationships/hyperlink" Target="http://www.nevo.co.il/case/363454" TargetMode="External"/><Relationship Id="rId17" Type="http://schemas.openxmlformats.org/officeDocument/2006/relationships/hyperlink" Target="http://www.nevo.co.il/case/6091216"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21479667" TargetMode="External"/><Relationship Id="rId20" Type="http://schemas.openxmlformats.org/officeDocument/2006/relationships/hyperlink" Target="http://www.nevo.co.il/case/6207967"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13"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17920107"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413"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1299</Words>
  <Characters>6500</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7784</CharactersWithSpaces>
  <SharedDoc>false</SharedDoc>
  <HLinks>
    <vt:vector size="96" baseType="variant">
      <vt:variant>
        <vt:i4>3997814</vt:i4>
      </vt:variant>
      <vt:variant>
        <vt:i4>45</vt:i4>
      </vt:variant>
      <vt:variant>
        <vt:i4>0</vt:i4>
      </vt:variant>
      <vt:variant>
        <vt:i4>5</vt:i4>
      </vt:variant>
      <vt:variant>
        <vt:lpwstr>http://www.nevo.co.il/case/17924718</vt:lpwstr>
      </vt:variant>
      <vt:variant>
        <vt:lpwstr/>
      </vt:variant>
      <vt:variant>
        <vt:i4>3670135</vt:i4>
      </vt:variant>
      <vt:variant>
        <vt:i4>42</vt:i4>
      </vt:variant>
      <vt:variant>
        <vt:i4>0</vt:i4>
      </vt:variant>
      <vt:variant>
        <vt:i4>5</vt:i4>
      </vt:variant>
      <vt:variant>
        <vt:lpwstr>http://www.nevo.co.il/case/6207967</vt:lpwstr>
      </vt:variant>
      <vt:variant>
        <vt:lpwstr/>
      </vt:variant>
      <vt:variant>
        <vt:i4>3670128</vt:i4>
      </vt:variant>
      <vt:variant>
        <vt:i4>39</vt:i4>
      </vt:variant>
      <vt:variant>
        <vt:i4>0</vt:i4>
      </vt:variant>
      <vt:variant>
        <vt:i4>5</vt:i4>
      </vt:variant>
      <vt:variant>
        <vt:lpwstr>http://www.nevo.co.il/case/17920107</vt:lpwstr>
      </vt:variant>
      <vt:variant>
        <vt:lpwstr/>
      </vt:variant>
      <vt:variant>
        <vt:i4>3211381</vt:i4>
      </vt:variant>
      <vt:variant>
        <vt:i4>36</vt:i4>
      </vt:variant>
      <vt:variant>
        <vt:i4>0</vt:i4>
      </vt:variant>
      <vt:variant>
        <vt:i4>5</vt:i4>
      </vt:variant>
      <vt:variant>
        <vt:lpwstr>http://www.nevo.co.il/case/5707014</vt:lpwstr>
      </vt:variant>
      <vt:variant>
        <vt:lpwstr/>
      </vt:variant>
      <vt:variant>
        <vt:i4>3866740</vt:i4>
      </vt:variant>
      <vt:variant>
        <vt:i4>33</vt:i4>
      </vt:variant>
      <vt:variant>
        <vt:i4>0</vt:i4>
      </vt:variant>
      <vt:variant>
        <vt:i4>5</vt:i4>
      </vt:variant>
      <vt:variant>
        <vt:lpwstr>http://www.nevo.co.il/case/6091216</vt:lpwstr>
      </vt:variant>
      <vt:variant>
        <vt:lpwstr/>
      </vt:variant>
      <vt:variant>
        <vt:i4>3735668</vt:i4>
      </vt:variant>
      <vt:variant>
        <vt:i4>30</vt:i4>
      </vt:variant>
      <vt:variant>
        <vt:i4>0</vt:i4>
      </vt:variant>
      <vt:variant>
        <vt:i4>5</vt:i4>
      </vt:variant>
      <vt:variant>
        <vt:lpwstr>http://www.nevo.co.il/case/21479667</vt:lpwstr>
      </vt:variant>
      <vt:variant>
        <vt:lpwstr/>
      </vt:variant>
      <vt:variant>
        <vt:i4>7995492</vt:i4>
      </vt:variant>
      <vt:variant>
        <vt:i4>27</vt:i4>
      </vt:variant>
      <vt:variant>
        <vt:i4>0</vt:i4>
      </vt:variant>
      <vt:variant>
        <vt:i4>5</vt:i4>
      </vt:variant>
      <vt:variant>
        <vt:lpwstr>http://www.nevo.co.il/law/70301</vt:lpwstr>
      </vt:variant>
      <vt:variant>
        <vt:lpwstr/>
      </vt:variant>
      <vt:variant>
        <vt:i4>6553697</vt:i4>
      </vt:variant>
      <vt:variant>
        <vt:i4>24</vt:i4>
      </vt:variant>
      <vt:variant>
        <vt:i4>0</vt:i4>
      </vt:variant>
      <vt:variant>
        <vt:i4>5</vt:i4>
      </vt:variant>
      <vt:variant>
        <vt:lpwstr>http://www.nevo.co.il/law/70301/413</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327750</vt:i4>
      </vt:variant>
      <vt:variant>
        <vt:i4>18</vt:i4>
      </vt:variant>
      <vt:variant>
        <vt:i4>0</vt:i4>
      </vt:variant>
      <vt:variant>
        <vt:i4>5</vt:i4>
      </vt:variant>
      <vt:variant>
        <vt:lpwstr>http://www.nevo.co.il/case/363454</vt:lpwstr>
      </vt:variant>
      <vt:variant>
        <vt:lpwstr/>
      </vt:variant>
      <vt:variant>
        <vt:i4>6553697</vt:i4>
      </vt:variant>
      <vt:variant>
        <vt:i4>15</vt:i4>
      </vt:variant>
      <vt:variant>
        <vt:i4>0</vt:i4>
      </vt:variant>
      <vt:variant>
        <vt:i4>5</vt:i4>
      </vt:variant>
      <vt:variant>
        <vt:lpwstr>http://www.nevo.co.il/law/70301/413</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6553697</vt:i4>
      </vt:variant>
      <vt:variant>
        <vt:i4>6</vt:i4>
      </vt:variant>
      <vt:variant>
        <vt:i4>0</vt:i4>
      </vt:variant>
      <vt:variant>
        <vt:i4>5</vt:i4>
      </vt:variant>
      <vt:variant>
        <vt:lpwstr>http://www.nevo.co.il/law/70301/413</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cp:lastPrinted>2006-07-09T07:18:00Z</cp:lastPrinted>
  <dcterms:created xsi:type="dcterms:W3CDTF">2024-01-07T12:10:00Z</dcterms:created>
  <dcterms:modified xsi:type="dcterms:W3CDTF">2024-01-07T12:10:00Z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תפ</vt:lpwstr>
  </property>
  <property fmtid="{D5CDD505-2E9C-101B-9397-08002B2CF9AE}" pid="5" name="PROCNUM">
    <vt:lpwstr>5127</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מיסור בן מחמוד כרכור</vt:lpwstr>
  </property>
  <property fmtid="{D5CDD505-2E9C-101B-9397-08002B2CF9AE}" pid="9" name="JUDGE">
    <vt:lpwstr>ר. שפירא</vt:lpwstr>
  </property>
  <property fmtid="{D5CDD505-2E9C-101B-9397-08002B2CF9AE}" pid="10" name="CITY">
    <vt:lpwstr>חי'</vt:lpwstr>
  </property>
  <property fmtid="{D5CDD505-2E9C-101B-9397-08002B2CF9AE}" pid="11" name="DATE">
    <vt:lpwstr>20060710</vt:lpwstr>
  </property>
  <property fmtid="{D5CDD505-2E9C-101B-9397-08002B2CF9AE}" pid="12" name="WORDNUMPAGES">
    <vt:lpwstr>7</vt:lpwstr>
  </property>
  <property fmtid="{D5CDD505-2E9C-101B-9397-08002B2CF9AE}" pid="13" name="LAWYER">
    <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http://www.nevo.co.il/Psika_word/elyon/06079550-l01-et.doc;להחלטה בעליון (03-10-06) # ע''פ 7955/06 מיסור כרכור נ' מדינת ישראל # שופטים: יגאל מרזל#עו''ד: חדאד ניזאר, פרקליטות המדינה</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DELEMATA">
    <vt:lpwstr>http://elyon2.court.gov.il/scripts9/mgrqispi93.dll?Appname=eScourt&amp;Prgname=GetFileDetails&amp;Arguments=-N2006-007955-0</vt:lpwstr>
  </property>
  <property fmtid="{D5CDD505-2E9C-101B-9397-08002B2CF9AE}" pid="32" name="CASESLISTTMP1">
    <vt:lpwstr>363454;21479667;6091216;5707014;17920107;6207967;17924718</vt:lpwstr>
  </property>
  <property fmtid="{D5CDD505-2E9C-101B-9397-08002B2CF9AE}" pid="33" name="LAWLISTTMP1">
    <vt:lpwstr>70301/144.a:2;413:2</vt:lpwstr>
  </property>
</Properties>
</file>