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01F6" w14:textId="77777777" w:rsidR="00131EEF" w:rsidRPr="003C7553" w:rsidRDefault="00131EEF">
      <w:pPr>
        <w:jc w:val="center"/>
      </w:pPr>
      <w:bookmarkStart w:id="0" w:name="LastJudge"/>
      <w:r w:rsidRPr="003C7553">
        <w:rPr>
          <w:rFonts w:hint="cs"/>
          <w:b/>
          <w:bCs/>
          <w:szCs w:val="32"/>
          <w:rtl/>
        </w:rPr>
        <w:t>בתי המשפט</w:t>
      </w:r>
      <w:r w:rsidRPr="003C7553">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131EEF" w:rsidRPr="003C7553" w14:paraId="2ACA003E" w14:textId="77777777">
        <w:trPr>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0E8626CB" w14:textId="77777777" w:rsidR="00131EEF" w:rsidRPr="003C7553" w:rsidRDefault="00131EEF">
            <w:pPr>
              <w:jc w:val="both"/>
              <w:rPr>
                <w:b/>
                <w:bCs/>
                <w:sz w:val="28"/>
                <w:szCs w:val="28"/>
              </w:rPr>
            </w:pPr>
            <w:r w:rsidRPr="003C7553">
              <w:rPr>
                <w:rFonts w:hint="cs"/>
                <w:b/>
                <w:bCs/>
                <w:sz w:val="28"/>
                <w:szCs w:val="28"/>
                <w:rtl/>
              </w:rPr>
              <w:t>בית המשפט המחוזי בנצרת</w:t>
            </w:r>
          </w:p>
        </w:tc>
        <w:tc>
          <w:tcPr>
            <w:tcW w:w="2914" w:type="dxa"/>
            <w:gridSpan w:val="2"/>
            <w:tcBorders>
              <w:top w:val="single" w:sz="4" w:space="0" w:color="auto"/>
              <w:left w:val="single" w:sz="4" w:space="0" w:color="auto"/>
              <w:bottom w:val="single" w:sz="4" w:space="0" w:color="auto"/>
              <w:right w:val="single" w:sz="4" w:space="0" w:color="auto"/>
            </w:tcBorders>
          </w:tcPr>
          <w:p w14:paraId="4B8AE6ED" w14:textId="77777777" w:rsidR="00131EEF" w:rsidRPr="003C7553" w:rsidRDefault="00131EEF">
            <w:pPr>
              <w:jc w:val="right"/>
              <w:rPr>
                <w:b/>
                <w:bCs/>
                <w:sz w:val="28"/>
                <w:szCs w:val="28"/>
              </w:rPr>
            </w:pPr>
            <w:r w:rsidRPr="003C7553">
              <w:rPr>
                <w:rFonts w:hint="cs"/>
                <w:b/>
                <w:bCs/>
                <w:sz w:val="28"/>
                <w:szCs w:val="28"/>
                <w:rtl/>
              </w:rPr>
              <w:t>פ  001074/07</w:t>
            </w:r>
          </w:p>
        </w:tc>
      </w:tr>
      <w:tr w:rsidR="00131EEF" w:rsidRPr="003C7553" w14:paraId="210B3E3D"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27824D0" w14:textId="77777777" w:rsidR="00131EEF" w:rsidRPr="003C7553" w:rsidRDefault="00131EEF">
            <w:pPr>
              <w:bidi w:val="0"/>
              <w:snapToGrid/>
              <w:rPr>
                <w:b/>
                <w:bCs/>
                <w:sz w:val="28"/>
                <w:szCs w:val="28"/>
              </w:rPr>
            </w:pPr>
          </w:p>
        </w:tc>
        <w:tc>
          <w:tcPr>
            <w:tcW w:w="2914" w:type="dxa"/>
            <w:gridSpan w:val="2"/>
            <w:tcBorders>
              <w:top w:val="single" w:sz="4" w:space="0" w:color="auto"/>
              <w:left w:val="single" w:sz="4" w:space="0" w:color="auto"/>
              <w:bottom w:val="single" w:sz="4" w:space="0" w:color="auto"/>
              <w:right w:val="single" w:sz="4" w:space="0" w:color="auto"/>
            </w:tcBorders>
          </w:tcPr>
          <w:p w14:paraId="762914AE" w14:textId="77777777" w:rsidR="00131EEF" w:rsidRPr="003C7553" w:rsidRDefault="00131EEF">
            <w:pPr>
              <w:jc w:val="right"/>
              <w:rPr>
                <w:sz w:val="28"/>
                <w:szCs w:val="28"/>
              </w:rPr>
            </w:pPr>
          </w:p>
        </w:tc>
      </w:tr>
      <w:tr w:rsidR="00131EEF" w:rsidRPr="003C7553" w14:paraId="1D82C0F2"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75F7AB5" w14:textId="77777777" w:rsidR="00131EEF" w:rsidRPr="003C7553" w:rsidRDefault="00131EEF">
            <w:pPr>
              <w:rPr>
                <w:b/>
                <w:bCs/>
                <w:sz w:val="28"/>
                <w:szCs w:val="28"/>
              </w:rPr>
            </w:pPr>
            <w:r w:rsidRPr="003C7553">
              <w:rPr>
                <w:rFonts w:hint="cs"/>
                <w:b/>
                <w:bCs/>
                <w:sz w:val="28"/>
                <w:szCs w:val="28"/>
                <w:rtl/>
              </w:rPr>
              <w:t>בפני:</w:t>
            </w:r>
          </w:p>
        </w:tc>
        <w:tc>
          <w:tcPr>
            <w:tcW w:w="4700" w:type="dxa"/>
            <w:tcBorders>
              <w:top w:val="single" w:sz="4" w:space="0" w:color="auto"/>
              <w:left w:val="single" w:sz="4" w:space="0" w:color="auto"/>
              <w:bottom w:val="single" w:sz="4" w:space="0" w:color="auto"/>
              <w:right w:val="single" w:sz="4" w:space="0" w:color="auto"/>
            </w:tcBorders>
          </w:tcPr>
          <w:p w14:paraId="34F355B6" w14:textId="77777777" w:rsidR="00131EEF" w:rsidRPr="003C7553" w:rsidRDefault="00131EEF">
            <w:pPr>
              <w:pStyle w:val="4"/>
            </w:pPr>
            <w:r w:rsidRPr="003C7553">
              <w:rPr>
                <w:rFonts w:hint="cs"/>
                <w:rtl/>
              </w:rPr>
              <w:t>כב' השופט עאטף עיילבוני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62BE66E" w14:textId="77777777" w:rsidR="00131EEF" w:rsidRPr="003C7553" w:rsidRDefault="00131EEF">
            <w:pPr>
              <w:jc w:val="both"/>
              <w:rPr>
                <w:b/>
                <w:bCs/>
                <w:sz w:val="28"/>
                <w:szCs w:val="28"/>
              </w:rPr>
            </w:pPr>
            <w:r w:rsidRPr="003C7553">
              <w:rPr>
                <w:rFonts w:hint="cs"/>
                <w:b/>
                <w:bCs/>
                <w:sz w:val="28"/>
                <w:szCs w:val="28"/>
                <w:rtl/>
              </w:rPr>
              <w:t>תאריך:</w:t>
            </w:r>
          </w:p>
        </w:tc>
        <w:tc>
          <w:tcPr>
            <w:tcW w:w="1950" w:type="dxa"/>
            <w:tcBorders>
              <w:top w:val="single" w:sz="4" w:space="0" w:color="auto"/>
              <w:left w:val="single" w:sz="4" w:space="0" w:color="auto"/>
              <w:bottom w:val="single" w:sz="4" w:space="0" w:color="auto"/>
              <w:right w:val="single" w:sz="4" w:space="0" w:color="auto"/>
            </w:tcBorders>
          </w:tcPr>
          <w:p w14:paraId="0D33F676" w14:textId="77777777" w:rsidR="00131EEF" w:rsidRPr="003C7553" w:rsidRDefault="00131EEF">
            <w:pPr>
              <w:jc w:val="right"/>
              <w:rPr>
                <w:b/>
                <w:bCs/>
                <w:sz w:val="28"/>
                <w:szCs w:val="28"/>
              </w:rPr>
            </w:pPr>
            <w:r w:rsidRPr="003C7553">
              <w:rPr>
                <w:rFonts w:hint="cs"/>
                <w:b/>
                <w:bCs/>
                <w:sz w:val="28"/>
                <w:szCs w:val="28"/>
                <w:rtl/>
              </w:rPr>
              <w:t>06/03/2008</w:t>
            </w:r>
          </w:p>
        </w:tc>
      </w:tr>
    </w:tbl>
    <w:p w14:paraId="3C30C09B" w14:textId="77777777" w:rsidR="00131EEF" w:rsidRPr="003C7553" w:rsidRDefault="00131EEF">
      <w:pPr>
        <w:jc w:val="both"/>
        <w:rPr>
          <w:rFonts w:hint="cs"/>
          <w:b/>
          <w:b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544"/>
        <w:gridCol w:w="1928"/>
      </w:tblGrid>
      <w:tr w:rsidR="00131EEF" w:rsidRPr="003C7553" w14:paraId="0BAABDBA" w14:textId="77777777">
        <w:tc>
          <w:tcPr>
            <w:tcW w:w="1362" w:type="dxa"/>
          </w:tcPr>
          <w:p w14:paraId="3559D918" w14:textId="77777777" w:rsidR="00131EEF" w:rsidRPr="003C7553" w:rsidRDefault="00131EEF">
            <w:pPr>
              <w:pStyle w:val="a7"/>
              <w:spacing w:line="240" w:lineRule="auto"/>
              <w:rPr>
                <w:szCs w:val="26"/>
              </w:rPr>
            </w:pPr>
            <w:bookmarkStart w:id="1" w:name="FirstAppellant"/>
            <w:r w:rsidRPr="003C7553">
              <w:rPr>
                <w:rFonts w:hint="cs"/>
                <w:rtl/>
              </w:rPr>
              <w:t>בעניין:</w:t>
            </w:r>
          </w:p>
        </w:tc>
        <w:tc>
          <w:tcPr>
            <w:tcW w:w="5301" w:type="dxa"/>
            <w:gridSpan w:val="2"/>
          </w:tcPr>
          <w:p w14:paraId="52EA3EF1" w14:textId="77777777" w:rsidR="00131EEF" w:rsidRPr="003C7553" w:rsidRDefault="00131EEF">
            <w:pPr>
              <w:pStyle w:val="a7"/>
              <w:spacing w:line="240" w:lineRule="auto"/>
              <w:jc w:val="left"/>
            </w:pPr>
            <w:r w:rsidRPr="003C7553">
              <w:rPr>
                <w:rFonts w:hint="cs"/>
                <w:rtl/>
              </w:rPr>
              <w:t>מדינת ישראל</w:t>
            </w:r>
          </w:p>
        </w:tc>
        <w:tc>
          <w:tcPr>
            <w:tcW w:w="1928" w:type="dxa"/>
          </w:tcPr>
          <w:p w14:paraId="7F7D797D" w14:textId="77777777" w:rsidR="00131EEF" w:rsidRPr="003C7553" w:rsidRDefault="00131EEF">
            <w:pPr>
              <w:pStyle w:val="a7"/>
              <w:spacing w:line="240" w:lineRule="auto"/>
            </w:pPr>
          </w:p>
        </w:tc>
      </w:tr>
      <w:tr w:rsidR="00131EEF" w:rsidRPr="003C7553" w14:paraId="76F42DB7" w14:textId="77777777">
        <w:tc>
          <w:tcPr>
            <w:tcW w:w="1362" w:type="dxa"/>
          </w:tcPr>
          <w:p w14:paraId="303D523A" w14:textId="77777777" w:rsidR="00131EEF" w:rsidRPr="003C7553" w:rsidRDefault="00131EEF">
            <w:pPr>
              <w:pStyle w:val="a7"/>
              <w:spacing w:line="240" w:lineRule="auto"/>
              <w:rPr>
                <w:b w:val="0"/>
                <w:bCs w:val="0"/>
              </w:rPr>
            </w:pPr>
            <w:bookmarkStart w:id="2" w:name="FirstLawyer"/>
            <w:bookmarkEnd w:id="1"/>
          </w:p>
        </w:tc>
        <w:tc>
          <w:tcPr>
            <w:tcW w:w="1757" w:type="dxa"/>
          </w:tcPr>
          <w:p w14:paraId="3B8843C0" w14:textId="77777777" w:rsidR="00131EEF" w:rsidRPr="003C7553" w:rsidRDefault="00131EEF">
            <w:pPr>
              <w:pStyle w:val="a7"/>
              <w:spacing w:line="240" w:lineRule="auto"/>
              <w:jc w:val="right"/>
              <w:rPr>
                <w:b w:val="0"/>
                <w:bCs w:val="0"/>
              </w:rPr>
            </w:pPr>
            <w:r w:rsidRPr="003C7553">
              <w:rPr>
                <w:rFonts w:hint="cs"/>
                <w:b w:val="0"/>
                <w:bCs w:val="0"/>
                <w:rtl/>
              </w:rPr>
              <w:t xml:space="preserve">ע"י ב"כ עו"ד </w:t>
            </w:r>
          </w:p>
        </w:tc>
        <w:tc>
          <w:tcPr>
            <w:tcW w:w="3544" w:type="dxa"/>
          </w:tcPr>
          <w:p w14:paraId="759BFDEE" w14:textId="77777777" w:rsidR="00131EEF" w:rsidRPr="003C7553" w:rsidRDefault="00131EEF">
            <w:pPr>
              <w:pStyle w:val="a7"/>
              <w:spacing w:line="240" w:lineRule="auto"/>
              <w:jc w:val="left"/>
              <w:rPr>
                <w:b w:val="0"/>
                <w:bCs w:val="0"/>
              </w:rPr>
            </w:pPr>
            <w:r w:rsidRPr="003C7553">
              <w:rPr>
                <w:rFonts w:hint="cs"/>
                <w:b w:val="0"/>
                <w:bCs w:val="0"/>
                <w:rtl/>
              </w:rPr>
              <w:t>מפרקליטות מחוז הצפון-פלילי</w:t>
            </w:r>
          </w:p>
        </w:tc>
        <w:tc>
          <w:tcPr>
            <w:tcW w:w="1928" w:type="dxa"/>
          </w:tcPr>
          <w:p w14:paraId="7C6983DA" w14:textId="77777777" w:rsidR="00131EEF" w:rsidRPr="003C7553" w:rsidRDefault="00131EEF">
            <w:pPr>
              <w:pStyle w:val="a7"/>
              <w:spacing w:line="240" w:lineRule="auto"/>
            </w:pPr>
            <w:bookmarkStart w:id="3" w:name="כינוי_א"/>
            <w:r w:rsidRPr="003C7553">
              <w:rPr>
                <w:rFonts w:hint="cs"/>
                <w:rtl/>
              </w:rPr>
              <w:t>המאשימה</w:t>
            </w:r>
            <w:bookmarkEnd w:id="3"/>
          </w:p>
        </w:tc>
      </w:tr>
      <w:bookmarkEnd w:id="2"/>
      <w:tr w:rsidR="00131EEF" w:rsidRPr="003C7553" w14:paraId="234653DB" w14:textId="77777777">
        <w:tc>
          <w:tcPr>
            <w:tcW w:w="1362" w:type="dxa"/>
          </w:tcPr>
          <w:p w14:paraId="108AB880" w14:textId="77777777" w:rsidR="00131EEF" w:rsidRPr="003C7553" w:rsidRDefault="00131EEF">
            <w:pPr>
              <w:pStyle w:val="a7"/>
              <w:spacing w:line="240" w:lineRule="auto"/>
            </w:pPr>
          </w:p>
        </w:tc>
        <w:tc>
          <w:tcPr>
            <w:tcW w:w="5301" w:type="dxa"/>
            <w:gridSpan w:val="2"/>
          </w:tcPr>
          <w:p w14:paraId="34D4B315" w14:textId="77777777" w:rsidR="00131EEF" w:rsidRPr="003C7553" w:rsidRDefault="00131EEF">
            <w:pPr>
              <w:pStyle w:val="a7"/>
              <w:spacing w:line="240" w:lineRule="auto"/>
              <w:jc w:val="center"/>
            </w:pPr>
          </w:p>
          <w:p w14:paraId="5EE70963" w14:textId="77777777" w:rsidR="00131EEF" w:rsidRPr="003C7553" w:rsidRDefault="00131EEF">
            <w:pPr>
              <w:pStyle w:val="a7"/>
              <w:spacing w:line="240" w:lineRule="auto"/>
              <w:jc w:val="center"/>
              <w:rPr>
                <w:rFonts w:hint="cs"/>
                <w:rtl/>
              </w:rPr>
            </w:pPr>
            <w:r w:rsidRPr="003C7553">
              <w:rPr>
                <w:rFonts w:hint="cs"/>
                <w:rtl/>
              </w:rPr>
              <w:t>נ  ג  ד</w:t>
            </w:r>
          </w:p>
          <w:p w14:paraId="60601638" w14:textId="77777777" w:rsidR="00131EEF" w:rsidRPr="003C7553" w:rsidRDefault="00131EEF">
            <w:pPr>
              <w:pStyle w:val="a7"/>
              <w:spacing w:line="240" w:lineRule="auto"/>
              <w:jc w:val="center"/>
            </w:pPr>
          </w:p>
        </w:tc>
        <w:tc>
          <w:tcPr>
            <w:tcW w:w="1928" w:type="dxa"/>
          </w:tcPr>
          <w:p w14:paraId="61415AD4" w14:textId="77777777" w:rsidR="00131EEF" w:rsidRPr="003C7553" w:rsidRDefault="00131EEF">
            <w:pPr>
              <w:pStyle w:val="a7"/>
              <w:spacing w:line="240" w:lineRule="auto"/>
            </w:pPr>
          </w:p>
        </w:tc>
      </w:tr>
      <w:tr w:rsidR="00131EEF" w:rsidRPr="003C7553" w14:paraId="51461540" w14:textId="77777777">
        <w:tc>
          <w:tcPr>
            <w:tcW w:w="1362" w:type="dxa"/>
          </w:tcPr>
          <w:p w14:paraId="5C0BAE0E" w14:textId="77777777" w:rsidR="00131EEF" w:rsidRPr="003C7553" w:rsidRDefault="00131EEF">
            <w:pPr>
              <w:pStyle w:val="a7"/>
              <w:spacing w:line="240" w:lineRule="auto"/>
              <w:rPr>
                <w:szCs w:val="26"/>
              </w:rPr>
            </w:pPr>
          </w:p>
        </w:tc>
        <w:tc>
          <w:tcPr>
            <w:tcW w:w="5301" w:type="dxa"/>
            <w:gridSpan w:val="2"/>
          </w:tcPr>
          <w:p w14:paraId="47214373" w14:textId="77777777" w:rsidR="00131EEF" w:rsidRPr="003C7553" w:rsidRDefault="00131EEF">
            <w:pPr>
              <w:pStyle w:val="a7"/>
              <w:spacing w:line="240" w:lineRule="auto"/>
            </w:pPr>
            <w:r w:rsidRPr="003C7553">
              <w:rPr>
                <w:rFonts w:hint="cs"/>
                <w:rtl/>
              </w:rPr>
              <w:t xml:space="preserve">שלבי אחמד ת.ז. </w:t>
            </w:r>
            <w:r w:rsidR="00757899">
              <w:t>xxxxxxxxx</w:t>
            </w:r>
          </w:p>
        </w:tc>
        <w:tc>
          <w:tcPr>
            <w:tcW w:w="1928" w:type="dxa"/>
          </w:tcPr>
          <w:p w14:paraId="62256FFD" w14:textId="77777777" w:rsidR="00131EEF" w:rsidRPr="003C7553" w:rsidRDefault="00131EEF">
            <w:pPr>
              <w:pStyle w:val="a7"/>
              <w:spacing w:line="240" w:lineRule="auto"/>
            </w:pPr>
          </w:p>
        </w:tc>
      </w:tr>
      <w:tr w:rsidR="00131EEF" w:rsidRPr="003C7553" w14:paraId="2276D904" w14:textId="77777777">
        <w:tc>
          <w:tcPr>
            <w:tcW w:w="1362" w:type="dxa"/>
          </w:tcPr>
          <w:p w14:paraId="08AA1803" w14:textId="77777777" w:rsidR="00131EEF" w:rsidRPr="003C7553" w:rsidRDefault="00131EEF">
            <w:pPr>
              <w:pStyle w:val="a7"/>
              <w:spacing w:line="240" w:lineRule="auto"/>
              <w:rPr>
                <w:b w:val="0"/>
                <w:bCs w:val="0"/>
              </w:rPr>
            </w:pPr>
          </w:p>
        </w:tc>
        <w:tc>
          <w:tcPr>
            <w:tcW w:w="1757" w:type="dxa"/>
          </w:tcPr>
          <w:p w14:paraId="0067E3D1" w14:textId="77777777" w:rsidR="00131EEF" w:rsidRPr="003C7553" w:rsidRDefault="00131EEF">
            <w:pPr>
              <w:pStyle w:val="a7"/>
              <w:spacing w:line="240" w:lineRule="auto"/>
              <w:jc w:val="right"/>
              <w:rPr>
                <w:b w:val="0"/>
                <w:bCs w:val="0"/>
              </w:rPr>
            </w:pPr>
            <w:r w:rsidRPr="003C7553">
              <w:rPr>
                <w:rFonts w:hint="cs"/>
                <w:b w:val="0"/>
                <w:bCs w:val="0"/>
                <w:rtl/>
              </w:rPr>
              <w:t>ע"י ב"כ עו"ד</w:t>
            </w:r>
          </w:p>
        </w:tc>
        <w:tc>
          <w:tcPr>
            <w:tcW w:w="3544" w:type="dxa"/>
          </w:tcPr>
          <w:p w14:paraId="2C9B694C" w14:textId="77777777" w:rsidR="00131EEF" w:rsidRPr="003C7553" w:rsidRDefault="00131EEF">
            <w:pPr>
              <w:pStyle w:val="a7"/>
              <w:spacing w:line="240" w:lineRule="auto"/>
              <w:jc w:val="left"/>
              <w:rPr>
                <w:b w:val="0"/>
                <w:bCs w:val="0"/>
              </w:rPr>
            </w:pPr>
            <w:bookmarkStart w:id="4" w:name="בא_כוח_ב"/>
            <w:r w:rsidRPr="003C7553">
              <w:rPr>
                <w:rFonts w:hint="cs"/>
                <w:b w:val="0"/>
                <w:bCs w:val="0"/>
                <w:rtl/>
              </w:rPr>
              <w:t>דאוד פהים</w:t>
            </w:r>
            <w:bookmarkEnd w:id="4"/>
          </w:p>
        </w:tc>
        <w:tc>
          <w:tcPr>
            <w:tcW w:w="1928" w:type="dxa"/>
          </w:tcPr>
          <w:p w14:paraId="61234E11" w14:textId="77777777" w:rsidR="00131EEF" w:rsidRPr="003C7553" w:rsidRDefault="00131EEF">
            <w:pPr>
              <w:pStyle w:val="a7"/>
              <w:spacing w:line="240" w:lineRule="auto"/>
            </w:pPr>
            <w:bookmarkStart w:id="5" w:name="כינוי_ב"/>
            <w:r w:rsidRPr="003C7553">
              <w:rPr>
                <w:rFonts w:hint="cs"/>
                <w:rtl/>
              </w:rPr>
              <w:t>הנאשם</w:t>
            </w:r>
            <w:bookmarkEnd w:id="5"/>
          </w:p>
        </w:tc>
      </w:tr>
    </w:tbl>
    <w:p w14:paraId="44702513" w14:textId="77777777" w:rsidR="00131EEF" w:rsidRPr="003C7553" w:rsidRDefault="00131EEF">
      <w:pPr>
        <w:pStyle w:val="a7"/>
        <w:spacing w:line="240" w:lineRule="auto"/>
        <w:rPr>
          <w:rFonts w:hint="cs"/>
          <w:b w:val="0"/>
          <w:bCs w:val="0"/>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131EEF" w:rsidRPr="003C7553" w14:paraId="70A1207C" w14:textId="77777777">
        <w:tc>
          <w:tcPr>
            <w:tcW w:w="1332" w:type="dxa"/>
          </w:tcPr>
          <w:p w14:paraId="1D4B33B4" w14:textId="77777777" w:rsidR="00131EEF" w:rsidRPr="003C7553" w:rsidRDefault="00131EEF">
            <w:pPr>
              <w:pStyle w:val="a7"/>
              <w:spacing w:line="240" w:lineRule="auto"/>
            </w:pPr>
            <w:r w:rsidRPr="003C7553">
              <w:rPr>
                <w:rFonts w:hint="cs"/>
                <w:rtl/>
              </w:rPr>
              <w:t>נוכחים</w:t>
            </w:r>
            <w:r w:rsidRPr="003C7553">
              <w:rPr>
                <w:rFonts w:hint="cs"/>
                <w:b w:val="0"/>
                <w:bCs w:val="0"/>
                <w:rtl/>
              </w:rPr>
              <w:t>:</w:t>
            </w:r>
          </w:p>
        </w:tc>
        <w:tc>
          <w:tcPr>
            <w:tcW w:w="7230" w:type="dxa"/>
          </w:tcPr>
          <w:p w14:paraId="690B4626" w14:textId="77777777" w:rsidR="00131EEF" w:rsidRPr="003C7553" w:rsidRDefault="00131EEF">
            <w:pPr>
              <w:pStyle w:val="a7"/>
              <w:spacing w:line="240" w:lineRule="auto"/>
              <w:rPr>
                <w:rFonts w:hint="cs"/>
                <w:b w:val="0"/>
                <w:bCs w:val="0"/>
              </w:rPr>
            </w:pPr>
            <w:r w:rsidRPr="003C7553">
              <w:rPr>
                <w:rFonts w:hint="cs"/>
                <w:b w:val="0"/>
                <w:bCs w:val="0"/>
                <w:rtl/>
              </w:rPr>
              <w:t>מטעם המאשימה: עו"ד גיל דביר</w:t>
            </w:r>
          </w:p>
          <w:p w14:paraId="708EFDC3" w14:textId="77777777" w:rsidR="00131EEF" w:rsidRPr="003C7553" w:rsidRDefault="00131EEF">
            <w:pPr>
              <w:pStyle w:val="a7"/>
              <w:spacing w:line="240" w:lineRule="auto"/>
              <w:rPr>
                <w:rFonts w:hint="cs"/>
                <w:b w:val="0"/>
                <w:bCs w:val="0"/>
                <w:rtl/>
              </w:rPr>
            </w:pPr>
            <w:r w:rsidRPr="003C7553">
              <w:rPr>
                <w:rFonts w:hint="cs"/>
                <w:b w:val="0"/>
                <w:bCs w:val="0"/>
                <w:rtl/>
              </w:rPr>
              <w:t>הנאשם: הופיע</w:t>
            </w:r>
          </w:p>
          <w:p w14:paraId="38AA1980" w14:textId="77777777" w:rsidR="00131EEF" w:rsidRPr="003C7553" w:rsidRDefault="00131EEF">
            <w:pPr>
              <w:pStyle w:val="a7"/>
              <w:spacing w:line="240" w:lineRule="auto"/>
              <w:rPr>
                <w:b w:val="0"/>
                <w:bCs w:val="0"/>
              </w:rPr>
            </w:pPr>
            <w:r w:rsidRPr="003C7553">
              <w:rPr>
                <w:rFonts w:hint="cs"/>
                <w:b w:val="0"/>
                <w:bCs w:val="0"/>
                <w:rtl/>
              </w:rPr>
              <w:t>מטעם הנאשם: ע"י ב"כ עו"ד פהים דאוד</w:t>
            </w:r>
          </w:p>
        </w:tc>
      </w:tr>
    </w:tbl>
    <w:p w14:paraId="70681ED8" w14:textId="77777777" w:rsidR="00131EEF" w:rsidRPr="003C7553" w:rsidRDefault="00131EEF">
      <w:pPr>
        <w:suppressLineNumbers/>
        <w:spacing w:line="360" w:lineRule="auto"/>
        <w:jc w:val="center"/>
        <w:rPr>
          <w:rFonts w:hint="cs"/>
          <w:rtl/>
        </w:rPr>
      </w:pPr>
    </w:p>
    <w:bookmarkEnd w:id="0"/>
    <w:p w14:paraId="65743097" w14:textId="77777777" w:rsidR="003C7553" w:rsidRPr="003C7553" w:rsidRDefault="003C7553" w:rsidP="003C7553">
      <w:pPr>
        <w:suppressLineNumbers/>
        <w:spacing w:line="360" w:lineRule="auto"/>
        <w:jc w:val="center"/>
        <w:rPr>
          <w:b/>
          <w:bCs/>
          <w:sz w:val="30"/>
          <w:szCs w:val="28"/>
          <w:u w:val="single"/>
          <w:rtl/>
        </w:rPr>
      </w:pPr>
      <w:r w:rsidRPr="003C7553">
        <w:rPr>
          <w:b/>
          <w:bCs/>
          <w:sz w:val="30"/>
          <w:szCs w:val="28"/>
          <w:u w:val="single"/>
          <w:rtl/>
        </w:rPr>
        <w:t>פרוטוקול</w:t>
      </w:r>
    </w:p>
    <w:p w14:paraId="3578EEE4" w14:textId="77777777" w:rsidR="00131EEF" w:rsidRDefault="00131EEF">
      <w:pPr>
        <w:suppressLineNumbers/>
        <w:spacing w:line="360" w:lineRule="auto"/>
        <w:jc w:val="center"/>
        <w:rPr>
          <w:rFonts w:hint="cs"/>
          <w:rtl/>
        </w:rPr>
      </w:pPr>
    </w:p>
    <w:p w14:paraId="7B717917" w14:textId="77777777" w:rsidR="00D01159" w:rsidRDefault="00131EEF" w:rsidP="00D01159">
      <w:pPr>
        <w:pStyle w:val="5"/>
        <w:rPr>
          <w:u w:val="none"/>
          <w:rtl/>
        </w:rPr>
      </w:pPr>
      <w:r>
        <w:rPr>
          <w:rFonts w:hint="cs"/>
          <w:b/>
          <w:bCs/>
          <w:rtl/>
        </w:rPr>
        <w:t>עו"ד דאוד</w:t>
      </w:r>
      <w:r>
        <w:rPr>
          <w:rFonts w:hint="cs"/>
          <w:u w:val="none"/>
          <w:rtl/>
        </w:rPr>
        <w:t>: אנו מתנצלים על אתמול, הנאשם סבר בטעות שהתיק קבוע לגזר דין ליום 6/3/</w:t>
      </w:r>
      <w:bookmarkStart w:id="6" w:name="LawTable"/>
      <w:bookmarkEnd w:id="6"/>
      <w:r w:rsidR="00D01159">
        <w:rPr>
          <w:rFonts w:hint="cs"/>
          <w:u w:val="none"/>
          <w:rtl/>
        </w:rPr>
        <w:t>08</w:t>
      </w:r>
    </w:p>
    <w:p w14:paraId="4B3F6682" w14:textId="77777777" w:rsidR="00D01159" w:rsidRPr="00D01159" w:rsidRDefault="00D01159" w:rsidP="00D01159">
      <w:pPr>
        <w:pStyle w:val="5"/>
        <w:spacing w:after="120" w:line="240" w:lineRule="exact"/>
        <w:ind w:left="283" w:hanging="283"/>
        <w:jc w:val="both"/>
        <w:rPr>
          <w:rFonts w:ascii="FrankRuehl" w:hAnsi="FrankRuehl" w:cs="FrankRuehl"/>
          <w:sz w:val="24"/>
          <w:u w:val="none"/>
          <w:rtl/>
        </w:rPr>
      </w:pPr>
    </w:p>
    <w:p w14:paraId="5A4C6C81" w14:textId="77777777" w:rsidR="00D01159" w:rsidRPr="00D01159" w:rsidRDefault="00D01159" w:rsidP="00D01159">
      <w:pPr>
        <w:pStyle w:val="5"/>
        <w:spacing w:after="120" w:line="240" w:lineRule="exact"/>
        <w:ind w:left="283" w:hanging="283"/>
        <w:jc w:val="both"/>
        <w:rPr>
          <w:rFonts w:ascii="FrankRuehl" w:hAnsi="FrankRuehl" w:cs="FrankRuehl"/>
          <w:sz w:val="24"/>
          <w:u w:val="none"/>
          <w:rtl/>
        </w:rPr>
      </w:pPr>
    </w:p>
    <w:p w14:paraId="40EB848E" w14:textId="77777777" w:rsidR="00D01159" w:rsidRPr="00D01159" w:rsidRDefault="00D01159" w:rsidP="00D01159">
      <w:pPr>
        <w:pStyle w:val="5"/>
        <w:spacing w:after="120" w:line="240" w:lineRule="exact"/>
        <w:ind w:left="283" w:hanging="283"/>
        <w:jc w:val="both"/>
        <w:rPr>
          <w:rFonts w:ascii="FrankRuehl" w:hAnsi="FrankRuehl" w:cs="FrankRuehl"/>
          <w:sz w:val="24"/>
          <w:u w:val="none"/>
          <w:rtl/>
        </w:rPr>
      </w:pPr>
      <w:r w:rsidRPr="00D01159">
        <w:rPr>
          <w:rFonts w:ascii="FrankRuehl" w:hAnsi="FrankRuehl" w:cs="FrankRuehl"/>
          <w:sz w:val="24"/>
          <w:u w:val="none"/>
          <w:rtl/>
        </w:rPr>
        <w:t xml:space="preserve">חקיקה שאוזכרה: </w:t>
      </w:r>
    </w:p>
    <w:p w14:paraId="26490072" w14:textId="77777777" w:rsidR="00D01159" w:rsidRPr="00D01159" w:rsidRDefault="00D01159" w:rsidP="00D01159">
      <w:pPr>
        <w:pStyle w:val="5"/>
        <w:spacing w:after="120" w:line="240" w:lineRule="exact"/>
        <w:ind w:left="283" w:hanging="283"/>
        <w:jc w:val="both"/>
        <w:rPr>
          <w:rFonts w:ascii="FrankRuehl" w:hAnsi="FrankRuehl" w:cs="FrankRuehl"/>
          <w:sz w:val="24"/>
          <w:u w:val="none"/>
          <w:rtl/>
        </w:rPr>
      </w:pPr>
      <w:hyperlink r:id="rId7" w:history="1">
        <w:r w:rsidRPr="00D01159">
          <w:rPr>
            <w:rFonts w:ascii="FrankRuehl" w:hAnsi="FrankRuehl" w:cs="FrankRuehl"/>
            <w:color w:val="0000FF"/>
            <w:sz w:val="24"/>
            <w:rtl/>
          </w:rPr>
          <w:t>חוק העונשין, תשל"ז-1977</w:t>
        </w:r>
      </w:hyperlink>
      <w:r w:rsidRPr="00D01159">
        <w:rPr>
          <w:rFonts w:ascii="FrankRuehl" w:hAnsi="FrankRuehl" w:cs="FrankRuehl"/>
          <w:sz w:val="24"/>
          <w:u w:val="none"/>
          <w:rtl/>
        </w:rPr>
        <w:t xml:space="preserve">: סע'  </w:t>
      </w:r>
      <w:hyperlink r:id="rId8" w:history="1">
        <w:r w:rsidRPr="00D01159">
          <w:rPr>
            <w:rFonts w:ascii="FrankRuehl" w:hAnsi="FrankRuehl" w:cs="FrankRuehl"/>
            <w:color w:val="0000FF"/>
            <w:sz w:val="24"/>
            <w:rtl/>
          </w:rPr>
          <w:t>144</w:t>
        </w:r>
      </w:hyperlink>
      <w:r w:rsidRPr="00D01159">
        <w:rPr>
          <w:rFonts w:ascii="FrankRuehl" w:hAnsi="FrankRuehl" w:cs="FrankRuehl"/>
          <w:sz w:val="24"/>
          <w:u w:val="none"/>
          <w:rtl/>
        </w:rPr>
        <w:t xml:space="preserve">, </w:t>
      </w:r>
      <w:hyperlink r:id="rId9" w:history="1">
        <w:r w:rsidRPr="00D01159">
          <w:rPr>
            <w:rFonts w:ascii="FrankRuehl" w:hAnsi="FrankRuehl" w:cs="FrankRuehl"/>
            <w:color w:val="0000FF"/>
            <w:sz w:val="24"/>
            <w:rtl/>
          </w:rPr>
          <w:t>144 (א)</w:t>
        </w:r>
      </w:hyperlink>
    </w:p>
    <w:p w14:paraId="59A2EC7B" w14:textId="77777777" w:rsidR="00131EEF" w:rsidRPr="00757899" w:rsidRDefault="00131EEF">
      <w:pPr>
        <w:pStyle w:val="5"/>
        <w:rPr>
          <w:rFonts w:hint="cs"/>
          <w:u w:val="none"/>
          <w:rtl/>
        </w:rPr>
      </w:pPr>
    </w:p>
    <w:p w14:paraId="5A570712" w14:textId="77777777" w:rsidR="00131EEF" w:rsidRDefault="00131EEF">
      <w:pPr>
        <w:pStyle w:val="2"/>
        <w:spacing w:before="240"/>
        <w:rPr>
          <w:rFonts w:hint="cs"/>
          <w:sz w:val="34"/>
          <w:szCs w:val="32"/>
          <w:rtl/>
        </w:rPr>
      </w:pPr>
      <w:bookmarkStart w:id="7" w:name="סוג_מסמך"/>
      <w:bookmarkStart w:id="8" w:name="PsakDin"/>
      <w:bookmarkEnd w:id="7"/>
      <w:r>
        <w:rPr>
          <w:rFonts w:hint="cs"/>
          <w:sz w:val="34"/>
          <w:szCs w:val="32"/>
          <w:rtl/>
        </w:rPr>
        <w:t>גזר דין</w:t>
      </w:r>
    </w:p>
    <w:bookmarkEnd w:id="8"/>
    <w:p w14:paraId="57B715F4" w14:textId="77777777" w:rsidR="00131EEF" w:rsidRDefault="00131EEF">
      <w:pPr>
        <w:suppressLineNumbers/>
        <w:spacing w:line="360" w:lineRule="auto"/>
        <w:jc w:val="both"/>
        <w:rPr>
          <w:rFonts w:hint="cs"/>
          <w:rtl/>
        </w:rPr>
      </w:pPr>
    </w:p>
    <w:p w14:paraId="25D2185F"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r>
        <w:rPr>
          <w:rFonts w:hint="cs"/>
          <w:b/>
          <w:bCs/>
          <w:u w:val="single"/>
          <w:rtl/>
        </w:rPr>
        <w:t>הקדמה</w:t>
      </w:r>
      <w:r>
        <w:rPr>
          <w:rFonts w:hint="cs"/>
          <w:rtl/>
        </w:rPr>
        <w:t>:</w:t>
      </w:r>
    </w:p>
    <w:p w14:paraId="07FDA91D"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p>
    <w:p w14:paraId="294D84A5"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bookmarkStart w:id="9" w:name="ABSTRACT_START"/>
      <w:bookmarkEnd w:id="9"/>
      <w:r>
        <w:rPr>
          <w:rFonts w:hint="cs"/>
          <w:rtl/>
        </w:rPr>
        <w:t xml:space="preserve">הנאשם הורשע על פי הודאתו בכתב אישום מתוקן שבמסגרתו נכללה עבירה של החזקת נשק -עבירה לפי </w:t>
      </w:r>
      <w:hyperlink r:id="rId10" w:history="1">
        <w:r w:rsidR="00D01159" w:rsidRPr="00D01159">
          <w:rPr>
            <w:color w:val="0000FF"/>
            <w:u w:val="single"/>
            <w:rtl/>
          </w:rPr>
          <w:t>סעיף 144 (א)</w:t>
        </w:r>
      </w:hyperlink>
      <w:r>
        <w:rPr>
          <w:rFonts w:hint="cs"/>
          <w:rtl/>
        </w:rPr>
        <w:t xml:space="preserve"> רישא </w:t>
      </w:r>
      <w:r>
        <w:rPr>
          <w:rFonts w:hint="cs"/>
          <w:b/>
          <w:bCs/>
          <w:rtl/>
        </w:rPr>
        <w:t>ל</w:t>
      </w:r>
      <w:hyperlink r:id="rId11" w:history="1">
        <w:r w:rsidR="00757899" w:rsidRPr="00757899">
          <w:rPr>
            <w:rStyle w:val="Hyperlink"/>
            <w:b/>
            <w:bCs/>
            <w:rtl/>
          </w:rPr>
          <w:t>חוק העונשין</w:t>
        </w:r>
      </w:hyperlink>
      <w:r>
        <w:rPr>
          <w:rFonts w:hint="cs"/>
          <w:b/>
          <w:bCs/>
          <w:rtl/>
        </w:rPr>
        <w:t>, התשל"ז-1977</w:t>
      </w:r>
      <w:r>
        <w:rPr>
          <w:rFonts w:hint="cs"/>
          <w:rtl/>
        </w:rPr>
        <w:t xml:space="preserve"> </w:t>
      </w:r>
      <w:bookmarkStart w:id="10" w:name="ABSTRACT_END"/>
      <w:bookmarkEnd w:id="10"/>
      <w:r>
        <w:rPr>
          <w:rFonts w:hint="cs"/>
          <w:rtl/>
        </w:rPr>
        <w:t xml:space="preserve">(להלן: </w:t>
      </w:r>
      <w:r>
        <w:rPr>
          <w:rFonts w:hint="cs"/>
          <w:b/>
          <w:bCs/>
          <w:rtl/>
        </w:rPr>
        <w:t>"חוק העונשין"</w:t>
      </w:r>
      <w:r>
        <w:rPr>
          <w:rFonts w:hint="cs"/>
          <w:rtl/>
        </w:rPr>
        <w:t xml:space="preserve">). </w:t>
      </w:r>
    </w:p>
    <w:p w14:paraId="1DE66FE1" w14:textId="77777777" w:rsidR="00131EEF" w:rsidRDefault="00757899">
      <w:pPr>
        <w:overflowPunct w:val="0"/>
        <w:autoSpaceDE w:val="0"/>
        <w:autoSpaceDN w:val="0"/>
        <w:adjustRightInd w:val="0"/>
        <w:spacing w:line="360" w:lineRule="auto"/>
        <w:ind w:left="26" w:hanging="26"/>
        <w:jc w:val="both"/>
        <w:rPr>
          <w:rFonts w:hint="cs"/>
          <w:rtl/>
        </w:rPr>
      </w:pPr>
      <w:r>
        <w:rPr>
          <w:rFonts w:hint="cs"/>
          <w:rtl/>
        </w:rPr>
        <w:t xml:space="preserve"> </w:t>
      </w:r>
    </w:p>
    <w:p w14:paraId="2C5EDE96" w14:textId="77777777" w:rsidR="00131EEF" w:rsidRDefault="00131EEF">
      <w:pPr>
        <w:tabs>
          <w:tab w:val="num" w:pos="566"/>
        </w:tabs>
        <w:overflowPunct w:val="0"/>
        <w:autoSpaceDE w:val="0"/>
        <w:autoSpaceDN w:val="0"/>
        <w:adjustRightInd w:val="0"/>
        <w:spacing w:line="360" w:lineRule="auto"/>
        <w:ind w:left="26" w:hanging="26"/>
        <w:jc w:val="both"/>
        <w:rPr>
          <w:rtl/>
        </w:rPr>
      </w:pPr>
      <w:r>
        <w:rPr>
          <w:rFonts w:hint="cs"/>
          <w:b/>
          <w:bCs/>
          <w:u w:val="single"/>
          <w:rtl/>
        </w:rPr>
        <w:t>הרקע העובדתי</w:t>
      </w:r>
      <w:r>
        <w:rPr>
          <w:rFonts w:hint="cs"/>
          <w:rtl/>
        </w:rPr>
        <w:t>:</w:t>
      </w:r>
    </w:p>
    <w:p w14:paraId="4E8DDDC8"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p>
    <w:p w14:paraId="338231D3"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r>
        <w:rPr>
          <w:rFonts w:hint="cs"/>
          <w:rtl/>
        </w:rPr>
        <w:t xml:space="preserve">מהעובדות המופיעות בכתב האישום המתוקן עולה, כי בתאריך 31/1/07, מצא הנאשם בשטח אדמה הסמוך לכפר מגוריו נשק מסוג עוזי ושתי מחסניות (להלן: </w:t>
      </w:r>
      <w:r>
        <w:rPr>
          <w:rFonts w:hint="cs"/>
          <w:b/>
          <w:bCs/>
          <w:rtl/>
        </w:rPr>
        <w:t>"הנשק"</w:t>
      </w:r>
      <w:r>
        <w:rPr>
          <w:rFonts w:hint="cs"/>
          <w:rtl/>
        </w:rPr>
        <w:t xml:space="preserve">). הנאשם נשא את הנשק והובילו עד לביתו, שם החביאו מעל ארון בגדים בכוונה להמשיך להחזיק בו מבלי שהיה בידיו היתר להחזקתו עפ"י דין. ביום 4/2/07 נערך חיפוש בביתו של הנאשם, על פי צו בית משפט, וכך אותר הנשק ונתפס, כשעד לאותו מועד נמנע הנאשם מלהסגיר את הנשק לגורמי החוק, וזאת חרף ידיעתו כי אין לו היתר להחזיק בנשק או להובילו. </w:t>
      </w:r>
    </w:p>
    <w:p w14:paraId="24BE4245"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p>
    <w:p w14:paraId="32012A02" w14:textId="77777777" w:rsidR="00131EEF" w:rsidRDefault="00131EEF">
      <w:pPr>
        <w:tabs>
          <w:tab w:val="num" w:pos="566"/>
        </w:tabs>
        <w:overflowPunct w:val="0"/>
        <w:autoSpaceDE w:val="0"/>
        <w:autoSpaceDN w:val="0"/>
        <w:adjustRightInd w:val="0"/>
        <w:spacing w:line="360" w:lineRule="auto"/>
        <w:ind w:left="26" w:hanging="26"/>
        <w:jc w:val="both"/>
        <w:rPr>
          <w:rFonts w:hint="cs"/>
          <w:spacing w:val="-4"/>
          <w:rtl/>
        </w:rPr>
      </w:pPr>
      <w:r>
        <w:rPr>
          <w:rFonts w:hint="cs"/>
          <w:spacing w:val="-4"/>
          <w:rtl/>
        </w:rPr>
        <w:lastRenderedPageBreak/>
        <w:t>הנאשם, כאמור, הודה בעובדות כתב האישום המתוקן, הורשע בהתאם להודאתו, ובהתאם בהסדר אליו הגיעו הצדדים הוסכם כי הטיעון לעונש יהיה פתוח וכי יוזמן תסקיר מבחן בעניינו של הנאשם.</w:t>
      </w:r>
    </w:p>
    <w:p w14:paraId="71B55981"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r>
        <w:rPr>
          <w:rFonts w:hint="cs"/>
          <w:b/>
          <w:bCs/>
          <w:u w:val="single"/>
          <w:rtl/>
        </w:rPr>
        <w:t>תסקיר שרות המבחן</w:t>
      </w:r>
      <w:r>
        <w:rPr>
          <w:rFonts w:hint="cs"/>
          <w:rtl/>
        </w:rPr>
        <w:t>:</w:t>
      </w:r>
    </w:p>
    <w:p w14:paraId="55378E57"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p>
    <w:p w14:paraId="4F5C8FC6" w14:textId="77777777" w:rsidR="00131EEF" w:rsidRDefault="00131EEF">
      <w:pPr>
        <w:tabs>
          <w:tab w:val="num" w:pos="566"/>
        </w:tabs>
        <w:overflowPunct w:val="0"/>
        <w:autoSpaceDE w:val="0"/>
        <w:autoSpaceDN w:val="0"/>
        <w:adjustRightInd w:val="0"/>
        <w:spacing w:line="360" w:lineRule="auto"/>
        <w:jc w:val="both"/>
        <w:rPr>
          <w:rFonts w:hint="cs"/>
          <w:spacing w:val="-2"/>
          <w:rtl/>
        </w:rPr>
      </w:pPr>
      <w:r>
        <w:rPr>
          <w:rFonts w:hint="cs"/>
          <w:spacing w:val="-2"/>
          <w:rtl/>
        </w:rPr>
        <w:t xml:space="preserve">מן התסקיר שהוגש ביום 24/1/08 עולה כי הנאשם הינו בן 44, נשוי ואב לשבעה ילדים הסמוכים על שולחנו, וכי הינו מאופיין בהרגלי עבודה חיוביים. </w:t>
      </w:r>
    </w:p>
    <w:p w14:paraId="2D04758C" w14:textId="77777777" w:rsidR="00131EEF" w:rsidRDefault="00131EEF">
      <w:pPr>
        <w:tabs>
          <w:tab w:val="num" w:pos="566"/>
        </w:tabs>
        <w:overflowPunct w:val="0"/>
        <w:autoSpaceDE w:val="0"/>
        <w:autoSpaceDN w:val="0"/>
        <w:adjustRightInd w:val="0"/>
        <w:spacing w:line="360" w:lineRule="auto"/>
        <w:jc w:val="both"/>
        <w:rPr>
          <w:rFonts w:hint="cs"/>
          <w:spacing w:val="-2"/>
          <w:rtl/>
        </w:rPr>
      </w:pPr>
    </w:p>
    <w:p w14:paraId="1F1E54CD" w14:textId="77777777" w:rsidR="00131EEF" w:rsidRDefault="00131EEF">
      <w:pPr>
        <w:tabs>
          <w:tab w:val="num" w:pos="566"/>
        </w:tabs>
        <w:overflowPunct w:val="0"/>
        <w:autoSpaceDE w:val="0"/>
        <w:autoSpaceDN w:val="0"/>
        <w:adjustRightInd w:val="0"/>
        <w:spacing w:line="360" w:lineRule="auto"/>
        <w:jc w:val="both"/>
        <w:rPr>
          <w:rFonts w:hint="cs"/>
          <w:spacing w:val="-2"/>
          <w:rtl/>
        </w:rPr>
      </w:pPr>
      <w:r>
        <w:rPr>
          <w:rFonts w:hint="cs"/>
          <w:spacing w:val="-2"/>
          <w:rtl/>
        </w:rPr>
        <w:t>הנאשם הציג בפני שרות המבחן אסמכתאות בדבר בעיות בריאותיות מהן סובל, ובכלל זה פגיעה בתפקוד הכליות, לחץ דם וכיוצ"ב.</w:t>
      </w:r>
    </w:p>
    <w:p w14:paraId="69A80740" w14:textId="77777777" w:rsidR="00131EEF" w:rsidRDefault="00131EEF">
      <w:pPr>
        <w:tabs>
          <w:tab w:val="num" w:pos="566"/>
        </w:tabs>
        <w:overflowPunct w:val="0"/>
        <w:autoSpaceDE w:val="0"/>
        <w:autoSpaceDN w:val="0"/>
        <w:adjustRightInd w:val="0"/>
        <w:spacing w:line="360" w:lineRule="auto"/>
        <w:jc w:val="both"/>
        <w:rPr>
          <w:rFonts w:hint="cs"/>
          <w:spacing w:val="-2"/>
          <w:rtl/>
        </w:rPr>
      </w:pPr>
    </w:p>
    <w:p w14:paraId="6E2B06BA" w14:textId="77777777" w:rsidR="00131EEF" w:rsidRDefault="00131EEF">
      <w:pPr>
        <w:tabs>
          <w:tab w:val="num" w:pos="566"/>
        </w:tabs>
        <w:overflowPunct w:val="0"/>
        <w:autoSpaceDE w:val="0"/>
        <w:autoSpaceDN w:val="0"/>
        <w:adjustRightInd w:val="0"/>
        <w:spacing w:line="360" w:lineRule="auto"/>
        <w:jc w:val="both"/>
        <w:rPr>
          <w:rFonts w:hint="cs"/>
          <w:spacing w:val="-4"/>
          <w:rtl/>
        </w:rPr>
      </w:pPr>
      <w:r>
        <w:rPr>
          <w:rFonts w:hint="cs"/>
          <w:spacing w:val="-4"/>
          <w:rtl/>
        </w:rPr>
        <w:t>עפ"י התסקיר, בביתו של הנאשם שוררת אווירה משפחתית עצובה על רקע אובדן אחד מהילדים אשר נהרג בחצר הבית בעקבות נפילת חבילת קש גדולה וכבדה עליו, אובדן המתווסף לבעיות נפשיות מהן סובלים חלק מבני המשפחה, ובייחוד אשתו של הנאשם, הסובלת ממצב דכאוני.</w:t>
      </w:r>
    </w:p>
    <w:p w14:paraId="03ADFDAB" w14:textId="77777777" w:rsidR="00131EEF" w:rsidRDefault="00131EEF">
      <w:pPr>
        <w:tabs>
          <w:tab w:val="num" w:pos="566"/>
        </w:tabs>
        <w:overflowPunct w:val="0"/>
        <w:autoSpaceDE w:val="0"/>
        <w:autoSpaceDN w:val="0"/>
        <w:adjustRightInd w:val="0"/>
        <w:spacing w:line="360" w:lineRule="auto"/>
        <w:jc w:val="both"/>
        <w:rPr>
          <w:rFonts w:hint="cs"/>
          <w:spacing w:val="-2"/>
          <w:rtl/>
        </w:rPr>
      </w:pPr>
    </w:p>
    <w:p w14:paraId="44E93268" w14:textId="77777777" w:rsidR="00131EEF" w:rsidRDefault="00131EEF">
      <w:pPr>
        <w:tabs>
          <w:tab w:val="num" w:pos="566"/>
        </w:tabs>
        <w:overflowPunct w:val="0"/>
        <w:autoSpaceDE w:val="0"/>
        <w:autoSpaceDN w:val="0"/>
        <w:adjustRightInd w:val="0"/>
        <w:spacing w:line="360" w:lineRule="auto"/>
        <w:jc w:val="both"/>
        <w:rPr>
          <w:rFonts w:hint="cs"/>
          <w:spacing w:val="-2"/>
          <w:rtl/>
        </w:rPr>
      </w:pPr>
      <w:r>
        <w:rPr>
          <w:rFonts w:hint="cs"/>
          <w:spacing w:val="-2"/>
          <w:rtl/>
        </w:rPr>
        <w:t>במסגרת תסקיר שרות המבחן מתאר הנאשם עצב, העדר שמחת חיים וחוסר נחת ממציאות חייו, הן בשל מצבו הבריאותי הפיזי והן בשל מצבו הנפשי. להערכת שרות המבחן, ניתן להסביר את ביצוע העבירה דנא בכך שהנאשם חיפש ריגושים לשגרת חייו השגרתית והמשעממת.</w:t>
      </w:r>
    </w:p>
    <w:p w14:paraId="413F9CD8" w14:textId="77777777" w:rsidR="00131EEF" w:rsidRDefault="00131EEF">
      <w:pPr>
        <w:overflowPunct w:val="0"/>
        <w:autoSpaceDE w:val="0"/>
        <w:autoSpaceDN w:val="0"/>
        <w:adjustRightInd w:val="0"/>
        <w:spacing w:line="360" w:lineRule="auto"/>
        <w:jc w:val="both"/>
      </w:pPr>
    </w:p>
    <w:p w14:paraId="4070D4DF"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בהתייחס לעבירה בה הואשם והורשע, קיבל הנאשם אחריות למעשיו והביע צער וחרטה על כישלונו ההתנהגותי. לטענתו, נטילת הנשק נבעה מסקרנות, חרף העובדה שידע כי הנשק חלוד וכי ייתכן ואינו כשיר לתפעול. הנאשם לא זיהה את עצמו כבעל מאפיינים עברייניים וכן עסק בהשלכות ההליך המשפטי על תפקודו ועתיד משפחתו.</w:t>
      </w:r>
    </w:p>
    <w:p w14:paraId="43A35703" w14:textId="77777777" w:rsidR="00131EEF" w:rsidRDefault="00131EEF">
      <w:pPr>
        <w:tabs>
          <w:tab w:val="num" w:pos="566"/>
        </w:tabs>
        <w:overflowPunct w:val="0"/>
        <w:autoSpaceDE w:val="0"/>
        <w:autoSpaceDN w:val="0"/>
        <w:adjustRightInd w:val="0"/>
        <w:spacing w:line="360" w:lineRule="auto"/>
        <w:jc w:val="both"/>
        <w:rPr>
          <w:rFonts w:hint="cs"/>
          <w:rtl/>
        </w:rPr>
      </w:pPr>
    </w:p>
    <w:p w14:paraId="6C4DEC6C"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התרשמותו הכוללת של שרות המבחן מהנאשם הינה כי מדובר באדם בעל יכולות תפקוד סבירות, אשר ניכר כי משתדל לנהוג עפ"י הנורמות והערכים המקובלים בסביבתו הטבעית. כן התרשם שרות המבחן כי לא קיימת עדות להתנהגות עבריינית ואין יסודות להתמכרות לחומרים ממכרים. בנוסף, מדגיש שרות המבחן, כי האירועים הקשים שחווה הנאשם בעברו ואווירת החולי סביבו משפיעים על מצבו הנפשי וממלאים את חייו בעצב וחוסר נחת נפשי.</w:t>
      </w:r>
    </w:p>
    <w:p w14:paraId="0473DF61" w14:textId="77777777" w:rsidR="00131EEF" w:rsidRDefault="00131EEF">
      <w:pPr>
        <w:tabs>
          <w:tab w:val="num" w:pos="566"/>
        </w:tabs>
        <w:overflowPunct w:val="0"/>
        <w:autoSpaceDE w:val="0"/>
        <w:autoSpaceDN w:val="0"/>
        <w:adjustRightInd w:val="0"/>
        <w:spacing w:line="360" w:lineRule="auto"/>
        <w:jc w:val="both"/>
        <w:rPr>
          <w:rFonts w:hint="cs"/>
          <w:rtl/>
        </w:rPr>
      </w:pPr>
    </w:p>
    <w:p w14:paraId="6C4D2E54"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להערכת שרות המבחן, מיצוי ההליך המשפטי חידד עבור הנאשם את משמעות כישלונו ההתנהגותי, ויש להניח כי הפיק לקחים ויוכל להבחין בעתיד בין מותר ואסור. לפיכך ממליץ שרות המבחן שלא למצות את הדין עם הנאשם, כי אם להסתפק בענישה שניתן להמירה בעבודות שרות וכן בענישה מותנית - ענישה שעשויה להיות אפקטיבית ביחס לנאשם במקרה הנדון.</w:t>
      </w:r>
    </w:p>
    <w:p w14:paraId="67F73F27"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b/>
          <w:bCs/>
          <w:u w:val="single"/>
          <w:rtl/>
        </w:rPr>
        <w:t>טענות הצדדים</w:t>
      </w:r>
      <w:r>
        <w:rPr>
          <w:rFonts w:hint="cs"/>
          <w:rtl/>
        </w:rPr>
        <w:t>:</w:t>
      </w:r>
    </w:p>
    <w:p w14:paraId="133EB814" w14:textId="77777777" w:rsidR="00131EEF" w:rsidRDefault="00131EEF">
      <w:pPr>
        <w:tabs>
          <w:tab w:val="num" w:pos="566"/>
        </w:tabs>
        <w:overflowPunct w:val="0"/>
        <w:autoSpaceDE w:val="0"/>
        <w:autoSpaceDN w:val="0"/>
        <w:adjustRightInd w:val="0"/>
        <w:spacing w:line="360" w:lineRule="auto"/>
        <w:jc w:val="both"/>
        <w:rPr>
          <w:rFonts w:hint="cs"/>
          <w:rtl/>
        </w:rPr>
      </w:pPr>
    </w:p>
    <w:p w14:paraId="682882DF" w14:textId="77777777" w:rsidR="00131EEF" w:rsidRDefault="00131EEF">
      <w:pPr>
        <w:tabs>
          <w:tab w:val="num" w:pos="566"/>
        </w:tabs>
        <w:overflowPunct w:val="0"/>
        <w:autoSpaceDE w:val="0"/>
        <w:autoSpaceDN w:val="0"/>
        <w:adjustRightInd w:val="0"/>
        <w:spacing w:line="360" w:lineRule="auto"/>
        <w:jc w:val="both"/>
      </w:pPr>
      <w:r>
        <w:rPr>
          <w:rFonts w:hint="cs"/>
          <w:rtl/>
        </w:rPr>
        <w:t>המאשימה מבקשת להטיל על הנאשם עונש מאסר לריצוי בפועל למשך 15 חודשים לפחות, וכן להטיל על הנאשם מאסר על תנאי משמעותי וקנס.</w:t>
      </w:r>
    </w:p>
    <w:p w14:paraId="75319A46" w14:textId="77777777" w:rsidR="00131EEF" w:rsidRDefault="00131EEF">
      <w:pPr>
        <w:tabs>
          <w:tab w:val="num" w:pos="566"/>
        </w:tabs>
        <w:overflowPunct w:val="0"/>
        <w:autoSpaceDE w:val="0"/>
        <w:autoSpaceDN w:val="0"/>
        <w:adjustRightInd w:val="0"/>
        <w:spacing w:line="360" w:lineRule="auto"/>
        <w:jc w:val="both"/>
        <w:rPr>
          <w:rFonts w:hint="cs"/>
          <w:rtl/>
        </w:rPr>
      </w:pPr>
    </w:p>
    <w:p w14:paraId="0AF8538A"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lastRenderedPageBreak/>
        <w:t xml:space="preserve">לטענת ב"כ המאשימה, הנסיבות האופפות את מעשיו של הנאשם במקרה דנא מלמדות על התנהגות שלילית, שכן הנאשם מצא את הנשק והסתירו בביתו בכוונה להמשיך ולהחזיק בו בלא היתר. לטענתה, מעשים אלה מלמדים על זלזול בשלטון החוק, בביטחון הציבור ובשלום בני משפחתו של הנאשם, המתגוררים עימו. </w:t>
      </w:r>
    </w:p>
    <w:p w14:paraId="73A97C05" w14:textId="77777777" w:rsidR="00131EEF" w:rsidRDefault="00131EEF">
      <w:pPr>
        <w:tabs>
          <w:tab w:val="num" w:pos="566"/>
        </w:tabs>
        <w:overflowPunct w:val="0"/>
        <w:autoSpaceDE w:val="0"/>
        <w:autoSpaceDN w:val="0"/>
        <w:adjustRightInd w:val="0"/>
        <w:spacing w:line="360" w:lineRule="auto"/>
        <w:jc w:val="both"/>
        <w:rPr>
          <w:rFonts w:hint="cs"/>
          <w:rtl/>
        </w:rPr>
      </w:pPr>
    </w:p>
    <w:p w14:paraId="4807B012"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ב"כ המאשימה מציינת, לחומרא, את העובדה שהנשק נתפס בידיו של הנאשם רק לאחר שבוצע בביתו חיפוש עפ"י צו בית משפט, וטוענת כי אדם סביר במקומו של הנאשם היה ממהר להסגיר את הנשק לידי השלטונות ומודיע על כך, ללא דיחוי, לגורמים האחראים על העניין.</w:t>
      </w:r>
    </w:p>
    <w:p w14:paraId="69FA7DE0" w14:textId="77777777" w:rsidR="00131EEF" w:rsidRDefault="00131EEF">
      <w:pPr>
        <w:tabs>
          <w:tab w:val="num" w:pos="566"/>
        </w:tabs>
        <w:overflowPunct w:val="0"/>
        <w:autoSpaceDE w:val="0"/>
        <w:autoSpaceDN w:val="0"/>
        <w:adjustRightInd w:val="0"/>
        <w:spacing w:line="360" w:lineRule="auto"/>
        <w:jc w:val="both"/>
        <w:rPr>
          <w:rFonts w:hint="cs"/>
          <w:rtl/>
        </w:rPr>
      </w:pPr>
    </w:p>
    <w:p w14:paraId="49BBE453"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ב"כ המאשימה טוענת, כי גם אם ניתן להניח שהנשק לא הוחזק ע"י הנאשם במטרה לפגוע בביטחון המדינה, הרי שעצם החזקת הנשק והתחמושת שלא כדין, יש בה כדי ללמד על כוונות שליליות לשימוש בנשק.</w:t>
      </w:r>
    </w:p>
    <w:p w14:paraId="483317D9" w14:textId="77777777" w:rsidR="00131EEF" w:rsidRDefault="00131EEF">
      <w:pPr>
        <w:tabs>
          <w:tab w:val="num" w:pos="566"/>
        </w:tabs>
        <w:overflowPunct w:val="0"/>
        <w:autoSpaceDE w:val="0"/>
        <w:autoSpaceDN w:val="0"/>
        <w:adjustRightInd w:val="0"/>
        <w:spacing w:line="360" w:lineRule="auto"/>
        <w:jc w:val="both"/>
        <w:rPr>
          <w:rFonts w:hint="cs"/>
          <w:rtl/>
        </w:rPr>
      </w:pPr>
    </w:p>
    <w:p w14:paraId="6B26B58C"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ב"כ המאשימה מפנה לפסיקה אשר הביעה סלידה מעבירות נשק, וכן הדגישה כי האינטרס הציבורי והחובה להגן על שלום הציבור מחייבים החמרה בעונשם של מבצעי עבירות נשק, תוך התחשבות מינורית בנסיבות האישיות של הנאשם.</w:t>
      </w:r>
    </w:p>
    <w:p w14:paraId="470FB445" w14:textId="77777777" w:rsidR="00131EEF" w:rsidRDefault="00131EEF">
      <w:pPr>
        <w:tabs>
          <w:tab w:val="num" w:pos="566"/>
        </w:tabs>
        <w:overflowPunct w:val="0"/>
        <w:autoSpaceDE w:val="0"/>
        <w:autoSpaceDN w:val="0"/>
        <w:adjustRightInd w:val="0"/>
        <w:spacing w:line="360" w:lineRule="auto"/>
        <w:jc w:val="both"/>
        <w:rPr>
          <w:rFonts w:hint="cs"/>
          <w:rtl/>
        </w:rPr>
      </w:pPr>
    </w:p>
    <w:p w14:paraId="40839102"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בנסיבות אלה, טוענת ב"כ המאשימה, כי אין להתחשב בהמלצת תסקיר המבחן אלא להטיל על הנאשם עונש מאסר בפועל שלא ירוצה בעבודות שרות, מאסר על תנאי ממושך ומרתיע וכן קנס.</w:t>
      </w:r>
    </w:p>
    <w:p w14:paraId="125EE0AE" w14:textId="77777777" w:rsidR="00131EEF" w:rsidRDefault="00131EEF">
      <w:pPr>
        <w:tabs>
          <w:tab w:val="num" w:pos="566"/>
        </w:tabs>
        <w:overflowPunct w:val="0"/>
        <w:autoSpaceDE w:val="0"/>
        <w:autoSpaceDN w:val="0"/>
        <w:adjustRightInd w:val="0"/>
        <w:spacing w:line="360" w:lineRule="auto"/>
        <w:jc w:val="both"/>
        <w:rPr>
          <w:rFonts w:hint="cs"/>
          <w:rtl/>
        </w:rPr>
      </w:pPr>
    </w:p>
    <w:p w14:paraId="5CDE3CB7"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מאידך, הסנגור טוען לזכותו של הנאשם כי מרשו הביע חרטה כנה ואמיתית על מעשיו, נתון המשתקף אף בתסקיר המבחן.</w:t>
      </w:r>
    </w:p>
    <w:p w14:paraId="54CC1996" w14:textId="77777777" w:rsidR="00131EEF" w:rsidRDefault="00131EEF">
      <w:pPr>
        <w:tabs>
          <w:tab w:val="num" w:pos="566"/>
        </w:tabs>
        <w:overflowPunct w:val="0"/>
        <w:autoSpaceDE w:val="0"/>
        <w:autoSpaceDN w:val="0"/>
        <w:adjustRightInd w:val="0"/>
        <w:spacing w:line="360" w:lineRule="auto"/>
        <w:jc w:val="center"/>
        <w:rPr>
          <w:rFonts w:hint="cs"/>
          <w:rtl/>
        </w:rPr>
      </w:pPr>
    </w:p>
    <w:p w14:paraId="34FE78EB"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עוד מצביע הסנגור על נסיבות חייו הקשות של הנאשם ועל האסון הכבד שפקד את משפחתו עם מות אחד הילדים בתאונה מחרידה שאירעה אל מול עיניו, טרגדיה עליה טרם הצליח להתגבר.</w:t>
      </w:r>
    </w:p>
    <w:p w14:paraId="217198A7" w14:textId="77777777" w:rsidR="00131EEF" w:rsidRDefault="00131EEF">
      <w:pPr>
        <w:tabs>
          <w:tab w:val="num" w:pos="566"/>
        </w:tabs>
        <w:overflowPunct w:val="0"/>
        <w:autoSpaceDE w:val="0"/>
        <w:autoSpaceDN w:val="0"/>
        <w:adjustRightInd w:val="0"/>
        <w:spacing w:line="360" w:lineRule="auto"/>
        <w:jc w:val="both"/>
        <w:rPr>
          <w:rFonts w:hint="cs"/>
          <w:rtl/>
        </w:rPr>
      </w:pPr>
    </w:p>
    <w:p w14:paraId="1DFA0ADF" w14:textId="77777777" w:rsidR="00131EEF" w:rsidRDefault="00131EEF">
      <w:pPr>
        <w:overflowPunct w:val="0"/>
        <w:autoSpaceDE w:val="0"/>
        <w:autoSpaceDN w:val="0"/>
        <w:adjustRightInd w:val="0"/>
        <w:spacing w:line="360" w:lineRule="auto"/>
        <w:jc w:val="both"/>
        <w:rPr>
          <w:rFonts w:hint="cs"/>
          <w:rtl/>
        </w:rPr>
      </w:pPr>
      <w:r>
        <w:rPr>
          <w:rFonts w:hint="cs"/>
          <w:rtl/>
        </w:rPr>
        <w:t>כן מציין הסנגור, כי לנאשם ולאשתו בעיות בריאותיות רבות, כפי שעולה ממסמכים רפואיים עדכניים שהוגשו על ידו במסגרת הטיעונים לעונש (נ/2).</w:t>
      </w:r>
    </w:p>
    <w:p w14:paraId="1C7FDC70" w14:textId="77777777" w:rsidR="00131EEF" w:rsidRDefault="00131EEF">
      <w:pPr>
        <w:tabs>
          <w:tab w:val="num" w:pos="566"/>
        </w:tabs>
        <w:overflowPunct w:val="0"/>
        <w:autoSpaceDE w:val="0"/>
        <w:autoSpaceDN w:val="0"/>
        <w:adjustRightInd w:val="0"/>
        <w:spacing w:line="360" w:lineRule="auto"/>
        <w:jc w:val="both"/>
        <w:rPr>
          <w:rFonts w:hint="cs"/>
          <w:rtl/>
        </w:rPr>
      </w:pPr>
    </w:p>
    <w:p w14:paraId="70387CD7"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spacing w:val="-2"/>
          <w:rtl/>
        </w:rPr>
        <w:t>בנוסף, מפנה סנגורו של הנאשם למכתב שהתקבל מלשכת הרווחה במועצה המקומית אכסאל (נ/3),</w:t>
      </w:r>
      <w:r>
        <w:rPr>
          <w:rFonts w:hint="cs"/>
          <w:rtl/>
        </w:rPr>
        <w:t xml:space="preserve"> ממנו עולה כי למשפחתו של הנאשם בעיות סוציאליות, כלכליות ובריאותיות קשות, כי אשתו של הנאשם סובלת ממחלה דכאונית אקטיבית שאינה מאפשרת לה לתפקד ומצריכה היזקקות למעקב וטיפול פסיכיאטרי קבוע, וכי ילדי המשפחה גרים כולם באותו משק בית וזקוקים לטיפול ותמיכה של הנאשם, בייחוד נוכח חוסר יכולתה של האם למלא את תפקידה כאישה, כאם וכעקרת בית.</w:t>
      </w:r>
    </w:p>
    <w:p w14:paraId="421A413C" w14:textId="77777777" w:rsidR="00131EEF" w:rsidRDefault="00131EEF">
      <w:pPr>
        <w:tabs>
          <w:tab w:val="num" w:pos="566"/>
        </w:tabs>
        <w:overflowPunct w:val="0"/>
        <w:autoSpaceDE w:val="0"/>
        <w:autoSpaceDN w:val="0"/>
        <w:adjustRightInd w:val="0"/>
        <w:spacing w:line="360" w:lineRule="auto"/>
        <w:jc w:val="both"/>
        <w:rPr>
          <w:rFonts w:hint="cs"/>
          <w:rtl/>
        </w:rPr>
      </w:pPr>
    </w:p>
    <w:p w14:paraId="044581D4" w14:textId="77777777" w:rsidR="00131EEF" w:rsidRDefault="00131EEF">
      <w:pPr>
        <w:tabs>
          <w:tab w:val="num" w:pos="566"/>
        </w:tabs>
        <w:overflowPunct w:val="0"/>
        <w:autoSpaceDE w:val="0"/>
        <w:autoSpaceDN w:val="0"/>
        <w:adjustRightInd w:val="0"/>
        <w:spacing w:line="360" w:lineRule="auto"/>
        <w:jc w:val="both"/>
        <w:rPr>
          <w:rFonts w:hint="cs"/>
          <w:spacing w:val="4"/>
          <w:rtl/>
        </w:rPr>
      </w:pPr>
      <w:r>
        <w:rPr>
          <w:rFonts w:hint="cs"/>
          <w:spacing w:val="4"/>
          <w:rtl/>
        </w:rPr>
        <w:t>ביחס לעובדות כתב האישום, טוען הסנגור, כי הנאשם מצא את הנשק נשוא כתב האישום במהלך עבודתו, עת עסק בניקוי בור ביוב, ברם מעולם לא פתח את הנשק ומעולם לא עשה בו כל שימוש. כן טוען הסנגור, כי טעותו היחידה של הנאשם היתה בכך שלא דיווח מיידית למשטרה על מציאת הנשק, טעות אשר נבעה מפחדו של הנאשם מהסיטואציה שנוצרה ומחוסר יכולתו להתמודד עמה.</w:t>
      </w:r>
    </w:p>
    <w:p w14:paraId="79924C1F" w14:textId="77777777" w:rsidR="00131EEF" w:rsidRDefault="00131EEF">
      <w:pPr>
        <w:tabs>
          <w:tab w:val="num" w:pos="566"/>
        </w:tabs>
        <w:overflowPunct w:val="0"/>
        <w:autoSpaceDE w:val="0"/>
        <w:autoSpaceDN w:val="0"/>
        <w:adjustRightInd w:val="0"/>
        <w:spacing w:line="360" w:lineRule="auto"/>
        <w:jc w:val="both"/>
        <w:rPr>
          <w:rFonts w:hint="cs"/>
          <w:rtl/>
        </w:rPr>
      </w:pPr>
    </w:p>
    <w:p w14:paraId="7C7F449C" w14:textId="77777777" w:rsidR="00131EEF" w:rsidRDefault="00131EEF">
      <w:pPr>
        <w:tabs>
          <w:tab w:val="num" w:pos="566"/>
        </w:tabs>
        <w:overflowPunct w:val="0"/>
        <w:autoSpaceDE w:val="0"/>
        <w:autoSpaceDN w:val="0"/>
        <w:adjustRightInd w:val="0"/>
        <w:spacing w:line="360" w:lineRule="auto"/>
        <w:jc w:val="both"/>
        <w:rPr>
          <w:rFonts w:hint="cs"/>
          <w:spacing w:val="4"/>
          <w:rtl/>
        </w:rPr>
      </w:pPr>
      <w:r>
        <w:rPr>
          <w:rFonts w:hint="cs"/>
          <w:spacing w:val="4"/>
          <w:rtl/>
        </w:rPr>
        <w:t>הסנגור ממשיך וטוען, כי עפ"י חוות דעת שהוגשה (נ/1) מדובר בכלי נשק שהיה מפורק, ללא קת, אשר מנגנון ההדק שלו לא פעל באופן תקין והוא לא היה בר שימוש, כאשר גם המחסניות שנמצאו היו ריקות, נסיבות שיש בהן כדי לאבחן את המקרה דנא ממקרים אחרים המאוזכרים בפסיקה.</w:t>
      </w:r>
    </w:p>
    <w:p w14:paraId="3977FE8C" w14:textId="77777777" w:rsidR="00131EEF" w:rsidRDefault="00131EEF">
      <w:pPr>
        <w:tabs>
          <w:tab w:val="num" w:pos="566"/>
        </w:tabs>
        <w:overflowPunct w:val="0"/>
        <w:autoSpaceDE w:val="0"/>
        <w:autoSpaceDN w:val="0"/>
        <w:adjustRightInd w:val="0"/>
        <w:spacing w:line="360" w:lineRule="auto"/>
        <w:jc w:val="both"/>
        <w:rPr>
          <w:rFonts w:hint="cs"/>
          <w:rtl/>
        </w:rPr>
      </w:pPr>
    </w:p>
    <w:p w14:paraId="4B6D0DA9"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הסנגור מביע תמיהה על כך שב"כ המאשימה עומדת על הטלת עונש מאסר בפועל שירוצה מאחורי סורג ובריח, בייחוד בהתחשב בכך שאין לנאשם עבר פלילי, למעט עבירת איומים מלפני 18 שנים, ובהינתן העובדה שהינו מנהל אורח חיים נורמטיבי לחלוטין.</w:t>
      </w:r>
    </w:p>
    <w:p w14:paraId="31B1ED34" w14:textId="77777777" w:rsidR="00131EEF" w:rsidRDefault="00131EEF">
      <w:pPr>
        <w:tabs>
          <w:tab w:val="num" w:pos="566"/>
        </w:tabs>
        <w:overflowPunct w:val="0"/>
        <w:autoSpaceDE w:val="0"/>
        <w:autoSpaceDN w:val="0"/>
        <w:adjustRightInd w:val="0"/>
        <w:spacing w:line="360" w:lineRule="auto"/>
        <w:jc w:val="both"/>
        <w:rPr>
          <w:rFonts w:hint="cs"/>
          <w:rtl/>
        </w:rPr>
      </w:pPr>
    </w:p>
    <w:p w14:paraId="11E5B172"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לבסוף מפנה הסנגור לתסקיר שרות המבחן, שהינו חיובי, ומבקש כי בית המשפט יאמץ את התסקיר ויסתפק במאסר על תנאי, ולחילופין מאסר שיומר בעבודות שרות.</w:t>
      </w:r>
    </w:p>
    <w:p w14:paraId="33D515D1" w14:textId="77777777" w:rsidR="00131EEF" w:rsidRDefault="00131EEF">
      <w:pPr>
        <w:tabs>
          <w:tab w:val="num" w:pos="566"/>
        </w:tabs>
        <w:overflowPunct w:val="0"/>
        <w:autoSpaceDE w:val="0"/>
        <w:autoSpaceDN w:val="0"/>
        <w:adjustRightInd w:val="0"/>
        <w:spacing w:line="360" w:lineRule="auto"/>
        <w:jc w:val="both"/>
        <w:rPr>
          <w:rFonts w:hint="cs"/>
          <w:rtl/>
        </w:rPr>
      </w:pPr>
    </w:p>
    <w:p w14:paraId="10B2BDA2" w14:textId="77777777" w:rsidR="00131EEF" w:rsidRDefault="00131EEF">
      <w:pPr>
        <w:overflowPunct w:val="0"/>
        <w:autoSpaceDE w:val="0"/>
        <w:autoSpaceDN w:val="0"/>
        <w:adjustRightInd w:val="0"/>
        <w:spacing w:line="360" w:lineRule="auto"/>
        <w:jc w:val="both"/>
        <w:rPr>
          <w:rFonts w:hint="cs"/>
          <w:rtl/>
        </w:rPr>
      </w:pPr>
      <w:r>
        <w:rPr>
          <w:rFonts w:hint="cs"/>
          <w:rtl/>
        </w:rPr>
        <w:t xml:space="preserve">הנאשם, בפנייתו לבית המשפט במסגרת הטיעונים לעונש, הביע צער וחרטה על מעשיו וביקש כי בית המשפט יתחשב בחרטתו הכנה ובנסיבות חייו האישיות. הנאשם הדגיש כי הוא אינו אדם שעובר על החוק וכי במהלך חייו עבד קשה כדי לפרנס את משפחתו חרף מצבו הבריאותי וחרף הבעיות הרפואיות מהן סובל. כן הדגיש הנאשם כי עליו לפרנס לבדו 7 ילדים וכי אשתו סובלת ממצב דכאוני ומטופלת על ידו מאז מות הבן. </w:t>
      </w:r>
    </w:p>
    <w:p w14:paraId="3421A700" w14:textId="77777777" w:rsidR="00131EEF" w:rsidRDefault="00131EEF">
      <w:pPr>
        <w:overflowPunct w:val="0"/>
        <w:autoSpaceDE w:val="0"/>
        <w:autoSpaceDN w:val="0"/>
        <w:adjustRightInd w:val="0"/>
        <w:spacing w:line="360" w:lineRule="auto"/>
        <w:jc w:val="both"/>
        <w:rPr>
          <w:rFonts w:hint="cs"/>
          <w:rtl/>
        </w:rPr>
      </w:pPr>
    </w:p>
    <w:p w14:paraId="0A1078DB" w14:textId="77777777" w:rsidR="00131EEF" w:rsidRDefault="00131EEF">
      <w:pPr>
        <w:overflowPunct w:val="0"/>
        <w:autoSpaceDE w:val="0"/>
        <w:autoSpaceDN w:val="0"/>
        <w:adjustRightInd w:val="0"/>
        <w:spacing w:line="360" w:lineRule="auto"/>
        <w:jc w:val="both"/>
        <w:rPr>
          <w:rFonts w:hint="cs"/>
          <w:rtl/>
        </w:rPr>
      </w:pPr>
      <w:r>
        <w:rPr>
          <w:rFonts w:hint="cs"/>
          <w:rtl/>
        </w:rPr>
        <w:t>בסיום דבריו, שב והכה הנאשם על חטא, ביקש את רחמיו של בית המשפט והתחייב שלא לחזור על המעשה שעשה.</w:t>
      </w:r>
    </w:p>
    <w:p w14:paraId="34F91278" w14:textId="77777777" w:rsidR="00131EEF" w:rsidRDefault="00131EEF">
      <w:pPr>
        <w:overflowPunct w:val="0"/>
        <w:autoSpaceDE w:val="0"/>
        <w:autoSpaceDN w:val="0"/>
        <w:adjustRightInd w:val="0"/>
        <w:spacing w:line="360" w:lineRule="auto"/>
        <w:jc w:val="both"/>
        <w:rPr>
          <w:rFonts w:hint="cs"/>
          <w:rtl/>
        </w:rPr>
      </w:pPr>
    </w:p>
    <w:p w14:paraId="5246662D"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b/>
          <w:bCs/>
          <w:u w:val="single"/>
          <w:rtl/>
        </w:rPr>
        <w:t>דיון והכרעה</w:t>
      </w:r>
      <w:r>
        <w:rPr>
          <w:rFonts w:hint="cs"/>
          <w:rtl/>
        </w:rPr>
        <w:t>:</w:t>
      </w:r>
    </w:p>
    <w:p w14:paraId="71CAAB5B" w14:textId="77777777" w:rsidR="00131EEF" w:rsidRDefault="00131EEF">
      <w:pPr>
        <w:overflowPunct w:val="0"/>
        <w:autoSpaceDE w:val="0"/>
        <w:autoSpaceDN w:val="0"/>
        <w:adjustRightInd w:val="0"/>
        <w:spacing w:line="360" w:lineRule="auto"/>
        <w:jc w:val="both"/>
        <w:rPr>
          <w:rFonts w:hint="cs"/>
          <w:rtl/>
        </w:rPr>
      </w:pPr>
    </w:p>
    <w:p w14:paraId="071CA831" w14:textId="77777777" w:rsidR="00131EEF" w:rsidRDefault="00131EEF">
      <w:pPr>
        <w:overflowPunct w:val="0"/>
        <w:autoSpaceDE w:val="0"/>
        <w:autoSpaceDN w:val="0"/>
        <w:adjustRightInd w:val="0"/>
        <w:spacing w:line="360" w:lineRule="auto"/>
        <w:jc w:val="both"/>
        <w:rPr>
          <w:rFonts w:hint="cs"/>
          <w:rtl/>
        </w:rPr>
      </w:pPr>
      <w:r>
        <w:rPr>
          <w:rFonts w:hint="cs"/>
          <w:rtl/>
        </w:rPr>
        <w:t xml:space="preserve">אין חולק, כי עבירת החזקת הנשק המצוינת </w:t>
      </w:r>
      <w:hyperlink r:id="rId12" w:history="1">
        <w:r w:rsidR="00D01159" w:rsidRPr="00D01159">
          <w:rPr>
            <w:color w:val="0000FF"/>
            <w:u w:val="single"/>
            <w:rtl/>
          </w:rPr>
          <w:t>בסעיף 144(א)</w:t>
        </w:r>
      </w:hyperlink>
      <w:r>
        <w:rPr>
          <w:rFonts w:hint="cs"/>
          <w:rtl/>
        </w:rPr>
        <w:t xml:space="preserve"> רישא ל</w:t>
      </w:r>
      <w:hyperlink r:id="rId13" w:history="1">
        <w:r w:rsidR="00757899" w:rsidRPr="00757899">
          <w:rPr>
            <w:rStyle w:val="Hyperlink"/>
            <w:rtl/>
          </w:rPr>
          <w:t>חוק העונשין</w:t>
        </w:r>
      </w:hyperlink>
      <w:r>
        <w:rPr>
          <w:rFonts w:hint="cs"/>
          <w:rtl/>
        </w:rPr>
        <w:t>, יש בה משום סיכון שלום הציבור וביטחונו, סיכון הגלום בכך שכלי בעל פוטנציאל קטלני שביכולתו לזרוע הרס ולגרום לפגיעה בחפים מפשע, מוחזק שלא כדין בידי אדם לא מיומן, ללא פיקוח של רשויות המדינה, וזאת גם במידה ואין בכוונת המחזיק לעשות שימוש בנשק לצורך ביצוע עבירה אחרת.</w:t>
      </w:r>
    </w:p>
    <w:p w14:paraId="716D0317" w14:textId="77777777" w:rsidR="00131EEF" w:rsidRDefault="00131EEF">
      <w:pPr>
        <w:overflowPunct w:val="0"/>
        <w:autoSpaceDE w:val="0"/>
        <w:autoSpaceDN w:val="0"/>
        <w:adjustRightInd w:val="0"/>
        <w:spacing w:line="360" w:lineRule="auto"/>
        <w:jc w:val="both"/>
        <w:rPr>
          <w:rFonts w:hint="cs"/>
          <w:rtl/>
        </w:rPr>
      </w:pPr>
    </w:p>
    <w:p w14:paraId="7E1C7865" w14:textId="77777777" w:rsidR="00131EEF" w:rsidRDefault="00131EEF">
      <w:pPr>
        <w:overflowPunct w:val="0"/>
        <w:autoSpaceDE w:val="0"/>
        <w:autoSpaceDN w:val="0"/>
        <w:adjustRightInd w:val="0"/>
        <w:spacing w:line="360" w:lineRule="auto"/>
        <w:jc w:val="both"/>
        <w:rPr>
          <w:rFonts w:hint="cs"/>
          <w:rtl/>
        </w:rPr>
      </w:pPr>
      <w:r>
        <w:rPr>
          <w:rFonts w:hint="cs"/>
          <w:spacing w:val="-4"/>
          <w:rtl/>
        </w:rPr>
        <w:t xml:space="preserve">ראה בהקשר זה דבריה של כב' השופטת ארבל </w:t>
      </w:r>
      <w:r>
        <w:rPr>
          <w:rFonts w:hint="cs"/>
          <w:rtl/>
        </w:rPr>
        <w:t>ב</w:t>
      </w:r>
      <w:hyperlink r:id="rId14" w:history="1">
        <w:r w:rsidR="00757899" w:rsidRPr="00757899">
          <w:rPr>
            <w:rStyle w:val="Hyperlink"/>
            <w:rtl/>
          </w:rPr>
          <w:t>ע"פ 3300/06</w:t>
        </w:r>
      </w:hyperlink>
      <w:r>
        <w:rPr>
          <w:rFonts w:hint="cs"/>
          <w:rtl/>
        </w:rPr>
        <w:t xml:space="preserve"> </w:t>
      </w:r>
      <w:r>
        <w:rPr>
          <w:rFonts w:hint="cs"/>
          <w:b/>
          <w:bCs/>
          <w:rtl/>
        </w:rPr>
        <w:t>סולטאן אבו סנינה נ' מדינת ישראל</w:t>
      </w:r>
      <w:r>
        <w:rPr>
          <w:rFonts w:hint="cs"/>
          <w:rtl/>
        </w:rPr>
        <w:t>, תק-על 2006(3) 2494 ,עמ' 2496 (2006) ביחס לעבירות נשק ככלל:</w:t>
      </w:r>
    </w:p>
    <w:p w14:paraId="2543C263"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p>
    <w:p w14:paraId="33852802" w14:textId="77777777" w:rsidR="00131EEF" w:rsidRDefault="00131EEF">
      <w:pPr>
        <w:pStyle w:val="ab"/>
        <w:rPr>
          <w:rFonts w:hint="cs"/>
          <w:rtl/>
        </w:rPr>
      </w:pPr>
      <w:r>
        <w:rPr>
          <w:rFonts w:hint="cs"/>
          <w:rtl/>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w:t>
      </w:r>
    </w:p>
    <w:p w14:paraId="165C989D" w14:textId="77777777" w:rsidR="00131EEF" w:rsidRDefault="00131EEF">
      <w:pPr>
        <w:overflowPunct w:val="0"/>
        <w:autoSpaceDE w:val="0"/>
        <w:autoSpaceDN w:val="0"/>
        <w:adjustRightInd w:val="0"/>
        <w:spacing w:line="360" w:lineRule="auto"/>
        <w:jc w:val="both"/>
        <w:rPr>
          <w:rFonts w:hint="cs"/>
          <w:rtl/>
        </w:rPr>
      </w:pPr>
    </w:p>
    <w:p w14:paraId="7957883D" w14:textId="77777777" w:rsidR="00131EEF" w:rsidRDefault="00131EEF">
      <w:pPr>
        <w:overflowPunct w:val="0"/>
        <w:autoSpaceDE w:val="0"/>
        <w:autoSpaceDN w:val="0"/>
        <w:adjustRightInd w:val="0"/>
        <w:spacing w:line="360" w:lineRule="auto"/>
        <w:jc w:val="both"/>
        <w:rPr>
          <w:rFonts w:hint="cs"/>
          <w:rtl/>
        </w:rPr>
      </w:pPr>
    </w:p>
    <w:p w14:paraId="2E1277C2" w14:textId="77777777" w:rsidR="00131EEF" w:rsidRDefault="00131EEF">
      <w:pPr>
        <w:overflowPunct w:val="0"/>
        <w:autoSpaceDE w:val="0"/>
        <w:autoSpaceDN w:val="0"/>
        <w:adjustRightInd w:val="0"/>
        <w:spacing w:line="360" w:lineRule="auto"/>
        <w:jc w:val="both"/>
        <w:rPr>
          <w:rFonts w:hint="cs"/>
          <w:rtl/>
        </w:rPr>
      </w:pPr>
      <w:r>
        <w:rPr>
          <w:rFonts w:hint="cs"/>
          <w:rtl/>
        </w:rPr>
        <w:t>על הצורך להחמיר את הענישה ביחס לעבירה של החזקת נשק שלא כדין עמד כב' השופט בך בע"פ 972 ,</w:t>
      </w:r>
      <w:hyperlink r:id="rId15" w:history="1">
        <w:r w:rsidR="00D01159" w:rsidRPr="00D01159">
          <w:rPr>
            <w:color w:val="0000FF"/>
            <w:u w:val="single"/>
            <w:rtl/>
          </w:rPr>
          <w:t xml:space="preserve">910/85 </w:t>
        </w:r>
      </w:hyperlink>
      <w:r>
        <w:rPr>
          <w:rFonts w:hint="cs"/>
          <w:rtl/>
        </w:rPr>
        <w:t xml:space="preserve"> </w:t>
      </w:r>
      <w:r>
        <w:rPr>
          <w:rFonts w:hint="cs"/>
          <w:b/>
          <w:bCs/>
          <w:rtl/>
        </w:rPr>
        <w:t>אברהים קונדוס ואח' נ' מדינת ישראל</w:t>
      </w:r>
      <w:r>
        <w:rPr>
          <w:rFonts w:hint="cs"/>
          <w:rtl/>
        </w:rPr>
        <w:t>, תק-על 86(2), 670 (1986):</w:t>
      </w:r>
    </w:p>
    <w:p w14:paraId="15892106" w14:textId="77777777" w:rsidR="00131EEF" w:rsidRDefault="00131EEF">
      <w:pPr>
        <w:pStyle w:val="20"/>
        <w:spacing w:after="0" w:line="360" w:lineRule="auto"/>
        <w:ind w:left="926" w:right="900"/>
        <w:jc w:val="both"/>
        <w:rPr>
          <w:rFonts w:hint="cs"/>
          <w:b/>
          <w:bCs/>
          <w:rtl/>
        </w:rPr>
      </w:pPr>
    </w:p>
    <w:p w14:paraId="48C4AAF6" w14:textId="77777777" w:rsidR="00131EEF" w:rsidRDefault="00131EEF">
      <w:pPr>
        <w:pStyle w:val="ab"/>
        <w:rPr>
          <w:rFonts w:hint="cs"/>
          <w:rtl/>
        </w:rPr>
      </w:pPr>
      <w:r>
        <w:rPr>
          <w:rFonts w:hint="cs"/>
          <w:rtl/>
        </w:rPr>
        <w:t>"אין אנו יכולים להתעלם מהעובדה,שהחזקת נשק שלא כדין הינה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ומוגדר בעזרת הנשק האמור".</w:t>
      </w:r>
    </w:p>
    <w:p w14:paraId="3BDF79A8" w14:textId="77777777" w:rsidR="00131EEF" w:rsidRDefault="00131EEF">
      <w:pPr>
        <w:overflowPunct w:val="0"/>
        <w:autoSpaceDE w:val="0"/>
        <w:autoSpaceDN w:val="0"/>
        <w:adjustRightInd w:val="0"/>
        <w:spacing w:line="360" w:lineRule="auto"/>
        <w:ind w:left="26" w:hanging="26"/>
        <w:jc w:val="both"/>
        <w:rPr>
          <w:rFonts w:hint="cs"/>
          <w:rtl/>
        </w:rPr>
      </w:pPr>
    </w:p>
    <w:p w14:paraId="074AF727" w14:textId="77777777" w:rsidR="00131EEF" w:rsidRDefault="00131EEF">
      <w:pPr>
        <w:overflowPunct w:val="0"/>
        <w:autoSpaceDE w:val="0"/>
        <w:autoSpaceDN w:val="0"/>
        <w:adjustRightInd w:val="0"/>
        <w:spacing w:line="360" w:lineRule="auto"/>
        <w:jc w:val="both"/>
        <w:rPr>
          <w:rFonts w:hint="cs"/>
          <w:rtl/>
        </w:rPr>
      </w:pPr>
      <w:r>
        <w:rPr>
          <w:rFonts w:hint="cs"/>
          <w:rtl/>
        </w:rPr>
        <w:t>כן ראה את דבריה של כב' הנשיאה בייניש ב</w:t>
      </w:r>
      <w:r w:rsidR="003C7553" w:rsidRPr="006A12D7">
        <w:rPr>
          <w:color w:val="000000"/>
          <w:rtl/>
        </w:rPr>
        <w:t xml:space="preserve">ע"פ </w:t>
      </w:r>
      <w:hyperlink r:id="rId16" w:history="1">
        <w:r w:rsidR="00D01159" w:rsidRPr="00D01159">
          <w:rPr>
            <w:color w:val="0000FF"/>
            <w:u w:val="single"/>
            <w:rtl/>
          </w:rPr>
          <w:t xml:space="preserve">1332/04 </w:t>
        </w:r>
      </w:hyperlink>
      <w:r w:rsidR="003C7553" w:rsidRPr="006A12D7">
        <w:rPr>
          <w:color w:val="000000"/>
          <w:rtl/>
        </w:rPr>
        <w:t xml:space="preserve"> מדינת ישראל נ' יצחק רפאל פס ואח', פ"ד נח</w:t>
      </w:r>
      <w:r>
        <w:rPr>
          <w:rFonts w:hint="cs"/>
          <w:rtl/>
        </w:rPr>
        <w:t>(5), 541 ,עמ' 545-546 (2004) ביחס לרמת הענישה הראויה בעבירות של החזקת נשק:</w:t>
      </w:r>
    </w:p>
    <w:p w14:paraId="61F853D4" w14:textId="77777777" w:rsidR="00131EEF" w:rsidRDefault="00131EEF">
      <w:pPr>
        <w:overflowPunct w:val="0"/>
        <w:autoSpaceDE w:val="0"/>
        <w:autoSpaceDN w:val="0"/>
        <w:adjustRightInd w:val="0"/>
        <w:spacing w:line="360" w:lineRule="auto"/>
        <w:ind w:left="26" w:hanging="26"/>
        <w:jc w:val="both"/>
        <w:rPr>
          <w:rFonts w:hint="cs"/>
          <w:rtl/>
        </w:rPr>
      </w:pPr>
    </w:p>
    <w:p w14:paraId="0EB4E2DB" w14:textId="77777777" w:rsidR="00131EEF" w:rsidRDefault="00131EEF">
      <w:pPr>
        <w:pStyle w:val="ab"/>
        <w:rPr>
          <w:rFonts w:hint="cs"/>
          <w:rtl/>
        </w:rPr>
      </w:pPr>
      <w:r>
        <w:rPr>
          <w:rFonts w:hint="cs"/>
          <w:rtl/>
        </w:rPr>
        <w:t>"גם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מחייבים מתן ביטוי עונשי הולם והחמרה ברמת הענישה".</w:t>
      </w:r>
    </w:p>
    <w:p w14:paraId="4C6FA22E" w14:textId="77777777" w:rsidR="00131EEF" w:rsidRDefault="00131EEF">
      <w:pPr>
        <w:overflowPunct w:val="0"/>
        <w:autoSpaceDE w:val="0"/>
        <w:autoSpaceDN w:val="0"/>
        <w:adjustRightInd w:val="0"/>
        <w:spacing w:line="360" w:lineRule="auto"/>
        <w:jc w:val="both"/>
        <w:rPr>
          <w:rFonts w:hint="cs"/>
          <w:rtl/>
        </w:rPr>
      </w:pPr>
    </w:p>
    <w:p w14:paraId="71ADA882" w14:textId="77777777" w:rsidR="00131EEF" w:rsidRDefault="00131EEF">
      <w:pPr>
        <w:overflowPunct w:val="0"/>
        <w:autoSpaceDE w:val="0"/>
        <w:autoSpaceDN w:val="0"/>
        <w:adjustRightInd w:val="0"/>
        <w:spacing w:line="360" w:lineRule="auto"/>
        <w:jc w:val="both"/>
        <w:rPr>
          <w:rFonts w:hint="cs"/>
          <w:rtl/>
        </w:rPr>
      </w:pPr>
      <w:r>
        <w:rPr>
          <w:rFonts w:hint="cs"/>
          <w:rtl/>
        </w:rPr>
        <w:t>ראה לעניין זה גם ב</w:t>
      </w:r>
      <w:hyperlink r:id="rId17" w:history="1">
        <w:r w:rsidR="00757899" w:rsidRPr="00757899">
          <w:rPr>
            <w:rStyle w:val="Hyperlink"/>
            <w:rtl/>
          </w:rPr>
          <w:t>רע"פ 2718/04</w:t>
        </w:r>
      </w:hyperlink>
      <w:r>
        <w:rPr>
          <w:rFonts w:hint="cs"/>
          <w:rtl/>
        </w:rPr>
        <w:t xml:space="preserve"> </w:t>
      </w:r>
      <w:r>
        <w:rPr>
          <w:rFonts w:hint="cs"/>
          <w:b/>
          <w:bCs/>
          <w:rtl/>
        </w:rPr>
        <w:t>פואד אבו דאחל נ' מדינת ישראל</w:t>
      </w:r>
      <w:r>
        <w:rPr>
          <w:rFonts w:hint="cs"/>
          <w:rtl/>
        </w:rPr>
        <w:t>, תק-על 2004(1) 3401 (2004):</w:t>
      </w:r>
    </w:p>
    <w:p w14:paraId="2E266F59" w14:textId="77777777" w:rsidR="00131EEF" w:rsidRDefault="00131EEF">
      <w:pPr>
        <w:overflowPunct w:val="0"/>
        <w:autoSpaceDE w:val="0"/>
        <w:autoSpaceDN w:val="0"/>
        <w:adjustRightInd w:val="0"/>
        <w:spacing w:line="360" w:lineRule="auto"/>
        <w:ind w:left="26" w:hanging="26"/>
        <w:jc w:val="both"/>
        <w:rPr>
          <w:rFonts w:hint="cs"/>
          <w:rtl/>
        </w:rPr>
      </w:pPr>
    </w:p>
    <w:p w14:paraId="138A875F" w14:textId="77777777" w:rsidR="00131EEF" w:rsidRDefault="00131EEF">
      <w:pPr>
        <w:pStyle w:val="ab"/>
        <w:rPr>
          <w:rFonts w:hint="cs"/>
          <w:rtl/>
        </w:rPr>
      </w:pPr>
      <w:r>
        <w:rPr>
          <w:rFonts w:hint="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4477F96A" w14:textId="77777777" w:rsidR="00131EEF" w:rsidRDefault="00131EEF">
      <w:pPr>
        <w:overflowPunct w:val="0"/>
        <w:autoSpaceDE w:val="0"/>
        <w:autoSpaceDN w:val="0"/>
        <w:adjustRightInd w:val="0"/>
        <w:spacing w:line="360" w:lineRule="auto"/>
        <w:jc w:val="both"/>
        <w:rPr>
          <w:rFonts w:hint="cs"/>
          <w:rtl/>
        </w:rPr>
      </w:pPr>
    </w:p>
    <w:p w14:paraId="49A8304C" w14:textId="77777777" w:rsidR="00131EEF" w:rsidRDefault="00131EEF">
      <w:pPr>
        <w:overflowPunct w:val="0"/>
        <w:autoSpaceDE w:val="0"/>
        <w:autoSpaceDN w:val="0"/>
        <w:adjustRightInd w:val="0"/>
        <w:spacing w:line="360" w:lineRule="auto"/>
        <w:jc w:val="both"/>
        <w:rPr>
          <w:rFonts w:hint="cs"/>
          <w:rtl/>
        </w:rPr>
      </w:pPr>
      <w:r>
        <w:rPr>
          <w:rFonts w:hint="cs"/>
          <w:rtl/>
        </w:rPr>
        <w:t>לצד מדיניות ההחמרה בענישה הנוגעת לביצוען של עבירות נשק, מן הראוי לציין כי מבחינת פסיקת בית המשפט העליון וכן פסיקתה של הערכאה הדיונית עולה כי עבירות הנשק השונות טומנות בחובן מגוון רחב של ענישה, באופן המאפשר לבית המשפט לבור לעצמו את העונש הראוי וההולם, בהתאם לנסיבות המיוחדות המאפיינות את המקרה שלפניו.</w:t>
      </w:r>
    </w:p>
    <w:p w14:paraId="5451B6D0" w14:textId="77777777" w:rsidR="00131EEF" w:rsidRDefault="00131EEF">
      <w:pPr>
        <w:overflowPunct w:val="0"/>
        <w:autoSpaceDE w:val="0"/>
        <w:autoSpaceDN w:val="0"/>
        <w:adjustRightInd w:val="0"/>
        <w:spacing w:line="360" w:lineRule="auto"/>
        <w:jc w:val="both"/>
        <w:rPr>
          <w:rFonts w:hint="cs"/>
          <w:rtl/>
        </w:rPr>
      </w:pPr>
    </w:p>
    <w:p w14:paraId="5DDF3648" w14:textId="77777777" w:rsidR="00131EEF" w:rsidRDefault="00131EEF">
      <w:pPr>
        <w:overflowPunct w:val="0"/>
        <w:autoSpaceDE w:val="0"/>
        <w:autoSpaceDN w:val="0"/>
        <w:adjustRightInd w:val="0"/>
        <w:spacing w:line="360" w:lineRule="auto"/>
        <w:jc w:val="both"/>
        <w:rPr>
          <w:rFonts w:hint="cs"/>
          <w:rtl/>
        </w:rPr>
      </w:pPr>
      <w:r>
        <w:rPr>
          <w:rFonts w:hint="cs"/>
          <w:rtl/>
        </w:rPr>
        <w:t xml:space="preserve">העבירה בה הורשע הנאשם במקרה שלפני הינה עבירה חמורה של החזקת נשק לפי הוראות </w:t>
      </w:r>
      <w:hyperlink r:id="rId18" w:history="1">
        <w:r w:rsidR="00D01159" w:rsidRPr="00D01159">
          <w:rPr>
            <w:color w:val="0000FF"/>
            <w:u w:val="single"/>
            <w:rtl/>
          </w:rPr>
          <w:t>סעיף 144(א)</w:t>
        </w:r>
      </w:hyperlink>
      <w:r>
        <w:rPr>
          <w:rFonts w:hint="cs"/>
          <w:rtl/>
        </w:rPr>
        <w:t xml:space="preserve"> רישא ל</w:t>
      </w:r>
      <w:hyperlink r:id="rId19" w:history="1">
        <w:r w:rsidR="00757899" w:rsidRPr="00757899">
          <w:rPr>
            <w:rStyle w:val="Hyperlink"/>
            <w:rtl/>
          </w:rPr>
          <w:t>חוק העונשין</w:t>
        </w:r>
      </w:hyperlink>
      <w:r>
        <w:rPr>
          <w:rFonts w:hint="cs"/>
          <w:rtl/>
        </w:rPr>
        <w:t>, עבירה שבצידה עונש מירבי של 7 שנות מאסר.</w:t>
      </w:r>
    </w:p>
    <w:p w14:paraId="57325780" w14:textId="77777777" w:rsidR="00131EEF" w:rsidRDefault="00131EEF">
      <w:pPr>
        <w:overflowPunct w:val="0"/>
        <w:autoSpaceDE w:val="0"/>
        <w:autoSpaceDN w:val="0"/>
        <w:adjustRightInd w:val="0"/>
        <w:spacing w:line="360" w:lineRule="auto"/>
        <w:jc w:val="both"/>
        <w:rPr>
          <w:rFonts w:hint="cs"/>
          <w:rtl/>
        </w:rPr>
      </w:pPr>
    </w:p>
    <w:p w14:paraId="4153A031" w14:textId="77777777" w:rsidR="00131EEF" w:rsidRDefault="00131EEF">
      <w:pPr>
        <w:tabs>
          <w:tab w:val="num" w:pos="566"/>
        </w:tabs>
        <w:overflowPunct w:val="0"/>
        <w:autoSpaceDE w:val="0"/>
        <w:autoSpaceDN w:val="0"/>
        <w:adjustRightInd w:val="0"/>
        <w:spacing w:line="360" w:lineRule="auto"/>
        <w:jc w:val="both"/>
        <w:rPr>
          <w:rFonts w:hint="cs"/>
          <w:rtl/>
        </w:rPr>
      </w:pPr>
      <w:r>
        <w:rPr>
          <w:rFonts w:hint="cs"/>
          <w:rtl/>
        </w:rPr>
        <w:t>אם לא די בכך, הרי שהנשק אותר ונתפס רק בעת עריכת החיפוש בביתו של הנאשם, מכוח צו שיפוטי, כאשר הנאשם ניסה להסתיר את הנשק, כל אותה עת, מעל ארון הבגדים שבביתו, נתון העשוי ללמדנו כי אין מדובר בהחזקה תמימה של כלי נשק שמקורה פחד וחשש של הנאשם לדווח על המקרה לרשויות, כפי שטוען הסנגור.</w:t>
      </w:r>
    </w:p>
    <w:p w14:paraId="403557B6" w14:textId="77777777" w:rsidR="00131EEF" w:rsidRDefault="00131EEF">
      <w:pPr>
        <w:tabs>
          <w:tab w:val="num" w:pos="566"/>
        </w:tabs>
        <w:overflowPunct w:val="0"/>
        <w:autoSpaceDE w:val="0"/>
        <w:autoSpaceDN w:val="0"/>
        <w:adjustRightInd w:val="0"/>
        <w:spacing w:line="360" w:lineRule="auto"/>
        <w:jc w:val="both"/>
        <w:rPr>
          <w:rFonts w:hint="cs"/>
          <w:rtl/>
        </w:rPr>
      </w:pPr>
    </w:p>
    <w:p w14:paraId="5972A7C6" w14:textId="77777777" w:rsidR="00131EEF" w:rsidRDefault="00131EEF">
      <w:pPr>
        <w:tabs>
          <w:tab w:val="num" w:pos="566"/>
        </w:tabs>
        <w:overflowPunct w:val="0"/>
        <w:autoSpaceDE w:val="0"/>
        <w:autoSpaceDN w:val="0"/>
        <w:adjustRightInd w:val="0"/>
        <w:spacing w:line="360" w:lineRule="auto"/>
        <w:jc w:val="both"/>
        <w:rPr>
          <w:rFonts w:hint="cs"/>
          <w:spacing w:val="-2"/>
          <w:rtl/>
        </w:rPr>
      </w:pPr>
      <w:r>
        <w:rPr>
          <w:rFonts w:hint="cs"/>
          <w:spacing w:val="-2"/>
          <w:rtl/>
        </w:rPr>
        <w:t xml:space="preserve">מאידך, במסגרת השיקולים לקולא, יש לקחת בחשבון כי מדובר בנאשם ללא עבר פלילי, למעט הרשעה בעבירת איומים אחת לפני כ-18 שנים, אשר אין בה כדי להעיב על אורח החיים הנורמטיבי שניהל הנאשם עובר למקרה דנא, כפי שמשתקף בתסקיר שרות המבחן. יש לקחת בחשבון, כי הנשק נמצא ע"י הנאשם </w:t>
      </w:r>
      <w:r>
        <w:rPr>
          <w:rFonts w:hint="cs"/>
          <w:rtl/>
        </w:rPr>
        <w:t>באקראי, בשטח אדמה סמוך לכפר מגוריו, וכי המחסניות שנמצאו היו ריקות</w:t>
      </w:r>
      <w:r>
        <w:rPr>
          <w:rFonts w:hint="cs"/>
          <w:spacing w:val="-2"/>
          <w:rtl/>
        </w:rPr>
        <w:t xml:space="preserve"> וכלי הנשק היה מפורק</w:t>
      </w:r>
      <w:r>
        <w:rPr>
          <w:rFonts w:hint="cs"/>
          <w:rtl/>
        </w:rPr>
        <w:t xml:space="preserve"> ולא פעל באופן תקין, </w:t>
      </w:r>
      <w:r>
        <w:rPr>
          <w:rFonts w:hint="cs"/>
          <w:spacing w:val="-2"/>
          <w:rtl/>
        </w:rPr>
        <w:t xml:space="preserve"> </w:t>
      </w:r>
      <w:r>
        <w:rPr>
          <w:rFonts w:hint="cs"/>
          <w:rtl/>
        </w:rPr>
        <w:t>נתון אשר גם בו יש כדי להשפיע על מאזן השיקולים הכולל לכיוון של הקלה בעונש.</w:t>
      </w:r>
    </w:p>
    <w:p w14:paraId="1E9B3BC9" w14:textId="77777777" w:rsidR="00131EEF" w:rsidRDefault="00131EEF">
      <w:pPr>
        <w:tabs>
          <w:tab w:val="num" w:pos="566"/>
        </w:tabs>
        <w:overflowPunct w:val="0"/>
        <w:autoSpaceDE w:val="0"/>
        <w:autoSpaceDN w:val="0"/>
        <w:adjustRightInd w:val="0"/>
        <w:spacing w:line="360" w:lineRule="auto"/>
        <w:jc w:val="both"/>
        <w:rPr>
          <w:rFonts w:hint="cs"/>
          <w:spacing w:val="-2"/>
          <w:rtl/>
        </w:rPr>
      </w:pPr>
    </w:p>
    <w:p w14:paraId="4451543A" w14:textId="77777777" w:rsidR="00131EEF" w:rsidRDefault="00131EEF">
      <w:pPr>
        <w:tabs>
          <w:tab w:val="num" w:pos="566"/>
        </w:tabs>
        <w:overflowPunct w:val="0"/>
        <w:autoSpaceDE w:val="0"/>
        <w:autoSpaceDN w:val="0"/>
        <w:adjustRightInd w:val="0"/>
        <w:spacing w:line="360" w:lineRule="auto"/>
        <w:jc w:val="both"/>
        <w:rPr>
          <w:rFonts w:hint="cs"/>
          <w:spacing w:val="-2"/>
          <w:rtl/>
        </w:rPr>
      </w:pPr>
      <w:r>
        <w:rPr>
          <w:rFonts w:hint="cs"/>
          <w:spacing w:val="-2"/>
          <w:rtl/>
        </w:rPr>
        <w:t xml:space="preserve">בנוסף, יש לקחת בחשבון במסגרת השיקולים לקולא את הודאתו המהירה של הנאשם, אשר חסכה זמן שיפוטי יקר, וכן את התרשמותי כי החרטה והבעת הצער והבושה מצדו של הנאשם הינם כנים ואמיתיים וכי מדובר במעידה חד פעמית שלא תישנה. </w:t>
      </w:r>
    </w:p>
    <w:p w14:paraId="7F191679" w14:textId="77777777" w:rsidR="00131EEF" w:rsidRDefault="00131EEF">
      <w:pPr>
        <w:tabs>
          <w:tab w:val="left" w:pos="6789"/>
        </w:tabs>
        <w:overflowPunct w:val="0"/>
        <w:autoSpaceDE w:val="0"/>
        <w:autoSpaceDN w:val="0"/>
        <w:adjustRightInd w:val="0"/>
        <w:spacing w:line="360" w:lineRule="auto"/>
        <w:jc w:val="both"/>
        <w:rPr>
          <w:spacing w:val="-2"/>
        </w:rPr>
      </w:pPr>
      <w:r>
        <w:rPr>
          <w:rFonts w:hint="cs"/>
          <w:spacing w:val="-2"/>
          <w:rtl/>
        </w:rPr>
        <w:tab/>
      </w:r>
      <w:r>
        <w:rPr>
          <w:rFonts w:hint="cs"/>
          <w:spacing w:val="-2"/>
          <w:rtl/>
        </w:rPr>
        <w:tab/>
      </w:r>
    </w:p>
    <w:p w14:paraId="00802542" w14:textId="77777777" w:rsidR="00131EEF" w:rsidRDefault="00131EEF">
      <w:pPr>
        <w:tabs>
          <w:tab w:val="num" w:pos="566"/>
        </w:tabs>
        <w:overflowPunct w:val="0"/>
        <w:autoSpaceDE w:val="0"/>
        <w:autoSpaceDN w:val="0"/>
        <w:adjustRightInd w:val="0"/>
        <w:spacing w:line="360" w:lineRule="auto"/>
        <w:jc w:val="both"/>
        <w:rPr>
          <w:rFonts w:hint="cs"/>
          <w:spacing w:val="-2"/>
          <w:rtl/>
        </w:rPr>
      </w:pPr>
      <w:r>
        <w:rPr>
          <w:rFonts w:hint="cs"/>
          <w:spacing w:val="-2"/>
          <w:rtl/>
        </w:rPr>
        <w:t xml:space="preserve">מעבר לכך, גם לנסיבותיו האישיות של הנאשם יש ליתן את המשקל המתחייב במקרה דנא, שכן כפי שעולה מתסקיר שרות המבחן, חרף בעיות בריאותיות מהן סובל וטרגדיה משפחתית אשר הותירה בו ובמשפחתו צלקות נפשיות כואבות עקב מות בנו בתאונה מחרידה אל מול עיניו, נושא הנאשם </w:t>
      </w:r>
      <w:r>
        <w:rPr>
          <w:rFonts w:hint="cs"/>
          <w:b/>
          <w:bCs/>
          <w:spacing w:val="-2"/>
          <w:rtl/>
        </w:rPr>
        <w:t>לבדו</w:t>
      </w:r>
      <w:r>
        <w:rPr>
          <w:rFonts w:hint="cs"/>
          <w:spacing w:val="-2"/>
          <w:rtl/>
        </w:rPr>
        <w:t xml:space="preserve"> בנטל פרנסת המשפחה המונה 7 ילדים וכן מטפל באשתו הסובלת מדיכאון ואינה מסוגלת לתפקד, נתונים אשר יש בהם כדי לשמש כשיקול לקולא בגזירת עונשו של הנאשם.</w:t>
      </w:r>
    </w:p>
    <w:p w14:paraId="4F220DD9" w14:textId="77777777" w:rsidR="00131EEF" w:rsidRDefault="00131EEF">
      <w:pPr>
        <w:tabs>
          <w:tab w:val="num" w:pos="566"/>
        </w:tabs>
        <w:overflowPunct w:val="0"/>
        <w:autoSpaceDE w:val="0"/>
        <w:autoSpaceDN w:val="0"/>
        <w:adjustRightInd w:val="0"/>
        <w:spacing w:line="360" w:lineRule="auto"/>
        <w:jc w:val="both"/>
        <w:rPr>
          <w:rFonts w:hint="cs"/>
          <w:spacing w:val="-2"/>
          <w:rtl/>
        </w:rPr>
      </w:pPr>
    </w:p>
    <w:p w14:paraId="687A1280" w14:textId="77777777" w:rsidR="00131EEF" w:rsidRDefault="00131EEF">
      <w:pPr>
        <w:tabs>
          <w:tab w:val="num" w:pos="566"/>
        </w:tabs>
        <w:overflowPunct w:val="0"/>
        <w:autoSpaceDE w:val="0"/>
        <w:autoSpaceDN w:val="0"/>
        <w:adjustRightInd w:val="0"/>
        <w:spacing w:line="360" w:lineRule="auto"/>
        <w:jc w:val="both"/>
        <w:rPr>
          <w:rFonts w:hint="cs"/>
          <w:spacing w:val="-2"/>
          <w:rtl/>
        </w:rPr>
      </w:pPr>
      <w:r>
        <w:rPr>
          <w:rFonts w:hint="cs"/>
          <w:rtl/>
        </w:rPr>
        <w:t>לכך יש להוסיף את העובדה שלהערכת תסקיר שרות המבחן, מיצוי ההליך המשפטי חידד עבור הנאשם את משמעות כישלונו ההתנהגותי, ויש להניח כי הפיק לקחים ויוכל להבחין בעתיד בין מותר ואסור, וכן את המלצתו של שרות המבחן שלא למצות את הדין עם הנאשם, כי אם להסתפק בענישה שניתן להמירה בעבודות שרות וכן בענישה מותנית.</w:t>
      </w:r>
    </w:p>
    <w:p w14:paraId="2E24A78C" w14:textId="77777777" w:rsidR="00131EEF" w:rsidRDefault="00131EEF">
      <w:pPr>
        <w:tabs>
          <w:tab w:val="num" w:pos="566"/>
        </w:tabs>
        <w:overflowPunct w:val="0"/>
        <w:autoSpaceDE w:val="0"/>
        <w:autoSpaceDN w:val="0"/>
        <w:adjustRightInd w:val="0"/>
        <w:spacing w:line="360" w:lineRule="auto"/>
        <w:jc w:val="both"/>
        <w:rPr>
          <w:rFonts w:hint="cs"/>
          <w:rtl/>
        </w:rPr>
      </w:pPr>
    </w:p>
    <w:p w14:paraId="4F3C60AD" w14:textId="77777777" w:rsidR="00131EEF" w:rsidRDefault="00131EEF">
      <w:pPr>
        <w:tabs>
          <w:tab w:val="num" w:pos="566"/>
        </w:tabs>
        <w:overflowPunct w:val="0"/>
        <w:autoSpaceDE w:val="0"/>
        <w:autoSpaceDN w:val="0"/>
        <w:adjustRightInd w:val="0"/>
        <w:spacing w:line="360" w:lineRule="auto"/>
        <w:jc w:val="both"/>
        <w:rPr>
          <w:rFonts w:hint="cs"/>
          <w:b/>
          <w:bCs/>
          <w:rtl/>
        </w:rPr>
      </w:pPr>
      <w:r>
        <w:rPr>
          <w:rFonts w:hint="cs"/>
          <w:b/>
          <w:bCs/>
          <w:rtl/>
        </w:rPr>
        <w:t xml:space="preserve">לאור כל האמור לעיל, ולאחר ששקלתי את מכלול טענות הצדדים, לחומרא ולקולא, הרי שבאיזון הכולל בין חומרת המעשים מחד ובין עברו של הנאשם, מצבו האישי והמשפחתי והודאתו מאידך, ובשימת לב לנסיבות המקרה ולהמלצת תסקיר שרות המבחן, </w:t>
      </w:r>
      <w:r>
        <w:rPr>
          <w:rFonts w:hint="cs"/>
          <w:b/>
          <w:bCs/>
          <w:u w:val="single"/>
          <w:rtl/>
        </w:rPr>
        <w:t>אני מטיל על הנאשם את העונשים הבאים</w:t>
      </w:r>
      <w:r>
        <w:rPr>
          <w:rFonts w:hint="cs"/>
          <w:rtl/>
        </w:rPr>
        <w:t>:</w:t>
      </w:r>
    </w:p>
    <w:p w14:paraId="5A55BD3D" w14:textId="77777777" w:rsidR="00131EEF" w:rsidRDefault="00131EEF">
      <w:pPr>
        <w:tabs>
          <w:tab w:val="num" w:pos="566"/>
        </w:tabs>
        <w:overflowPunct w:val="0"/>
        <w:autoSpaceDE w:val="0"/>
        <w:autoSpaceDN w:val="0"/>
        <w:adjustRightInd w:val="0"/>
        <w:spacing w:line="360" w:lineRule="auto"/>
        <w:ind w:left="26" w:hanging="26"/>
        <w:jc w:val="both"/>
        <w:rPr>
          <w:rFonts w:hint="cs"/>
          <w:rtl/>
        </w:rPr>
      </w:pPr>
    </w:p>
    <w:p w14:paraId="2649B8AF" w14:textId="77777777" w:rsidR="00131EEF" w:rsidRDefault="00131EEF">
      <w:pPr>
        <w:numPr>
          <w:ilvl w:val="0"/>
          <w:numId w:val="2"/>
        </w:numPr>
        <w:overflowPunct w:val="0"/>
        <w:autoSpaceDE w:val="0"/>
        <w:autoSpaceDN w:val="0"/>
        <w:adjustRightInd w:val="0"/>
        <w:spacing w:line="360" w:lineRule="auto"/>
        <w:jc w:val="both"/>
        <w:rPr>
          <w:rFonts w:hint="cs"/>
          <w:rtl/>
        </w:rPr>
      </w:pPr>
      <w:r>
        <w:rPr>
          <w:rFonts w:hint="cs"/>
          <w:rtl/>
        </w:rPr>
        <w:t>מאסר למשך 6 חודשים אשר ירוצה בעבודות שרות, בכפוף לכך שהנאשם יימצא מתאים ע"י הממונה על עבודות השרות.</w:t>
      </w:r>
    </w:p>
    <w:p w14:paraId="753EDE26" w14:textId="77777777" w:rsidR="00131EEF" w:rsidRDefault="00131EEF">
      <w:pPr>
        <w:numPr>
          <w:ilvl w:val="0"/>
          <w:numId w:val="2"/>
        </w:numPr>
        <w:overflowPunct w:val="0"/>
        <w:autoSpaceDE w:val="0"/>
        <w:autoSpaceDN w:val="0"/>
        <w:adjustRightInd w:val="0"/>
        <w:spacing w:before="240" w:line="360" w:lineRule="auto"/>
        <w:jc w:val="both"/>
        <w:rPr>
          <w:rtl/>
        </w:rPr>
      </w:pPr>
      <w:r>
        <w:rPr>
          <w:rFonts w:hint="cs"/>
          <w:rtl/>
        </w:rPr>
        <w:t xml:space="preserve">מאסר על תנאי של 12 חודשים, והתנאי הוא כי הנאשם לא יעבור במשך 3 שנים עבירה מעבירות הנשק המנויות </w:t>
      </w:r>
      <w:hyperlink r:id="rId20" w:history="1">
        <w:r w:rsidR="00D01159" w:rsidRPr="00D01159">
          <w:rPr>
            <w:color w:val="0000FF"/>
            <w:u w:val="single"/>
            <w:rtl/>
          </w:rPr>
          <w:t>בסעיף 144</w:t>
        </w:r>
      </w:hyperlink>
      <w:r>
        <w:rPr>
          <w:rFonts w:hint="cs"/>
          <w:rtl/>
        </w:rPr>
        <w:t xml:space="preserve"> ל</w:t>
      </w:r>
      <w:hyperlink r:id="rId21" w:history="1">
        <w:r w:rsidR="00757899" w:rsidRPr="00757899">
          <w:rPr>
            <w:rStyle w:val="Hyperlink"/>
            <w:rtl/>
          </w:rPr>
          <w:t>חוק העונשין</w:t>
        </w:r>
      </w:hyperlink>
      <w:r>
        <w:rPr>
          <w:rFonts w:hint="cs"/>
          <w:rtl/>
        </w:rPr>
        <w:t>.</w:t>
      </w:r>
    </w:p>
    <w:p w14:paraId="07DD4A13" w14:textId="77777777" w:rsidR="00131EEF" w:rsidRDefault="00131EEF">
      <w:pPr>
        <w:numPr>
          <w:ilvl w:val="0"/>
          <w:numId w:val="2"/>
        </w:numPr>
        <w:overflowPunct w:val="0"/>
        <w:autoSpaceDE w:val="0"/>
        <w:autoSpaceDN w:val="0"/>
        <w:adjustRightInd w:val="0"/>
        <w:spacing w:before="240" w:line="360" w:lineRule="auto"/>
        <w:jc w:val="both"/>
        <w:rPr>
          <w:rtl/>
        </w:rPr>
      </w:pPr>
      <w:r>
        <w:rPr>
          <w:rFonts w:hint="cs"/>
          <w:rtl/>
        </w:rPr>
        <w:t>בנסיבות אשר פורטו בפני ונוכח מצבו הכלכלי העגום של הנאשם ומשפחתו, נסיבותיו האישיות והיותו המפרנס היחיד במשפחה בת 9 נפשות, לא מצאתי לנכון להטיל על הנאשם קנס כספי.</w:t>
      </w:r>
    </w:p>
    <w:p w14:paraId="4F6F6E87" w14:textId="77777777" w:rsidR="00131EEF" w:rsidRDefault="00131EEF">
      <w:pPr>
        <w:overflowPunct w:val="0"/>
        <w:autoSpaceDE w:val="0"/>
        <w:autoSpaceDN w:val="0"/>
        <w:adjustRightInd w:val="0"/>
        <w:spacing w:line="360" w:lineRule="auto"/>
        <w:ind w:right="720"/>
        <w:jc w:val="both"/>
        <w:rPr>
          <w:rtl/>
        </w:rPr>
      </w:pPr>
    </w:p>
    <w:p w14:paraId="00F010A8" w14:textId="77777777" w:rsidR="00131EEF" w:rsidRDefault="00131EEF">
      <w:pPr>
        <w:spacing w:line="360" w:lineRule="auto"/>
        <w:jc w:val="both"/>
        <w:rPr>
          <w:rFonts w:hint="cs"/>
          <w:b/>
          <w:bCs/>
          <w:rtl/>
        </w:rPr>
      </w:pPr>
      <w:r>
        <w:rPr>
          <w:rFonts w:hint="cs"/>
          <w:b/>
          <w:bCs/>
          <w:u w:val="single"/>
          <w:rtl/>
        </w:rPr>
        <w:t>זכות ערעור לבית המשפט העליון, בתוך 45 יום מהיום, הודעה והוסברה לצדדים</w:t>
      </w:r>
      <w:r>
        <w:rPr>
          <w:rFonts w:hint="cs"/>
          <w:b/>
          <w:bCs/>
          <w:rtl/>
        </w:rPr>
        <w:t>.</w:t>
      </w:r>
    </w:p>
    <w:p w14:paraId="14BBA7D1" w14:textId="77777777" w:rsidR="00131EEF" w:rsidRDefault="00131EEF">
      <w:pPr>
        <w:spacing w:line="360" w:lineRule="auto"/>
        <w:jc w:val="both"/>
        <w:rPr>
          <w:rFonts w:hint="cs"/>
          <w:rtl/>
        </w:rPr>
      </w:pPr>
    </w:p>
    <w:p w14:paraId="7E21CBE6" w14:textId="77777777" w:rsidR="00131EEF" w:rsidRDefault="00131EEF">
      <w:pPr>
        <w:spacing w:line="360" w:lineRule="auto"/>
        <w:jc w:val="both"/>
        <w:rPr>
          <w:rFonts w:hint="cs"/>
          <w:rtl/>
        </w:rPr>
      </w:pPr>
      <w:r>
        <w:rPr>
          <w:rFonts w:hint="cs"/>
          <w:b/>
          <w:bCs/>
          <w:rtl/>
        </w:rPr>
        <w:t>ניתן היום, י"ח ב אדר א, תשס"ח (24 בפברואר 2008), במעמד הנוכחים</w:t>
      </w:r>
      <w:r>
        <w:rPr>
          <w:rFonts w:hint="cs"/>
          <w:rtl/>
        </w:rPr>
        <w:t>.</w:t>
      </w:r>
    </w:p>
    <w:p w14:paraId="71982D20" w14:textId="77777777" w:rsidR="00131EEF" w:rsidRDefault="00131EEF">
      <w:pPr>
        <w:suppressLineNumbers/>
        <w:spacing w:line="360" w:lineRule="auto"/>
        <w:jc w:val="both"/>
        <w:rPr>
          <w:rFonts w:hint="cs"/>
          <w:sz w:val="26"/>
          <w:rtl/>
        </w:rPr>
      </w:pPr>
    </w:p>
    <w:p w14:paraId="760822E0" w14:textId="77777777" w:rsidR="00131EEF" w:rsidRDefault="00131EEF">
      <w:pPr>
        <w:suppressLineNumbers/>
        <w:spacing w:line="360" w:lineRule="auto"/>
        <w:jc w:val="both"/>
        <w:rPr>
          <w:rFonts w:hint="cs"/>
          <w:sz w:val="26"/>
          <w:rtl/>
        </w:rPr>
      </w:pPr>
    </w:p>
    <w:tbl>
      <w:tblPr>
        <w:bidiVisual/>
        <w:tblW w:w="0" w:type="auto"/>
        <w:tblInd w:w="5727" w:type="dxa"/>
        <w:tblBorders>
          <w:top w:val="single" w:sz="4" w:space="0" w:color="auto"/>
        </w:tblBorders>
        <w:tblLook w:val="0000" w:firstRow="0" w:lastRow="0" w:firstColumn="0" w:lastColumn="0" w:noHBand="0" w:noVBand="0"/>
      </w:tblPr>
      <w:tblGrid>
        <w:gridCol w:w="2795"/>
      </w:tblGrid>
      <w:tr w:rsidR="00131EEF" w14:paraId="70721A1D" w14:textId="77777777">
        <w:trPr>
          <w:trHeight w:val="350"/>
        </w:trPr>
        <w:tc>
          <w:tcPr>
            <w:tcW w:w="2802" w:type="dxa"/>
            <w:tcBorders>
              <w:top w:val="single" w:sz="4" w:space="0" w:color="auto"/>
              <w:left w:val="nil"/>
              <w:bottom w:val="nil"/>
              <w:right w:val="nil"/>
            </w:tcBorders>
            <w:vAlign w:val="center"/>
          </w:tcPr>
          <w:p w14:paraId="312EEE20" w14:textId="77777777" w:rsidR="00131EEF" w:rsidRDefault="00131EEF">
            <w:pPr>
              <w:pStyle w:val="10"/>
              <w:spacing w:line="240" w:lineRule="auto"/>
            </w:pPr>
            <w:r>
              <w:rPr>
                <w:rFonts w:hint="cs"/>
                <w:rtl/>
              </w:rPr>
              <w:t>עאטף עיילבוני, שופט</w:t>
            </w:r>
          </w:p>
        </w:tc>
      </w:tr>
    </w:tbl>
    <w:p w14:paraId="6460B83A" w14:textId="77777777" w:rsidR="00131EEF" w:rsidRDefault="00131EEF">
      <w:pPr>
        <w:overflowPunct w:val="0"/>
        <w:autoSpaceDE w:val="0"/>
        <w:autoSpaceDN w:val="0"/>
        <w:adjustRightInd w:val="0"/>
        <w:spacing w:line="360" w:lineRule="auto"/>
        <w:ind w:right="720"/>
        <w:jc w:val="both"/>
      </w:pPr>
    </w:p>
    <w:p w14:paraId="6D888646" w14:textId="77777777" w:rsidR="00131EEF" w:rsidRDefault="00131EEF">
      <w:pPr>
        <w:overflowPunct w:val="0"/>
        <w:autoSpaceDE w:val="0"/>
        <w:autoSpaceDN w:val="0"/>
        <w:adjustRightInd w:val="0"/>
        <w:spacing w:line="360" w:lineRule="auto"/>
        <w:ind w:right="720"/>
        <w:jc w:val="both"/>
        <w:rPr>
          <w:rFonts w:hint="cs"/>
          <w:rtl/>
        </w:rPr>
      </w:pPr>
    </w:p>
    <w:p w14:paraId="29941947" w14:textId="77777777" w:rsidR="00131EEF" w:rsidRDefault="00131EEF">
      <w:pPr>
        <w:overflowPunct w:val="0"/>
        <w:autoSpaceDE w:val="0"/>
        <w:autoSpaceDN w:val="0"/>
        <w:adjustRightInd w:val="0"/>
        <w:spacing w:line="360" w:lineRule="auto"/>
        <w:ind w:right="720"/>
        <w:jc w:val="both"/>
        <w:rPr>
          <w:rFonts w:hint="cs"/>
          <w:rtl/>
        </w:rPr>
      </w:pPr>
      <w:r>
        <w:rPr>
          <w:rFonts w:hint="cs"/>
          <w:b/>
          <w:bCs/>
          <w:u w:val="single"/>
          <w:rtl/>
        </w:rPr>
        <w:t>הנאשם</w:t>
      </w:r>
      <w:r>
        <w:rPr>
          <w:rFonts w:hint="cs"/>
          <w:rtl/>
        </w:rPr>
        <w:t>: לשאלת בית המשפט, אני מסכים לרצות את עונש המאסר בעבודות שרות.</w:t>
      </w:r>
    </w:p>
    <w:p w14:paraId="319A775C" w14:textId="77777777" w:rsidR="00131EEF" w:rsidRDefault="00131EEF">
      <w:pPr>
        <w:spacing w:line="360" w:lineRule="auto"/>
        <w:jc w:val="both"/>
        <w:rPr>
          <w:rFonts w:hint="cs"/>
          <w:rtl/>
        </w:rPr>
      </w:pPr>
    </w:p>
    <w:p w14:paraId="0DE1D19A" w14:textId="77777777" w:rsidR="00131EEF" w:rsidRDefault="00131EEF">
      <w:pPr>
        <w:spacing w:line="360" w:lineRule="auto"/>
        <w:jc w:val="both"/>
        <w:rPr>
          <w:rFonts w:hint="cs"/>
          <w:rtl/>
        </w:rPr>
      </w:pPr>
    </w:p>
    <w:p w14:paraId="2B32B7DF" w14:textId="77777777" w:rsidR="00131EEF" w:rsidRDefault="00131EEF">
      <w:pPr>
        <w:pStyle w:val="a5"/>
        <w:suppressLineNumbers/>
        <w:spacing w:line="360" w:lineRule="auto"/>
        <w:rPr>
          <w:rFonts w:hint="cs"/>
          <w:sz w:val="30"/>
          <w:szCs w:val="28"/>
          <w:rtl/>
        </w:rPr>
      </w:pPr>
      <w:bookmarkStart w:id="11" w:name="Decision1"/>
      <w:r>
        <w:rPr>
          <w:rFonts w:hint="cs"/>
          <w:sz w:val="30"/>
          <w:szCs w:val="28"/>
          <w:rtl/>
        </w:rPr>
        <w:t>החלטה</w:t>
      </w:r>
      <w:bookmarkEnd w:id="11"/>
    </w:p>
    <w:p w14:paraId="53C49EF5" w14:textId="77777777" w:rsidR="00131EEF" w:rsidRDefault="00131EEF">
      <w:pPr>
        <w:suppressLineNumbers/>
        <w:spacing w:line="360" w:lineRule="auto"/>
        <w:jc w:val="both"/>
        <w:rPr>
          <w:rFonts w:hint="cs"/>
          <w:rtl/>
        </w:rPr>
      </w:pPr>
    </w:p>
    <w:p w14:paraId="3912F8A4" w14:textId="77777777" w:rsidR="00131EEF" w:rsidRDefault="00131EEF">
      <w:pPr>
        <w:spacing w:line="360" w:lineRule="auto"/>
        <w:jc w:val="both"/>
        <w:rPr>
          <w:rFonts w:hint="cs"/>
          <w:rtl/>
        </w:rPr>
      </w:pPr>
      <w:r>
        <w:rPr>
          <w:rFonts w:hint="cs"/>
          <w:rtl/>
        </w:rPr>
        <w:t>לאחר שהנאשם הביע הסכמתו ונכונותו לשאת את עונש המאסר בעבודות שרות, מתבקש הממונה על עבודות השרות להגיש לתיק בית המשפט את חוות דעתו באשר להתאמת הנאשם לעבודות השרות, בתוך 45 יום מהיום, ולכל המאוחר עד למועד הדיון שייקבע להלן.</w:t>
      </w:r>
    </w:p>
    <w:p w14:paraId="27D98B0A" w14:textId="77777777" w:rsidR="00131EEF" w:rsidRDefault="00131EEF">
      <w:pPr>
        <w:spacing w:line="360" w:lineRule="auto"/>
        <w:jc w:val="both"/>
        <w:rPr>
          <w:rFonts w:hint="cs"/>
          <w:rtl/>
        </w:rPr>
      </w:pPr>
    </w:p>
    <w:p w14:paraId="5FB7C1D8" w14:textId="77777777" w:rsidR="00131EEF" w:rsidRDefault="00131EEF">
      <w:pPr>
        <w:spacing w:line="360" w:lineRule="auto"/>
        <w:jc w:val="both"/>
        <w:rPr>
          <w:rFonts w:hint="cs"/>
          <w:b/>
          <w:bCs/>
          <w:rtl/>
        </w:rPr>
      </w:pPr>
      <w:r>
        <w:rPr>
          <w:rFonts w:hint="cs"/>
          <w:b/>
          <w:bCs/>
          <w:rtl/>
        </w:rPr>
        <w:t>אני קובע ישיבה בפניי ליום 30/4/08, שעה 13:00, למתן החלטה בדבר עבודות השרות של הנאשם, לאחר קבלת חוות דעת הממונה על השרות.</w:t>
      </w:r>
    </w:p>
    <w:p w14:paraId="279452B0" w14:textId="77777777" w:rsidR="00131EEF" w:rsidRDefault="00131EEF">
      <w:pPr>
        <w:spacing w:line="360" w:lineRule="auto"/>
        <w:jc w:val="both"/>
        <w:rPr>
          <w:rFonts w:hint="cs"/>
          <w:b/>
          <w:bCs/>
          <w:rtl/>
        </w:rPr>
      </w:pPr>
    </w:p>
    <w:p w14:paraId="0034EDE7" w14:textId="77777777" w:rsidR="00131EEF" w:rsidRDefault="00131EEF">
      <w:pPr>
        <w:spacing w:line="360" w:lineRule="auto"/>
        <w:jc w:val="both"/>
        <w:rPr>
          <w:rFonts w:hint="cs"/>
          <w:b/>
          <w:bCs/>
          <w:rtl/>
        </w:rPr>
      </w:pPr>
      <w:r>
        <w:rPr>
          <w:rFonts w:hint="cs"/>
          <w:b/>
          <w:bCs/>
          <w:rtl/>
        </w:rPr>
        <w:t xml:space="preserve">המזכירות תעביר העתק גזר הדין לממונה על עבודות השרות לשם הכנת חוות דעתו. </w:t>
      </w:r>
    </w:p>
    <w:p w14:paraId="099760BB" w14:textId="77777777" w:rsidR="00131EEF" w:rsidRDefault="00131EEF">
      <w:pPr>
        <w:spacing w:line="360" w:lineRule="auto"/>
        <w:jc w:val="both"/>
        <w:rPr>
          <w:rFonts w:hint="cs"/>
          <w:b/>
          <w:bCs/>
          <w:rtl/>
        </w:rPr>
      </w:pPr>
    </w:p>
    <w:p w14:paraId="0F66A70D" w14:textId="77777777" w:rsidR="00131EEF" w:rsidRDefault="00131EEF">
      <w:pPr>
        <w:spacing w:line="360" w:lineRule="auto"/>
        <w:jc w:val="both"/>
        <w:rPr>
          <w:rFonts w:hint="cs"/>
          <w:b/>
          <w:bCs/>
          <w:rtl/>
        </w:rPr>
      </w:pPr>
      <w:r>
        <w:rPr>
          <w:rFonts w:hint="cs"/>
          <w:b/>
          <w:bCs/>
          <w:rtl/>
        </w:rPr>
        <w:t xml:space="preserve">פרטי הנאשם, אחמד שלבי, הינם כלהלן: </w:t>
      </w:r>
    </w:p>
    <w:p w14:paraId="702359A7" w14:textId="77777777" w:rsidR="00131EEF" w:rsidRDefault="00131EEF">
      <w:pPr>
        <w:spacing w:line="360" w:lineRule="auto"/>
        <w:jc w:val="both"/>
        <w:rPr>
          <w:rFonts w:hint="cs"/>
          <w:b/>
          <w:bCs/>
          <w:rtl/>
        </w:rPr>
      </w:pPr>
      <w:r>
        <w:rPr>
          <w:rFonts w:hint="cs"/>
          <w:b/>
          <w:bCs/>
          <w:rtl/>
        </w:rPr>
        <w:t xml:space="preserve">כתובת: כפר איכסאל טלפון: </w:t>
      </w:r>
      <w:r>
        <w:rPr>
          <w:b/>
          <w:bCs/>
        </w:rPr>
        <w:t>050-8817630</w:t>
      </w:r>
    </w:p>
    <w:p w14:paraId="1733589D" w14:textId="77777777" w:rsidR="00131EEF" w:rsidRDefault="00131EEF">
      <w:pPr>
        <w:spacing w:line="360" w:lineRule="auto"/>
        <w:jc w:val="both"/>
        <w:rPr>
          <w:b/>
          <w:bCs/>
        </w:rPr>
      </w:pPr>
    </w:p>
    <w:p w14:paraId="27DB4159" w14:textId="77777777" w:rsidR="00131EEF" w:rsidRDefault="00131EEF">
      <w:pPr>
        <w:spacing w:line="360" w:lineRule="auto"/>
        <w:jc w:val="both"/>
        <w:rPr>
          <w:rFonts w:hint="cs"/>
          <w:b/>
          <w:bCs/>
          <w:rtl/>
        </w:rPr>
      </w:pPr>
      <w:r>
        <w:rPr>
          <w:rFonts w:hint="cs"/>
          <w:b/>
          <w:bCs/>
          <w:rtl/>
        </w:rPr>
        <w:t>פרטי ב"כ הנאשם, עו"ד פהים דאוד, הינם כלהלן:</w:t>
      </w:r>
    </w:p>
    <w:p w14:paraId="2166C3A8" w14:textId="77777777" w:rsidR="00131EEF" w:rsidRDefault="00131EEF">
      <w:pPr>
        <w:spacing w:line="360" w:lineRule="auto"/>
        <w:jc w:val="both"/>
        <w:rPr>
          <w:rFonts w:hint="cs"/>
          <w:b/>
          <w:bCs/>
          <w:rtl/>
        </w:rPr>
      </w:pPr>
      <w:r>
        <w:rPr>
          <w:rFonts w:hint="cs"/>
          <w:b/>
          <w:bCs/>
          <w:rtl/>
        </w:rPr>
        <w:t xml:space="preserve">כתובת: רח' עצמון 16 נצרת עילית, טלפון </w:t>
      </w:r>
      <w:r>
        <w:rPr>
          <w:b/>
          <w:bCs/>
        </w:rPr>
        <w:t>04-6554930</w:t>
      </w:r>
      <w:r>
        <w:rPr>
          <w:rFonts w:hint="cs"/>
          <w:b/>
          <w:bCs/>
          <w:rtl/>
        </w:rPr>
        <w:t>.</w:t>
      </w:r>
      <w:r>
        <w:rPr>
          <w:rFonts w:hint="cs"/>
          <w:b/>
          <w:bCs/>
        </w:rPr>
        <w:t xml:space="preserve"> </w:t>
      </w:r>
      <w:r>
        <w:rPr>
          <w:rFonts w:hint="cs"/>
          <w:b/>
          <w:bCs/>
          <w:rtl/>
        </w:rPr>
        <w:t xml:space="preserve">טל' נייד: </w:t>
      </w:r>
      <w:r>
        <w:rPr>
          <w:b/>
          <w:bCs/>
        </w:rPr>
        <w:t>052-2371734</w:t>
      </w:r>
    </w:p>
    <w:p w14:paraId="7E6CD314" w14:textId="77777777" w:rsidR="003C7553" w:rsidRPr="003C7553" w:rsidRDefault="003C7553">
      <w:pPr>
        <w:spacing w:line="360" w:lineRule="auto"/>
        <w:jc w:val="both"/>
        <w:rPr>
          <w:rFonts w:hint="cs"/>
          <w:b/>
          <w:bCs/>
          <w:color w:val="FFFFFF"/>
          <w:sz w:val="2"/>
          <w:szCs w:val="2"/>
          <w:rtl/>
        </w:rPr>
      </w:pPr>
    </w:p>
    <w:p w14:paraId="2FEA984F" w14:textId="77777777" w:rsidR="003C7553" w:rsidRPr="003C7553" w:rsidRDefault="003C7553">
      <w:pPr>
        <w:spacing w:line="360" w:lineRule="auto"/>
        <w:jc w:val="both"/>
        <w:rPr>
          <w:rFonts w:hint="cs"/>
          <w:b/>
          <w:bCs/>
          <w:color w:val="FFFFFF"/>
          <w:sz w:val="2"/>
          <w:szCs w:val="2"/>
          <w:rtl/>
        </w:rPr>
      </w:pPr>
      <w:r w:rsidRPr="003C7553">
        <w:rPr>
          <w:b/>
          <w:bCs/>
          <w:color w:val="FFFFFF"/>
          <w:sz w:val="2"/>
          <w:szCs w:val="2"/>
          <w:rtl/>
        </w:rPr>
        <w:t>5129371</w:t>
      </w:r>
    </w:p>
    <w:p w14:paraId="55E1D3DB" w14:textId="77777777" w:rsidR="00131EEF" w:rsidRDefault="003C7553">
      <w:pPr>
        <w:spacing w:line="360" w:lineRule="auto"/>
        <w:jc w:val="both"/>
        <w:rPr>
          <w:rFonts w:hint="cs"/>
          <w:b/>
          <w:bCs/>
          <w:rtl/>
        </w:rPr>
      </w:pPr>
      <w:r w:rsidRPr="003C7553">
        <w:rPr>
          <w:b/>
          <w:bCs/>
          <w:color w:val="FFFFFF"/>
          <w:sz w:val="2"/>
          <w:szCs w:val="2"/>
          <w:rtl/>
        </w:rPr>
        <w:t>54678313</w:t>
      </w:r>
    </w:p>
    <w:p w14:paraId="53896B7F" w14:textId="77777777" w:rsidR="00131EEF" w:rsidRDefault="00131EEF">
      <w:pPr>
        <w:pStyle w:val="a6"/>
        <w:rPr>
          <w:rFonts w:hint="cs"/>
          <w:rtl/>
        </w:rPr>
      </w:pPr>
      <w:r>
        <w:rPr>
          <w:rFonts w:hint="cs"/>
          <w:rtl/>
        </w:rPr>
        <w:t>ב"כ הנאשם אחראי על כך שההחלטה הזו תימסר לשירות המבחן וכן אחראי על כך שתתואם פגישה אצל הממונה על עבודות השירות ושהנאשם יתייצב אליה.</w:t>
      </w:r>
    </w:p>
    <w:p w14:paraId="59EDD967" w14:textId="77777777" w:rsidR="00131EEF" w:rsidRDefault="00131EEF">
      <w:pPr>
        <w:spacing w:line="360" w:lineRule="auto"/>
        <w:jc w:val="both"/>
        <w:rPr>
          <w:rFonts w:hint="cs"/>
          <w:b/>
          <w:bCs/>
          <w:rtl/>
        </w:rPr>
      </w:pPr>
    </w:p>
    <w:p w14:paraId="14BA1E56" w14:textId="77777777" w:rsidR="008F0677" w:rsidRPr="008F0677" w:rsidRDefault="008F0677">
      <w:pPr>
        <w:suppressLineNumbers/>
        <w:spacing w:line="360" w:lineRule="auto"/>
        <w:jc w:val="both"/>
        <w:rPr>
          <w:b/>
          <w:bCs/>
          <w:color w:val="FFFFFF"/>
          <w:sz w:val="2"/>
          <w:szCs w:val="2"/>
          <w:rtl/>
        </w:rPr>
      </w:pPr>
    </w:p>
    <w:p w14:paraId="432A7B85" w14:textId="77777777" w:rsidR="008F0677" w:rsidRPr="008F0677" w:rsidRDefault="008F0677">
      <w:pPr>
        <w:suppressLineNumbers/>
        <w:spacing w:line="360" w:lineRule="auto"/>
        <w:jc w:val="both"/>
        <w:rPr>
          <w:b/>
          <w:bCs/>
          <w:color w:val="FFFFFF"/>
          <w:sz w:val="2"/>
          <w:szCs w:val="2"/>
          <w:rtl/>
        </w:rPr>
      </w:pPr>
      <w:r w:rsidRPr="008F0677">
        <w:rPr>
          <w:b/>
          <w:bCs/>
          <w:color w:val="FFFFFF"/>
          <w:sz w:val="2"/>
          <w:szCs w:val="2"/>
          <w:rtl/>
        </w:rPr>
        <w:t>5129371</w:t>
      </w:r>
    </w:p>
    <w:p w14:paraId="4FD17296" w14:textId="77777777" w:rsidR="00131EEF" w:rsidRDefault="008F0677">
      <w:pPr>
        <w:suppressLineNumbers/>
        <w:spacing w:line="360" w:lineRule="auto"/>
        <w:jc w:val="both"/>
        <w:rPr>
          <w:rFonts w:hint="cs"/>
          <w:sz w:val="26"/>
          <w:rtl/>
        </w:rPr>
      </w:pPr>
      <w:r w:rsidRPr="008F0677">
        <w:rPr>
          <w:b/>
          <w:bCs/>
          <w:color w:val="FFFFFF"/>
          <w:sz w:val="2"/>
          <w:szCs w:val="2"/>
          <w:rtl/>
        </w:rPr>
        <w:t>54678313</w:t>
      </w:r>
      <w:r w:rsidR="003C7553">
        <w:rPr>
          <w:b/>
          <w:bCs/>
          <w:rtl/>
        </w:rPr>
        <w:t xml:space="preserve">ניתנה היום, י"ח ב אדר א, תשס"ח (24 בפברואר 2008), במעמד הנוכחים. </w:t>
      </w:r>
    </w:p>
    <w:p w14:paraId="3125B318" w14:textId="77777777" w:rsidR="003C7553" w:rsidRPr="003C7553" w:rsidRDefault="003C7553" w:rsidP="003C7553">
      <w:pPr>
        <w:keepNext/>
        <w:spacing w:line="360" w:lineRule="auto"/>
        <w:rPr>
          <w:rFonts w:ascii="David" w:hAnsi="David" w:hint="cs"/>
          <w:color w:val="000000"/>
          <w:sz w:val="22"/>
          <w:szCs w:val="22"/>
          <w:rtl/>
        </w:rPr>
      </w:pPr>
    </w:p>
    <w:p w14:paraId="0E5467F4" w14:textId="77777777" w:rsidR="008F0677" w:rsidRPr="008F0677" w:rsidRDefault="008F0677" w:rsidP="008F0677">
      <w:pPr>
        <w:keepNext/>
        <w:spacing w:line="360" w:lineRule="auto"/>
        <w:rPr>
          <w:rFonts w:ascii="David" w:hAnsi="David" w:hint="cs"/>
          <w:color w:val="000000"/>
          <w:sz w:val="22"/>
          <w:szCs w:val="22"/>
          <w:rtl/>
        </w:rPr>
      </w:pPr>
    </w:p>
    <w:p w14:paraId="5724B303" w14:textId="77777777" w:rsidR="008F0677" w:rsidRPr="008F0677" w:rsidRDefault="008F0677" w:rsidP="008F0677">
      <w:pPr>
        <w:keepNext/>
        <w:spacing w:line="360" w:lineRule="auto"/>
        <w:rPr>
          <w:rFonts w:ascii="David" w:hAnsi="David"/>
          <w:color w:val="000000"/>
          <w:sz w:val="22"/>
          <w:szCs w:val="22"/>
          <w:rtl/>
        </w:rPr>
      </w:pPr>
      <w:r w:rsidRPr="008F0677">
        <w:rPr>
          <w:rFonts w:ascii="David" w:hAnsi="David"/>
          <w:color w:val="000000"/>
          <w:sz w:val="22"/>
          <w:szCs w:val="22"/>
          <w:rtl/>
        </w:rPr>
        <w:t>עאטף עיילבוני 54678313-1074/07</w:t>
      </w:r>
    </w:p>
    <w:p w14:paraId="35F45CD9" w14:textId="77777777" w:rsidR="00131EEF" w:rsidRDefault="00131EEF">
      <w:pPr>
        <w:suppressLineNumbers/>
        <w:spacing w:line="360" w:lineRule="auto"/>
        <w:jc w:val="both"/>
        <w:rPr>
          <w:rFonts w:hint="cs"/>
          <w:sz w:val="26"/>
          <w:rtl/>
        </w:rPr>
      </w:pPr>
    </w:p>
    <w:tbl>
      <w:tblPr>
        <w:bidiVisual/>
        <w:tblW w:w="0" w:type="auto"/>
        <w:tblInd w:w="5727" w:type="dxa"/>
        <w:tblBorders>
          <w:top w:val="single" w:sz="4" w:space="0" w:color="auto"/>
        </w:tblBorders>
        <w:tblLook w:val="0000" w:firstRow="0" w:lastRow="0" w:firstColumn="0" w:lastColumn="0" w:noHBand="0" w:noVBand="0"/>
      </w:tblPr>
      <w:tblGrid>
        <w:gridCol w:w="2795"/>
      </w:tblGrid>
      <w:tr w:rsidR="00131EEF" w14:paraId="1BEE61BC" w14:textId="77777777">
        <w:trPr>
          <w:trHeight w:val="350"/>
        </w:trPr>
        <w:tc>
          <w:tcPr>
            <w:tcW w:w="2802" w:type="dxa"/>
            <w:tcBorders>
              <w:top w:val="single" w:sz="4" w:space="0" w:color="auto"/>
              <w:left w:val="nil"/>
              <w:bottom w:val="nil"/>
              <w:right w:val="nil"/>
            </w:tcBorders>
            <w:vAlign w:val="center"/>
          </w:tcPr>
          <w:p w14:paraId="7A9AB3BD" w14:textId="77777777" w:rsidR="00131EEF" w:rsidRDefault="00131EEF">
            <w:pPr>
              <w:pStyle w:val="10"/>
              <w:spacing w:line="240" w:lineRule="auto"/>
            </w:pPr>
            <w:r>
              <w:rPr>
                <w:rFonts w:hint="cs"/>
                <w:rtl/>
              </w:rPr>
              <w:t>עאטף עיילבוני, שופט</w:t>
            </w:r>
          </w:p>
        </w:tc>
      </w:tr>
    </w:tbl>
    <w:p w14:paraId="23281761" w14:textId="77777777" w:rsidR="003C7553" w:rsidRPr="003C7553" w:rsidRDefault="00131EEF" w:rsidP="003C7553">
      <w:pPr>
        <w:rPr>
          <w:color w:val="000000"/>
        </w:rPr>
      </w:pPr>
      <w:r>
        <w:rPr>
          <w:rFonts w:hint="cs"/>
          <w:sz w:val="18"/>
          <w:szCs w:val="20"/>
          <w:rtl/>
        </w:rPr>
        <w:t>001074/07פ  054 נאוה צ</w:t>
      </w:r>
    </w:p>
    <w:p w14:paraId="5415B2E9" w14:textId="77777777" w:rsidR="008F0677" w:rsidRPr="008F0677" w:rsidRDefault="003C7553" w:rsidP="008F0677">
      <w:pPr>
        <w:rPr>
          <w:color w:val="000000"/>
        </w:rPr>
      </w:pPr>
      <w:r w:rsidRPr="003C7553">
        <w:rPr>
          <w:color w:val="000000"/>
          <w:rtl/>
        </w:rPr>
        <w:t>נוסח מסמך זה כפוף לשינויי ניסוח ועריכה</w:t>
      </w:r>
    </w:p>
    <w:sectPr w:rsidR="008F0677" w:rsidRPr="008F0677" w:rsidSect="008F0677">
      <w:headerReference w:type="even" r:id="rId22"/>
      <w:headerReference w:type="default" r:id="rId23"/>
      <w:footerReference w:type="even" r:id="rId24"/>
      <w:footerReference w:type="default" r:id="rId2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6B14" w14:textId="77777777" w:rsidR="00E844F4" w:rsidRDefault="00E844F4">
      <w:r>
        <w:separator/>
      </w:r>
    </w:p>
  </w:endnote>
  <w:endnote w:type="continuationSeparator" w:id="0">
    <w:p w14:paraId="019B4680" w14:textId="77777777" w:rsidR="00E844F4" w:rsidRDefault="00E8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789C9" w14:textId="77777777" w:rsidR="00DE261C" w:rsidRDefault="00DE261C" w:rsidP="008F0677">
    <w:pPr>
      <w:pStyle w:val="a4"/>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4B7DD77C" w14:textId="77777777" w:rsidR="00DE261C" w:rsidRDefault="00DE261C" w:rsidP="008F0677">
    <w:pPr>
      <w:pStyle w:val="a4"/>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35C0865D" w14:textId="77777777" w:rsidR="00DE261C" w:rsidRPr="008F0677" w:rsidRDefault="00DE261C" w:rsidP="008F0677">
    <w:pPr>
      <w:pStyle w:val="a4"/>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C:\nevo\nevo\2008-03-06 - 100 files\m07001074-98.doc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F63E" w14:textId="77777777" w:rsidR="00DE261C" w:rsidRDefault="00DE261C" w:rsidP="008F0677">
    <w:pPr>
      <w:pStyle w:val="a4"/>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BC1DD0">
      <w:rPr>
        <w:rFonts w:ascii="FrankRuehl" w:hAnsi="FrankRuehl" w:cs="FrankRuehl"/>
        <w:noProof/>
        <w:sz w:val="24"/>
        <w:rtl/>
      </w:rPr>
      <w:t>1</w:t>
    </w:r>
    <w:r>
      <w:rPr>
        <w:rFonts w:ascii="FrankRuehl" w:hAnsi="FrankRuehl" w:cs="FrankRuehl"/>
        <w:sz w:val="24"/>
        <w:rtl/>
      </w:rPr>
      <w:fldChar w:fldCharType="end"/>
    </w:r>
  </w:p>
  <w:p w14:paraId="7DBF8B80" w14:textId="77777777" w:rsidR="00DE261C" w:rsidRDefault="00DE261C" w:rsidP="008F0677">
    <w:pPr>
      <w:pStyle w:val="a4"/>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3857ABAE" w14:textId="77777777" w:rsidR="00DE261C" w:rsidRPr="008F0677" w:rsidRDefault="00DE261C" w:rsidP="008F0677">
    <w:pPr>
      <w:pStyle w:val="a4"/>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C:\nevo\nevo\2008-03-06 - 100 files\m07001074-98.doc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ECDE" w14:textId="77777777" w:rsidR="00E844F4" w:rsidRDefault="00E844F4">
      <w:r>
        <w:separator/>
      </w:r>
    </w:p>
  </w:footnote>
  <w:footnote w:type="continuationSeparator" w:id="0">
    <w:p w14:paraId="56712F1F" w14:textId="77777777" w:rsidR="00E844F4" w:rsidRDefault="00E84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2F48" w14:textId="77777777" w:rsidR="00DE261C" w:rsidRPr="008F0677" w:rsidRDefault="00DE261C" w:rsidP="008F06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(נצ') 1074/07 </w:t>
    </w:r>
    <w:r>
      <w:rPr>
        <w:rFonts w:ascii="David" w:hAnsi="David"/>
        <w:color w:val="000000"/>
        <w:sz w:val="22"/>
        <w:szCs w:val="22"/>
        <w:rtl/>
      </w:rPr>
      <w:tab/>
      <w:t xml:space="preserve"> מדינת ישראל נ' שלבי אחמד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F8AC" w14:textId="77777777" w:rsidR="00DE261C" w:rsidRPr="008F0677" w:rsidRDefault="00DE261C" w:rsidP="008F06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(נצ') 1074/07 </w:t>
    </w:r>
    <w:r>
      <w:rPr>
        <w:rFonts w:ascii="David" w:hAnsi="David"/>
        <w:color w:val="000000"/>
        <w:sz w:val="22"/>
        <w:szCs w:val="22"/>
        <w:rtl/>
      </w:rPr>
      <w:tab/>
      <w:t xml:space="preserve"> מדינת ישראל נ' שלבי אחמד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5227B"/>
    <w:multiLevelType w:val="hybridMultilevel"/>
    <w:tmpl w:val="280CB276"/>
    <w:lvl w:ilvl="0" w:tplc="D5D61E94">
      <w:start w:val="1"/>
      <w:numFmt w:val="hebrew1"/>
      <w:lvlText w:val="%1."/>
      <w:lvlJc w:val="left"/>
      <w:pPr>
        <w:tabs>
          <w:tab w:val="num" w:pos="567"/>
        </w:tabs>
        <w:ind w:left="567" w:hanging="56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39246963">
    <w:abstractNumId w:val="0"/>
  </w:num>
  <w:num w:numId="2" w16cid:durableId="199978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31EEF"/>
    <w:rsid w:val="001041A3"/>
    <w:rsid w:val="00131EEF"/>
    <w:rsid w:val="003756FD"/>
    <w:rsid w:val="003C7553"/>
    <w:rsid w:val="003E624F"/>
    <w:rsid w:val="006A12D7"/>
    <w:rsid w:val="00757899"/>
    <w:rsid w:val="0081467F"/>
    <w:rsid w:val="008F0677"/>
    <w:rsid w:val="008F4990"/>
    <w:rsid w:val="00BC1DD0"/>
    <w:rsid w:val="00D01159"/>
    <w:rsid w:val="00DE261C"/>
    <w:rsid w:val="00E844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455D3B1"/>
  <w15:chartTrackingRefBased/>
  <w15:docId w15:val="{6509B4AE-6C24-4A9A-AF25-3F5C1983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snapToGrid w:val="0"/>
    </w:pPr>
    <w:rPr>
      <w:rFonts w:cs="David"/>
      <w:szCs w:val="24"/>
    </w:rPr>
  </w:style>
  <w:style w:type="paragraph" w:styleId="1">
    <w:name w:val="heading 1"/>
    <w:basedOn w:val="a"/>
    <w:next w:val="Normal1"/>
    <w:qFormat/>
    <w:pPr>
      <w:keepNext/>
      <w:jc w:val="center"/>
      <w:outlineLvl w:val="0"/>
    </w:pPr>
    <w:rPr>
      <w:b/>
      <w:bCs/>
      <w:sz w:val="32"/>
      <w:szCs w:val="32"/>
      <w:u w:val="single"/>
    </w:rPr>
  </w:style>
  <w:style w:type="paragraph" w:styleId="2">
    <w:name w:val="heading 2"/>
    <w:basedOn w:val="a"/>
    <w:next w:val="Normal1"/>
    <w:qFormat/>
    <w:pPr>
      <w:keepNext/>
      <w:suppressLineNumbers/>
      <w:jc w:val="center"/>
      <w:outlineLvl w:val="1"/>
    </w:pPr>
    <w:rPr>
      <w:rFonts w:ascii="Arial" w:hAnsi="Arial"/>
      <w:b/>
      <w:bCs/>
      <w:sz w:val="24"/>
      <w:szCs w:val="28"/>
      <w:u w:val="single"/>
    </w:rPr>
  </w:style>
  <w:style w:type="paragraph" w:styleId="3">
    <w:name w:val="heading 3"/>
    <w:basedOn w:val="a"/>
    <w:next w:val="Normal1"/>
    <w:qFormat/>
    <w:pPr>
      <w:keepNext/>
      <w:outlineLvl w:val="2"/>
    </w:pPr>
    <w:rPr>
      <w:b/>
      <w:bCs/>
    </w:rPr>
  </w:style>
  <w:style w:type="paragraph" w:styleId="4">
    <w:name w:val="heading 4"/>
    <w:basedOn w:val="a"/>
    <w:next w:val="Normal1"/>
    <w:qFormat/>
    <w:pPr>
      <w:keepNext/>
      <w:outlineLvl w:val="3"/>
    </w:pPr>
    <w:rPr>
      <w:b/>
      <w:bCs/>
      <w:sz w:val="28"/>
      <w:szCs w:val="28"/>
    </w:rPr>
  </w:style>
  <w:style w:type="paragraph" w:styleId="5">
    <w:name w:val="heading 5"/>
    <w:basedOn w:val="a"/>
    <w:next w:val="Normal1"/>
    <w:qFormat/>
    <w:pPr>
      <w:keepNext/>
      <w:outlineLvl w:val="4"/>
    </w:pPr>
    <w:rPr>
      <w:u w:val="single"/>
    </w:rPr>
  </w:style>
  <w:style w:type="paragraph" w:styleId="6">
    <w:name w:val="heading 6"/>
    <w:basedOn w:val="a"/>
    <w:next w:val="Normal1"/>
    <w:qFormat/>
    <w:pPr>
      <w:keepNext/>
      <w:suppressLineNumbers/>
      <w:jc w:val="center"/>
      <w:outlineLvl w:val="5"/>
    </w:pPr>
    <w:rPr>
      <w:b/>
      <w:bCs/>
      <w:sz w:val="30"/>
      <w:szCs w:val="28"/>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rmal1">
    <w:name w:val="Normal1"/>
    <w:basedOn w:val="a"/>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rPr>
      <w:sz w:val="22"/>
    </w:rPr>
  </w:style>
  <w:style w:type="paragraph" w:styleId="a5">
    <w:name w:val="Title"/>
    <w:basedOn w:val="a"/>
    <w:qFormat/>
    <w:pPr>
      <w:jc w:val="center"/>
    </w:pPr>
    <w:rPr>
      <w:b/>
      <w:bCs/>
      <w:sz w:val="24"/>
      <w:u w:val="single"/>
    </w:rPr>
  </w:style>
  <w:style w:type="paragraph" w:styleId="a6">
    <w:name w:val="Body Text"/>
    <w:basedOn w:val="a"/>
  </w:style>
  <w:style w:type="paragraph" w:styleId="20">
    <w:name w:val="Body Text 2"/>
    <w:basedOn w:val="a"/>
    <w:pPr>
      <w:spacing w:after="120" w:line="480" w:lineRule="auto"/>
    </w:pPr>
    <w:rPr>
      <w:sz w:val="24"/>
    </w:rPr>
  </w:style>
  <w:style w:type="paragraph" w:customStyle="1" w:styleId="a7">
    <w:name w:val="שמות"/>
    <w:basedOn w:val="a"/>
    <w:pPr>
      <w:suppressLineNumbers/>
      <w:spacing w:line="360" w:lineRule="auto"/>
      <w:jc w:val="both"/>
    </w:pPr>
    <w:rPr>
      <w:b/>
      <w:bCs/>
      <w:sz w:val="22"/>
    </w:rPr>
  </w:style>
  <w:style w:type="paragraph" w:customStyle="1" w:styleId="a8">
    <w:name w:val="החלטה"/>
    <w:basedOn w:val="a"/>
    <w:pPr>
      <w:suppressLineNumbers/>
    </w:pPr>
    <w:rPr>
      <w:bCs/>
    </w:rPr>
  </w:style>
  <w:style w:type="paragraph" w:customStyle="1" w:styleId="a9">
    <w:name w:val="חקירה"/>
    <w:basedOn w:val="a"/>
    <w:pPr>
      <w:suppressLineNumbers/>
    </w:pPr>
  </w:style>
  <w:style w:type="paragraph" w:customStyle="1" w:styleId="10">
    <w:name w:val="סגנון1"/>
    <w:basedOn w:val="a"/>
    <w:pPr>
      <w:suppressLineNumbers/>
      <w:spacing w:line="360" w:lineRule="auto"/>
      <w:jc w:val="center"/>
    </w:pPr>
    <w:rPr>
      <w:b/>
      <w:bCs/>
      <w:sz w:val="28"/>
      <w:szCs w:val="28"/>
    </w:rPr>
  </w:style>
  <w:style w:type="character" w:styleId="aa">
    <w:name w:val="page number"/>
    <w:rPr>
      <w:rFonts w:cs="David"/>
    </w:rPr>
  </w:style>
  <w:style w:type="paragraph" w:customStyle="1" w:styleId="BodyText21">
    <w:name w:val="Body Text 21"/>
    <w:basedOn w:val="a"/>
    <w:pPr>
      <w:bidi w:val="0"/>
      <w:snapToGrid/>
      <w:spacing w:before="100" w:beforeAutospacing="1" w:after="100" w:afterAutospacing="1"/>
    </w:pPr>
    <w:rPr>
      <w:rFonts w:cs="Times New Roman"/>
      <w:sz w:val="24"/>
    </w:rPr>
  </w:style>
  <w:style w:type="paragraph" w:styleId="ab">
    <w:name w:val="Quote"/>
    <w:basedOn w:val="BodyText21"/>
    <w:qFormat/>
    <w:pPr>
      <w:bidi/>
      <w:spacing w:before="0" w:beforeAutospacing="0" w:after="0" w:afterAutospacing="0" w:line="360" w:lineRule="auto"/>
      <w:ind w:left="1701" w:right="1701"/>
      <w:jc w:val="both"/>
    </w:pPr>
    <w:rPr>
      <w:rFonts w:cs="David"/>
      <w:b/>
      <w:bCs/>
    </w:rPr>
  </w:style>
  <w:style w:type="paragraph" w:customStyle="1" w:styleId="Heading21">
    <w:name w:val="Heading 21"/>
    <w:basedOn w:val="a"/>
    <w:pPr>
      <w:bidi w:val="0"/>
      <w:snapToGrid/>
      <w:spacing w:before="100" w:beforeAutospacing="1" w:after="100" w:afterAutospacing="1"/>
    </w:pPr>
    <w:rPr>
      <w:rFonts w:cs="Times New Roman"/>
      <w:sz w:val="24"/>
    </w:rPr>
  </w:style>
  <w:style w:type="paragraph" w:styleId="ac">
    <w:name w:val="Signature"/>
    <w:basedOn w:val="Heading21"/>
    <w:pPr>
      <w:keepNext/>
      <w:suppressLineNumbers/>
      <w:bidi/>
      <w:snapToGrid w:val="0"/>
      <w:spacing w:before="0" w:beforeAutospacing="0" w:after="0" w:afterAutospacing="0" w:line="360" w:lineRule="auto"/>
      <w:jc w:val="center"/>
      <w:outlineLvl w:val="1"/>
    </w:pPr>
    <w:rPr>
      <w:rFonts w:ascii="Arial" w:hAnsi="Arial" w:cs="David"/>
      <w:b/>
      <w:u w:val="single"/>
    </w:rPr>
  </w:style>
  <w:style w:type="character" w:styleId="Hyperlink">
    <w:name w:val="Hyperlink"/>
    <w:rsid w:val="003C7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144.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585240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62686" TargetMode="External"/><Relationship Id="rId20"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1479667" TargetMode="External"/><Relationship Id="rId23"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5887664"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2232</Words>
  <Characters>11163</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13369</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3342457</vt:i4>
      </vt:variant>
      <vt:variant>
        <vt:i4>27</vt:i4>
      </vt:variant>
      <vt:variant>
        <vt:i4>0</vt:i4>
      </vt:variant>
      <vt:variant>
        <vt:i4>5</vt:i4>
      </vt:variant>
      <vt:variant>
        <vt:lpwstr>http://www.nevo.co.il/case/5762686</vt:lpwstr>
      </vt:variant>
      <vt:variant>
        <vt:lpwstr/>
      </vt:variant>
      <vt:variant>
        <vt:i4>3735668</vt:i4>
      </vt:variant>
      <vt:variant>
        <vt:i4>24</vt:i4>
      </vt:variant>
      <vt:variant>
        <vt:i4>0</vt:i4>
      </vt:variant>
      <vt:variant>
        <vt:i4>5</vt:i4>
      </vt:variant>
      <vt:variant>
        <vt:lpwstr>http://www.nevo.co.il/case/21479667</vt:lpwstr>
      </vt:variant>
      <vt:variant>
        <vt:lpwstr/>
      </vt:variant>
      <vt:variant>
        <vt:i4>4128893</vt:i4>
      </vt:variant>
      <vt:variant>
        <vt:i4>21</vt:i4>
      </vt:variant>
      <vt:variant>
        <vt:i4>0</vt:i4>
      </vt:variant>
      <vt:variant>
        <vt:i4>5</vt:i4>
      </vt:variant>
      <vt:variant>
        <vt:lpwstr>http://www.nevo.co.il/case/5887664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2024-01-07T12:18:00Z</dcterms:created>
  <dcterms:modified xsi:type="dcterms:W3CDTF">2024-01-07T12:18:00Z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תפ</vt:lpwstr>
  </property>
  <property fmtid="{D5CDD505-2E9C-101B-9397-08002B2CF9AE}" pid="5" name="PROCNUM">
    <vt:lpwstr>1074</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שלבי אחמד</vt:lpwstr>
  </property>
  <property fmtid="{D5CDD505-2E9C-101B-9397-08002B2CF9AE}" pid="9" name="LAWYER">
    <vt:lpwstr>דאוד פהים;גיל דביר</vt:lpwstr>
  </property>
  <property fmtid="{D5CDD505-2E9C-101B-9397-08002B2CF9AE}" pid="10" name="JUDGE">
    <vt:lpwstr>עאטף עיילבוני</vt:lpwstr>
  </property>
  <property fmtid="{D5CDD505-2E9C-101B-9397-08002B2CF9AE}" pid="11" name="CITY">
    <vt:lpwstr>נצ'</vt:lpwstr>
  </property>
  <property fmtid="{D5CDD505-2E9C-101B-9397-08002B2CF9AE}" pid="12" name="DATE">
    <vt:lpwstr>20080306</vt:lpwstr>
  </property>
  <property fmtid="{D5CDD505-2E9C-101B-9397-08002B2CF9AE}" pid="13" name="TYPE_N_DATE">
    <vt:lpwstr>39020080306</vt:lpwstr>
  </property>
  <property fmtid="{D5CDD505-2E9C-101B-9397-08002B2CF9AE}" pid="14" name="WORDNUMPAGES">
    <vt:lpwstr>8</vt:lpwstr>
  </property>
  <property fmtid="{D5CDD505-2E9C-101B-9397-08002B2CF9AE}" pid="15" name="ISABSTRACT">
    <vt:lpwstr>Y</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
  </property>
  <property fmtid="{D5CDD505-2E9C-101B-9397-08002B2CF9AE}" pid="20" name="DELEMATA">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CASESLISTTMP1">
    <vt:lpwstr>5887664;5762686;5852404</vt:lpwstr>
  </property>
  <property fmtid="{D5CDD505-2E9C-101B-9397-08002B2CF9AE}" pid="38" name="LAWLISTTMP1">
    <vt:lpwstr>70301/144.a:3;144</vt:lpwstr>
  </property>
</Properties>
</file>