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1FDB9" w14:textId="77777777" w:rsidR="00BA5622" w:rsidRPr="0021003D" w:rsidRDefault="00BA5622">
      <w:pPr>
        <w:pStyle w:val="a5"/>
        <w:rPr>
          <w:sz w:val="34"/>
          <w:szCs w:val="32"/>
          <w:rtl/>
        </w:rPr>
      </w:pPr>
      <w:r w:rsidRPr="0021003D">
        <w:rPr>
          <w:rFonts w:hint="cs"/>
          <w:rtl/>
        </w:rPr>
        <w:t>בתי המשפט</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8"/>
        <w:gridCol w:w="4706"/>
        <w:gridCol w:w="964"/>
        <w:gridCol w:w="1951"/>
      </w:tblGrid>
      <w:tr w:rsidR="00BA5622" w:rsidRPr="0021003D" w14:paraId="0E3E46DC" w14:textId="77777777">
        <w:trPr>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5F7F6664" w14:textId="77777777" w:rsidR="00BA5622" w:rsidRPr="0021003D" w:rsidRDefault="00BA5622">
            <w:pPr>
              <w:pStyle w:val="4"/>
              <w:rPr>
                <w:sz w:val="34"/>
                <w:szCs w:val="32"/>
                <w:u w:val="none"/>
              </w:rPr>
            </w:pPr>
            <w:bookmarkStart w:id="0" w:name="LastJudge"/>
            <w:bookmarkEnd w:id="0"/>
            <w:r w:rsidRPr="0021003D">
              <w:rPr>
                <w:rFonts w:hint="cs"/>
                <w:sz w:val="34"/>
                <w:szCs w:val="32"/>
                <w:u w:val="none"/>
                <w:rtl/>
              </w:rPr>
              <w:t>בית המשפט המחוזי בירושלים</w:t>
            </w:r>
          </w:p>
          <w:p w14:paraId="3587EF68" w14:textId="77777777" w:rsidR="00BA5622" w:rsidRPr="0021003D" w:rsidRDefault="00BA5622">
            <w:pPr>
              <w:spacing w:line="240" w:lineRule="auto"/>
              <w:rPr>
                <w:rFonts w:hint="cs"/>
                <w:rtl/>
              </w:rPr>
            </w:pPr>
          </w:p>
          <w:p w14:paraId="3AF843E5" w14:textId="77777777" w:rsidR="00BA5622" w:rsidRPr="0021003D" w:rsidRDefault="00BA5622">
            <w:pPr>
              <w:spacing w:line="240" w:lineRule="auto"/>
            </w:pPr>
            <w:r w:rsidRPr="0021003D">
              <w:rPr>
                <w:rFonts w:hint="cs"/>
                <w:b/>
                <w:bCs/>
                <w:sz w:val="34"/>
                <w:szCs w:val="32"/>
                <w:rtl/>
              </w:rPr>
              <w:t>לפני: כב' השופט משה דרורי</w:t>
            </w:r>
          </w:p>
        </w:tc>
        <w:tc>
          <w:tcPr>
            <w:tcW w:w="2915" w:type="dxa"/>
            <w:gridSpan w:val="2"/>
            <w:tcBorders>
              <w:top w:val="single" w:sz="4" w:space="0" w:color="auto"/>
              <w:left w:val="single" w:sz="4" w:space="0" w:color="auto"/>
              <w:bottom w:val="single" w:sz="4" w:space="0" w:color="auto"/>
              <w:right w:val="single" w:sz="4" w:space="0" w:color="auto"/>
            </w:tcBorders>
          </w:tcPr>
          <w:p w14:paraId="61517D3C" w14:textId="77777777" w:rsidR="00BA5622" w:rsidRPr="0021003D" w:rsidRDefault="00BA5622">
            <w:pPr>
              <w:spacing w:line="240" w:lineRule="auto"/>
              <w:jc w:val="right"/>
              <w:rPr>
                <w:b/>
                <w:bCs/>
                <w:sz w:val="24"/>
                <w:szCs w:val="32"/>
              </w:rPr>
            </w:pPr>
            <w:r w:rsidRPr="0021003D">
              <w:rPr>
                <w:rFonts w:hint="cs"/>
                <w:b/>
                <w:bCs/>
                <w:sz w:val="24"/>
                <w:szCs w:val="32"/>
                <w:rtl/>
              </w:rPr>
              <w:t>פ   207/08</w:t>
            </w:r>
          </w:p>
        </w:tc>
      </w:tr>
      <w:tr w:rsidR="00BA5622" w:rsidRPr="0021003D" w14:paraId="3BFAD79D" w14:textId="77777777">
        <w:trPr>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06311428" w14:textId="77777777" w:rsidR="00BA5622" w:rsidRPr="0021003D" w:rsidRDefault="00BA5622">
            <w:pPr>
              <w:bidi w:val="0"/>
              <w:spacing w:line="240" w:lineRule="auto"/>
              <w:jc w:val="left"/>
            </w:pPr>
          </w:p>
        </w:tc>
        <w:tc>
          <w:tcPr>
            <w:tcW w:w="2915" w:type="dxa"/>
            <w:gridSpan w:val="2"/>
            <w:tcBorders>
              <w:top w:val="single" w:sz="4" w:space="0" w:color="auto"/>
              <w:left w:val="single" w:sz="4" w:space="0" w:color="auto"/>
              <w:bottom w:val="single" w:sz="4" w:space="0" w:color="auto"/>
              <w:right w:val="single" w:sz="4" w:space="0" w:color="auto"/>
            </w:tcBorders>
          </w:tcPr>
          <w:p w14:paraId="23DEF8C8" w14:textId="77777777" w:rsidR="00BA5622" w:rsidRPr="0021003D" w:rsidRDefault="00BA5622">
            <w:pPr>
              <w:spacing w:line="240" w:lineRule="auto"/>
              <w:jc w:val="right"/>
              <w:rPr>
                <w:b/>
                <w:bCs/>
                <w:sz w:val="24"/>
                <w:szCs w:val="32"/>
              </w:rPr>
            </w:pPr>
          </w:p>
        </w:tc>
      </w:tr>
      <w:tr w:rsidR="00BA5622" w:rsidRPr="0021003D" w14:paraId="05847429" w14:textId="77777777">
        <w:trPr>
          <w:trHeight w:val="286"/>
        </w:trPr>
        <w:tc>
          <w:tcPr>
            <w:tcW w:w="908" w:type="dxa"/>
            <w:tcBorders>
              <w:top w:val="single" w:sz="4" w:space="0" w:color="auto"/>
              <w:left w:val="single" w:sz="4" w:space="0" w:color="auto"/>
              <w:bottom w:val="single" w:sz="4" w:space="0" w:color="auto"/>
              <w:right w:val="single" w:sz="4" w:space="0" w:color="auto"/>
            </w:tcBorders>
          </w:tcPr>
          <w:p w14:paraId="212E7C67" w14:textId="77777777" w:rsidR="00BA5622" w:rsidRPr="0021003D" w:rsidRDefault="00BA5622">
            <w:pPr>
              <w:spacing w:line="240" w:lineRule="auto"/>
              <w:rPr>
                <w:b/>
                <w:bCs/>
                <w:sz w:val="24"/>
                <w:szCs w:val="32"/>
              </w:rPr>
            </w:pPr>
          </w:p>
        </w:tc>
        <w:tc>
          <w:tcPr>
            <w:tcW w:w="4706" w:type="dxa"/>
            <w:tcBorders>
              <w:top w:val="single" w:sz="4" w:space="0" w:color="auto"/>
              <w:left w:val="single" w:sz="4" w:space="0" w:color="auto"/>
              <w:bottom w:val="single" w:sz="4" w:space="0" w:color="auto"/>
              <w:right w:val="single" w:sz="4" w:space="0" w:color="auto"/>
            </w:tcBorders>
          </w:tcPr>
          <w:p w14:paraId="0F673125" w14:textId="77777777" w:rsidR="00BA5622" w:rsidRPr="0021003D" w:rsidRDefault="00BA5622">
            <w:pPr>
              <w:spacing w:line="240" w:lineRule="auto"/>
              <w:rPr>
                <w:b/>
                <w:bCs/>
                <w:sz w:val="24"/>
                <w:szCs w:val="32"/>
              </w:rPr>
            </w:pPr>
          </w:p>
        </w:tc>
        <w:tc>
          <w:tcPr>
            <w:tcW w:w="96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04D514FD" w14:textId="77777777" w:rsidR="00BA5622" w:rsidRPr="0021003D" w:rsidRDefault="00BA5622">
            <w:pPr>
              <w:spacing w:line="240" w:lineRule="auto"/>
              <w:rPr>
                <w:b/>
                <w:bCs/>
                <w:sz w:val="24"/>
                <w:szCs w:val="32"/>
              </w:rPr>
            </w:pPr>
            <w:r w:rsidRPr="0021003D">
              <w:rPr>
                <w:rFonts w:hint="cs"/>
                <w:b/>
                <w:bCs/>
                <w:sz w:val="34"/>
                <w:szCs w:val="32"/>
                <w:rtl/>
              </w:rPr>
              <w:t xml:space="preserve"> </w:t>
            </w:r>
          </w:p>
        </w:tc>
        <w:tc>
          <w:tcPr>
            <w:tcW w:w="1951" w:type="dxa"/>
            <w:tcBorders>
              <w:top w:val="single" w:sz="4" w:space="0" w:color="auto"/>
              <w:left w:val="single" w:sz="4" w:space="0" w:color="auto"/>
              <w:bottom w:val="single" w:sz="4" w:space="0" w:color="auto"/>
              <w:right w:val="single" w:sz="4" w:space="0" w:color="auto"/>
            </w:tcBorders>
          </w:tcPr>
          <w:p w14:paraId="7D92D864" w14:textId="77777777" w:rsidR="00BA5622" w:rsidRPr="0021003D" w:rsidRDefault="00BA5622">
            <w:pPr>
              <w:spacing w:line="240" w:lineRule="auto"/>
              <w:rPr>
                <w:b/>
                <w:bCs/>
                <w:sz w:val="24"/>
                <w:szCs w:val="32"/>
              </w:rPr>
            </w:pPr>
            <w:r w:rsidRPr="0021003D">
              <w:rPr>
                <w:rFonts w:hint="cs"/>
                <w:b/>
                <w:bCs/>
                <w:sz w:val="24"/>
                <w:szCs w:val="32"/>
                <w:rtl/>
              </w:rPr>
              <w:t>02/11/2008</w:t>
            </w:r>
          </w:p>
        </w:tc>
      </w:tr>
    </w:tbl>
    <w:p w14:paraId="4568F7E0" w14:textId="77777777" w:rsidR="00BA5622" w:rsidRPr="0021003D" w:rsidRDefault="00BA5622">
      <w:pPr>
        <w:rPr>
          <w:rFonts w:hint="cs"/>
          <w:b/>
          <w:bCs/>
          <w:sz w:val="28"/>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4586"/>
        <w:gridCol w:w="234"/>
        <w:gridCol w:w="2409"/>
      </w:tblGrid>
      <w:tr w:rsidR="00BA5622" w:rsidRPr="0021003D" w14:paraId="1E42171E" w14:textId="77777777">
        <w:tc>
          <w:tcPr>
            <w:tcW w:w="1362" w:type="dxa"/>
          </w:tcPr>
          <w:p w14:paraId="66FA21F1" w14:textId="77777777" w:rsidR="00BA5622" w:rsidRPr="0021003D" w:rsidRDefault="00BA5622">
            <w:pPr>
              <w:spacing w:line="240" w:lineRule="auto"/>
              <w:rPr>
                <w:b/>
                <w:bCs/>
                <w:sz w:val="28"/>
              </w:rPr>
            </w:pPr>
            <w:bookmarkStart w:id="1" w:name="FirstAppellant"/>
            <w:r w:rsidRPr="0021003D">
              <w:rPr>
                <w:rFonts w:hint="cs"/>
                <w:b/>
                <w:bCs/>
                <w:sz w:val="28"/>
                <w:rtl/>
              </w:rPr>
              <w:t>בעניין:</w:t>
            </w:r>
          </w:p>
        </w:tc>
        <w:tc>
          <w:tcPr>
            <w:tcW w:w="4820" w:type="dxa"/>
            <w:gridSpan w:val="2"/>
          </w:tcPr>
          <w:p w14:paraId="24F50507" w14:textId="77777777" w:rsidR="00BA5622" w:rsidRPr="0021003D" w:rsidRDefault="00BA5622">
            <w:pPr>
              <w:spacing w:line="240" w:lineRule="auto"/>
              <w:rPr>
                <w:b/>
                <w:bCs/>
                <w:sz w:val="28"/>
              </w:rPr>
            </w:pPr>
            <w:r w:rsidRPr="0021003D">
              <w:rPr>
                <w:rFonts w:hint="cs"/>
                <w:b/>
                <w:bCs/>
                <w:sz w:val="28"/>
                <w:rtl/>
              </w:rPr>
              <w:t>מדינת ישראל</w:t>
            </w:r>
          </w:p>
        </w:tc>
        <w:tc>
          <w:tcPr>
            <w:tcW w:w="2409" w:type="dxa"/>
          </w:tcPr>
          <w:p w14:paraId="66CE954A" w14:textId="77777777" w:rsidR="00BA5622" w:rsidRPr="0021003D" w:rsidRDefault="00BA5622">
            <w:pPr>
              <w:spacing w:line="240" w:lineRule="auto"/>
              <w:rPr>
                <w:b/>
                <w:bCs/>
                <w:sz w:val="28"/>
              </w:rPr>
            </w:pPr>
          </w:p>
        </w:tc>
      </w:tr>
      <w:tr w:rsidR="00BA5622" w:rsidRPr="0021003D" w14:paraId="52BC5B0B" w14:textId="77777777">
        <w:tc>
          <w:tcPr>
            <w:tcW w:w="1362" w:type="dxa"/>
          </w:tcPr>
          <w:p w14:paraId="687DAE91" w14:textId="77777777" w:rsidR="00BA5622" w:rsidRPr="0021003D" w:rsidRDefault="00BA5622">
            <w:pPr>
              <w:spacing w:line="240" w:lineRule="auto"/>
              <w:rPr>
                <w:b/>
                <w:bCs/>
                <w:sz w:val="28"/>
              </w:rPr>
            </w:pPr>
            <w:bookmarkStart w:id="2" w:name="FirstLawyer"/>
            <w:bookmarkEnd w:id="1"/>
          </w:p>
        </w:tc>
        <w:tc>
          <w:tcPr>
            <w:tcW w:w="4586" w:type="dxa"/>
          </w:tcPr>
          <w:p w14:paraId="389ED442" w14:textId="77777777" w:rsidR="00BA5622" w:rsidRPr="0021003D" w:rsidRDefault="00BA5622">
            <w:pPr>
              <w:spacing w:line="240" w:lineRule="auto"/>
              <w:rPr>
                <w:sz w:val="28"/>
              </w:rPr>
            </w:pPr>
            <w:r w:rsidRPr="0021003D">
              <w:rPr>
                <w:rFonts w:hint="cs"/>
                <w:sz w:val="28"/>
                <w:rtl/>
              </w:rPr>
              <w:t>ע"י ב"כ עו"ד יעל רוזנמן</w:t>
            </w:r>
          </w:p>
          <w:p w14:paraId="4041AAD0" w14:textId="77777777" w:rsidR="00BA5622" w:rsidRPr="0021003D" w:rsidRDefault="00BA5622">
            <w:pPr>
              <w:spacing w:line="240" w:lineRule="auto"/>
              <w:rPr>
                <w:sz w:val="28"/>
              </w:rPr>
            </w:pPr>
            <w:r w:rsidRPr="0021003D">
              <w:rPr>
                <w:rFonts w:hint="cs"/>
                <w:sz w:val="28"/>
                <w:rtl/>
              </w:rPr>
              <w:t>מפרקליטות מחוז ירושלים</w:t>
            </w:r>
          </w:p>
        </w:tc>
        <w:tc>
          <w:tcPr>
            <w:tcW w:w="234" w:type="dxa"/>
          </w:tcPr>
          <w:p w14:paraId="3242C84D" w14:textId="77777777" w:rsidR="00BA5622" w:rsidRPr="0021003D" w:rsidRDefault="00BA5622">
            <w:pPr>
              <w:spacing w:line="240" w:lineRule="auto"/>
              <w:rPr>
                <w:sz w:val="28"/>
              </w:rPr>
            </w:pPr>
          </w:p>
        </w:tc>
        <w:tc>
          <w:tcPr>
            <w:tcW w:w="2409" w:type="dxa"/>
          </w:tcPr>
          <w:p w14:paraId="470B0A8A" w14:textId="77777777" w:rsidR="00BA5622" w:rsidRPr="0021003D" w:rsidRDefault="00BA5622">
            <w:pPr>
              <w:pStyle w:val="5"/>
              <w:spacing w:line="240" w:lineRule="auto"/>
              <w:rPr>
                <w:rFonts w:hint="cs"/>
                <w:u w:val="none"/>
              </w:rPr>
            </w:pPr>
          </w:p>
          <w:p w14:paraId="0DA01E70" w14:textId="77777777" w:rsidR="00BA5622" w:rsidRPr="0021003D" w:rsidRDefault="00BA5622">
            <w:pPr>
              <w:pStyle w:val="5"/>
              <w:spacing w:line="240" w:lineRule="auto"/>
              <w:rPr>
                <w:u w:val="none"/>
              </w:rPr>
            </w:pPr>
            <w:r w:rsidRPr="0021003D">
              <w:rPr>
                <w:rFonts w:hint="cs"/>
                <w:u w:val="none"/>
                <w:rtl/>
              </w:rPr>
              <w:t>המאשימה</w:t>
            </w:r>
          </w:p>
        </w:tc>
      </w:tr>
      <w:bookmarkEnd w:id="2"/>
      <w:tr w:rsidR="00BA5622" w:rsidRPr="0021003D" w14:paraId="1B196FAD" w14:textId="77777777">
        <w:tc>
          <w:tcPr>
            <w:tcW w:w="1362" w:type="dxa"/>
          </w:tcPr>
          <w:p w14:paraId="1EFDA338" w14:textId="77777777" w:rsidR="00BA5622" w:rsidRPr="0021003D" w:rsidRDefault="00BA5622">
            <w:pPr>
              <w:spacing w:line="240" w:lineRule="auto"/>
              <w:rPr>
                <w:b/>
                <w:bCs/>
                <w:sz w:val="28"/>
              </w:rPr>
            </w:pPr>
          </w:p>
        </w:tc>
        <w:tc>
          <w:tcPr>
            <w:tcW w:w="4820" w:type="dxa"/>
            <w:gridSpan w:val="2"/>
          </w:tcPr>
          <w:p w14:paraId="036B563E" w14:textId="77777777" w:rsidR="00BA5622" w:rsidRPr="0021003D" w:rsidRDefault="00BA5622">
            <w:pPr>
              <w:spacing w:line="240" w:lineRule="auto"/>
              <w:jc w:val="center"/>
              <w:rPr>
                <w:b/>
                <w:bCs/>
                <w:sz w:val="28"/>
              </w:rPr>
            </w:pPr>
          </w:p>
          <w:p w14:paraId="47D83328" w14:textId="77777777" w:rsidR="00BA5622" w:rsidRPr="0021003D" w:rsidRDefault="00BA5622">
            <w:pPr>
              <w:spacing w:line="240" w:lineRule="auto"/>
              <w:jc w:val="center"/>
              <w:rPr>
                <w:rFonts w:hint="cs"/>
                <w:b/>
                <w:bCs/>
                <w:sz w:val="28"/>
                <w:rtl/>
              </w:rPr>
            </w:pPr>
            <w:r w:rsidRPr="0021003D">
              <w:rPr>
                <w:rFonts w:hint="cs"/>
                <w:b/>
                <w:bCs/>
                <w:sz w:val="28"/>
                <w:rtl/>
              </w:rPr>
              <w:t>- נ  ג  ד -</w:t>
            </w:r>
          </w:p>
          <w:p w14:paraId="4C2F6CEF" w14:textId="77777777" w:rsidR="00BA5622" w:rsidRPr="0021003D" w:rsidRDefault="00BA5622">
            <w:pPr>
              <w:spacing w:line="240" w:lineRule="auto"/>
              <w:jc w:val="center"/>
              <w:rPr>
                <w:b/>
                <w:bCs/>
                <w:sz w:val="28"/>
              </w:rPr>
            </w:pPr>
          </w:p>
        </w:tc>
        <w:tc>
          <w:tcPr>
            <w:tcW w:w="2409" w:type="dxa"/>
          </w:tcPr>
          <w:p w14:paraId="5272D9C6" w14:textId="77777777" w:rsidR="00BA5622" w:rsidRPr="0021003D" w:rsidRDefault="00BA5622">
            <w:pPr>
              <w:spacing w:line="240" w:lineRule="auto"/>
              <w:rPr>
                <w:b/>
                <w:bCs/>
                <w:sz w:val="28"/>
              </w:rPr>
            </w:pPr>
          </w:p>
        </w:tc>
      </w:tr>
      <w:tr w:rsidR="00BA5622" w:rsidRPr="0021003D" w14:paraId="5FF7647A" w14:textId="77777777">
        <w:tc>
          <w:tcPr>
            <w:tcW w:w="1362" w:type="dxa"/>
          </w:tcPr>
          <w:p w14:paraId="39DE0528" w14:textId="77777777" w:rsidR="00BA5622" w:rsidRPr="0021003D" w:rsidRDefault="00BA5622">
            <w:pPr>
              <w:spacing w:line="240" w:lineRule="auto"/>
              <w:rPr>
                <w:b/>
                <w:bCs/>
                <w:sz w:val="28"/>
              </w:rPr>
            </w:pPr>
          </w:p>
        </w:tc>
        <w:tc>
          <w:tcPr>
            <w:tcW w:w="4820" w:type="dxa"/>
            <w:gridSpan w:val="2"/>
          </w:tcPr>
          <w:p w14:paraId="1578AA0C" w14:textId="77777777" w:rsidR="00BA5622" w:rsidRPr="0021003D" w:rsidRDefault="00BA5622">
            <w:pPr>
              <w:spacing w:line="240" w:lineRule="auto"/>
              <w:rPr>
                <w:b/>
                <w:bCs/>
                <w:sz w:val="28"/>
              </w:rPr>
            </w:pPr>
            <w:bookmarkStart w:id="3" w:name="שם_ב"/>
            <w:r w:rsidRPr="0021003D">
              <w:rPr>
                <w:rFonts w:hint="cs"/>
                <w:b/>
                <w:bCs/>
                <w:sz w:val="28"/>
                <w:rtl/>
              </w:rPr>
              <w:t>ליאור בלטי ת.ז. 021695309</w:t>
            </w:r>
            <w:bookmarkEnd w:id="3"/>
          </w:p>
        </w:tc>
        <w:tc>
          <w:tcPr>
            <w:tcW w:w="2409" w:type="dxa"/>
          </w:tcPr>
          <w:p w14:paraId="51205205" w14:textId="77777777" w:rsidR="00BA5622" w:rsidRPr="0021003D" w:rsidRDefault="00BA5622">
            <w:pPr>
              <w:spacing w:line="240" w:lineRule="auto"/>
              <w:rPr>
                <w:b/>
                <w:bCs/>
                <w:sz w:val="28"/>
              </w:rPr>
            </w:pPr>
          </w:p>
        </w:tc>
      </w:tr>
      <w:tr w:rsidR="00BA5622" w:rsidRPr="0021003D" w14:paraId="63277781" w14:textId="77777777">
        <w:tc>
          <w:tcPr>
            <w:tcW w:w="1362" w:type="dxa"/>
          </w:tcPr>
          <w:p w14:paraId="30D69448" w14:textId="77777777" w:rsidR="00BA5622" w:rsidRPr="0021003D" w:rsidRDefault="00BA5622">
            <w:pPr>
              <w:spacing w:line="240" w:lineRule="auto"/>
              <w:rPr>
                <w:sz w:val="28"/>
              </w:rPr>
            </w:pPr>
          </w:p>
        </w:tc>
        <w:tc>
          <w:tcPr>
            <w:tcW w:w="4586" w:type="dxa"/>
          </w:tcPr>
          <w:p w14:paraId="33036094" w14:textId="77777777" w:rsidR="00BA5622" w:rsidRPr="0021003D" w:rsidRDefault="00BA5622">
            <w:pPr>
              <w:spacing w:line="240" w:lineRule="auto"/>
              <w:rPr>
                <w:sz w:val="28"/>
              </w:rPr>
            </w:pPr>
            <w:r w:rsidRPr="0021003D">
              <w:rPr>
                <w:rFonts w:hint="cs"/>
                <w:sz w:val="28"/>
                <w:rtl/>
              </w:rPr>
              <w:t>ע"י ב"כ עו"ד טליה רם</w:t>
            </w:r>
          </w:p>
        </w:tc>
        <w:tc>
          <w:tcPr>
            <w:tcW w:w="234" w:type="dxa"/>
          </w:tcPr>
          <w:p w14:paraId="239CE01D" w14:textId="77777777" w:rsidR="00BA5622" w:rsidRPr="0021003D" w:rsidRDefault="00BA5622">
            <w:pPr>
              <w:spacing w:line="240" w:lineRule="auto"/>
              <w:rPr>
                <w:sz w:val="28"/>
              </w:rPr>
            </w:pPr>
          </w:p>
        </w:tc>
        <w:tc>
          <w:tcPr>
            <w:tcW w:w="2409" w:type="dxa"/>
          </w:tcPr>
          <w:p w14:paraId="544E83E9" w14:textId="77777777" w:rsidR="00BA5622" w:rsidRPr="0021003D" w:rsidRDefault="00BA5622">
            <w:pPr>
              <w:pStyle w:val="5"/>
              <w:spacing w:line="240" w:lineRule="auto"/>
              <w:rPr>
                <w:u w:val="none"/>
              </w:rPr>
            </w:pPr>
            <w:r w:rsidRPr="0021003D">
              <w:rPr>
                <w:rFonts w:hint="cs"/>
                <w:u w:val="none"/>
                <w:rtl/>
              </w:rPr>
              <w:t>ה</w:t>
            </w:r>
            <w:bookmarkStart w:id="4" w:name="כינוי_ב"/>
            <w:bookmarkEnd w:id="4"/>
            <w:r w:rsidRPr="0021003D">
              <w:rPr>
                <w:rFonts w:hint="cs"/>
                <w:u w:val="none"/>
                <w:rtl/>
              </w:rPr>
              <w:t>נאשם</w:t>
            </w:r>
          </w:p>
        </w:tc>
      </w:tr>
    </w:tbl>
    <w:p w14:paraId="7C208559" w14:textId="77777777" w:rsidR="00112D9C" w:rsidRDefault="00112D9C">
      <w:pPr>
        <w:rPr>
          <w:sz w:val="28"/>
          <w:rtl/>
        </w:rPr>
      </w:pPr>
      <w:bookmarkStart w:id="5" w:name="LawTable"/>
      <w:bookmarkEnd w:id="5"/>
    </w:p>
    <w:p w14:paraId="06A8A058" w14:textId="77777777" w:rsidR="00112D9C" w:rsidRPr="00112D9C" w:rsidRDefault="00112D9C" w:rsidP="00112D9C">
      <w:pPr>
        <w:spacing w:after="120" w:line="240" w:lineRule="exact"/>
        <w:ind w:left="283" w:hanging="283"/>
        <w:rPr>
          <w:rFonts w:ascii="FrankRuehl" w:hAnsi="FrankRuehl" w:cs="FrankRuehl"/>
          <w:sz w:val="24"/>
          <w:szCs w:val="24"/>
          <w:rtl/>
        </w:rPr>
      </w:pPr>
    </w:p>
    <w:p w14:paraId="0E1C10EF" w14:textId="77777777" w:rsidR="00112D9C" w:rsidRPr="00112D9C" w:rsidRDefault="00112D9C" w:rsidP="00112D9C">
      <w:pPr>
        <w:spacing w:after="120" w:line="240" w:lineRule="exact"/>
        <w:ind w:left="283" w:hanging="283"/>
        <w:rPr>
          <w:rFonts w:ascii="FrankRuehl" w:hAnsi="FrankRuehl" w:cs="FrankRuehl"/>
          <w:sz w:val="24"/>
          <w:szCs w:val="24"/>
          <w:rtl/>
        </w:rPr>
      </w:pPr>
      <w:r w:rsidRPr="00112D9C">
        <w:rPr>
          <w:rFonts w:ascii="FrankRuehl" w:hAnsi="FrankRuehl" w:cs="FrankRuehl"/>
          <w:sz w:val="24"/>
          <w:szCs w:val="24"/>
          <w:rtl/>
        </w:rPr>
        <w:t xml:space="preserve">חקיקה שאוזכרה: </w:t>
      </w:r>
    </w:p>
    <w:p w14:paraId="65C266CE" w14:textId="77777777" w:rsidR="00112D9C" w:rsidRPr="00112D9C" w:rsidRDefault="00112D9C" w:rsidP="00112D9C">
      <w:pPr>
        <w:spacing w:after="120" w:line="240" w:lineRule="exact"/>
        <w:ind w:left="283" w:hanging="283"/>
        <w:rPr>
          <w:rFonts w:ascii="FrankRuehl" w:hAnsi="FrankRuehl" w:cs="FrankRuehl"/>
          <w:sz w:val="24"/>
          <w:szCs w:val="24"/>
          <w:rtl/>
        </w:rPr>
      </w:pPr>
      <w:hyperlink r:id="rId6" w:history="1">
        <w:r w:rsidRPr="00112D9C">
          <w:rPr>
            <w:rFonts w:ascii="FrankRuehl" w:hAnsi="FrankRuehl" w:cs="FrankRuehl"/>
            <w:color w:val="0000FF"/>
            <w:sz w:val="24"/>
            <w:szCs w:val="24"/>
            <w:u w:val="single"/>
            <w:rtl/>
          </w:rPr>
          <w:t>חוק-יסוד: השפיטה</w:t>
        </w:r>
      </w:hyperlink>
      <w:r w:rsidRPr="00112D9C">
        <w:rPr>
          <w:rFonts w:ascii="FrankRuehl" w:hAnsi="FrankRuehl" w:cs="FrankRuehl"/>
          <w:sz w:val="24"/>
          <w:szCs w:val="24"/>
          <w:rtl/>
        </w:rPr>
        <w:t xml:space="preserve">: סע'  </w:t>
      </w:r>
      <w:hyperlink r:id="rId7" w:history="1">
        <w:r w:rsidRPr="00112D9C">
          <w:rPr>
            <w:rFonts w:ascii="FrankRuehl" w:hAnsi="FrankRuehl" w:cs="FrankRuehl"/>
            <w:color w:val="0000FF"/>
            <w:sz w:val="24"/>
            <w:szCs w:val="24"/>
            <w:u w:val="single"/>
            <w:rtl/>
          </w:rPr>
          <w:t>6</w:t>
        </w:r>
      </w:hyperlink>
    </w:p>
    <w:p w14:paraId="6DEEDFB3" w14:textId="77777777" w:rsidR="00112D9C" w:rsidRPr="00112D9C" w:rsidRDefault="00112D9C" w:rsidP="00112D9C">
      <w:pPr>
        <w:spacing w:after="120" w:line="240" w:lineRule="exact"/>
        <w:ind w:left="283" w:hanging="283"/>
        <w:rPr>
          <w:rFonts w:ascii="FrankRuehl" w:hAnsi="FrankRuehl" w:cs="FrankRuehl"/>
          <w:sz w:val="24"/>
          <w:szCs w:val="24"/>
          <w:rtl/>
        </w:rPr>
      </w:pPr>
      <w:hyperlink r:id="rId8" w:history="1">
        <w:r w:rsidRPr="00112D9C">
          <w:rPr>
            <w:rFonts w:ascii="FrankRuehl" w:hAnsi="FrankRuehl" w:cs="FrankRuehl"/>
            <w:color w:val="0000FF"/>
            <w:sz w:val="24"/>
            <w:szCs w:val="24"/>
            <w:u w:val="single"/>
            <w:rtl/>
          </w:rPr>
          <w:t>חוק העונשין, תשל"ז-1977</w:t>
        </w:r>
      </w:hyperlink>
      <w:r w:rsidRPr="00112D9C">
        <w:rPr>
          <w:rFonts w:ascii="FrankRuehl" w:hAnsi="FrankRuehl" w:cs="FrankRuehl"/>
          <w:sz w:val="24"/>
          <w:szCs w:val="24"/>
          <w:rtl/>
        </w:rPr>
        <w:t xml:space="preserve">: סע'  </w:t>
      </w:r>
      <w:hyperlink r:id="rId9" w:history="1">
        <w:r w:rsidRPr="00112D9C">
          <w:rPr>
            <w:rFonts w:ascii="FrankRuehl" w:hAnsi="FrankRuehl" w:cs="FrankRuehl"/>
            <w:color w:val="0000FF"/>
            <w:sz w:val="24"/>
            <w:szCs w:val="24"/>
            <w:u w:val="single"/>
            <w:rtl/>
          </w:rPr>
          <w:t>7(א)</w:t>
        </w:r>
      </w:hyperlink>
      <w:r w:rsidRPr="00112D9C">
        <w:rPr>
          <w:rFonts w:ascii="FrankRuehl" w:hAnsi="FrankRuehl" w:cs="FrankRuehl"/>
          <w:sz w:val="24"/>
          <w:szCs w:val="24"/>
          <w:rtl/>
        </w:rPr>
        <w:t xml:space="preserve">, </w:t>
      </w:r>
      <w:hyperlink r:id="rId10" w:history="1">
        <w:r w:rsidRPr="00112D9C">
          <w:rPr>
            <w:rFonts w:ascii="FrankRuehl" w:hAnsi="FrankRuehl" w:cs="FrankRuehl"/>
            <w:color w:val="0000FF"/>
            <w:sz w:val="24"/>
            <w:szCs w:val="24"/>
            <w:u w:val="single"/>
            <w:rtl/>
          </w:rPr>
          <w:t>144(ב)</w:t>
        </w:r>
      </w:hyperlink>
    </w:p>
    <w:p w14:paraId="0008C154" w14:textId="77777777" w:rsidR="00112D9C" w:rsidRPr="00112D9C" w:rsidRDefault="00112D9C" w:rsidP="00112D9C">
      <w:pPr>
        <w:spacing w:after="120" w:line="240" w:lineRule="exact"/>
        <w:ind w:left="283" w:hanging="283"/>
        <w:rPr>
          <w:rFonts w:ascii="FrankRuehl" w:hAnsi="FrankRuehl" w:cs="FrankRuehl"/>
          <w:sz w:val="24"/>
          <w:szCs w:val="24"/>
          <w:rtl/>
        </w:rPr>
      </w:pPr>
      <w:hyperlink r:id="rId11" w:history="1">
        <w:r w:rsidRPr="00112D9C">
          <w:rPr>
            <w:rFonts w:ascii="FrankRuehl" w:hAnsi="FrankRuehl" w:cs="FrankRuehl"/>
            <w:color w:val="0000FF"/>
            <w:sz w:val="24"/>
            <w:szCs w:val="24"/>
            <w:u w:val="single"/>
            <w:rtl/>
          </w:rPr>
          <w:t>פקודת הסמים המסוכנים [נוסח חדש], תשל"ג-1973</w:t>
        </w:r>
      </w:hyperlink>
      <w:r w:rsidRPr="00112D9C">
        <w:rPr>
          <w:rFonts w:ascii="FrankRuehl" w:hAnsi="FrankRuehl" w:cs="FrankRuehl"/>
          <w:sz w:val="24"/>
          <w:szCs w:val="24"/>
          <w:rtl/>
        </w:rPr>
        <w:t xml:space="preserve">: סע'  </w:t>
      </w:r>
      <w:hyperlink r:id="rId12" w:history="1">
        <w:r w:rsidRPr="00112D9C">
          <w:rPr>
            <w:rFonts w:ascii="FrankRuehl" w:hAnsi="FrankRuehl" w:cs="FrankRuehl"/>
            <w:color w:val="0000FF"/>
            <w:sz w:val="24"/>
            <w:szCs w:val="24"/>
            <w:u w:val="single"/>
            <w:rtl/>
          </w:rPr>
          <w:t>(ג)</w:t>
        </w:r>
      </w:hyperlink>
    </w:p>
    <w:p w14:paraId="6AED6B2F" w14:textId="77777777" w:rsidR="00112D9C" w:rsidRPr="00112D9C" w:rsidRDefault="00112D9C" w:rsidP="00112D9C">
      <w:pPr>
        <w:spacing w:after="120" w:line="240" w:lineRule="exact"/>
        <w:ind w:left="283" w:hanging="283"/>
        <w:rPr>
          <w:rFonts w:ascii="FrankRuehl" w:hAnsi="FrankRuehl" w:cs="FrankRuehl"/>
          <w:sz w:val="24"/>
          <w:szCs w:val="24"/>
          <w:rtl/>
        </w:rPr>
      </w:pPr>
    </w:p>
    <w:p w14:paraId="3135E8B5" w14:textId="77777777" w:rsidR="00DB1BC2" w:rsidRPr="00CB1166" w:rsidRDefault="00DB1BC2">
      <w:pPr>
        <w:rPr>
          <w:rFonts w:hint="cs"/>
          <w:b/>
          <w:bCs/>
          <w:sz w:val="28"/>
          <w:rtl/>
        </w:rPr>
      </w:pPr>
      <w:bookmarkStart w:id="6" w:name="LawTable_End"/>
      <w:bookmarkEnd w:id="6"/>
    </w:p>
    <w:p w14:paraId="7C2D27F7" w14:textId="77777777" w:rsidR="00DB1BC2" w:rsidRDefault="00DB1BC2" w:rsidP="00DB1BC2">
      <w:pPr>
        <w:pBdr>
          <w:top w:val="single" w:sz="4" w:space="1" w:color="auto"/>
          <w:bottom w:val="single" w:sz="4" w:space="1" w:color="auto"/>
        </w:pBdr>
        <w:spacing w:before="120" w:line="320" w:lineRule="exact"/>
        <w:rPr>
          <w:rFonts w:cs="FrankRuehl" w:hint="cs"/>
          <w:sz w:val="24"/>
          <w:szCs w:val="26"/>
          <w:rtl/>
        </w:rPr>
      </w:pPr>
      <w:bookmarkStart w:id="7" w:name="ABSTRACT_START"/>
      <w:bookmarkEnd w:id="7"/>
      <w:r>
        <w:rPr>
          <w:rFonts w:cs="FrankRuehl"/>
          <w:sz w:val="24"/>
          <w:szCs w:val="26"/>
          <w:rtl/>
        </w:rPr>
        <w:t>מיני-רציו:</w:t>
      </w:r>
    </w:p>
    <w:p w14:paraId="6B63221E" w14:textId="77777777" w:rsidR="00DB1BC2" w:rsidRPr="00DB1BC2" w:rsidRDefault="00DB1BC2" w:rsidP="00DB1BC2">
      <w:pPr>
        <w:pBdr>
          <w:top w:val="single" w:sz="4" w:space="1" w:color="auto"/>
          <w:bottom w:val="single" w:sz="4" w:space="1" w:color="auto"/>
        </w:pBdr>
        <w:spacing w:before="120" w:line="320" w:lineRule="exact"/>
        <w:rPr>
          <w:rFonts w:cs="FrankRuehl" w:hint="cs"/>
          <w:sz w:val="24"/>
          <w:szCs w:val="26"/>
          <w:rtl/>
        </w:rPr>
      </w:pPr>
      <w:r>
        <w:rPr>
          <w:rFonts w:cs="FrankRuehl" w:hint="cs"/>
          <w:sz w:val="24"/>
          <w:szCs w:val="26"/>
          <w:rtl/>
        </w:rPr>
        <w:t xml:space="preserve">* </w:t>
      </w:r>
      <w:r w:rsidRPr="00DB1BC2">
        <w:rPr>
          <w:rFonts w:cs="FrankRuehl"/>
          <w:sz w:val="24"/>
          <w:szCs w:val="26"/>
          <w:rtl/>
        </w:rPr>
        <w:t>המקרה של מציאת נשק ואי מסירתו למשטרה, אינו משתבץ באופן מלא לאף אחת מהקטגוריות שנקבעו בעניין אבו מוך. בכל מקרה נראה, שיש להציב את המקרה במסגרת קבוצת הקטגוריות הפחות חמורה. די בכך שהעונש שיוטל על הנאשם יהיה מאסר 6 חודשים בדרך של עבודות שירות</w:t>
      </w:r>
      <w:r>
        <w:rPr>
          <w:rFonts w:cs="FrankRuehl" w:hint="cs"/>
          <w:sz w:val="24"/>
          <w:szCs w:val="26"/>
          <w:rtl/>
        </w:rPr>
        <w:t>.</w:t>
      </w:r>
    </w:p>
    <w:p w14:paraId="5520CE9C" w14:textId="77777777" w:rsidR="00DB1BC2" w:rsidRDefault="00DB1BC2" w:rsidP="00DB1BC2">
      <w:pPr>
        <w:pBdr>
          <w:top w:val="single" w:sz="4" w:space="1" w:color="auto"/>
          <w:bottom w:val="single" w:sz="4" w:space="1" w:color="auto"/>
        </w:pBdr>
        <w:spacing w:before="120" w:line="320" w:lineRule="exact"/>
        <w:rPr>
          <w:rFonts w:cs="FrankRuehl"/>
          <w:sz w:val="24"/>
          <w:szCs w:val="26"/>
          <w:rtl/>
        </w:rPr>
      </w:pPr>
      <w:r>
        <w:rPr>
          <w:rFonts w:cs="FrankRuehl"/>
          <w:sz w:val="24"/>
          <w:szCs w:val="26"/>
          <w:rtl/>
        </w:rPr>
        <w:t>* עונשין – עבירות – החזקת נשק שלא כדין</w:t>
      </w:r>
    </w:p>
    <w:p w14:paraId="66A31E4C" w14:textId="77777777" w:rsidR="00DB1BC2" w:rsidRDefault="00DB1BC2" w:rsidP="00DB1BC2">
      <w:pPr>
        <w:pBdr>
          <w:top w:val="single" w:sz="4" w:space="1" w:color="auto"/>
          <w:bottom w:val="single" w:sz="4" w:space="1" w:color="auto"/>
        </w:pBdr>
        <w:spacing w:before="120" w:line="320" w:lineRule="exact"/>
        <w:rPr>
          <w:rFonts w:cs="FrankRuehl" w:hint="cs"/>
          <w:sz w:val="24"/>
          <w:szCs w:val="26"/>
          <w:rtl/>
        </w:rPr>
      </w:pPr>
      <w:r>
        <w:rPr>
          <w:rFonts w:cs="FrankRuehl"/>
          <w:sz w:val="24"/>
          <w:szCs w:val="26"/>
          <w:rtl/>
        </w:rPr>
        <w:t>* עונשין – ענישה – מדיניות ענישה: שיקולים</w:t>
      </w:r>
    </w:p>
    <w:p w14:paraId="1ACE2B78" w14:textId="77777777" w:rsidR="00DB1BC2" w:rsidRDefault="00DB1BC2" w:rsidP="00DB1BC2">
      <w:pPr>
        <w:pBdr>
          <w:top w:val="single" w:sz="4" w:space="1" w:color="auto"/>
          <w:bottom w:val="single" w:sz="4" w:space="1" w:color="auto"/>
        </w:pBdr>
        <w:spacing w:before="120" w:line="320" w:lineRule="exact"/>
        <w:rPr>
          <w:rFonts w:cs="FrankRuehl" w:hint="cs"/>
          <w:sz w:val="24"/>
          <w:szCs w:val="26"/>
          <w:rtl/>
        </w:rPr>
      </w:pPr>
      <w:r>
        <w:rPr>
          <w:rFonts w:cs="FrankRuehl" w:hint="cs"/>
          <w:sz w:val="24"/>
          <w:szCs w:val="26"/>
          <w:rtl/>
        </w:rPr>
        <w:t>.</w:t>
      </w:r>
    </w:p>
    <w:p w14:paraId="7266569C" w14:textId="77777777" w:rsidR="00DB1BC2" w:rsidRPr="00DB1BC2" w:rsidRDefault="00DB1BC2" w:rsidP="00DB1BC2">
      <w:pPr>
        <w:pBdr>
          <w:top w:val="single" w:sz="4" w:space="1" w:color="auto"/>
          <w:bottom w:val="single" w:sz="4" w:space="1" w:color="auto"/>
        </w:pBdr>
        <w:spacing w:before="120" w:line="320" w:lineRule="exact"/>
        <w:rPr>
          <w:rFonts w:cs="FrankRuehl"/>
          <w:sz w:val="24"/>
          <w:szCs w:val="26"/>
          <w:rtl/>
        </w:rPr>
      </w:pPr>
      <w:r w:rsidRPr="00DB1BC2">
        <w:rPr>
          <w:rFonts w:cs="FrankRuehl"/>
          <w:sz w:val="24"/>
          <w:szCs w:val="26"/>
          <w:rtl/>
        </w:rPr>
        <w:t>הנאשם הורשע ע"פ הודאתו בשתי עבירות של נשיאת נשק, והחזקת סם לצריכה עצמית בלבד. ביהמ"ש המחוזי קבע בגזר דינו כי:</w:t>
      </w:r>
    </w:p>
    <w:p w14:paraId="5B158B77" w14:textId="77777777" w:rsidR="00DB1BC2" w:rsidRPr="00DB1BC2" w:rsidRDefault="00DB1BC2" w:rsidP="00DB1BC2">
      <w:pPr>
        <w:pBdr>
          <w:top w:val="single" w:sz="4" w:space="1" w:color="auto"/>
          <w:bottom w:val="single" w:sz="4" w:space="1" w:color="auto"/>
        </w:pBdr>
        <w:spacing w:before="120" w:line="320" w:lineRule="exact"/>
        <w:rPr>
          <w:rFonts w:cs="FrankRuehl" w:hint="cs"/>
          <w:sz w:val="24"/>
          <w:szCs w:val="26"/>
          <w:rtl/>
        </w:rPr>
      </w:pPr>
      <w:r>
        <w:rPr>
          <w:rFonts w:cs="FrankRuehl" w:hint="cs"/>
          <w:sz w:val="24"/>
          <w:szCs w:val="26"/>
          <w:rtl/>
        </w:rPr>
        <w:t>.</w:t>
      </w:r>
    </w:p>
    <w:p w14:paraId="64944A8A" w14:textId="77777777" w:rsidR="00DB1BC2" w:rsidRPr="00DB1BC2" w:rsidRDefault="00DB1BC2" w:rsidP="00DB1BC2">
      <w:pPr>
        <w:pBdr>
          <w:top w:val="single" w:sz="4" w:space="1" w:color="auto"/>
          <w:bottom w:val="single" w:sz="4" w:space="1" w:color="auto"/>
        </w:pBdr>
        <w:spacing w:before="120" w:line="320" w:lineRule="exact"/>
        <w:rPr>
          <w:rFonts w:cs="FrankRuehl"/>
          <w:sz w:val="24"/>
          <w:szCs w:val="26"/>
          <w:rtl/>
        </w:rPr>
      </w:pPr>
      <w:r w:rsidRPr="00DB1BC2">
        <w:rPr>
          <w:rFonts w:cs="FrankRuehl"/>
          <w:sz w:val="24"/>
          <w:szCs w:val="26"/>
          <w:rtl/>
        </w:rPr>
        <w:lastRenderedPageBreak/>
        <w:t>כדי להכריע בשאלת הענישה ההולמת את מי שעבר עבירה של החזקת נשק, מן הראוי לבדוק, תחילה, מהי מטרת החזקת הנשק, וזאת בהתאם לסיווג של קטגוריות החזקת הנשק שנקבעו לפני כמחצית יובל שנים ע"י כב' השופט גבריאל בך בעניין אבו מוך, שהקלה בהן היא החזקת כלי הנשק שפג תוקף רישיונו, והכבדה היא החזקת הנשק לשם ביצוע מעשים המיועדים לפגוע בביטחון המדינה או בביטחון הציבור.</w:t>
      </w:r>
    </w:p>
    <w:p w14:paraId="27FC8912" w14:textId="77777777" w:rsidR="00DB1BC2" w:rsidRPr="00DB1BC2" w:rsidRDefault="00DB1BC2" w:rsidP="00DB1BC2">
      <w:pPr>
        <w:pBdr>
          <w:top w:val="single" w:sz="4" w:space="1" w:color="auto"/>
          <w:bottom w:val="single" w:sz="4" w:space="1" w:color="auto"/>
        </w:pBdr>
        <w:spacing w:before="120" w:line="320" w:lineRule="exact"/>
        <w:rPr>
          <w:rFonts w:cs="FrankRuehl"/>
          <w:sz w:val="24"/>
          <w:szCs w:val="26"/>
          <w:rtl/>
        </w:rPr>
      </w:pPr>
      <w:r w:rsidRPr="00DB1BC2">
        <w:rPr>
          <w:rFonts w:cs="FrankRuehl"/>
          <w:sz w:val="24"/>
          <w:szCs w:val="26"/>
          <w:rtl/>
        </w:rPr>
        <w:t>המקרה של מציאת נשק ואי מסירתו למשטרה, אינו משתבץ באופן מלא לאף אחת מן הקטגוריות שקבע השופט בך, אך בכל מקרה, אם מחלק השופט בך בין ארבעת הקטגוריות החמורות (שהצדיקו מעצר עד תום ההליכים), לבין ארבעת הקטגוריות האחרות, הרי שאת המקרה שבנדון יש להציב במסגרת קבוצת הקטגוריות הפחות חמורה.</w:t>
      </w:r>
    </w:p>
    <w:p w14:paraId="1E233176" w14:textId="77777777" w:rsidR="00DB1BC2" w:rsidRPr="00DB1BC2" w:rsidRDefault="00DB1BC2" w:rsidP="00DB1BC2">
      <w:pPr>
        <w:pBdr>
          <w:top w:val="single" w:sz="4" w:space="1" w:color="auto"/>
          <w:bottom w:val="single" w:sz="4" w:space="1" w:color="auto"/>
        </w:pBdr>
        <w:spacing w:before="120" w:line="320" w:lineRule="exact"/>
        <w:rPr>
          <w:rFonts w:cs="FrankRuehl"/>
          <w:sz w:val="24"/>
          <w:szCs w:val="26"/>
          <w:rtl/>
        </w:rPr>
      </w:pPr>
      <w:r w:rsidRPr="00DB1BC2">
        <w:rPr>
          <w:rFonts w:cs="FrankRuehl"/>
          <w:sz w:val="24"/>
          <w:szCs w:val="26"/>
          <w:rtl/>
        </w:rPr>
        <w:t>אכן, בכמה מקרים בעבר הוטלו עונשי מאסר בפועל בגין עבירות נשק, אך בכל מקרה היו נסיבות שונות מאלה שבנדון. בשקלול של כל הנתונים, הרי שבמקרה שבנדון, לאור העובדה כי הנאשם כבר היה במעצר כשלושה חודשים וחצי, די בכך שהעונש שיוטל עליו יהיה מאסר 6 חודשים בדרך של עבודות שירות.</w:t>
      </w:r>
    </w:p>
    <w:p w14:paraId="472D3F01" w14:textId="77777777" w:rsidR="00DB1BC2" w:rsidRPr="00DB1BC2" w:rsidRDefault="00DB1BC2" w:rsidP="00DB1BC2">
      <w:pPr>
        <w:pBdr>
          <w:top w:val="single" w:sz="4" w:space="1" w:color="auto"/>
          <w:bottom w:val="single" w:sz="4" w:space="1" w:color="auto"/>
        </w:pBdr>
        <w:spacing w:before="120" w:line="320" w:lineRule="exact"/>
        <w:rPr>
          <w:rFonts w:cs="FrankRuehl"/>
          <w:sz w:val="24"/>
          <w:szCs w:val="26"/>
          <w:rtl/>
        </w:rPr>
      </w:pPr>
      <w:r w:rsidRPr="00DB1BC2">
        <w:rPr>
          <w:rFonts w:cs="FrankRuehl"/>
          <w:sz w:val="24"/>
          <w:szCs w:val="26"/>
          <w:rtl/>
        </w:rPr>
        <w:t>עברו הפלילי של הנאשם אינו כולל כל אלימות או שימוש בנשק. מהתסקיר עולה שהנאשם הוא בחור צעיר שחווה משברים בחייו, והוא נמצא בבלבול סביב דרכו. הנאשם עבד עד למעצרו בתפקיד אחראי, בניהול מסעדה המספקת גם ארוחות לבתי ספר. המעביד שלו העיד וסיפר עד כמה הוא סומך עליו, ולכן ניתן להסיק כי הנאשם, מיסודו, הוא אדם חיובי ונורמטיבי. אין מקום בנסיבות אלה להטיל עליו עונש מאסר נוסף. הובאו בחשבון גם דבריו של הנאשם וחרטתו, ונחה דעת ביהמ"ש כי הנאשם כי יפיק את הלקחים, ויש תקווה לאמונה כי לא יחזור יותר לכלא.</w:t>
      </w:r>
    </w:p>
    <w:p w14:paraId="2DD6D99D" w14:textId="77777777" w:rsidR="00BA5622" w:rsidRPr="0021003D" w:rsidRDefault="00BA5622">
      <w:pPr>
        <w:rPr>
          <w:rFonts w:hint="cs"/>
          <w:rtl/>
        </w:rPr>
      </w:pPr>
      <w:bookmarkStart w:id="8" w:name="ABSTRACT_END"/>
      <w:bookmarkEnd w:id="8"/>
      <w:r w:rsidRPr="0021003D">
        <w:rPr>
          <w:rFonts w:hint="cs"/>
          <w:b/>
          <w:bCs/>
          <w:sz w:val="28"/>
          <w:rtl/>
        </w:rPr>
        <w:t xml:space="preserve"> </w:t>
      </w:r>
    </w:p>
    <w:p w14:paraId="2667241E" w14:textId="77777777" w:rsidR="0021003D" w:rsidRPr="0021003D" w:rsidRDefault="0021003D" w:rsidP="0021003D">
      <w:pPr>
        <w:pStyle w:val="5"/>
        <w:jc w:val="center"/>
        <w:rPr>
          <w:sz w:val="32"/>
          <w:szCs w:val="36"/>
          <w:rtl/>
        </w:rPr>
      </w:pPr>
      <w:bookmarkStart w:id="9" w:name="סוג_מסמך"/>
      <w:bookmarkStart w:id="10" w:name="PsakDin"/>
      <w:bookmarkEnd w:id="9"/>
      <w:r w:rsidRPr="0021003D">
        <w:rPr>
          <w:sz w:val="32"/>
          <w:szCs w:val="36"/>
          <w:rtl/>
        </w:rPr>
        <w:t>גזר-דין</w:t>
      </w:r>
    </w:p>
    <w:bookmarkEnd w:id="10"/>
    <w:p w14:paraId="5DE162B2" w14:textId="77777777" w:rsidR="00BA5622" w:rsidRDefault="00BA5622">
      <w:pPr>
        <w:pStyle w:val="5"/>
        <w:rPr>
          <w:rFonts w:hint="cs"/>
          <w:sz w:val="20"/>
          <w:rtl/>
        </w:rPr>
      </w:pPr>
      <w:r>
        <w:rPr>
          <w:rFonts w:hint="cs"/>
          <w:sz w:val="20"/>
          <w:rtl/>
        </w:rPr>
        <w:t>כללי</w:t>
      </w:r>
    </w:p>
    <w:p w14:paraId="2A9431AA" w14:textId="77777777" w:rsidR="00BA5622" w:rsidRDefault="00BA5622">
      <w:pPr>
        <w:rPr>
          <w:rFonts w:hint="cs"/>
          <w:b/>
          <w:bCs/>
          <w:u w:val="single"/>
          <w:rtl/>
        </w:rPr>
      </w:pPr>
    </w:p>
    <w:p w14:paraId="124208EC" w14:textId="77777777" w:rsidR="00BA5622" w:rsidRDefault="00BA5622">
      <w:pPr>
        <w:ind w:left="720" w:hanging="720"/>
        <w:rPr>
          <w:rFonts w:hint="cs"/>
          <w:rtl/>
        </w:rPr>
      </w:pPr>
      <w:r>
        <w:rPr>
          <w:rFonts w:hint="cs"/>
          <w:rtl/>
        </w:rPr>
        <w:t xml:space="preserve">1. </w:t>
      </w:r>
      <w:r>
        <w:rPr>
          <w:rFonts w:hint="cs"/>
          <w:rtl/>
        </w:rPr>
        <w:tab/>
        <w:t>מהו העונש אשר מן הראוי להטיל על מי שביצע עבירה של נשיאת נשק? מהו המשקל שיש ליתן לנסיבות החזקת הנשק? כיצד יש להביא בחשבון, במכלול השיקולים, את נסיבותיו האישיות של הנאשם?</w:t>
      </w:r>
    </w:p>
    <w:p w14:paraId="0A5D0820" w14:textId="77777777" w:rsidR="00BA5622" w:rsidRDefault="00BA5622">
      <w:pPr>
        <w:ind w:left="720" w:hanging="720"/>
        <w:rPr>
          <w:rFonts w:hint="cs"/>
          <w:rtl/>
        </w:rPr>
      </w:pPr>
    </w:p>
    <w:p w14:paraId="2E0D648E" w14:textId="77777777" w:rsidR="00BA5622" w:rsidRDefault="00BA5622">
      <w:pPr>
        <w:ind w:left="720" w:hanging="720"/>
        <w:rPr>
          <w:rFonts w:hint="cs"/>
          <w:rtl/>
        </w:rPr>
      </w:pPr>
      <w:r>
        <w:rPr>
          <w:rFonts w:hint="cs"/>
          <w:rtl/>
        </w:rPr>
        <w:t>2.</w:t>
      </w:r>
      <w:r>
        <w:rPr>
          <w:rFonts w:hint="cs"/>
          <w:rtl/>
        </w:rPr>
        <w:tab/>
        <w:t>סוגיה זו של גזירת העונש, היא לחם חוקו של כל שופט, אך בכל יום מחדש, עליו ללמוד את הנושא, להתייחס לעבירה הספציפית ולפסיקת בתי המשפט ביחס לענישה המקובלת בגינה, וכל זאת מבלי לשכוח את חובתו של השופט "</w:t>
      </w:r>
      <w:r>
        <w:rPr>
          <w:rFonts w:hint="cs"/>
          <w:b/>
          <w:bCs/>
          <w:rtl/>
        </w:rPr>
        <w:t>לשפוט משפט צדק, לא להטות משפט ולא להכיר פנים"</w:t>
      </w:r>
      <w:r>
        <w:rPr>
          <w:rFonts w:hint="cs"/>
          <w:rtl/>
        </w:rPr>
        <w:t xml:space="preserve">, כפי שהצהיר אותו שופט בפני נשיא המדינה בעת הצהרת האמונים, כקבוע </w:t>
      </w:r>
      <w:hyperlink r:id="rId13" w:history="1">
        <w:r w:rsidR="00315362" w:rsidRPr="00315362">
          <w:rPr>
            <w:rStyle w:val="Hyperlink"/>
            <w:rFonts w:hint="eastAsia"/>
            <w:rtl/>
          </w:rPr>
          <w:t>בסעיף</w:t>
        </w:r>
        <w:r w:rsidR="00315362" w:rsidRPr="00315362">
          <w:rPr>
            <w:rStyle w:val="Hyperlink"/>
            <w:rtl/>
          </w:rPr>
          <w:t xml:space="preserve"> 6</w:t>
        </w:r>
      </w:hyperlink>
      <w:r>
        <w:rPr>
          <w:rFonts w:hint="cs"/>
          <w:rtl/>
        </w:rPr>
        <w:t xml:space="preserve"> </w:t>
      </w:r>
      <w:hyperlink r:id="rId14" w:history="1">
        <w:r w:rsidR="00315362" w:rsidRPr="00315362">
          <w:rPr>
            <w:color w:val="0000FF"/>
            <w:u w:val="single"/>
            <w:rtl/>
          </w:rPr>
          <w:t>לחוק יסוד: השפיטה.</w:t>
        </w:r>
        <w:r w:rsidR="00315362" w:rsidRPr="00315362">
          <w:rPr>
            <w:color w:val="0000FF"/>
            <w:u w:val="single"/>
            <w:rtl/>
          </w:rPr>
          <w:cr/>
        </w:r>
      </w:hyperlink>
    </w:p>
    <w:p w14:paraId="52D76683" w14:textId="77777777" w:rsidR="00BA5622" w:rsidRDefault="00BA5622">
      <w:pPr>
        <w:pStyle w:val="6"/>
        <w:rPr>
          <w:rFonts w:hint="cs"/>
          <w:u w:val="none"/>
          <w:rtl/>
        </w:rPr>
      </w:pPr>
      <w:r>
        <w:rPr>
          <w:rFonts w:hint="cs"/>
          <w:rtl/>
        </w:rPr>
        <w:lastRenderedPageBreak/>
        <w:t>העבירה</w:t>
      </w:r>
    </w:p>
    <w:p w14:paraId="2C84A202" w14:textId="77777777" w:rsidR="00BA5622" w:rsidRDefault="00BA5622">
      <w:pPr>
        <w:ind w:left="720" w:hanging="720"/>
        <w:rPr>
          <w:rFonts w:hint="cs"/>
          <w:rtl/>
        </w:rPr>
      </w:pPr>
      <w:r>
        <w:rPr>
          <w:rFonts w:hint="cs"/>
          <w:rtl/>
        </w:rPr>
        <w:t>3.</w:t>
      </w:r>
      <w:r>
        <w:rPr>
          <w:rFonts w:hint="cs"/>
          <w:rtl/>
        </w:rPr>
        <w:tab/>
        <w:t>נגד הנאשם הוגש כתב אישום. בשלב מאוחר יותר, הוגש כתב אישום מתוקן, ובו הודה הנאשם, ולאור הודאתו הרשעתי אותו בעבירה (ראה הכרעת דין מיום ב אב תשס"ח (3.8.08)).</w:t>
      </w:r>
    </w:p>
    <w:p w14:paraId="7747E836" w14:textId="77777777" w:rsidR="00BA5622" w:rsidRDefault="00BA5622">
      <w:pPr>
        <w:ind w:left="720" w:hanging="720"/>
        <w:rPr>
          <w:rFonts w:hint="cs"/>
          <w:rtl/>
        </w:rPr>
      </w:pPr>
    </w:p>
    <w:p w14:paraId="1CA45662" w14:textId="77777777" w:rsidR="00BA5622" w:rsidRDefault="00BA5622">
      <w:pPr>
        <w:ind w:left="720" w:hanging="720"/>
        <w:rPr>
          <w:rFonts w:hint="cs"/>
          <w:rtl/>
        </w:rPr>
      </w:pPr>
      <w:r>
        <w:rPr>
          <w:rFonts w:hint="cs"/>
          <w:rtl/>
        </w:rPr>
        <w:t>4.</w:t>
      </w:r>
      <w:r>
        <w:rPr>
          <w:rFonts w:hint="cs"/>
          <w:rtl/>
        </w:rPr>
        <w:tab/>
        <w:t xml:space="preserve">על פי כתב האישום המתוקן, נשא הנאשם ביום 12.7.08 בשעה 00:55 לערך, בעת שנהג ברכב, סמוך לצומת הערבה, אקדח בקוטר </w:t>
      </w:r>
      <w:smartTag w:uri="urn:schemas-microsoft-com:office:smarttags" w:element="metricconverter">
        <w:smartTagPr>
          <w:attr w:name="ProductID" w:val="0.9 מ&quot;מ"/>
        </w:smartTagPr>
        <w:r>
          <w:rPr>
            <w:rFonts w:hint="cs"/>
            <w:rtl/>
          </w:rPr>
          <w:t>0.9 מ"מ</w:t>
        </w:r>
      </w:smartTag>
      <w:r>
        <w:rPr>
          <w:rFonts w:hint="cs"/>
          <w:rtl/>
        </w:rPr>
        <w:t xml:space="preserve">, כשבתוכו מחסנית ובה 15 כדורים, וכן מחסנית ובה כ-10 כדורים. בנוסף לכך, החזיק הנאשם באותו אירוע חשיש במשקל </w:t>
      </w:r>
      <w:smartTag w:uri="urn:schemas-microsoft-com:office:smarttags" w:element="metricconverter">
        <w:smartTagPr>
          <w:attr w:name="ProductID" w:val="1.36 גרם"/>
        </w:smartTagPr>
        <w:r>
          <w:rPr>
            <w:rFonts w:hint="cs"/>
            <w:rtl/>
          </w:rPr>
          <w:t>1.36 גרם</w:t>
        </w:r>
      </w:smartTag>
      <w:r>
        <w:rPr>
          <w:rFonts w:hint="cs"/>
          <w:rtl/>
        </w:rPr>
        <w:t xml:space="preserve"> נטו, לשימוש עצמי.</w:t>
      </w:r>
    </w:p>
    <w:p w14:paraId="67929D54" w14:textId="77777777" w:rsidR="00BA5622" w:rsidRDefault="00BA5622">
      <w:pPr>
        <w:ind w:left="720" w:hanging="720"/>
        <w:rPr>
          <w:rFonts w:hint="cs"/>
          <w:rtl/>
        </w:rPr>
      </w:pPr>
      <w:r>
        <w:rPr>
          <w:rFonts w:hint="cs"/>
          <w:rtl/>
        </w:rPr>
        <w:tab/>
        <w:t xml:space="preserve">הנאשם הורשע על פי הודאתו בשתי עבירות של נשיאת נשק, עבירה לפי </w:t>
      </w:r>
      <w:hyperlink r:id="rId15" w:history="1">
        <w:r w:rsidR="00315362" w:rsidRPr="00315362">
          <w:rPr>
            <w:rStyle w:val="Hyperlink"/>
            <w:rFonts w:hint="eastAsia"/>
            <w:rtl/>
          </w:rPr>
          <w:t>סעיף</w:t>
        </w:r>
        <w:r w:rsidR="00315362" w:rsidRPr="00315362">
          <w:rPr>
            <w:rStyle w:val="Hyperlink"/>
            <w:rtl/>
          </w:rPr>
          <w:t xml:space="preserve"> 144(ב)</w:t>
        </w:r>
      </w:hyperlink>
      <w:r>
        <w:rPr>
          <w:rFonts w:hint="cs"/>
          <w:rtl/>
        </w:rPr>
        <w:t xml:space="preserve"> ל</w:t>
      </w:r>
      <w:hyperlink r:id="rId16" w:history="1">
        <w:r w:rsidR="00CB1166" w:rsidRPr="00CB1166">
          <w:rPr>
            <w:rStyle w:val="Hyperlink"/>
            <w:rtl/>
          </w:rPr>
          <w:t>חוק העונשין</w:t>
        </w:r>
      </w:hyperlink>
      <w:r>
        <w:rPr>
          <w:rFonts w:hint="cs"/>
          <w:rtl/>
        </w:rPr>
        <w:t xml:space="preserve">, התשל"ז-1977, והחזקת סם לצריכה עצמית בלבד, עבירה לפי </w:t>
      </w:r>
      <w:hyperlink r:id="rId17" w:history="1">
        <w:r w:rsidR="00315362" w:rsidRPr="00315362">
          <w:rPr>
            <w:rStyle w:val="Hyperlink"/>
            <w:rFonts w:hint="eastAsia"/>
            <w:rtl/>
          </w:rPr>
          <w:t>סעיף</w:t>
        </w:r>
        <w:r w:rsidR="00315362" w:rsidRPr="00315362">
          <w:rPr>
            <w:rStyle w:val="Hyperlink"/>
            <w:rtl/>
          </w:rPr>
          <w:t xml:space="preserve"> 7(א)</w:t>
        </w:r>
      </w:hyperlink>
      <w:r>
        <w:rPr>
          <w:rFonts w:hint="cs"/>
          <w:rtl/>
        </w:rPr>
        <w:t xml:space="preserve"> + </w:t>
      </w:r>
      <w:hyperlink r:id="rId18" w:history="1">
        <w:r w:rsidR="00315362" w:rsidRPr="00315362">
          <w:rPr>
            <w:rStyle w:val="Hyperlink"/>
            <w:rtl/>
          </w:rPr>
          <w:t>(ג)</w:t>
        </w:r>
      </w:hyperlink>
      <w:r>
        <w:rPr>
          <w:rFonts w:hint="cs"/>
          <w:rtl/>
        </w:rPr>
        <w:t xml:space="preserve"> סיפא ל</w:t>
      </w:r>
      <w:hyperlink r:id="rId19" w:history="1">
        <w:r w:rsidR="00CB1166" w:rsidRPr="00CB1166">
          <w:rPr>
            <w:rStyle w:val="Hyperlink"/>
            <w:rtl/>
          </w:rPr>
          <w:t>פקודת הסמים המסוכנים</w:t>
        </w:r>
      </w:hyperlink>
      <w:r>
        <w:rPr>
          <w:rFonts w:hint="cs"/>
          <w:rtl/>
        </w:rPr>
        <w:t>, התשל"ג-1973 (ראה הכרעת דין מיום ב אב תשס"ח (3.8.08)).</w:t>
      </w:r>
    </w:p>
    <w:p w14:paraId="7EAA9466" w14:textId="77777777" w:rsidR="00BA5622" w:rsidRDefault="00BA5622">
      <w:pPr>
        <w:rPr>
          <w:rFonts w:hint="cs"/>
          <w:rtl/>
        </w:rPr>
      </w:pPr>
    </w:p>
    <w:p w14:paraId="710C1B0B" w14:textId="77777777" w:rsidR="00BA5622" w:rsidRDefault="00BA5622">
      <w:pPr>
        <w:ind w:left="720" w:hanging="720"/>
        <w:rPr>
          <w:rFonts w:hint="cs"/>
          <w:rtl/>
        </w:rPr>
      </w:pPr>
      <w:r>
        <w:rPr>
          <w:rFonts w:hint="cs"/>
          <w:rtl/>
        </w:rPr>
        <w:t>5.</w:t>
      </w:r>
      <w:r>
        <w:rPr>
          <w:rFonts w:hint="cs"/>
          <w:rtl/>
        </w:rPr>
        <w:tab/>
        <w:t xml:space="preserve">במסגרת הדיונים בפניי, הוסכם כי יצורף לתיק זה כתב אישום שהוגש לבית משפט השלום, שבו יוחס לנאשם החזקת סם מסוכן מסוג חשיש, במשקל </w:t>
      </w:r>
      <w:smartTag w:uri="urn:schemas-microsoft-com:office:smarttags" w:element="metricconverter">
        <w:smartTagPr>
          <w:attr w:name="ProductID" w:val="0.6 גרם"/>
        </w:smartTagPr>
        <w:r>
          <w:rPr>
            <w:rFonts w:hint="cs"/>
            <w:rtl/>
          </w:rPr>
          <w:t>0.6 גרם</w:t>
        </w:r>
      </w:smartTag>
      <w:r>
        <w:rPr>
          <w:rFonts w:hint="cs"/>
          <w:rtl/>
        </w:rPr>
        <w:t>, ביום 25.6.07. גם בכך הודה הנאשם, ובאותו יום הורשע על פי הודאתו בעבירה של החזקת סם לצריכה עצמית.</w:t>
      </w:r>
    </w:p>
    <w:p w14:paraId="787656ED" w14:textId="77777777" w:rsidR="00BA5622" w:rsidRDefault="00BA5622">
      <w:pPr>
        <w:ind w:left="720" w:hanging="720"/>
        <w:rPr>
          <w:rFonts w:hint="cs"/>
          <w:rtl/>
        </w:rPr>
      </w:pPr>
    </w:p>
    <w:p w14:paraId="6EF1AB85" w14:textId="77777777" w:rsidR="00BA5622" w:rsidRDefault="00BA5622">
      <w:pPr>
        <w:pStyle w:val="7"/>
        <w:rPr>
          <w:rFonts w:hint="cs"/>
          <w:rtl/>
        </w:rPr>
      </w:pPr>
      <w:r>
        <w:rPr>
          <w:rFonts w:hint="cs"/>
          <w:rtl/>
        </w:rPr>
        <w:t>תסקיר שירות המבחן</w:t>
      </w:r>
    </w:p>
    <w:p w14:paraId="484DFD09" w14:textId="77777777" w:rsidR="00BA5622" w:rsidRDefault="00BA5622">
      <w:pPr>
        <w:rPr>
          <w:rFonts w:hint="cs"/>
          <w:rtl/>
        </w:rPr>
      </w:pPr>
    </w:p>
    <w:p w14:paraId="72F11583" w14:textId="77777777" w:rsidR="00BA5622" w:rsidRDefault="00BA5622">
      <w:pPr>
        <w:ind w:left="720" w:hanging="720"/>
        <w:rPr>
          <w:rFonts w:hint="cs"/>
          <w:rtl/>
        </w:rPr>
      </w:pPr>
      <w:r>
        <w:rPr>
          <w:rFonts w:hint="cs"/>
          <w:rtl/>
        </w:rPr>
        <w:t>6.</w:t>
      </w:r>
      <w:r>
        <w:rPr>
          <w:rFonts w:hint="cs"/>
          <w:rtl/>
        </w:rPr>
        <w:tab/>
        <w:t xml:space="preserve">הסנגורית ביקשה, כי יוגש תסקיר בעניינו של הנאשם והמדינה הסכימה לכך. לאור זאת, ניתנה החלטה בדבר הגשת התסקיר, אף היא באותו יום. </w:t>
      </w:r>
    </w:p>
    <w:p w14:paraId="25D33B3A" w14:textId="77777777" w:rsidR="00BA5622" w:rsidRDefault="00BA5622">
      <w:pPr>
        <w:ind w:left="720" w:hanging="720"/>
        <w:rPr>
          <w:rFonts w:hint="cs"/>
          <w:rtl/>
        </w:rPr>
      </w:pPr>
    </w:p>
    <w:p w14:paraId="3393E4A1" w14:textId="77777777" w:rsidR="00BA5622" w:rsidRDefault="00BA5622">
      <w:pPr>
        <w:ind w:left="720" w:hanging="720"/>
        <w:rPr>
          <w:rFonts w:hint="cs"/>
          <w:rtl/>
        </w:rPr>
      </w:pPr>
      <w:r>
        <w:rPr>
          <w:rFonts w:hint="cs"/>
          <w:rtl/>
        </w:rPr>
        <w:t>7.</w:t>
      </w:r>
      <w:r>
        <w:rPr>
          <w:rFonts w:hint="cs"/>
          <w:rtl/>
        </w:rPr>
        <w:tab/>
        <w:t>התסקיר שהוגש ביום ד אלול התשס"ח (4.9.08), מתאר את ההיסטוריה של הנאשם, שהוא בן 22, גרוש. נישואיו נערכו עקב טענת חברתו, כי הוא היה הגורם לכך שהיא הרה. הוא נישא לה בהיותו בן 17. לאחר שפרץ סכסוך ביניהם, הוא דרש לבצע בדיקת רקמות וממנה עלה כי הוא אינו אביו של הילדה שנולדה, עקב ההיריון האמור, והוא התגרש מאשתו. עקב פרשה זו, לא שרת בצבא.</w:t>
      </w:r>
    </w:p>
    <w:p w14:paraId="4BB6D60B" w14:textId="77777777" w:rsidR="00BA5622" w:rsidRDefault="00BA5622">
      <w:pPr>
        <w:ind w:left="720" w:hanging="720"/>
        <w:rPr>
          <w:rFonts w:hint="cs"/>
          <w:rtl/>
        </w:rPr>
      </w:pPr>
    </w:p>
    <w:p w14:paraId="403E50DE" w14:textId="77777777" w:rsidR="00BA5622" w:rsidRDefault="00BA5622">
      <w:pPr>
        <w:ind w:left="720" w:hanging="720"/>
        <w:rPr>
          <w:rFonts w:hint="cs"/>
          <w:rtl/>
        </w:rPr>
      </w:pPr>
      <w:r>
        <w:rPr>
          <w:rFonts w:hint="cs"/>
          <w:rtl/>
        </w:rPr>
        <w:t>8.</w:t>
      </w:r>
      <w:r>
        <w:rPr>
          <w:rFonts w:hint="cs"/>
          <w:rtl/>
        </w:rPr>
        <w:tab/>
        <w:t>הנאשם עבר "חוויה" נוספת. בעת מגוריו באילת, שם עבד בפיצרייה ובמסעדה, הוא נחשד ברצח ונעצר למשך חודש ימים במשטרת אילת. התברר כי היה זה חשד שווא והוא שוחרר, אך מעשה זה, כמתואר בתסקיר, הנו אירוע שהיווה משבר נוסף בחייו של הנאשם.</w:t>
      </w:r>
    </w:p>
    <w:p w14:paraId="31B12B91" w14:textId="77777777" w:rsidR="00BA5622" w:rsidRDefault="00BA5622">
      <w:pPr>
        <w:ind w:left="720" w:hanging="720"/>
        <w:rPr>
          <w:rFonts w:hint="cs"/>
          <w:rtl/>
        </w:rPr>
      </w:pPr>
    </w:p>
    <w:p w14:paraId="74E1281F" w14:textId="77777777" w:rsidR="00BA5622" w:rsidRDefault="00BA5622">
      <w:pPr>
        <w:ind w:left="720" w:hanging="720"/>
        <w:rPr>
          <w:rFonts w:hint="cs"/>
          <w:rtl/>
        </w:rPr>
      </w:pPr>
      <w:r>
        <w:rPr>
          <w:rFonts w:hint="cs"/>
          <w:rtl/>
        </w:rPr>
        <w:t>9.</w:t>
      </w:r>
      <w:r>
        <w:rPr>
          <w:rFonts w:hint="cs"/>
          <w:rtl/>
        </w:rPr>
        <w:tab/>
        <w:t>אשר לנסיבות ביצוע העבירה, הנאשם טען לפני קצינת המבחן למגורים, הגב' מיכל שכמן-גבאי, כי הוא מצא את האקדח ביער ירושלים כיומיים לפני שנמצא. הוא לא סיפר לאיש על כך וחש התלהבות מעצם המציאה. הוא לא חשב לעשות שימוש בנשק וגם לא חשב מה לעשות איתו, והוא התקשה להתייחס לאקדח כאל כלי נשק ומה היו עלולות להיות ההשלכות עקב השימוש בנשק, אך שלל כל אפשרות כזאת.</w:t>
      </w:r>
    </w:p>
    <w:p w14:paraId="7CCD3447" w14:textId="77777777" w:rsidR="00BA5622" w:rsidRDefault="00BA5622">
      <w:pPr>
        <w:ind w:left="720" w:hanging="720"/>
        <w:rPr>
          <w:rFonts w:hint="cs"/>
          <w:rtl/>
        </w:rPr>
      </w:pPr>
    </w:p>
    <w:p w14:paraId="675B9448" w14:textId="77777777" w:rsidR="00BA5622" w:rsidRDefault="00BA5622">
      <w:pPr>
        <w:ind w:left="720" w:hanging="720"/>
        <w:rPr>
          <w:rFonts w:hint="cs"/>
          <w:rtl/>
        </w:rPr>
      </w:pPr>
      <w:r>
        <w:rPr>
          <w:rFonts w:hint="cs"/>
          <w:rtl/>
        </w:rPr>
        <w:t>10.</w:t>
      </w:r>
      <w:r>
        <w:rPr>
          <w:rFonts w:hint="cs"/>
          <w:rtl/>
        </w:rPr>
        <w:tab/>
        <w:t>ככל שמדובר בעבירות הסמים, הנאשם מסר לשירות המבחן כי השתמש בסמים באופן מזדמן בלבד, ואין לו כל בעיה של התמכרות לסמים.</w:t>
      </w:r>
    </w:p>
    <w:p w14:paraId="3F547E2D" w14:textId="77777777" w:rsidR="00BA5622" w:rsidRDefault="00BA5622">
      <w:pPr>
        <w:ind w:left="720" w:hanging="720"/>
        <w:rPr>
          <w:rFonts w:hint="cs"/>
          <w:rtl/>
        </w:rPr>
      </w:pPr>
    </w:p>
    <w:p w14:paraId="27794D08" w14:textId="77777777" w:rsidR="00BA5622" w:rsidRDefault="00BA5622">
      <w:pPr>
        <w:ind w:left="720" w:hanging="720"/>
        <w:rPr>
          <w:rFonts w:hint="cs"/>
          <w:rtl/>
        </w:rPr>
      </w:pPr>
      <w:r>
        <w:rPr>
          <w:rFonts w:hint="cs"/>
          <w:rtl/>
        </w:rPr>
        <w:t>11.</w:t>
      </w:r>
      <w:r>
        <w:rPr>
          <w:rFonts w:hint="cs"/>
          <w:rtl/>
        </w:rPr>
        <w:tab/>
        <w:t>התרשמות קצינת המבחן היא, כי הנאשם הוא בחור צעיר שחווה משברים בחייו, והוא נמצא בבלבול סביב דרכו. הוא מתקשה בהבעת רגשות ונוטה להתייחסות קונקרטית ושטחית, ומתאמץ להציג פסאדה חיובית על חייו ומעשיו, למרות פיצולי האישיות, וכן גיליון הרישום הפלילי, שבו הועמד לדין בבית משפט לנוער בשנת 2003 בעבירות של הפרעה לשוטר במילוי תפקידו ונהיגה ברכב ללא רישיון, ובשנת 2006 הסתיים התיק ללא הרשעה, תוך חיובו בקנס ובהתחייבות להימנע, וכן שלילת רישיון נהיגה בפועל.</w:t>
      </w:r>
    </w:p>
    <w:p w14:paraId="738CE6B9" w14:textId="77777777" w:rsidR="00BA5622" w:rsidRDefault="00BA5622">
      <w:pPr>
        <w:ind w:left="720" w:hanging="720"/>
        <w:rPr>
          <w:rFonts w:hint="cs"/>
          <w:rtl/>
        </w:rPr>
      </w:pPr>
    </w:p>
    <w:p w14:paraId="7F7C3799" w14:textId="77777777" w:rsidR="00BA5622" w:rsidRDefault="00BA5622">
      <w:pPr>
        <w:ind w:left="720" w:hanging="720"/>
        <w:rPr>
          <w:rFonts w:hint="cs"/>
          <w:rtl/>
        </w:rPr>
      </w:pPr>
      <w:r>
        <w:rPr>
          <w:rFonts w:hint="cs"/>
          <w:rtl/>
        </w:rPr>
        <w:t>12.</w:t>
      </w:r>
      <w:r>
        <w:rPr>
          <w:rFonts w:hint="cs"/>
          <w:rtl/>
        </w:rPr>
        <w:tab/>
        <w:t>שירות המבחן סבר, כי נראה לו מתאים להמליץ על כיוון טיפולי לצורך בדיקת מסוגלותו של הנאשם להיעזר בטיפול בתחום השימוש בסמים, טיפול אשר כולל בתוכו התמודדות עם קשיים רגשיים, בחירות וגבולות באופן התנהגותו. ברם, הנאשם בשיחה עם קצינת המבחן, לא ביטא בעייתיות כלשהי בתחום זה ולא ביטא רצון וביקשה לעזרה, ולכן התקשה שירות המבחן לבוא בהמלצה טיפולית בעניינו, כאשר יחד עם זאת מציינת קצינת המבחן, כי לאור מאפייני אישיותו, החשיפה לדפוסי התנהגות עבריינים, עלולה לדרדר את מצבו וההמלצה היא כי יש לקחת זאת בחשבון בשיקולי הענישה.</w:t>
      </w:r>
    </w:p>
    <w:p w14:paraId="5B6DD41A" w14:textId="77777777" w:rsidR="00BA5622" w:rsidRDefault="00BA5622">
      <w:pPr>
        <w:ind w:left="720" w:hanging="720"/>
        <w:rPr>
          <w:rFonts w:hint="cs"/>
          <w:rtl/>
        </w:rPr>
      </w:pPr>
    </w:p>
    <w:p w14:paraId="1F6EDC76" w14:textId="77777777" w:rsidR="00BA5622" w:rsidRDefault="00BA5622">
      <w:pPr>
        <w:pStyle w:val="8"/>
        <w:rPr>
          <w:rFonts w:hint="cs"/>
          <w:rtl/>
        </w:rPr>
      </w:pPr>
      <w:r>
        <w:rPr>
          <w:rFonts w:hint="cs"/>
          <w:rtl/>
        </w:rPr>
        <w:t>טענות ב"כ המאשימה</w:t>
      </w:r>
    </w:p>
    <w:p w14:paraId="7B0C6DBC" w14:textId="77777777" w:rsidR="00BA5622" w:rsidRDefault="00BA5622">
      <w:pPr>
        <w:ind w:left="720" w:hanging="720"/>
        <w:rPr>
          <w:rFonts w:hint="cs"/>
          <w:rtl/>
        </w:rPr>
      </w:pPr>
    </w:p>
    <w:p w14:paraId="26DAC174" w14:textId="77777777" w:rsidR="00BA5622" w:rsidRDefault="00BA5622">
      <w:pPr>
        <w:ind w:left="720" w:hanging="720"/>
        <w:rPr>
          <w:rFonts w:hint="cs"/>
          <w:rtl/>
        </w:rPr>
      </w:pPr>
      <w:r>
        <w:rPr>
          <w:rFonts w:hint="cs"/>
          <w:rtl/>
        </w:rPr>
        <w:t>13.</w:t>
      </w:r>
      <w:r>
        <w:rPr>
          <w:rFonts w:hint="cs"/>
          <w:rtl/>
        </w:rPr>
        <w:tab/>
        <w:t>ב"כ המדינה, עו"ד יעל רוזנמן, טענה, כי יש להטיל על הנאשם מאסר בפועל, מאסר על תנאי (נפרד לעניין הנשק ונפרד לעניין הסמים), וכן לחלט את האקדח ואת הסמים שנתפסו.</w:t>
      </w:r>
    </w:p>
    <w:p w14:paraId="313C583B" w14:textId="77777777" w:rsidR="00BA5622" w:rsidRDefault="00BA5622">
      <w:pPr>
        <w:ind w:left="720" w:hanging="720"/>
        <w:rPr>
          <w:rFonts w:hint="cs"/>
          <w:rtl/>
        </w:rPr>
      </w:pPr>
    </w:p>
    <w:p w14:paraId="7311A825" w14:textId="77777777" w:rsidR="00BA5622" w:rsidRDefault="00BA5622">
      <w:pPr>
        <w:ind w:left="720" w:hanging="720"/>
        <w:rPr>
          <w:rFonts w:hint="cs"/>
          <w:rtl/>
        </w:rPr>
      </w:pPr>
      <w:r>
        <w:rPr>
          <w:rFonts w:hint="cs"/>
          <w:rtl/>
        </w:rPr>
        <w:t>14.</w:t>
      </w:r>
      <w:r>
        <w:rPr>
          <w:rFonts w:hint="cs"/>
          <w:rtl/>
        </w:rPr>
        <w:tab/>
        <w:t>ב"כ המאשימה מתבססת על פסיקה שהביאה, אשר על פיה מן הראוי להטיל עונש מאסר בפועל בגין עבירות החזקת נשק. היא התבססה, בעיקר, על פסק דין של בית המשפט העליון, אשר, לדבריה, דומה בנסיבותיו למקרה שבפנינו, שבו בית המשפט המחוזי בחיפה הטיל על נאשם שישה חדשי מאסר בדרך של עבודות שירות, בגין החזקת אקדח טעון במחסנית וכדורים נוספים, אך בית המשפט העליון קבע כי בנסיבות אלה יש להטיל על הנאשם מאסר של 16 חודשים בפועל (</w:t>
      </w:r>
      <w:hyperlink r:id="rId20" w:history="1">
        <w:r w:rsidR="00CB1166" w:rsidRPr="00CB1166">
          <w:rPr>
            <w:rStyle w:val="Hyperlink"/>
            <w:rtl/>
          </w:rPr>
          <w:t>ע"פ 6671/06</w:t>
        </w:r>
      </w:hyperlink>
      <w:r>
        <w:rPr>
          <w:rFonts w:hint="cs"/>
          <w:rtl/>
        </w:rPr>
        <w:t xml:space="preserve"> </w:t>
      </w:r>
      <w:r>
        <w:rPr>
          <w:rFonts w:hint="cs"/>
          <w:b/>
          <w:bCs/>
          <w:rtl/>
        </w:rPr>
        <w:t>– מדינת ישראל נ' מאדי סרור</w:t>
      </w:r>
      <w:r>
        <w:rPr>
          <w:rFonts w:hint="cs"/>
          <w:rtl/>
        </w:rPr>
        <w:t xml:space="preserve">, </w:t>
      </w:r>
      <w:r w:rsidR="00DB1BC2" w:rsidRPr="00DB1BC2">
        <w:rPr>
          <w:sz w:val="24"/>
          <w:szCs w:val="24"/>
          <w:rtl/>
        </w:rPr>
        <w:t>[פורסם בנבו]</w:t>
      </w:r>
      <w:r w:rsidR="00DB1BC2">
        <w:rPr>
          <w:rtl/>
        </w:rPr>
        <w:t>,</w:t>
      </w:r>
      <w:r w:rsidR="00DB1BC2">
        <w:rPr>
          <w:rFonts w:hint="cs"/>
          <w:rtl/>
        </w:rPr>
        <w:t xml:space="preserve"> </w:t>
      </w:r>
      <w:r>
        <w:rPr>
          <w:rFonts w:hint="cs"/>
          <w:rtl/>
        </w:rPr>
        <w:t>כב' השופטת ד' ברלינר, שלדבריה הסכימו כב' השופט א' לוי וכב' השופטת ע' ארבל; פסק הדין ניתן ביום כג כסלו תשס"ז (14.12.06)).</w:t>
      </w:r>
    </w:p>
    <w:p w14:paraId="076C960C" w14:textId="77777777" w:rsidR="00BA5622" w:rsidRDefault="00BA5622">
      <w:pPr>
        <w:ind w:left="720" w:hanging="720"/>
        <w:rPr>
          <w:rFonts w:hint="cs"/>
          <w:rtl/>
        </w:rPr>
      </w:pPr>
      <w:r>
        <w:rPr>
          <w:rFonts w:hint="cs"/>
          <w:rtl/>
        </w:rPr>
        <w:t>15.</w:t>
      </w:r>
      <w:r>
        <w:rPr>
          <w:rFonts w:hint="cs"/>
          <w:rtl/>
        </w:rPr>
        <w:tab/>
        <w:t>ב"כ הנאשם, עו"ד טליה רם, טענה, כי די בכך שהנאשם ירצה עונש מאסר של שישה חודשים במסגרת עבודות שירות, וזאת לאחר שהתקבלה חוות דעת חיובית של הממונה. היא ביקשה כי הנאשם לא יישלח למאסר, וזאת מאחר ובפועל הוא נמצא במעצר מאז יום מעצרו, דהיינו 12.7.08, כשלושה חודשים וחצי.</w:t>
      </w:r>
    </w:p>
    <w:p w14:paraId="6BC4EE8C" w14:textId="77777777" w:rsidR="00BA5622" w:rsidRDefault="00BA5622">
      <w:pPr>
        <w:ind w:left="720" w:hanging="720"/>
        <w:rPr>
          <w:rFonts w:hint="cs"/>
          <w:rtl/>
        </w:rPr>
      </w:pPr>
    </w:p>
    <w:p w14:paraId="7D0066CB" w14:textId="77777777" w:rsidR="00BA5622" w:rsidRDefault="00BA5622">
      <w:pPr>
        <w:pStyle w:val="9"/>
        <w:rPr>
          <w:rFonts w:hint="cs"/>
          <w:rtl/>
        </w:rPr>
      </w:pPr>
      <w:r>
        <w:rPr>
          <w:rFonts w:hint="cs"/>
          <w:rtl/>
        </w:rPr>
        <w:t>דיון</w:t>
      </w:r>
    </w:p>
    <w:p w14:paraId="1374765B" w14:textId="77777777" w:rsidR="00BA5622" w:rsidRDefault="00BA5622">
      <w:pPr>
        <w:ind w:left="720" w:hanging="720"/>
        <w:rPr>
          <w:rFonts w:hint="cs"/>
          <w:rtl/>
        </w:rPr>
      </w:pPr>
    </w:p>
    <w:p w14:paraId="75ED373B" w14:textId="77777777" w:rsidR="00BA5622" w:rsidRDefault="00BA5622" w:rsidP="00DB1BC2">
      <w:pPr>
        <w:ind w:left="720" w:hanging="720"/>
        <w:rPr>
          <w:rFonts w:hint="cs"/>
          <w:rtl/>
        </w:rPr>
      </w:pPr>
      <w:r>
        <w:rPr>
          <w:rFonts w:hint="cs"/>
          <w:rtl/>
        </w:rPr>
        <w:t>16.</w:t>
      </w:r>
      <w:r>
        <w:rPr>
          <w:rFonts w:hint="cs"/>
          <w:rtl/>
        </w:rPr>
        <w:tab/>
        <w:t>כדי להכריע בשאלת הענישה ההולמת את מי שעבר עבירה של החזקת נשק, מן הראוי לבדוק, תחילה, מהי מטרת החזקת הנשק, וזאת בהתאם לסיווג של קטגוריות החזקת הנשק שנקבעו לפני כמחצית יובל שנים על ידי כב' השופט גבריאל בך ב</w:t>
      </w:r>
      <w:hyperlink r:id="rId21" w:history="1">
        <w:r w:rsidR="00CB1166" w:rsidRPr="00CB1166">
          <w:rPr>
            <w:rStyle w:val="Hyperlink"/>
            <w:rtl/>
          </w:rPr>
          <w:t>ב"ש 625/82 חלמי אבו מוך בן עבדל רחמן מחמוד נ' מדינת ישראל, פ"ד לז</w:t>
        </w:r>
      </w:hyperlink>
      <w:r>
        <w:rPr>
          <w:rFonts w:hint="cs"/>
          <w:rtl/>
        </w:rPr>
        <w:t>(3) 668, בעמ' 671, מול האות ב, ועד לסוף העמוד):</w:t>
      </w:r>
    </w:p>
    <w:p w14:paraId="286CB8CA" w14:textId="77777777" w:rsidR="00BA5622" w:rsidRDefault="00BA5622">
      <w:pPr>
        <w:ind w:left="720" w:hanging="720"/>
        <w:rPr>
          <w:rFonts w:hint="cs"/>
          <w:rtl/>
        </w:rPr>
      </w:pPr>
    </w:p>
    <w:p w14:paraId="6DF9D5A7" w14:textId="77777777" w:rsidR="00BA5622" w:rsidRDefault="00BA5622">
      <w:pPr>
        <w:pStyle w:val="a7"/>
        <w:rPr>
          <w:rFonts w:hint="cs"/>
          <w:rtl/>
        </w:rPr>
      </w:pPr>
      <w:r>
        <w:rPr>
          <w:rFonts w:hint="cs"/>
          <w:rtl/>
        </w:rPr>
        <w:t>"שותף אני לדעה, שהובעה במספר החלטות, עליהן הסתמכו באי-כוח העורר, לפיה אין העבירה של החזקת נשק ללא היתר כדין, כשלעצמה, מגיעה בכל הנסיבות לדרגת חומרה, המחייבת או המצדיקה את החזקתו של החשוד, או הנאשם בביצועה, במעצר.</w:t>
      </w:r>
    </w:p>
    <w:p w14:paraId="24865152" w14:textId="77777777" w:rsidR="00BA5622" w:rsidRDefault="00BA5622">
      <w:pPr>
        <w:pStyle w:val="a7"/>
        <w:rPr>
          <w:rFonts w:hint="cs"/>
          <w:rtl/>
        </w:rPr>
      </w:pPr>
      <w:r>
        <w:rPr>
          <w:rFonts w:hint="cs"/>
          <w:rtl/>
        </w:rPr>
        <w:t>מאידך גיסא, אין ספק בלבי, כי רבים ם המקרים, בהם יש לייחס חומרה מרבית לעבירות מהסוג הנדון.</w:t>
      </w:r>
    </w:p>
    <w:p w14:paraId="4FEA6EC3" w14:textId="77777777" w:rsidR="00BA5622" w:rsidRDefault="00BA5622">
      <w:pPr>
        <w:pStyle w:val="a7"/>
        <w:rPr>
          <w:rFonts w:hint="cs"/>
          <w:rtl/>
        </w:rPr>
      </w:pPr>
      <w:r>
        <w:rPr>
          <w:rFonts w:hint="cs"/>
          <w:rtl/>
        </w:rPr>
        <w:t>אנסה לסווג את העבירות של החזקת נשק שלא כדין לקטיגוריות הבולטות שביניהן, אם כי ער אני לכך, שלא ניתן לכלול את כל האפשרויות במסגרת סיווג כזה</w:t>
      </w:r>
      <w:r>
        <w:t>.</w:t>
      </w:r>
    </w:p>
    <w:p w14:paraId="6FA7FC9D" w14:textId="77777777" w:rsidR="00BA5622" w:rsidRDefault="00BA5622">
      <w:pPr>
        <w:pStyle w:val="a7"/>
        <w:rPr>
          <w:rFonts w:hint="cs"/>
          <w:rtl/>
        </w:rPr>
      </w:pPr>
    </w:p>
    <w:p w14:paraId="1A9301B5" w14:textId="77777777" w:rsidR="00BA5622" w:rsidRDefault="00BA5622">
      <w:pPr>
        <w:pStyle w:val="a7"/>
        <w:rPr>
          <w:rFonts w:hint="cs"/>
          <w:rtl/>
        </w:rPr>
      </w:pPr>
      <w:r>
        <w:rPr>
          <w:rFonts w:hint="cs"/>
          <w:rtl/>
        </w:rPr>
        <w:t>אלך מהכבד אל הקל מבחינת חומרתן של העבירות</w:t>
      </w:r>
      <w:r>
        <w:t>:</w:t>
      </w:r>
      <w:r>
        <w:rPr>
          <w:rFonts w:hint="cs"/>
          <w:color w:val="FFFFFF"/>
          <w:rtl/>
        </w:rPr>
        <w:t>ו</w:t>
      </w:r>
    </w:p>
    <w:p w14:paraId="14B53B2C" w14:textId="77777777" w:rsidR="00BA5622" w:rsidRDefault="00BA5622">
      <w:pPr>
        <w:pStyle w:val="a7"/>
        <w:rPr>
          <w:rFonts w:hint="cs"/>
          <w:rtl/>
        </w:rPr>
      </w:pPr>
      <w:r>
        <w:rPr>
          <w:rFonts w:hint="cs"/>
          <w:rtl/>
        </w:rPr>
        <w:t>א) החזקת הנשק לשם ביצוע מעשים, המיועדים לפגוע בביטחון המדינה או בביטחון הציבור.</w:t>
      </w:r>
    </w:p>
    <w:p w14:paraId="07ABC63A" w14:textId="77777777" w:rsidR="00BA5622" w:rsidRDefault="00BA5622">
      <w:pPr>
        <w:pStyle w:val="a7"/>
        <w:rPr>
          <w:rFonts w:hint="cs"/>
          <w:rtl/>
        </w:rPr>
      </w:pPr>
      <w:r>
        <w:rPr>
          <w:rFonts w:hint="cs"/>
          <w:rtl/>
        </w:rPr>
        <w:t>ב) החזקת הנשק לשם ביצוע עבירה פלילית ספציפית כגון רצח, שוד, התפרצות, תקיפה וכו</w:t>
      </w:r>
      <w:r>
        <w:t>'.</w:t>
      </w:r>
    </w:p>
    <w:p w14:paraId="63E05E3C" w14:textId="77777777" w:rsidR="00BA5622" w:rsidRDefault="00BA5622">
      <w:pPr>
        <w:pStyle w:val="a7"/>
      </w:pPr>
      <w:r>
        <w:rPr>
          <w:rFonts w:hint="cs"/>
          <w:rtl/>
        </w:rPr>
        <w:t>ג) החזקת הנשק "לעת מצוא" כדי לאפשר פעילות פלילית אפשרית בעתיד</w:t>
      </w:r>
      <w:r>
        <w:t>.</w:t>
      </w:r>
    </w:p>
    <w:p w14:paraId="318C025C" w14:textId="77777777" w:rsidR="00BA5622" w:rsidRDefault="00BA5622">
      <w:pPr>
        <w:pStyle w:val="a7"/>
        <w:rPr>
          <w:rFonts w:hint="cs"/>
          <w:rtl/>
        </w:rPr>
      </w:pPr>
      <w:r>
        <w:rPr>
          <w:rFonts w:hint="cs"/>
          <w:rtl/>
        </w:rPr>
        <w:t>ד) צבירת נשק על-ידי קבוצה פוליטית, עדתית או אידיאולוגית, במטרה לחזק בדרך זו את כוחה כנגד קבוצות יריבות.</w:t>
      </w:r>
    </w:p>
    <w:p w14:paraId="63433FBD" w14:textId="77777777" w:rsidR="00BA5622" w:rsidRDefault="00BA5622">
      <w:pPr>
        <w:pStyle w:val="a7"/>
        <w:rPr>
          <w:rFonts w:hint="cs"/>
          <w:rtl/>
        </w:rPr>
      </w:pPr>
      <w:r>
        <w:rPr>
          <w:rFonts w:hint="cs"/>
          <w:rtl/>
        </w:rPr>
        <w:t>ה) החזקת הנשק לצורך הגנה עצמית או לצורך הגנה על הציבור</w:t>
      </w:r>
      <w:r>
        <w:t>,</w:t>
      </w:r>
      <w:r>
        <w:rPr>
          <w:rFonts w:hint="cs"/>
          <w:rtl/>
        </w:rPr>
        <w:t xml:space="preserve"> המשפחה או ה"חמולה", אליהם הנאשם משתייך</w:t>
      </w:r>
      <w:r>
        <w:t>.</w:t>
      </w:r>
    </w:p>
    <w:p w14:paraId="25F117F8" w14:textId="77777777" w:rsidR="00BA5622" w:rsidRDefault="00BA5622">
      <w:pPr>
        <w:pStyle w:val="a7"/>
        <w:rPr>
          <w:rFonts w:hint="cs"/>
          <w:rtl/>
        </w:rPr>
      </w:pPr>
      <w:r>
        <w:rPr>
          <w:rFonts w:hint="cs"/>
          <w:rtl/>
        </w:rPr>
        <w:t>ו) החזקת כלי הנשק לצורך ספורט, ציד או שעשוע</w:t>
      </w:r>
      <w:r>
        <w:t>.</w:t>
      </w:r>
    </w:p>
    <w:p w14:paraId="2D31448F" w14:textId="77777777" w:rsidR="00BA5622" w:rsidRDefault="00BA5622">
      <w:pPr>
        <w:pStyle w:val="a7"/>
        <w:rPr>
          <w:rFonts w:hint="cs"/>
          <w:rtl/>
        </w:rPr>
      </w:pPr>
      <w:r>
        <w:rPr>
          <w:rFonts w:hint="cs"/>
          <w:rtl/>
        </w:rPr>
        <w:t>ז) החזקת כלי נשק על-ידי הנאשם בתור מזכרת או כאספן של כלים כאלה</w:t>
      </w:r>
      <w:r>
        <w:t>.</w:t>
      </w:r>
    </w:p>
    <w:p w14:paraId="561FF605" w14:textId="77777777" w:rsidR="00BA5622" w:rsidRDefault="00BA5622">
      <w:pPr>
        <w:pStyle w:val="a7"/>
      </w:pPr>
      <w:r>
        <w:rPr>
          <w:rFonts w:hint="cs"/>
          <w:rtl/>
        </w:rPr>
        <w:t>ח) החזקת כלי הנשק, שפג תוקף רישיונו, והנאשם נמנע מלחדש את הרישיון בעתו</w:t>
      </w:r>
      <w:r>
        <w:t>.</w:t>
      </w:r>
    </w:p>
    <w:p w14:paraId="232DF004" w14:textId="77777777" w:rsidR="00BA5622" w:rsidRDefault="00BA5622">
      <w:pPr>
        <w:pStyle w:val="a7"/>
        <w:rPr>
          <w:rFonts w:hint="cs"/>
          <w:rtl/>
        </w:rPr>
      </w:pPr>
      <w:r>
        <w:rPr>
          <w:rFonts w:hint="cs"/>
          <w:rtl/>
        </w:rPr>
        <w:t>אמנם, לא ניתן לקבוע מסמרות בנדון, אך נראה לי, כי אפשר לקבוע בתור קו מנחה, שהעבירות המבוצעות בנסיבות המנויות בסוגים א-ד לעיל מגיעות בחומרתן לדרגה, שיש בה כדי להצדיק, במקרים המתאימים, מתן צו מעצר עד תום ההליכים. מאידך גיסא, לא הייתי רואה, בדרך כלל, מקום למתן צו כזה במקרים המנויים בסוגים ה-ח דלעיל".</w:t>
      </w:r>
    </w:p>
    <w:p w14:paraId="345D86E5" w14:textId="77777777" w:rsidR="00BA5622" w:rsidRDefault="00BA5622">
      <w:pPr>
        <w:pStyle w:val="a7"/>
        <w:rPr>
          <w:rFonts w:hint="cs"/>
          <w:rtl/>
        </w:rPr>
      </w:pPr>
    </w:p>
    <w:p w14:paraId="030CD6F0" w14:textId="77777777" w:rsidR="00BA5622" w:rsidRDefault="00BA5622">
      <w:pPr>
        <w:pStyle w:val="a7"/>
        <w:rPr>
          <w:rFonts w:hint="cs"/>
          <w:rtl/>
        </w:rPr>
      </w:pPr>
    </w:p>
    <w:p w14:paraId="1E9E5D34" w14:textId="77777777" w:rsidR="00BA5622" w:rsidRDefault="00BA5622">
      <w:pPr>
        <w:ind w:left="720" w:hanging="720"/>
        <w:rPr>
          <w:rFonts w:hint="cs"/>
          <w:rtl/>
        </w:rPr>
      </w:pPr>
      <w:r>
        <w:rPr>
          <w:rFonts w:hint="cs"/>
          <w:rtl/>
        </w:rPr>
        <w:t>17.</w:t>
      </w:r>
      <w:r>
        <w:rPr>
          <w:rFonts w:hint="cs"/>
          <w:rtl/>
        </w:rPr>
        <w:tab/>
        <w:t>הנתונים  המוסכמים בתיק זה, הם דלים יחסית. כל שידוע ומוסכם הוא, כי הנשק נמצא ברכב שבו נסע הנאשם עם משפחתו למלון בים המלח. ההסבר למציאת הנשק ביער ירושלים ניתן על ידי הנאשם, ואין מולו גרסה אחרת. אין גם נתון כלשהו, האם ירו בנשק בזמן האחרון, ולכן המדינה, על פי הצהרתה, אינה טוענת לנסיבה מחמירה בשל כך (ראה הצהרת המדינה בפרוטוקול הדיון היום, עמ' 6, שורות 6-5).</w:t>
      </w:r>
    </w:p>
    <w:p w14:paraId="3C6A4738" w14:textId="77777777" w:rsidR="00BA5622" w:rsidRDefault="00BA5622">
      <w:pPr>
        <w:ind w:left="720" w:hanging="720"/>
        <w:rPr>
          <w:rFonts w:hint="cs"/>
          <w:rtl/>
        </w:rPr>
      </w:pPr>
    </w:p>
    <w:p w14:paraId="543B0A15" w14:textId="77777777" w:rsidR="00BA5622" w:rsidRDefault="00BA5622">
      <w:pPr>
        <w:ind w:left="720" w:hanging="720"/>
        <w:rPr>
          <w:rFonts w:hint="cs"/>
          <w:rtl/>
        </w:rPr>
      </w:pPr>
      <w:r>
        <w:rPr>
          <w:rFonts w:hint="cs"/>
          <w:rtl/>
        </w:rPr>
        <w:t>18.</w:t>
      </w:r>
      <w:r>
        <w:rPr>
          <w:rFonts w:hint="cs"/>
          <w:rtl/>
        </w:rPr>
        <w:tab/>
        <w:t>הנאשם והסנגורית, עו"ד רם, לא נתנו כל הסבר לכך שהנאשם, לאחר שמצא את הנשק ביער ירושלים, לא הביאו למשטרה, וגם לא דיווח על כך. הביטוי שבו השתמשו שניהם הוא, כי מדובר במעשה טיפשות של הנאשם, והוא אמר בדבריו האחרונים, כי אכן "</w:t>
      </w:r>
      <w:r>
        <w:rPr>
          <w:rFonts w:hint="cs"/>
          <w:b/>
          <w:bCs/>
          <w:rtl/>
        </w:rPr>
        <w:t xml:space="preserve">על הטיפשות הזאת אני משלם" </w:t>
      </w:r>
      <w:r>
        <w:rPr>
          <w:rFonts w:hint="cs"/>
          <w:rtl/>
        </w:rPr>
        <w:t xml:space="preserve"> (עמ' 6, שורה 25 לפרוטוקול).</w:t>
      </w:r>
    </w:p>
    <w:p w14:paraId="77FEA031" w14:textId="77777777" w:rsidR="00BA5622" w:rsidRDefault="00BA5622">
      <w:pPr>
        <w:ind w:left="720" w:hanging="720"/>
        <w:rPr>
          <w:rFonts w:hint="cs"/>
          <w:rtl/>
        </w:rPr>
      </w:pPr>
    </w:p>
    <w:p w14:paraId="7E546C76" w14:textId="77777777" w:rsidR="00BA5622" w:rsidRDefault="00BA5622">
      <w:pPr>
        <w:ind w:left="720" w:hanging="720"/>
        <w:rPr>
          <w:rFonts w:hint="cs"/>
          <w:rtl/>
        </w:rPr>
      </w:pPr>
      <w:r>
        <w:rPr>
          <w:rFonts w:hint="cs"/>
          <w:rtl/>
        </w:rPr>
        <w:t>19.</w:t>
      </w:r>
      <w:r>
        <w:rPr>
          <w:rFonts w:hint="cs"/>
          <w:rtl/>
        </w:rPr>
        <w:tab/>
        <w:t>ב"כ המדינה  טוענת, כי במקרה שלפנינו יש לראות את החזקת הנשק כשייכת לקטגוריה השלישית של "</w:t>
      </w:r>
      <w:r>
        <w:rPr>
          <w:rFonts w:hint="cs"/>
          <w:b/>
          <w:bCs/>
          <w:rtl/>
        </w:rPr>
        <w:t>חזקת הנשק לעת מצוא, כדי לאפשר פעילות פלילית אפשרית בעתיד</w:t>
      </w:r>
      <w:r>
        <w:rPr>
          <w:rFonts w:hint="cs"/>
          <w:rtl/>
        </w:rPr>
        <w:t>". קשה לי לקבל עמדה זו, וגם לא ניתן להסיק זאת מעברו הפלילי של הנאשם, שאינו כולל כל אלימות או שימוש בנשק.</w:t>
      </w:r>
    </w:p>
    <w:p w14:paraId="07D1E408" w14:textId="77777777" w:rsidR="00BA5622" w:rsidRDefault="00BA5622">
      <w:pPr>
        <w:ind w:left="720" w:hanging="720"/>
        <w:rPr>
          <w:rFonts w:hint="cs"/>
          <w:rtl/>
        </w:rPr>
      </w:pPr>
    </w:p>
    <w:p w14:paraId="1A25AF72" w14:textId="77777777" w:rsidR="00BA5622" w:rsidRDefault="00BA5622">
      <w:pPr>
        <w:ind w:left="720" w:hanging="720"/>
        <w:rPr>
          <w:rFonts w:hint="cs"/>
          <w:rtl/>
        </w:rPr>
      </w:pPr>
      <w:r>
        <w:rPr>
          <w:rFonts w:hint="cs"/>
          <w:rtl/>
        </w:rPr>
        <w:t>20.</w:t>
      </w:r>
      <w:r>
        <w:rPr>
          <w:rFonts w:hint="cs"/>
          <w:rtl/>
        </w:rPr>
        <w:tab/>
        <w:t>הסיווג שאותו הציעה ב"כ הנאשם, עו"ד רם, דהיינו "</w:t>
      </w:r>
      <w:r>
        <w:rPr>
          <w:rFonts w:hint="cs"/>
          <w:b/>
          <w:bCs/>
          <w:rtl/>
        </w:rPr>
        <w:t>החזקת כלי הנשק לצורך ספורט, ציד או שעשוע"</w:t>
      </w:r>
      <w:r>
        <w:rPr>
          <w:rFonts w:hint="cs"/>
          <w:rtl/>
        </w:rPr>
        <w:t xml:space="preserve"> (הקטגוריה השישית), אינה נתמכת בכל ראיה, והנאשם עצמו אף לא אמר, כי התכוון לעשות שימוש בנשק לאותם צרכים.</w:t>
      </w:r>
    </w:p>
    <w:p w14:paraId="32C86628" w14:textId="77777777" w:rsidR="00BA5622" w:rsidRDefault="00BA5622">
      <w:pPr>
        <w:ind w:left="720" w:hanging="720"/>
        <w:rPr>
          <w:rFonts w:hint="cs"/>
          <w:rtl/>
        </w:rPr>
      </w:pPr>
    </w:p>
    <w:p w14:paraId="4D03D9C8" w14:textId="77777777" w:rsidR="00BA5622" w:rsidRDefault="00BA5622">
      <w:pPr>
        <w:ind w:left="720" w:hanging="720"/>
        <w:rPr>
          <w:rFonts w:hint="cs"/>
          <w:rtl/>
        </w:rPr>
      </w:pPr>
      <w:r>
        <w:rPr>
          <w:rFonts w:hint="cs"/>
          <w:rtl/>
        </w:rPr>
        <w:t>21.</w:t>
      </w:r>
      <w:r>
        <w:rPr>
          <w:rFonts w:hint="cs"/>
          <w:rtl/>
        </w:rPr>
        <w:tab/>
        <w:t>אין מנוס מלומר, כי המקרה של מציאת נשק ואי מסירתו למשטרה, אינו משתבץ באופן מלא לאף אחת מן הקטגוריות הללו שקבע השופט בך, אך בכל מקרה, לעניות דעתי, אם מחלק השופט בך בין ארבעת הקטגוריות החמורות (שהצדיקו מעצר עד תום ההליכים), לבין ארבעת הקטגוריות האחרות, אני סבור כי את המקרה שלפנינו יש להציב במסגרת קבוצת הקטגוריות הפחות חמורה.</w:t>
      </w:r>
    </w:p>
    <w:p w14:paraId="27C6B1E9" w14:textId="77777777" w:rsidR="00BA5622" w:rsidRDefault="00BA5622">
      <w:pPr>
        <w:ind w:left="720" w:hanging="720"/>
        <w:rPr>
          <w:rFonts w:hint="cs"/>
          <w:rtl/>
        </w:rPr>
      </w:pPr>
    </w:p>
    <w:p w14:paraId="0CA412D6" w14:textId="77777777" w:rsidR="00BA5622" w:rsidRDefault="00BA5622">
      <w:pPr>
        <w:ind w:left="720" w:hanging="720"/>
        <w:rPr>
          <w:rFonts w:hint="cs"/>
          <w:rtl/>
        </w:rPr>
      </w:pPr>
      <w:r>
        <w:rPr>
          <w:rFonts w:hint="cs"/>
          <w:rtl/>
        </w:rPr>
        <w:t>22.</w:t>
      </w:r>
      <w:r>
        <w:rPr>
          <w:rFonts w:hint="cs"/>
          <w:rtl/>
        </w:rPr>
        <w:tab/>
        <w:t xml:space="preserve">עו"ד רוזמן, ב"כ המדינה, ביקשה לאמץ את העונש שנקבע בפרשת </w:t>
      </w:r>
      <w:r>
        <w:rPr>
          <w:rFonts w:hint="cs"/>
          <w:b/>
          <w:bCs/>
          <w:rtl/>
        </w:rPr>
        <w:t>סרור</w:t>
      </w:r>
      <w:r>
        <w:rPr>
          <w:rFonts w:hint="cs"/>
          <w:rtl/>
        </w:rPr>
        <w:t xml:space="preserve"> הנ"ל, אך שם מדובר באדם שיש לו שתי הרשעות קודמות, כאשר אחת מהן היא בעבירה של חבלה או פציעה כשהעבריין מזוין, וגם העבירה הנוספת היא עבירת אלימות. על כן, אין ליישם פסק דין זה למקרה שלפנינו, שבו לנאשם אין כלל וכלל עבר של אלימות.</w:t>
      </w:r>
    </w:p>
    <w:p w14:paraId="0D735165" w14:textId="77777777" w:rsidR="00BA5622" w:rsidRDefault="00BA5622">
      <w:pPr>
        <w:ind w:left="720" w:hanging="720"/>
        <w:rPr>
          <w:rFonts w:hint="cs"/>
          <w:rtl/>
        </w:rPr>
      </w:pPr>
    </w:p>
    <w:p w14:paraId="1C064545" w14:textId="77777777" w:rsidR="00BA5622" w:rsidRDefault="00BA5622">
      <w:pPr>
        <w:ind w:left="720" w:hanging="720"/>
        <w:rPr>
          <w:rFonts w:hint="cs"/>
          <w:rtl/>
        </w:rPr>
      </w:pPr>
      <w:r>
        <w:rPr>
          <w:rFonts w:hint="cs"/>
          <w:rtl/>
        </w:rPr>
        <w:t>23.</w:t>
      </w:r>
      <w:r>
        <w:rPr>
          <w:rFonts w:hint="cs"/>
          <w:rtl/>
        </w:rPr>
        <w:tab/>
        <w:t>ב"כ הנאשם, עו"ד רם, הביאה בפניי פסק דין של בית המשפט המחוזי בנצרת, שניתן על ידי כב' השופטת אסתר הלמן (</w:t>
      </w:r>
      <w:hyperlink r:id="rId22" w:history="1">
        <w:r w:rsidR="004265E1" w:rsidRPr="004265E1">
          <w:rPr>
            <w:rStyle w:val="Hyperlink"/>
            <w:rtl/>
          </w:rPr>
          <w:t xml:space="preserve">ת"פ 1117/05 </w:t>
        </w:r>
      </w:hyperlink>
      <w:r>
        <w:rPr>
          <w:rFonts w:hint="cs"/>
          <w:rtl/>
        </w:rPr>
        <w:t xml:space="preserve"> </w:t>
      </w:r>
      <w:r>
        <w:rPr>
          <w:rFonts w:hint="cs"/>
          <w:b/>
          <w:bCs/>
          <w:rtl/>
        </w:rPr>
        <w:t>מדינת ישראל נ' אנדריי בן מיכאל ריבלין</w:t>
      </w:r>
      <w:r>
        <w:rPr>
          <w:rFonts w:hint="cs"/>
          <w:rtl/>
        </w:rPr>
        <w:t xml:space="preserve">, </w:t>
      </w:r>
      <w:r w:rsidR="00DB1BC2" w:rsidRPr="00DB1BC2">
        <w:rPr>
          <w:sz w:val="24"/>
          <w:szCs w:val="24"/>
          <w:rtl/>
        </w:rPr>
        <w:t>[פורסם בנבו]</w:t>
      </w:r>
      <w:r w:rsidR="00DB1BC2">
        <w:rPr>
          <w:rtl/>
        </w:rPr>
        <w:t>,</w:t>
      </w:r>
      <w:r w:rsidR="00DB1BC2">
        <w:rPr>
          <w:rFonts w:hint="cs"/>
          <w:rtl/>
        </w:rPr>
        <w:t xml:space="preserve"> </w:t>
      </w:r>
      <w:r>
        <w:rPr>
          <w:rFonts w:hint="cs"/>
          <w:rtl/>
        </w:rPr>
        <w:t xml:space="preserve">שניתן ביום ז תשרי תשס"ט (6.10.08)), ובו הנסיבות היו חמורות בהרבה מהמקרה שבפנינו: הנאשם שם גנב את נשקו האישי של האח של חברתו לחיים, ששירת כחייל, ומכרו לאדם אחר תמורת 3,000 ₪. אכן, היו לו נסיבות מיוחדות של קשיים בעברו המשפחתי, וכן עשה פעולות רבות לשיקום בישראל, לאחר שעלה מרוסיה. על כל פנים, בית המשפט שם קבע כי העונש יהיה חמישה חודשי מאסר בדרך של עבודות שירות ומאסר על תנאי, ללא קנס, וזאת על אף ששירות המבחן לא בא בהמלצה טיפולית בשל כך שהנאשם טען שאינו זקוק לטיפול (בדומה למקרה שלפנינו). </w:t>
      </w:r>
    </w:p>
    <w:p w14:paraId="379C16AC" w14:textId="77777777" w:rsidR="00BA5622" w:rsidRDefault="00BA5622">
      <w:pPr>
        <w:ind w:left="720" w:hanging="720"/>
        <w:rPr>
          <w:rFonts w:hint="cs"/>
          <w:rtl/>
        </w:rPr>
      </w:pPr>
    </w:p>
    <w:p w14:paraId="7A1E9D92" w14:textId="77777777" w:rsidR="00BA5622" w:rsidRDefault="00BA5622">
      <w:pPr>
        <w:ind w:left="720" w:hanging="720"/>
        <w:rPr>
          <w:rFonts w:hint="cs"/>
          <w:rtl/>
        </w:rPr>
      </w:pPr>
      <w:r>
        <w:rPr>
          <w:rFonts w:hint="cs"/>
          <w:rtl/>
        </w:rPr>
        <w:t xml:space="preserve">24. </w:t>
      </w:r>
      <w:r>
        <w:rPr>
          <w:rFonts w:hint="cs"/>
          <w:rtl/>
        </w:rPr>
        <w:tab/>
        <w:t>אני ער לכך, כי בכמה מקרים בעבר הוטלו עונשי מאסר בפועל, גם על ידי, בגין עבירות נשק, אך בכל מקרה היו נסיבות שונות מאלה שבפנינו. כך, למשל, ב</w:t>
      </w:r>
      <w:hyperlink r:id="rId23" w:history="1">
        <w:r w:rsidR="00CB1166" w:rsidRPr="00CB1166">
          <w:rPr>
            <w:rStyle w:val="Hyperlink"/>
            <w:rtl/>
          </w:rPr>
          <w:t>ת"פ 2106/06</w:t>
        </w:r>
      </w:hyperlink>
      <w:r>
        <w:rPr>
          <w:rFonts w:hint="cs"/>
          <w:rtl/>
        </w:rPr>
        <w:t xml:space="preserve"> </w:t>
      </w:r>
      <w:r>
        <w:rPr>
          <w:rFonts w:hint="cs"/>
          <w:b/>
          <w:bCs/>
          <w:rtl/>
        </w:rPr>
        <w:t>מדינת ישראל נ' גבריאל בן שמעון רקח</w:t>
      </w:r>
      <w:r>
        <w:rPr>
          <w:rFonts w:hint="cs"/>
          <w:rtl/>
        </w:rPr>
        <w:t xml:space="preserve">, </w:t>
      </w:r>
      <w:r w:rsidR="00DB1BC2" w:rsidRPr="00DB1BC2">
        <w:rPr>
          <w:sz w:val="24"/>
          <w:szCs w:val="24"/>
          <w:rtl/>
        </w:rPr>
        <w:t>[פורסם בנבו]</w:t>
      </w:r>
      <w:r w:rsidR="00DB1BC2">
        <w:rPr>
          <w:rtl/>
        </w:rPr>
        <w:t>,</w:t>
      </w:r>
      <w:r w:rsidR="00DB1BC2">
        <w:rPr>
          <w:rFonts w:hint="cs"/>
          <w:rtl/>
        </w:rPr>
        <w:t xml:space="preserve"> </w:t>
      </w:r>
      <w:r>
        <w:rPr>
          <w:rFonts w:hint="cs"/>
          <w:rtl/>
        </w:rPr>
        <w:t>שניתן ביום כב אייר תשס"ז (10.5.07), הטלתי על הנאשם תשעה חודשי מאסר בפועל ותשעה חודשי מאסר על תנאי, וזאת מאחר ולא ניתן היה לכוף על הממונה לאפשר לו ביצוע עבודות שירות, שבעיניי נראו עונש הולם, בשל העובדה כי במקרים קודמים בעבר התנהג באופן בלתי נאות בעת ביצוע עבודות השירות. באותו מקרה, מדובר באדם שהתבקש להשיג נשק מפלוני, ואכן עשה כן ומסר לו  אקדח.</w:t>
      </w:r>
    </w:p>
    <w:p w14:paraId="038FE91F" w14:textId="77777777" w:rsidR="00BA5622" w:rsidRDefault="00BA5622">
      <w:pPr>
        <w:ind w:left="720" w:hanging="720"/>
        <w:rPr>
          <w:rFonts w:hint="cs"/>
          <w:rtl/>
        </w:rPr>
      </w:pPr>
    </w:p>
    <w:p w14:paraId="42EF0023" w14:textId="77777777" w:rsidR="00BA5622" w:rsidRDefault="00BA5622">
      <w:pPr>
        <w:ind w:left="720" w:hanging="720"/>
        <w:rPr>
          <w:rFonts w:hint="cs"/>
          <w:rtl/>
        </w:rPr>
      </w:pPr>
      <w:r>
        <w:rPr>
          <w:rFonts w:hint="cs"/>
          <w:rtl/>
        </w:rPr>
        <w:t>25.</w:t>
      </w:r>
      <w:r>
        <w:rPr>
          <w:rFonts w:hint="cs"/>
          <w:rtl/>
        </w:rPr>
        <w:tab/>
        <w:t>בפרשה אחרת, אשר הגיעה גם לבית המשפט העליון, גזרתי עונש של 18 חודשי מאסר ו-12 חודשי מאסר על תנאי, בגין עבירת נשיאת הנשק, ושלושה חודשי מאסר בגין עבירת שב"ח, וזאת כאשר תושב יהודה ושומרון נטל נשק מביתו והגיע לבית החולים מוקאסד בירושלים כדי להיפגש עם אדם, אשר לדבריו פרץ לבית אחיו וגנב תכשיטים. לדברי הנאשם שם, הנשק נועד להגנה עצמית, אך לא ברור היה מה השימוש שייעשה בנשק, כאשר ייערך אותו מפגש עם הגנב (</w:t>
      </w:r>
      <w:hyperlink r:id="rId24" w:history="1">
        <w:r w:rsidR="00315362" w:rsidRPr="00315362">
          <w:rPr>
            <w:rStyle w:val="Hyperlink"/>
            <w:rtl/>
          </w:rPr>
          <w:t xml:space="preserve">ת"פ 2011/06 </w:t>
        </w:r>
      </w:hyperlink>
      <w:r>
        <w:rPr>
          <w:rFonts w:hint="cs"/>
          <w:rtl/>
        </w:rPr>
        <w:t xml:space="preserve"> </w:t>
      </w:r>
      <w:r>
        <w:rPr>
          <w:rFonts w:hint="cs"/>
          <w:b/>
          <w:bCs/>
          <w:rtl/>
        </w:rPr>
        <w:t>מדינת ישראל נ' סולטן אבו סנינה</w:t>
      </w:r>
      <w:r>
        <w:rPr>
          <w:rFonts w:hint="cs"/>
          <w:rtl/>
        </w:rPr>
        <w:t xml:space="preserve">, </w:t>
      </w:r>
      <w:r w:rsidR="00DB1BC2" w:rsidRPr="00DB1BC2">
        <w:rPr>
          <w:sz w:val="24"/>
          <w:szCs w:val="24"/>
          <w:rtl/>
        </w:rPr>
        <w:t>[פורסם בנבו]</w:t>
      </w:r>
      <w:r w:rsidR="00DB1BC2">
        <w:rPr>
          <w:rtl/>
        </w:rPr>
        <w:t>,</w:t>
      </w:r>
      <w:r w:rsidR="00DB1BC2">
        <w:rPr>
          <w:rFonts w:hint="cs"/>
          <w:rtl/>
        </w:rPr>
        <w:t xml:space="preserve"> </w:t>
      </w:r>
      <w:r>
        <w:rPr>
          <w:rFonts w:hint="cs"/>
          <w:rtl/>
        </w:rPr>
        <w:t>מיום 7.3.06). ערעור הנאשם לבית המשפט העליון, נדחה, ובית המשפט קבע כי עונש זה משקף את מכלול השיקולים הצריכים לעניין, וכי האיזון שנערך אינו מצדיק את התערבות בית המשפט העליון (</w:t>
      </w:r>
      <w:hyperlink r:id="rId25" w:history="1">
        <w:r w:rsidR="00CB1166" w:rsidRPr="00CB1166">
          <w:rPr>
            <w:rStyle w:val="Hyperlink"/>
            <w:rtl/>
          </w:rPr>
          <w:t>ע"פ 3300/06</w:t>
        </w:r>
      </w:hyperlink>
      <w:r>
        <w:rPr>
          <w:rFonts w:hint="cs"/>
          <w:rtl/>
        </w:rPr>
        <w:t xml:space="preserve"> </w:t>
      </w:r>
      <w:r>
        <w:rPr>
          <w:rFonts w:hint="cs"/>
          <w:b/>
          <w:bCs/>
          <w:rtl/>
        </w:rPr>
        <w:t>סולטן אבו סנינה נ' מדינת ישראל</w:t>
      </w:r>
      <w:r>
        <w:rPr>
          <w:rFonts w:hint="cs"/>
          <w:rtl/>
        </w:rPr>
        <w:t xml:space="preserve">,  </w:t>
      </w:r>
      <w:r w:rsidR="00DB1BC2" w:rsidRPr="00DB1BC2">
        <w:rPr>
          <w:sz w:val="24"/>
          <w:szCs w:val="24"/>
          <w:rtl/>
        </w:rPr>
        <w:t>[פורסם בנבו]</w:t>
      </w:r>
      <w:r w:rsidR="00DB1BC2">
        <w:rPr>
          <w:rtl/>
        </w:rPr>
        <w:t>,</w:t>
      </w:r>
      <w:r w:rsidR="00DB1BC2">
        <w:rPr>
          <w:rFonts w:hint="cs"/>
          <w:rtl/>
        </w:rPr>
        <w:t xml:space="preserve"> </w:t>
      </w:r>
      <w:r>
        <w:rPr>
          <w:rFonts w:hint="cs"/>
          <w:rtl/>
        </w:rPr>
        <w:t>שניתן על ידי כב' השופטת ע' ארבל, בהסכמת כב' השופטות א' חיות וד' ברלינר).</w:t>
      </w:r>
    </w:p>
    <w:p w14:paraId="65E50931" w14:textId="77777777" w:rsidR="00BA5622" w:rsidRDefault="00BA5622">
      <w:pPr>
        <w:ind w:left="720" w:hanging="720"/>
        <w:rPr>
          <w:rFonts w:hint="cs"/>
          <w:rtl/>
        </w:rPr>
      </w:pPr>
    </w:p>
    <w:p w14:paraId="1E9E8BC6" w14:textId="77777777" w:rsidR="00BA5622" w:rsidRDefault="00BA5622">
      <w:pPr>
        <w:ind w:left="720" w:hanging="720"/>
        <w:rPr>
          <w:rFonts w:hint="cs"/>
          <w:rtl/>
        </w:rPr>
      </w:pPr>
      <w:r>
        <w:rPr>
          <w:rFonts w:hint="cs"/>
          <w:rtl/>
        </w:rPr>
        <w:t>26.</w:t>
      </w:r>
      <w:r>
        <w:rPr>
          <w:rFonts w:hint="cs"/>
          <w:rtl/>
        </w:rPr>
        <w:tab/>
        <w:t>במקרה אחר, מאד מאד דומה למקרה שלפנינו, שבו הועמד לדין אדם על החזקת נשק ברכבו, שאותו, לדבריו, מצא ואף ירה "ביבש" באותו רכב, ביקש הנאשם שם כי לא תהיה הרשעה לחלוטין. ב"כ המדינה דרש עונש מאסר בפועל, באומרו כי לא ינקוב במספר חודשים, אך מדובר במספר חודשים לכיוון שנה (</w:t>
      </w:r>
      <w:hyperlink r:id="rId26" w:history="1">
        <w:r w:rsidR="0069772E" w:rsidRPr="0069772E">
          <w:rPr>
            <w:rStyle w:val="Hyperlink"/>
            <w:rtl/>
          </w:rPr>
          <w:t>ת"פ 1051/05</w:t>
        </w:r>
      </w:hyperlink>
      <w:r>
        <w:rPr>
          <w:rFonts w:hint="cs"/>
          <w:rtl/>
        </w:rPr>
        <w:t xml:space="preserve"> </w:t>
      </w:r>
      <w:r>
        <w:rPr>
          <w:rFonts w:hint="cs"/>
          <w:b/>
          <w:bCs/>
          <w:rtl/>
        </w:rPr>
        <w:t>מדינת ישראל נ' פתחי ג'עאוני</w:t>
      </w:r>
      <w:r>
        <w:rPr>
          <w:rFonts w:hint="cs"/>
          <w:rtl/>
        </w:rPr>
        <w:t xml:space="preserve">, </w:t>
      </w:r>
      <w:r w:rsidR="00DB1BC2" w:rsidRPr="00DB1BC2">
        <w:rPr>
          <w:sz w:val="24"/>
          <w:szCs w:val="24"/>
          <w:rtl/>
        </w:rPr>
        <w:t>[פורסם בנבו]</w:t>
      </w:r>
      <w:r w:rsidR="00DB1BC2">
        <w:rPr>
          <w:rtl/>
        </w:rPr>
        <w:t>,</w:t>
      </w:r>
      <w:r w:rsidR="00DB1BC2">
        <w:rPr>
          <w:rFonts w:hint="cs"/>
          <w:rtl/>
        </w:rPr>
        <w:t xml:space="preserve"> </w:t>
      </w:r>
      <w:r>
        <w:rPr>
          <w:rFonts w:hint="cs"/>
          <w:rtl/>
        </w:rPr>
        <w:t>מיום כ' כסלו תשס"ז (11.12.06), פיסקה 8 לפסק הדין). לאחר שניתחתי את הנסיבות, הגעתי למסקנה, כי באותו מקרה, מן הראוי להרשיע את הנאשם, אך העונש שהוטל עליו הינו מאסר של שישה חודשים בדרך של עבודות שירות, ומאסר על תנאי. באותה פרשה הובאו מספר תקדימים, הן של בית המשפט העליון והן של בית המשפט המחוזי, אשר בהם נקבעו עונשים מסוגים שונים. אינני רואה צורך לחזור על כל האמור בפסק הדין המפורט (המכיל כ-17 עמודים), ויש לראות בדיון שם, חלק מן הדיון כאן.</w:t>
      </w:r>
    </w:p>
    <w:p w14:paraId="4364DEC8" w14:textId="77777777" w:rsidR="00BA5622" w:rsidRDefault="00BA5622">
      <w:pPr>
        <w:ind w:left="720" w:hanging="720"/>
        <w:rPr>
          <w:rFonts w:hint="cs"/>
          <w:rtl/>
        </w:rPr>
      </w:pPr>
    </w:p>
    <w:p w14:paraId="0FC36CCF" w14:textId="77777777" w:rsidR="00BA5622" w:rsidRDefault="00BA5622">
      <w:pPr>
        <w:ind w:left="720" w:hanging="720"/>
        <w:rPr>
          <w:rFonts w:hint="cs"/>
          <w:rtl/>
        </w:rPr>
      </w:pPr>
      <w:r>
        <w:rPr>
          <w:rFonts w:hint="cs"/>
          <w:rtl/>
        </w:rPr>
        <w:t>27.</w:t>
      </w:r>
      <w:r>
        <w:rPr>
          <w:rFonts w:hint="cs"/>
          <w:rtl/>
        </w:rPr>
        <w:tab/>
        <w:t>בשקלול של כל הנתונים, הגעתי למסקנה כי במקרה שבפנינו, לאור העובדה כי הנאשם כבר היה במעצר כשלושה חודשים וחצי, די בכך שהעונש שיוטל עליו יהיה מאסר שישה חודשים בדרך של עבודות שירות.</w:t>
      </w:r>
    </w:p>
    <w:p w14:paraId="573205FB" w14:textId="77777777" w:rsidR="00BA5622" w:rsidRDefault="00BA5622">
      <w:pPr>
        <w:ind w:left="720" w:hanging="720"/>
        <w:rPr>
          <w:rFonts w:hint="cs"/>
          <w:rtl/>
        </w:rPr>
      </w:pPr>
    </w:p>
    <w:p w14:paraId="351C64A5" w14:textId="77777777" w:rsidR="00BA5622" w:rsidRDefault="00BA5622">
      <w:pPr>
        <w:ind w:left="720" w:hanging="720"/>
        <w:rPr>
          <w:rFonts w:hint="cs"/>
          <w:rtl/>
        </w:rPr>
      </w:pPr>
      <w:r>
        <w:rPr>
          <w:rFonts w:hint="cs"/>
          <w:rtl/>
        </w:rPr>
        <w:t>28.</w:t>
      </w:r>
      <w:r>
        <w:rPr>
          <w:rFonts w:hint="cs"/>
          <w:rtl/>
        </w:rPr>
        <w:tab/>
        <w:t>חלק מן הנתונים הוזכר לעיל. אוסיף לכך גם את העובדה, כי הנאשם עבד עד למעצרו בתפקיד אחראי, בניהול מסעדה המספקת גם ארוחות לבתי ספר. המעביד שלו העיד בפניי, וסיפר עד כמה הוא סומך עליו, גם בניהול התפקיד וגם בעניינים כספיים, ולכן, ניתן להסיק כי הנאשם, מיסודו, הוא אדם חיובי ונורמטיבי, ולכן אין מקום בנסיבות אלה להטיל עליו עונש מאסר נוסף לאותם שלושה חודשים וחצי שבהם כבר היה במעצר בכלא ניצן.</w:t>
      </w:r>
    </w:p>
    <w:p w14:paraId="1D4DEE74" w14:textId="77777777" w:rsidR="00BA5622" w:rsidRDefault="00BA5622">
      <w:pPr>
        <w:ind w:left="720" w:hanging="720"/>
        <w:rPr>
          <w:rFonts w:hint="cs"/>
          <w:rtl/>
        </w:rPr>
      </w:pPr>
    </w:p>
    <w:p w14:paraId="51C189D1" w14:textId="77777777" w:rsidR="00BA5622" w:rsidRDefault="00BA5622">
      <w:pPr>
        <w:ind w:left="720" w:hanging="720"/>
        <w:rPr>
          <w:rFonts w:hint="cs"/>
          <w:rtl/>
        </w:rPr>
      </w:pPr>
      <w:r>
        <w:rPr>
          <w:rFonts w:hint="cs"/>
          <w:rtl/>
        </w:rPr>
        <w:t>29.</w:t>
      </w:r>
      <w:r>
        <w:rPr>
          <w:rFonts w:hint="cs"/>
          <w:rtl/>
        </w:rPr>
        <w:tab/>
        <w:t>בהקשר זה ראוי להזכיר, כי חוות דעת הממונה הינה, שעבודות השירות יבוצעו במוסד ששמו "איכלו רעים", ברח' יפו 182 בירושלים. אני חושב, כי מקום זה מתאים לנאשם, העוסק בבישול של מזון, ואם יקדיש את מחצית השנה הקרובה לעבודות שירות אלה, יהיה בכך משום ענישה הולמת.</w:t>
      </w:r>
    </w:p>
    <w:p w14:paraId="08D1012E" w14:textId="77777777" w:rsidR="00BA5622" w:rsidRDefault="00BA5622">
      <w:pPr>
        <w:ind w:left="720" w:hanging="720"/>
        <w:rPr>
          <w:rFonts w:hint="cs"/>
          <w:rtl/>
        </w:rPr>
      </w:pPr>
    </w:p>
    <w:p w14:paraId="5526E48D" w14:textId="77777777" w:rsidR="00BA5622" w:rsidRDefault="00BA5622">
      <w:pPr>
        <w:ind w:left="720" w:hanging="720"/>
        <w:rPr>
          <w:rFonts w:hint="cs"/>
          <w:rtl/>
        </w:rPr>
      </w:pPr>
      <w:r>
        <w:rPr>
          <w:rFonts w:hint="cs"/>
          <w:rtl/>
        </w:rPr>
        <w:t>30.</w:t>
      </w:r>
      <w:r>
        <w:rPr>
          <w:rFonts w:hint="cs"/>
          <w:rtl/>
        </w:rPr>
        <w:tab/>
        <w:t>הבאתי בחשבון גם את דבריו של הנאשם וחרטתו, ואכן נחה דעתי כי יפיק את הלקחים מאותו מקרה, ויש תקווה לאמונה כי לא יחזור יותר לכלא.</w:t>
      </w:r>
    </w:p>
    <w:p w14:paraId="501AE0D2" w14:textId="77777777" w:rsidR="00BA5622" w:rsidRDefault="00BA5622">
      <w:pPr>
        <w:ind w:left="720" w:hanging="720"/>
        <w:rPr>
          <w:rFonts w:hint="cs"/>
          <w:rtl/>
        </w:rPr>
      </w:pPr>
    </w:p>
    <w:p w14:paraId="322FABD6" w14:textId="77777777" w:rsidR="00BA5622" w:rsidRDefault="00BA5622">
      <w:pPr>
        <w:ind w:left="720" w:hanging="720"/>
        <w:rPr>
          <w:rFonts w:hint="cs"/>
          <w:rtl/>
        </w:rPr>
      </w:pPr>
      <w:r>
        <w:rPr>
          <w:rFonts w:hint="cs"/>
          <w:rtl/>
        </w:rPr>
        <w:t>31.</w:t>
      </w:r>
      <w:r>
        <w:rPr>
          <w:rFonts w:hint="cs"/>
          <w:rtl/>
        </w:rPr>
        <w:tab/>
        <w:t>לא הייתה למעשה מחלוקת בין ב"כ הצדדים, כי שתי עבירות החזקת הסם לצריכה עצמית, אם הן היו לבדן, לא היו מביאות בעקבותיהן מאסר בפועל, ולכן בעניין עבירות אלה די בעונש מאסר על תנאי, נפרד, כפי שביקשה ב"כ המאשימה, ולעניין אחרון זה הסכימה ב"כ הנאשם.</w:t>
      </w:r>
    </w:p>
    <w:p w14:paraId="69DFF885" w14:textId="77777777" w:rsidR="00BA5622" w:rsidRDefault="00BA5622">
      <w:pPr>
        <w:ind w:left="720" w:hanging="720"/>
        <w:rPr>
          <w:rFonts w:hint="cs"/>
          <w:rtl/>
        </w:rPr>
      </w:pPr>
    </w:p>
    <w:p w14:paraId="504E06F8" w14:textId="77777777" w:rsidR="00BA5622" w:rsidRDefault="00BA5622">
      <w:pPr>
        <w:ind w:left="720" w:hanging="720"/>
        <w:rPr>
          <w:rFonts w:hint="cs"/>
          <w:rtl/>
        </w:rPr>
      </w:pPr>
      <w:r>
        <w:rPr>
          <w:rFonts w:hint="cs"/>
          <w:rtl/>
        </w:rPr>
        <w:t>32.</w:t>
      </w:r>
      <w:r>
        <w:rPr>
          <w:rFonts w:hint="cs"/>
          <w:rtl/>
        </w:rPr>
        <w:tab/>
        <w:t>לאור האמור לעיל, אני גוזר על הנאשם את העונשים הבאים:</w:t>
      </w:r>
    </w:p>
    <w:p w14:paraId="5C6E2D36" w14:textId="77777777" w:rsidR="00BA5622" w:rsidRDefault="00BA5622">
      <w:pPr>
        <w:ind w:left="1440" w:hanging="720"/>
        <w:rPr>
          <w:rFonts w:hint="cs"/>
          <w:rtl/>
        </w:rPr>
      </w:pPr>
      <w:r>
        <w:rPr>
          <w:rFonts w:hint="cs"/>
          <w:rtl/>
        </w:rPr>
        <w:t>א.</w:t>
      </w:r>
      <w:r>
        <w:rPr>
          <w:rFonts w:hint="cs"/>
          <w:rtl/>
        </w:rPr>
        <w:tab/>
        <w:t>בגין כל העבירות בהן הורשע הנאשם (נשיאת נשק ושתי עבירות הסם לצריכה עצמית) – מאסר של שישה חודשים בעבודות שירות, כאשר ביצוע עבודות השירות יתחיל ביום 12.11.08. הנאשם יתייצב באותו יום בשעה 10:00 במפקדת מחוז הדרום ליד כלא באר שבע, ועבודות השירות יבוצעו בכל אחד מימי החול (א עד ה) בשעות 08:30 עד 15:00, במוסד "אכלו רעים", ברח' יפו 182 בירושלים. לא ינוכו ימי המעצר מתקופת מאסר זה של שישה חודשים, שכן התחשבתי במעצר כמוסבר לעיל.</w:t>
      </w:r>
    </w:p>
    <w:p w14:paraId="09C957A6" w14:textId="77777777" w:rsidR="00BA5622" w:rsidRDefault="00BA5622">
      <w:pPr>
        <w:ind w:left="1440" w:hanging="720"/>
        <w:rPr>
          <w:rFonts w:hint="cs"/>
          <w:rtl/>
        </w:rPr>
      </w:pPr>
      <w:r>
        <w:rPr>
          <w:rFonts w:hint="cs"/>
          <w:rtl/>
        </w:rPr>
        <w:t>ב.</w:t>
      </w:r>
      <w:r>
        <w:rPr>
          <w:rFonts w:hint="cs"/>
          <w:rtl/>
        </w:rPr>
        <w:tab/>
        <w:t>אם יבצע הנאשם בתוך 3 שנים מהיום עבירה הקשורה בנשק, ירצה עונש מאסר של שנה.</w:t>
      </w:r>
    </w:p>
    <w:p w14:paraId="0C34256B" w14:textId="77777777" w:rsidR="00BA5622" w:rsidRDefault="00BA5622">
      <w:pPr>
        <w:ind w:left="1440" w:hanging="720"/>
        <w:rPr>
          <w:rFonts w:hint="cs"/>
          <w:rtl/>
        </w:rPr>
      </w:pPr>
      <w:r>
        <w:rPr>
          <w:rFonts w:hint="cs"/>
          <w:rtl/>
        </w:rPr>
        <w:t>ג.</w:t>
      </w:r>
      <w:r>
        <w:rPr>
          <w:rFonts w:hint="cs"/>
          <w:rtl/>
        </w:rPr>
        <w:tab/>
        <w:t>אם יבצע הנאשם בתוך 3 שנים מהיום עבירה הקשורה לסמים, ירצה עונש מאסר של שמונה חודשים.</w:t>
      </w:r>
    </w:p>
    <w:p w14:paraId="478C307E" w14:textId="77777777" w:rsidR="00BA5622" w:rsidRDefault="00BA5622">
      <w:pPr>
        <w:ind w:left="1440" w:hanging="720"/>
        <w:rPr>
          <w:rFonts w:hint="cs"/>
          <w:rtl/>
        </w:rPr>
      </w:pPr>
      <w:r>
        <w:rPr>
          <w:rFonts w:hint="cs"/>
          <w:rtl/>
        </w:rPr>
        <w:t>ד.</w:t>
      </w:r>
      <w:r>
        <w:rPr>
          <w:rFonts w:hint="cs"/>
          <w:rtl/>
        </w:rPr>
        <w:tab/>
        <w:t>הסמים והאקדח יוחלטו.</w:t>
      </w:r>
    </w:p>
    <w:p w14:paraId="682D3B92" w14:textId="77777777" w:rsidR="00BA5622" w:rsidRDefault="00BA5622">
      <w:pPr>
        <w:ind w:left="1440" w:hanging="720"/>
        <w:rPr>
          <w:rFonts w:hint="cs"/>
          <w:rtl/>
        </w:rPr>
      </w:pPr>
    </w:p>
    <w:p w14:paraId="2A533C2A" w14:textId="77777777" w:rsidR="00BA5622" w:rsidRDefault="00BA5622">
      <w:pPr>
        <w:rPr>
          <w:rFonts w:hint="cs"/>
          <w:rtl/>
        </w:rPr>
      </w:pPr>
      <w:r>
        <w:rPr>
          <w:rFonts w:hint="cs"/>
          <w:rtl/>
        </w:rPr>
        <w:t>33.</w:t>
      </w:r>
      <w:r>
        <w:rPr>
          <w:rFonts w:hint="cs"/>
          <w:rtl/>
        </w:rPr>
        <w:tab/>
        <w:t>זכות ערעור לבית המשפט העליון תוך 45 יום מהיום.</w:t>
      </w:r>
    </w:p>
    <w:p w14:paraId="5637CEDB" w14:textId="77777777" w:rsidR="0021003D" w:rsidRPr="0021003D" w:rsidRDefault="0021003D">
      <w:pPr>
        <w:ind w:left="1440" w:hanging="720"/>
        <w:rPr>
          <w:rFonts w:hint="cs"/>
          <w:color w:val="FFFFFF"/>
          <w:sz w:val="2"/>
          <w:szCs w:val="2"/>
          <w:rtl/>
        </w:rPr>
      </w:pPr>
    </w:p>
    <w:p w14:paraId="360778DB" w14:textId="77777777" w:rsidR="0021003D" w:rsidRPr="0021003D" w:rsidRDefault="0021003D">
      <w:pPr>
        <w:ind w:left="1440" w:hanging="720"/>
        <w:rPr>
          <w:rFonts w:hint="cs"/>
          <w:color w:val="FFFFFF"/>
          <w:sz w:val="2"/>
          <w:szCs w:val="2"/>
          <w:rtl/>
        </w:rPr>
      </w:pPr>
      <w:r w:rsidRPr="0021003D">
        <w:rPr>
          <w:color w:val="FFFFFF"/>
          <w:sz w:val="2"/>
          <w:szCs w:val="2"/>
          <w:rtl/>
        </w:rPr>
        <w:t>5129371</w:t>
      </w:r>
    </w:p>
    <w:p w14:paraId="57B44678" w14:textId="77777777" w:rsidR="00BA5622" w:rsidRDefault="0021003D">
      <w:pPr>
        <w:ind w:left="1440" w:hanging="720"/>
        <w:rPr>
          <w:rFonts w:hint="cs"/>
          <w:rtl/>
        </w:rPr>
      </w:pPr>
      <w:r w:rsidRPr="0021003D">
        <w:rPr>
          <w:color w:val="FFFFFF"/>
          <w:sz w:val="2"/>
          <w:szCs w:val="2"/>
          <w:rtl/>
        </w:rPr>
        <w:t>54678313</w:t>
      </w:r>
      <w:r w:rsidR="00BA5622">
        <w:rPr>
          <w:rFonts w:hint="cs"/>
          <w:rtl/>
        </w:rPr>
        <w:tab/>
      </w:r>
    </w:p>
    <w:p w14:paraId="3A004C6D" w14:textId="77777777" w:rsidR="00BA5622" w:rsidRDefault="00BA5622">
      <w:pPr>
        <w:ind w:left="720" w:hanging="720"/>
        <w:rPr>
          <w:rFonts w:hint="cs"/>
          <w:rtl/>
        </w:rPr>
      </w:pPr>
    </w:p>
    <w:p w14:paraId="3880BB7A" w14:textId="77777777" w:rsidR="00BA5622" w:rsidRDefault="00BA5622">
      <w:pPr>
        <w:rPr>
          <w:rFonts w:hint="cs"/>
          <w:rtl/>
        </w:rPr>
      </w:pPr>
    </w:p>
    <w:p w14:paraId="3DA514E8" w14:textId="77777777" w:rsidR="005207C5" w:rsidRPr="005207C5" w:rsidRDefault="005207C5">
      <w:pPr>
        <w:rPr>
          <w:b/>
          <w:bCs/>
          <w:color w:val="FFFFFF"/>
          <w:sz w:val="2"/>
          <w:szCs w:val="2"/>
          <w:rtl/>
        </w:rPr>
      </w:pPr>
    </w:p>
    <w:p w14:paraId="011FDD1B" w14:textId="77777777" w:rsidR="005207C5" w:rsidRPr="005207C5" w:rsidRDefault="005207C5">
      <w:pPr>
        <w:rPr>
          <w:b/>
          <w:bCs/>
          <w:color w:val="FFFFFF"/>
          <w:sz w:val="2"/>
          <w:szCs w:val="2"/>
          <w:rtl/>
        </w:rPr>
      </w:pPr>
      <w:r w:rsidRPr="005207C5">
        <w:rPr>
          <w:b/>
          <w:bCs/>
          <w:color w:val="FFFFFF"/>
          <w:sz w:val="2"/>
          <w:szCs w:val="2"/>
          <w:rtl/>
        </w:rPr>
        <w:t>5129371</w:t>
      </w:r>
    </w:p>
    <w:p w14:paraId="3E71F999" w14:textId="77777777" w:rsidR="00BA5622" w:rsidRDefault="005207C5">
      <w:pPr>
        <w:rPr>
          <w:rFonts w:hint="cs"/>
          <w:b/>
          <w:bCs/>
          <w:color w:val="000000"/>
          <w:rtl/>
        </w:rPr>
      </w:pPr>
      <w:r w:rsidRPr="005207C5">
        <w:rPr>
          <w:b/>
          <w:bCs/>
          <w:color w:val="FFFFFF"/>
          <w:sz w:val="2"/>
          <w:szCs w:val="2"/>
          <w:rtl/>
        </w:rPr>
        <w:t>54678313</w:t>
      </w:r>
      <w:r w:rsidR="0021003D">
        <w:rPr>
          <w:b/>
          <w:bCs/>
          <w:color w:val="000000"/>
          <w:rtl/>
        </w:rPr>
        <w:t xml:space="preserve">ניתן היום, ד' בחשון תשס"ט (2 בנובמבר 2008) במעמד ב"כ המאשימה, הנאשם </w:t>
      </w:r>
      <w:r w:rsidR="00BA5622">
        <w:rPr>
          <w:rFonts w:hint="cs"/>
          <w:b/>
          <w:bCs/>
          <w:color w:val="000000"/>
          <w:rtl/>
        </w:rPr>
        <w:t>ובאת-כוחו.</w:t>
      </w:r>
      <w:r w:rsidR="00BA5622">
        <w:rPr>
          <w:rFonts w:hint="cs"/>
          <w:b/>
          <w:bCs/>
          <w:color w:val="000000"/>
        </w:rPr>
        <w:t xml:space="preserve"> </w:t>
      </w:r>
    </w:p>
    <w:p w14:paraId="3581438B" w14:textId="77777777" w:rsidR="00BA5622" w:rsidRDefault="00BA5622">
      <w:pPr>
        <w:rPr>
          <w:rFonts w:hint="cs"/>
          <w:b/>
          <w:bCs/>
          <w:color w:val="000000"/>
          <w:rtl/>
        </w:rPr>
      </w:pPr>
      <w:r>
        <w:rPr>
          <w:rFonts w:hint="cs"/>
          <w:b/>
          <w:bCs/>
          <w:color w:val="000000"/>
          <w:rtl/>
        </w:rPr>
        <w:t xml:space="preserve"> </w:t>
      </w:r>
    </w:p>
    <w:p w14:paraId="3B08EC16" w14:textId="77777777" w:rsidR="0021003D" w:rsidRPr="0021003D" w:rsidRDefault="0021003D" w:rsidP="0021003D">
      <w:pPr>
        <w:keepNext/>
        <w:jc w:val="left"/>
        <w:rPr>
          <w:rFonts w:ascii="David" w:hAnsi="David" w:hint="cs"/>
          <w:color w:val="000000"/>
          <w:sz w:val="22"/>
          <w:szCs w:val="22"/>
          <w:rtl/>
        </w:rPr>
      </w:pPr>
    </w:p>
    <w:p w14:paraId="6055D17F" w14:textId="77777777" w:rsidR="005207C5" w:rsidRPr="005207C5" w:rsidRDefault="005207C5" w:rsidP="005207C5">
      <w:pPr>
        <w:keepNext/>
        <w:jc w:val="left"/>
        <w:rPr>
          <w:rFonts w:ascii="David" w:hAnsi="David" w:hint="cs"/>
          <w:color w:val="000000"/>
          <w:sz w:val="22"/>
          <w:szCs w:val="22"/>
          <w:rtl/>
        </w:rPr>
      </w:pPr>
    </w:p>
    <w:p w14:paraId="5752D63E" w14:textId="77777777" w:rsidR="005207C5" w:rsidRPr="005207C5" w:rsidRDefault="005207C5" w:rsidP="005207C5">
      <w:pPr>
        <w:keepNext/>
        <w:jc w:val="left"/>
        <w:rPr>
          <w:rFonts w:ascii="David" w:hAnsi="David"/>
          <w:color w:val="000000"/>
          <w:sz w:val="22"/>
          <w:szCs w:val="22"/>
          <w:rtl/>
        </w:rPr>
      </w:pPr>
      <w:r w:rsidRPr="005207C5">
        <w:rPr>
          <w:rFonts w:ascii="David" w:hAnsi="David"/>
          <w:color w:val="000000"/>
          <w:sz w:val="22"/>
          <w:szCs w:val="22"/>
          <w:rtl/>
        </w:rPr>
        <w:t>משה דרורי 54678313-207/08</w:t>
      </w:r>
    </w:p>
    <w:p w14:paraId="1FF1F1F3" w14:textId="77777777" w:rsidR="00BA5622" w:rsidRDefault="00BA5622">
      <w:pPr>
        <w:rPr>
          <w:rFonts w:hint="cs"/>
          <w:b/>
          <w:bCs/>
          <w:color w:val="000000"/>
          <w:rtl/>
        </w:rPr>
      </w:pPr>
    </w:p>
    <w:tbl>
      <w:tblPr>
        <w:bidiVisual/>
        <w:tblW w:w="0" w:type="auto"/>
        <w:tblInd w:w="5444" w:type="dxa"/>
        <w:tblBorders>
          <w:top w:val="single" w:sz="4" w:space="0" w:color="auto"/>
        </w:tblBorders>
        <w:tblLook w:val="0000" w:firstRow="0" w:lastRow="0" w:firstColumn="0" w:lastColumn="0" w:noHBand="0" w:noVBand="0"/>
      </w:tblPr>
      <w:tblGrid>
        <w:gridCol w:w="3085"/>
      </w:tblGrid>
      <w:tr w:rsidR="00BA5622" w14:paraId="4C76FA27" w14:textId="77777777">
        <w:tc>
          <w:tcPr>
            <w:tcW w:w="3085" w:type="dxa"/>
            <w:tcBorders>
              <w:top w:val="single" w:sz="4" w:space="0" w:color="auto"/>
              <w:left w:val="nil"/>
              <w:bottom w:val="nil"/>
              <w:right w:val="nil"/>
            </w:tcBorders>
          </w:tcPr>
          <w:p w14:paraId="1FDBC08F" w14:textId="77777777" w:rsidR="00BA5622" w:rsidRDefault="00BA5622">
            <w:pPr>
              <w:jc w:val="center"/>
              <w:rPr>
                <w:b/>
                <w:bCs/>
                <w:szCs w:val="32"/>
              </w:rPr>
            </w:pPr>
            <w:r>
              <w:rPr>
                <w:rFonts w:hint="cs"/>
                <w:b/>
                <w:bCs/>
                <w:szCs w:val="32"/>
                <w:rtl/>
              </w:rPr>
              <w:t>משה דרורי, שופט</w:t>
            </w:r>
          </w:p>
        </w:tc>
      </w:tr>
    </w:tbl>
    <w:p w14:paraId="0B677998" w14:textId="77777777" w:rsidR="005207C5" w:rsidRPr="005207C5" w:rsidRDefault="0021003D" w:rsidP="005207C5">
      <w:pPr>
        <w:jc w:val="left"/>
        <w:rPr>
          <w:color w:val="000000"/>
          <w:rtl/>
        </w:rPr>
      </w:pPr>
      <w:r w:rsidRPr="0021003D">
        <w:rPr>
          <w:color w:val="000000"/>
          <w:rtl/>
        </w:rPr>
        <w:t>נוסח מסמך זה כפוף לשינויי ניסוח ועריכה</w:t>
      </w:r>
    </w:p>
    <w:sectPr w:rsidR="005207C5" w:rsidRPr="005207C5" w:rsidSect="005207C5">
      <w:headerReference w:type="even" r:id="rId27"/>
      <w:headerReference w:type="default" r:id="rId28"/>
      <w:footerReference w:type="even" r:id="rId29"/>
      <w:footerReference w:type="default" r:id="rId30"/>
      <w:endnotePr>
        <w:numFmt w:val="lowerLetter"/>
      </w:endnotePr>
      <w:pgSz w:w="12240" w:h="15840"/>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636F9" w14:textId="77777777" w:rsidR="008117C7" w:rsidRDefault="008117C7">
      <w:r>
        <w:separator/>
      </w:r>
    </w:p>
  </w:endnote>
  <w:endnote w:type="continuationSeparator" w:id="0">
    <w:p w14:paraId="59C7B3C8" w14:textId="77777777" w:rsidR="008117C7" w:rsidRDefault="00811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B8705" w14:textId="77777777" w:rsidR="00924BD9" w:rsidRDefault="00924BD9" w:rsidP="005207C5">
    <w:pPr>
      <w:pStyle w:val="a4"/>
      <w:jc w:val="center"/>
      <w:rPr>
        <w:rFonts w:ascii="FrankRuehl" w:hAnsi="FrankRuehl" w:cs="FrankRuehl"/>
        <w:sz w:val="24"/>
        <w:rtl/>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Pr>
        <w:rFonts w:ascii="FrankRuehl" w:hAnsi="FrankRuehl" w:cs="FrankRuehl"/>
        <w:noProof/>
        <w:sz w:val="24"/>
        <w:rtl/>
      </w:rPr>
      <w:t>1</w:t>
    </w:r>
    <w:r>
      <w:rPr>
        <w:rFonts w:ascii="FrankRuehl" w:hAnsi="FrankRuehl" w:cs="FrankRuehl"/>
        <w:sz w:val="24"/>
        <w:rtl/>
      </w:rPr>
      <w:fldChar w:fldCharType="end"/>
    </w:r>
  </w:p>
  <w:p w14:paraId="7BD7AB8C" w14:textId="77777777" w:rsidR="00924BD9" w:rsidRDefault="00924BD9" w:rsidP="005207C5">
    <w:pPr>
      <w:pStyle w:val="a4"/>
      <w:pBdr>
        <w:top w:val="single" w:sz="4" w:space="1" w:color="auto"/>
        <w:between w:val="single" w:sz="4" w:space="0" w:color="auto"/>
      </w:pBdr>
      <w:spacing w:after="60" w:line="240" w:lineRule="auto"/>
      <w:jc w:val="center"/>
      <w:rPr>
        <w:rFonts w:cs="Times New Roman"/>
        <w:color w:val="000000"/>
        <w:sz w:val="28"/>
        <w:szCs w:val="22"/>
        <w:rtl/>
      </w:rPr>
    </w:pPr>
    <w:r>
      <w:rPr>
        <w:rFonts w:cs="Times New Roman"/>
        <w:color w:val="000000"/>
        <w:sz w:val="28"/>
        <w:szCs w:val="22"/>
        <w:rtl/>
      </w:rPr>
      <w:t xml:space="preserve">נבו הוצאה לאור בע"מ  </w:t>
    </w:r>
    <w:r>
      <w:rPr>
        <w:rFonts w:cs="Times New Roman"/>
        <w:color w:val="000000"/>
        <w:sz w:val="28"/>
        <w:szCs w:val="22"/>
      </w:rPr>
      <w:t>nevo.co.il</w:t>
    </w:r>
    <w:r>
      <w:rPr>
        <w:rFonts w:cs="Times New Roman"/>
        <w:color w:val="000000"/>
        <w:sz w:val="28"/>
        <w:szCs w:val="22"/>
        <w:rtl/>
      </w:rPr>
      <w:t xml:space="preserve">   המאגר המשפטי הישראלי</w:t>
    </w:r>
  </w:p>
  <w:p w14:paraId="1BDD06CF" w14:textId="77777777" w:rsidR="00924BD9" w:rsidRPr="005207C5" w:rsidRDefault="00924BD9" w:rsidP="005207C5">
    <w:pPr>
      <w:pStyle w:val="a4"/>
      <w:pBdr>
        <w:top w:val="single" w:sz="4" w:space="1" w:color="auto"/>
        <w:between w:val="single" w:sz="4" w:space="0" w:color="auto"/>
      </w:pBdr>
      <w:spacing w:line="240" w:lineRule="auto"/>
      <w:jc w:val="left"/>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Pr>
        <w:rFonts w:cs="Times New Roman"/>
        <w:noProof/>
        <w:color w:val="000000"/>
        <w:sz w:val="14"/>
        <w:szCs w:val="14"/>
      </w:rPr>
      <w:t>Z:\000000000000000000000000000000=2015--------------------\HAKIKA-KIDUD\2008\mechozi-minhali\outdoc-nohyper\OutDoc-Makor\m08000207-175.doc</w:t>
    </w:r>
    <w:r>
      <w:rPr>
        <w:rFonts w:cs="Times New Roman"/>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14546" w14:textId="77777777" w:rsidR="00924BD9" w:rsidRDefault="00924BD9" w:rsidP="005207C5">
    <w:pPr>
      <w:pStyle w:val="a4"/>
      <w:jc w:val="center"/>
      <w:rPr>
        <w:rFonts w:ascii="FrankRuehl" w:hAnsi="FrankRuehl" w:cs="FrankRuehl"/>
        <w:sz w:val="24"/>
        <w:rtl/>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sidR="00E351F7">
      <w:rPr>
        <w:rFonts w:ascii="FrankRuehl" w:hAnsi="FrankRuehl" w:cs="FrankRuehl"/>
        <w:noProof/>
        <w:sz w:val="24"/>
        <w:rtl/>
      </w:rPr>
      <w:t>1</w:t>
    </w:r>
    <w:r>
      <w:rPr>
        <w:rFonts w:ascii="FrankRuehl" w:hAnsi="FrankRuehl" w:cs="FrankRuehl"/>
        <w:sz w:val="24"/>
        <w:rtl/>
      </w:rPr>
      <w:fldChar w:fldCharType="end"/>
    </w:r>
  </w:p>
  <w:p w14:paraId="65FB8D95" w14:textId="77777777" w:rsidR="00924BD9" w:rsidRDefault="00924BD9" w:rsidP="005207C5">
    <w:pPr>
      <w:pStyle w:val="a4"/>
      <w:pBdr>
        <w:top w:val="single" w:sz="4" w:space="1" w:color="auto"/>
        <w:between w:val="single" w:sz="4" w:space="0" w:color="auto"/>
      </w:pBdr>
      <w:spacing w:after="60" w:line="240" w:lineRule="auto"/>
      <w:jc w:val="center"/>
      <w:rPr>
        <w:rFonts w:cs="Times New Roman"/>
        <w:color w:val="000000"/>
        <w:sz w:val="28"/>
        <w:szCs w:val="22"/>
        <w:rtl/>
      </w:rPr>
    </w:pPr>
    <w:r>
      <w:rPr>
        <w:rFonts w:cs="Times New Roman"/>
        <w:color w:val="000000"/>
        <w:sz w:val="28"/>
        <w:szCs w:val="22"/>
        <w:rtl/>
      </w:rPr>
      <w:t xml:space="preserve">נבו הוצאה לאור בע"מ  </w:t>
    </w:r>
    <w:r>
      <w:rPr>
        <w:rFonts w:cs="Times New Roman"/>
        <w:color w:val="000000"/>
        <w:sz w:val="28"/>
        <w:szCs w:val="22"/>
      </w:rPr>
      <w:t>nevo.co.il</w:t>
    </w:r>
    <w:r>
      <w:rPr>
        <w:rFonts w:cs="Times New Roman"/>
        <w:color w:val="000000"/>
        <w:sz w:val="28"/>
        <w:szCs w:val="22"/>
        <w:rtl/>
      </w:rPr>
      <w:t xml:space="preserve">   המאגר המשפטי הישראלי</w:t>
    </w:r>
  </w:p>
  <w:p w14:paraId="7E737068" w14:textId="77777777" w:rsidR="00924BD9" w:rsidRPr="005207C5" w:rsidRDefault="00924BD9" w:rsidP="005207C5">
    <w:pPr>
      <w:pStyle w:val="a4"/>
      <w:pBdr>
        <w:top w:val="single" w:sz="4" w:space="1" w:color="auto"/>
        <w:between w:val="single" w:sz="4" w:space="0" w:color="auto"/>
      </w:pBdr>
      <w:spacing w:line="240" w:lineRule="auto"/>
      <w:jc w:val="left"/>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Pr>
        <w:rFonts w:cs="Times New Roman"/>
        <w:noProof/>
        <w:color w:val="000000"/>
        <w:sz w:val="14"/>
        <w:szCs w:val="14"/>
      </w:rPr>
      <w:t>Z:\000000000000000000000000000000=2015--------------------\HAKIKA-KIDUD\2008\mechozi-minhali\outdoc-nohyper\OutDoc-Makor\m08000207-175.doc</w:t>
    </w:r>
    <w:r>
      <w:rPr>
        <w:rFonts w:cs="Times New Roman"/>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32DA4" w14:textId="77777777" w:rsidR="008117C7" w:rsidRDefault="008117C7">
      <w:r>
        <w:separator/>
      </w:r>
    </w:p>
  </w:footnote>
  <w:footnote w:type="continuationSeparator" w:id="0">
    <w:p w14:paraId="2DDEF20B" w14:textId="77777777" w:rsidR="008117C7" w:rsidRDefault="008117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501CD" w14:textId="77777777" w:rsidR="00924BD9" w:rsidRPr="005207C5" w:rsidRDefault="00924BD9" w:rsidP="005207C5">
    <w:pPr>
      <w:pStyle w:val="a3"/>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 xml:space="preserve">תפ (י-ם) 207/08 </w:t>
    </w:r>
    <w:r>
      <w:rPr>
        <w:rFonts w:ascii="David" w:hAnsi="David"/>
        <w:color w:val="000000"/>
        <w:sz w:val="22"/>
        <w:szCs w:val="22"/>
        <w:rtl/>
      </w:rPr>
      <w:tab/>
      <w:t xml:space="preserve"> מדינת ישראל נ' ליאור בלטי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EB9A5" w14:textId="77777777" w:rsidR="00924BD9" w:rsidRPr="005207C5" w:rsidRDefault="00924BD9" w:rsidP="005207C5">
    <w:pPr>
      <w:pStyle w:val="a3"/>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 xml:space="preserve">תפ (י-ם) 207/08 </w:t>
    </w:r>
    <w:r>
      <w:rPr>
        <w:rFonts w:ascii="David" w:hAnsi="David"/>
        <w:color w:val="000000"/>
        <w:sz w:val="22"/>
        <w:szCs w:val="22"/>
        <w:rtl/>
      </w:rPr>
      <w:tab/>
      <w:t xml:space="preserve"> מדינת ישראל נ' ליאור בלטי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doNotWrapTextWithPunct/>
    <w:doNotUseEastAsianBreak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ציטוט"/>
    <w:docVar w:name="MyInfo" w:val="This document was extracted from Nevo's site"/>
  </w:docVars>
  <w:rsids>
    <w:rsidRoot w:val="00BA5622"/>
    <w:rsid w:val="00112D9C"/>
    <w:rsid w:val="001607F7"/>
    <w:rsid w:val="0021003D"/>
    <w:rsid w:val="00315362"/>
    <w:rsid w:val="003525D4"/>
    <w:rsid w:val="004265E1"/>
    <w:rsid w:val="005207C5"/>
    <w:rsid w:val="005A5682"/>
    <w:rsid w:val="0069772E"/>
    <w:rsid w:val="007863DE"/>
    <w:rsid w:val="008117C7"/>
    <w:rsid w:val="008B170C"/>
    <w:rsid w:val="00924BD9"/>
    <w:rsid w:val="00974807"/>
    <w:rsid w:val="00BA5622"/>
    <w:rsid w:val="00CB1166"/>
    <w:rsid w:val="00DB1BC2"/>
    <w:rsid w:val="00DE0A14"/>
    <w:rsid w:val="00E0157B"/>
    <w:rsid w:val="00E351F7"/>
    <w:rsid w:val="00F13F5F"/>
    <w:rsid w:val="00F168A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292327A9"/>
  <w15:chartTrackingRefBased/>
  <w15:docId w15:val="{ACC07C03-8434-4ED4-8415-D17B862B0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spacing w:line="360" w:lineRule="auto"/>
      <w:jc w:val="both"/>
    </w:pPr>
    <w:rPr>
      <w:rFonts w:cs="David"/>
      <w:szCs w:val="28"/>
    </w:rPr>
  </w:style>
  <w:style w:type="paragraph" w:styleId="1">
    <w:name w:val="heading 1"/>
    <w:basedOn w:val="a"/>
    <w:next w:val="a"/>
    <w:qFormat/>
    <w:pPr>
      <w:keepNext/>
      <w:jc w:val="center"/>
      <w:outlineLvl w:val="0"/>
    </w:pPr>
    <w:rPr>
      <w:b/>
      <w:bCs/>
      <w:sz w:val="32"/>
      <w:szCs w:val="32"/>
      <w:u w:val="single"/>
    </w:rPr>
  </w:style>
  <w:style w:type="paragraph" w:styleId="2">
    <w:name w:val="heading 2"/>
    <w:basedOn w:val="a"/>
    <w:next w:val="a"/>
    <w:qFormat/>
    <w:pPr>
      <w:keepNext/>
      <w:snapToGrid w:val="0"/>
      <w:spacing w:before="240" w:after="60"/>
      <w:jc w:val="center"/>
      <w:outlineLvl w:val="1"/>
    </w:pPr>
    <w:rPr>
      <w:rFonts w:ascii="Arial"/>
      <w:b/>
      <w:bCs/>
      <w:sz w:val="24"/>
      <w:u w:val="single"/>
    </w:rPr>
  </w:style>
  <w:style w:type="paragraph" w:styleId="3">
    <w:name w:val="heading 3"/>
    <w:basedOn w:val="a"/>
    <w:next w:val="a"/>
    <w:qFormat/>
    <w:pPr>
      <w:keepNext/>
      <w:outlineLvl w:val="2"/>
    </w:pPr>
    <w:rPr>
      <w:b/>
      <w:bCs/>
    </w:rPr>
  </w:style>
  <w:style w:type="paragraph" w:styleId="4">
    <w:name w:val="heading 4"/>
    <w:basedOn w:val="a"/>
    <w:next w:val="a"/>
    <w:qFormat/>
    <w:pPr>
      <w:keepNext/>
      <w:spacing w:line="240" w:lineRule="auto"/>
      <w:outlineLvl w:val="3"/>
    </w:pPr>
    <w:rPr>
      <w:b/>
      <w:bCs/>
      <w:u w:val="single"/>
    </w:rPr>
  </w:style>
  <w:style w:type="paragraph" w:styleId="5">
    <w:name w:val="heading 5"/>
    <w:basedOn w:val="a"/>
    <w:next w:val="a"/>
    <w:qFormat/>
    <w:pPr>
      <w:keepNext/>
      <w:outlineLvl w:val="4"/>
    </w:pPr>
    <w:rPr>
      <w:b/>
      <w:bCs/>
      <w:sz w:val="28"/>
      <w:u w:val="single"/>
    </w:rPr>
  </w:style>
  <w:style w:type="paragraph" w:styleId="6">
    <w:name w:val="heading 6"/>
    <w:basedOn w:val="a"/>
    <w:next w:val="a"/>
    <w:qFormat/>
    <w:pPr>
      <w:keepNext/>
      <w:ind w:left="720" w:hanging="720"/>
      <w:outlineLvl w:val="5"/>
    </w:pPr>
    <w:rPr>
      <w:b/>
      <w:bCs/>
      <w:u w:val="single"/>
    </w:rPr>
  </w:style>
  <w:style w:type="paragraph" w:styleId="7">
    <w:name w:val="heading 7"/>
    <w:basedOn w:val="a"/>
    <w:next w:val="a"/>
    <w:qFormat/>
    <w:pPr>
      <w:keepNext/>
      <w:ind w:left="720" w:hanging="720"/>
      <w:outlineLvl w:val="6"/>
    </w:pPr>
    <w:rPr>
      <w:b/>
      <w:bCs/>
      <w:u w:val="single"/>
    </w:rPr>
  </w:style>
  <w:style w:type="paragraph" w:styleId="8">
    <w:name w:val="heading 8"/>
    <w:basedOn w:val="a"/>
    <w:next w:val="a"/>
    <w:qFormat/>
    <w:pPr>
      <w:keepNext/>
      <w:ind w:left="720" w:hanging="720"/>
      <w:outlineLvl w:val="7"/>
    </w:pPr>
    <w:rPr>
      <w:b/>
      <w:bCs/>
      <w:u w:val="single"/>
    </w:rPr>
  </w:style>
  <w:style w:type="paragraph" w:styleId="9">
    <w:name w:val="heading 9"/>
    <w:basedOn w:val="a"/>
    <w:next w:val="a"/>
    <w:qFormat/>
    <w:pPr>
      <w:keepNext/>
      <w:ind w:left="720" w:hanging="720"/>
      <w:outlineLvl w:val="8"/>
    </w:pPr>
    <w:rPr>
      <w:b/>
      <w:bCs/>
      <w:u w:val="single"/>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snapToGrid w:val="0"/>
    </w:pPr>
    <w:rPr>
      <w:szCs w:val="24"/>
    </w:rPr>
  </w:style>
  <w:style w:type="paragraph" w:styleId="a4">
    <w:name w:val="footer"/>
    <w:basedOn w:val="a"/>
    <w:pPr>
      <w:tabs>
        <w:tab w:val="center" w:pos="4153"/>
        <w:tab w:val="right" w:pos="8306"/>
      </w:tabs>
      <w:snapToGrid w:val="0"/>
    </w:pPr>
    <w:rPr>
      <w:sz w:val="22"/>
      <w:szCs w:val="24"/>
    </w:rPr>
  </w:style>
  <w:style w:type="paragraph" w:styleId="a5">
    <w:name w:val="caption"/>
    <w:basedOn w:val="a"/>
    <w:next w:val="a"/>
    <w:qFormat/>
    <w:pPr>
      <w:jc w:val="center"/>
    </w:pPr>
    <w:rPr>
      <w:b/>
      <w:bCs/>
      <w:sz w:val="38"/>
      <w:szCs w:val="36"/>
    </w:rPr>
  </w:style>
  <w:style w:type="paragraph" w:customStyle="1" w:styleId="10">
    <w:name w:val="רגיל1"/>
    <w:pPr>
      <w:bidi/>
      <w:snapToGrid w:val="0"/>
    </w:pPr>
    <w:rPr>
      <w:rFonts w:cs="David"/>
      <w:szCs w:val="24"/>
    </w:rPr>
  </w:style>
  <w:style w:type="paragraph" w:customStyle="1" w:styleId="a6">
    <w:name w:val="שמות"/>
    <w:basedOn w:val="a"/>
    <w:pPr>
      <w:suppressLineNumbers/>
      <w:snapToGrid w:val="0"/>
    </w:pPr>
    <w:rPr>
      <w:b/>
      <w:bCs/>
      <w:sz w:val="22"/>
      <w:szCs w:val="24"/>
    </w:rPr>
  </w:style>
  <w:style w:type="paragraph" w:customStyle="1" w:styleId="a7">
    <w:name w:val="צטוט"/>
    <w:basedOn w:val="a"/>
    <w:pPr>
      <w:spacing w:after="120"/>
      <w:ind w:left="1418" w:right="1418"/>
    </w:pPr>
    <w:rPr>
      <w:bCs/>
    </w:rPr>
  </w:style>
  <w:style w:type="paragraph" w:customStyle="1" w:styleId="11">
    <w:name w:val="חתימה1"/>
    <w:basedOn w:val="2"/>
    <w:pPr>
      <w:suppressLineNumbers/>
    </w:pPr>
    <w:rPr>
      <w:rFonts w:hAnsi="Arial"/>
      <w:bCs w:val="0"/>
      <w:szCs w:val="24"/>
    </w:rPr>
  </w:style>
  <w:style w:type="paragraph" w:customStyle="1" w:styleId="a8">
    <w:name w:val="החלטה"/>
    <w:basedOn w:val="10"/>
    <w:pPr>
      <w:suppressLineNumbers/>
    </w:pPr>
    <w:rPr>
      <w:bCs/>
    </w:rPr>
  </w:style>
  <w:style w:type="paragraph" w:customStyle="1" w:styleId="a9">
    <w:name w:val="חקירה"/>
    <w:basedOn w:val="10"/>
    <w:pPr>
      <w:suppressLineNumbers/>
    </w:pPr>
  </w:style>
  <w:style w:type="character" w:styleId="aa">
    <w:name w:val="page number"/>
    <w:rPr>
      <w:rFonts w:cs="David"/>
    </w:rPr>
  </w:style>
  <w:style w:type="character" w:styleId="Hyperlink">
    <w:name w:val="Hyperlink"/>
    <w:rsid w:val="002100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 TargetMode="External"/><Relationship Id="rId13" Type="http://schemas.openxmlformats.org/officeDocument/2006/relationships/hyperlink" Target="http://www.nevo.co.il/law/74874/6" TargetMode="External"/><Relationship Id="rId18" Type="http://schemas.openxmlformats.org/officeDocument/2006/relationships/hyperlink" Target="http://www.nevo.co.il/law/4216/7.c" TargetMode="External"/><Relationship Id="rId26" Type="http://schemas.openxmlformats.org/officeDocument/2006/relationships/hyperlink" Target="http://www.nevo.co.il/case/20012910" TargetMode="External"/><Relationship Id="rId3" Type="http://schemas.openxmlformats.org/officeDocument/2006/relationships/webSettings" Target="webSettings.xml"/><Relationship Id="rId21" Type="http://schemas.openxmlformats.org/officeDocument/2006/relationships/hyperlink" Target="http://www.nevo.co.il/case/17929065" TargetMode="External"/><Relationship Id="rId7" Type="http://schemas.openxmlformats.org/officeDocument/2006/relationships/hyperlink" Target="http://www.nevo.co.il/law/74874/6" TargetMode="External"/><Relationship Id="rId12" Type="http://schemas.openxmlformats.org/officeDocument/2006/relationships/hyperlink" Target="http://www.nevo.co.il/law/4216/7.c" TargetMode="External"/><Relationship Id="rId17" Type="http://schemas.openxmlformats.org/officeDocument/2006/relationships/hyperlink" Target="http://www.nevo.co.il/law/70301/7.a" TargetMode="External"/><Relationship Id="rId25" Type="http://schemas.openxmlformats.org/officeDocument/2006/relationships/hyperlink" Target="http://www.nevo.co.il/case/5887664" TargetMode="Externa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yperlink" Target="http://www.nevo.co.il/case/6078308" TargetMode="External"/><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74874" TargetMode="External"/><Relationship Id="rId11" Type="http://schemas.openxmlformats.org/officeDocument/2006/relationships/hyperlink" Target="http://www.nevo.co.il/law/4216" TargetMode="External"/><Relationship Id="rId24" Type="http://schemas.openxmlformats.org/officeDocument/2006/relationships/hyperlink" Target="http://www.nevo.co.il/case/491626" TargetMode="External"/><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70301/144.b" TargetMode="External"/><Relationship Id="rId23" Type="http://schemas.openxmlformats.org/officeDocument/2006/relationships/hyperlink" Target="http://www.nevo.co.il/case/492472" TargetMode="External"/><Relationship Id="rId28" Type="http://schemas.openxmlformats.org/officeDocument/2006/relationships/header" Target="header2.xml"/><Relationship Id="rId10" Type="http://schemas.openxmlformats.org/officeDocument/2006/relationships/hyperlink" Target="http://www.nevo.co.il/law/70301/144.b" TargetMode="External"/><Relationship Id="rId19" Type="http://schemas.openxmlformats.org/officeDocument/2006/relationships/hyperlink" Target="http://www.nevo.co.il/law/4216" TargetMode="External"/><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70301/7.a" TargetMode="External"/><Relationship Id="rId14" Type="http://schemas.openxmlformats.org/officeDocument/2006/relationships/hyperlink" Target="http://www.nevo.co.il/law/74874" TargetMode="External"/><Relationship Id="rId22" Type="http://schemas.openxmlformats.org/officeDocument/2006/relationships/hyperlink" Target="http://www.nevo.co.il/case/20450175" TargetMode="External"/><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2694</Words>
  <Characters>13475</Characters>
  <Application>Microsoft Office Word</Application>
  <DocSecurity>0</DocSecurity>
  <Lines>112</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16137</CharactersWithSpaces>
  <SharedDoc>false</SharedDoc>
  <HLinks>
    <vt:vector size="126" baseType="variant">
      <vt:variant>
        <vt:i4>3211388</vt:i4>
      </vt:variant>
      <vt:variant>
        <vt:i4>60</vt:i4>
      </vt:variant>
      <vt:variant>
        <vt:i4>0</vt:i4>
      </vt:variant>
      <vt:variant>
        <vt:i4>5</vt:i4>
      </vt:variant>
      <vt:variant>
        <vt:lpwstr>http://www.nevo.co.il/case/20012910</vt:lpwstr>
      </vt:variant>
      <vt:variant>
        <vt:lpwstr/>
      </vt:variant>
      <vt:variant>
        <vt:i4>4128893</vt:i4>
      </vt:variant>
      <vt:variant>
        <vt:i4>57</vt:i4>
      </vt:variant>
      <vt:variant>
        <vt:i4>0</vt:i4>
      </vt:variant>
      <vt:variant>
        <vt:i4>5</vt:i4>
      </vt:variant>
      <vt:variant>
        <vt:lpwstr>http://www.nevo.co.il/case/5887664</vt:lpwstr>
      </vt:variant>
      <vt:variant>
        <vt:lpwstr/>
      </vt:variant>
      <vt:variant>
        <vt:i4>458827</vt:i4>
      </vt:variant>
      <vt:variant>
        <vt:i4>54</vt:i4>
      </vt:variant>
      <vt:variant>
        <vt:i4>0</vt:i4>
      </vt:variant>
      <vt:variant>
        <vt:i4>5</vt:i4>
      </vt:variant>
      <vt:variant>
        <vt:lpwstr>http://www.nevo.co.il/case/491626</vt:lpwstr>
      </vt:variant>
      <vt:variant>
        <vt:lpwstr/>
      </vt:variant>
      <vt:variant>
        <vt:i4>65609</vt:i4>
      </vt:variant>
      <vt:variant>
        <vt:i4>51</vt:i4>
      </vt:variant>
      <vt:variant>
        <vt:i4>0</vt:i4>
      </vt:variant>
      <vt:variant>
        <vt:i4>5</vt:i4>
      </vt:variant>
      <vt:variant>
        <vt:lpwstr>http://www.nevo.co.il/case/492472</vt:lpwstr>
      </vt:variant>
      <vt:variant>
        <vt:lpwstr/>
      </vt:variant>
      <vt:variant>
        <vt:i4>3211376</vt:i4>
      </vt:variant>
      <vt:variant>
        <vt:i4>48</vt:i4>
      </vt:variant>
      <vt:variant>
        <vt:i4>0</vt:i4>
      </vt:variant>
      <vt:variant>
        <vt:i4>5</vt:i4>
      </vt:variant>
      <vt:variant>
        <vt:lpwstr>http://www.nevo.co.il/case/20450175</vt:lpwstr>
      </vt:variant>
      <vt:variant>
        <vt:lpwstr/>
      </vt:variant>
      <vt:variant>
        <vt:i4>3604593</vt:i4>
      </vt:variant>
      <vt:variant>
        <vt:i4>45</vt:i4>
      </vt:variant>
      <vt:variant>
        <vt:i4>0</vt:i4>
      </vt:variant>
      <vt:variant>
        <vt:i4>5</vt:i4>
      </vt:variant>
      <vt:variant>
        <vt:lpwstr>http://www.nevo.co.il/case/17929065</vt:lpwstr>
      </vt:variant>
      <vt:variant>
        <vt:lpwstr/>
      </vt:variant>
      <vt:variant>
        <vt:i4>3801212</vt:i4>
      </vt:variant>
      <vt:variant>
        <vt:i4>42</vt:i4>
      </vt:variant>
      <vt:variant>
        <vt:i4>0</vt:i4>
      </vt:variant>
      <vt:variant>
        <vt:i4>5</vt:i4>
      </vt:variant>
      <vt:variant>
        <vt:lpwstr>http://www.nevo.co.il/case/6078308</vt:lpwstr>
      </vt:variant>
      <vt:variant>
        <vt:lpwstr/>
      </vt:variant>
      <vt:variant>
        <vt:i4>8257637</vt:i4>
      </vt:variant>
      <vt:variant>
        <vt:i4>39</vt:i4>
      </vt:variant>
      <vt:variant>
        <vt:i4>0</vt:i4>
      </vt:variant>
      <vt:variant>
        <vt:i4>5</vt:i4>
      </vt:variant>
      <vt:variant>
        <vt:lpwstr>http://www.nevo.co.il/law/4216</vt:lpwstr>
      </vt:variant>
      <vt:variant>
        <vt:lpwstr/>
      </vt:variant>
      <vt:variant>
        <vt:i4>2752612</vt:i4>
      </vt:variant>
      <vt:variant>
        <vt:i4>36</vt:i4>
      </vt:variant>
      <vt:variant>
        <vt:i4>0</vt:i4>
      </vt:variant>
      <vt:variant>
        <vt:i4>5</vt:i4>
      </vt:variant>
      <vt:variant>
        <vt:lpwstr>http://www.nevo.co.il/law/4216/7.c</vt:lpwstr>
      </vt:variant>
      <vt:variant>
        <vt:lpwstr/>
      </vt:variant>
      <vt:variant>
        <vt:i4>8061026</vt:i4>
      </vt:variant>
      <vt:variant>
        <vt:i4>33</vt:i4>
      </vt:variant>
      <vt:variant>
        <vt:i4>0</vt:i4>
      </vt:variant>
      <vt:variant>
        <vt:i4>5</vt:i4>
      </vt:variant>
      <vt:variant>
        <vt:lpwstr>http://www.nevo.co.il/law/70301/7.a</vt:lpwstr>
      </vt:variant>
      <vt:variant>
        <vt:lpwstr/>
      </vt:variant>
      <vt:variant>
        <vt:i4>7995492</vt:i4>
      </vt:variant>
      <vt:variant>
        <vt:i4>30</vt:i4>
      </vt:variant>
      <vt:variant>
        <vt:i4>0</vt:i4>
      </vt:variant>
      <vt:variant>
        <vt:i4>5</vt:i4>
      </vt:variant>
      <vt:variant>
        <vt:lpwstr>http://www.nevo.co.il/law/70301</vt:lpwstr>
      </vt:variant>
      <vt:variant>
        <vt:lpwstr/>
      </vt:variant>
      <vt:variant>
        <vt:i4>5177424</vt:i4>
      </vt:variant>
      <vt:variant>
        <vt:i4>27</vt:i4>
      </vt:variant>
      <vt:variant>
        <vt:i4>0</vt:i4>
      </vt:variant>
      <vt:variant>
        <vt:i4>5</vt:i4>
      </vt:variant>
      <vt:variant>
        <vt:lpwstr>http://www.nevo.co.il/law/70301/144.b</vt:lpwstr>
      </vt:variant>
      <vt:variant>
        <vt:lpwstr/>
      </vt:variant>
      <vt:variant>
        <vt:i4>7929967</vt:i4>
      </vt:variant>
      <vt:variant>
        <vt:i4>24</vt:i4>
      </vt:variant>
      <vt:variant>
        <vt:i4>0</vt:i4>
      </vt:variant>
      <vt:variant>
        <vt:i4>5</vt:i4>
      </vt:variant>
      <vt:variant>
        <vt:lpwstr>http://www.nevo.co.il/law/74874</vt:lpwstr>
      </vt:variant>
      <vt:variant>
        <vt:lpwstr/>
      </vt:variant>
      <vt:variant>
        <vt:i4>5636187</vt:i4>
      </vt:variant>
      <vt:variant>
        <vt:i4>21</vt:i4>
      </vt:variant>
      <vt:variant>
        <vt:i4>0</vt:i4>
      </vt:variant>
      <vt:variant>
        <vt:i4>5</vt:i4>
      </vt:variant>
      <vt:variant>
        <vt:lpwstr>http://www.nevo.co.il/law/74874/6</vt:lpwstr>
      </vt:variant>
      <vt:variant>
        <vt:lpwstr/>
      </vt:variant>
      <vt:variant>
        <vt:i4>2752612</vt:i4>
      </vt:variant>
      <vt:variant>
        <vt:i4>18</vt:i4>
      </vt:variant>
      <vt:variant>
        <vt:i4>0</vt:i4>
      </vt:variant>
      <vt:variant>
        <vt:i4>5</vt:i4>
      </vt:variant>
      <vt:variant>
        <vt:lpwstr>http://www.nevo.co.il/law/4216/7.c</vt:lpwstr>
      </vt:variant>
      <vt:variant>
        <vt:lpwstr/>
      </vt:variant>
      <vt:variant>
        <vt:i4>8257637</vt:i4>
      </vt:variant>
      <vt:variant>
        <vt:i4>15</vt:i4>
      </vt:variant>
      <vt:variant>
        <vt:i4>0</vt:i4>
      </vt:variant>
      <vt:variant>
        <vt:i4>5</vt:i4>
      </vt:variant>
      <vt:variant>
        <vt:lpwstr>http://www.nevo.co.il/law/4216</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8061026</vt:i4>
      </vt:variant>
      <vt:variant>
        <vt:i4>9</vt:i4>
      </vt:variant>
      <vt:variant>
        <vt:i4>0</vt:i4>
      </vt:variant>
      <vt:variant>
        <vt:i4>5</vt:i4>
      </vt:variant>
      <vt:variant>
        <vt:lpwstr>http://www.nevo.co.il/law/70301/7.a</vt:lpwstr>
      </vt:variant>
      <vt:variant>
        <vt:lpwstr/>
      </vt:variant>
      <vt:variant>
        <vt:i4>7995492</vt:i4>
      </vt:variant>
      <vt:variant>
        <vt:i4>6</vt:i4>
      </vt:variant>
      <vt:variant>
        <vt:i4>0</vt:i4>
      </vt:variant>
      <vt:variant>
        <vt:i4>5</vt:i4>
      </vt:variant>
      <vt:variant>
        <vt:lpwstr>http://www.nevo.co.il/law/70301</vt:lpwstr>
      </vt:variant>
      <vt:variant>
        <vt:lpwstr/>
      </vt:variant>
      <vt:variant>
        <vt:i4>5636187</vt:i4>
      </vt:variant>
      <vt:variant>
        <vt:i4>3</vt:i4>
      </vt:variant>
      <vt:variant>
        <vt:i4>0</vt:i4>
      </vt:variant>
      <vt:variant>
        <vt:i4>5</vt:i4>
      </vt:variant>
      <vt:variant>
        <vt:lpwstr>http://www.nevo.co.il/law/74874/6</vt:lpwstr>
      </vt:variant>
      <vt:variant>
        <vt:lpwstr/>
      </vt:variant>
      <vt:variant>
        <vt:i4>7929967</vt:i4>
      </vt:variant>
      <vt:variant>
        <vt:i4>0</vt:i4>
      </vt:variant>
      <vt:variant>
        <vt:i4>0</vt:i4>
      </vt:variant>
      <vt:variant>
        <vt:i4>5</vt:i4>
      </vt:variant>
      <vt:variant>
        <vt:lpwstr>http://www.nevo.co.il/law/74874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ליאור קובי</cp:lastModifiedBy>
  <cp:revision>2</cp:revision>
  <cp:lastPrinted>2008-11-02T11:19:00Z</cp:lastPrinted>
  <dcterms:created xsi:type="dcterms:W3CDTF">2024-01-07T12:09:00Z</dcterms:created>
  <dcterms:modified xsi:type="dcterms:W3CDTF">2024-01-07T12:09:00Z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PROCESS">
    <vt:lpwstr>תפ</vt:lpwstr>
  </property>
  <property fmtid="{D5CDD505-2E9C-101B-9397-08002B2CF9AE}" pid="5" name="PROCNUM">
    <vt:lpwstr>207</vt:lpwstr>
  </property>
  <property fmtid="{D5CDD505-2E9C-101B-9397-08002B2CF9AE}" pid="6" name="PROCYEAR">
    <vt:lpwstr>08</vt:lpwstr>
  </property>
  <property fmtid="{D5CDD505-2E9C-101B-9397-08002B2CF9AE}" pid="7" name="APPELLANT">
    <vt:lpwstr>מדינת ישראל</vt:lpwstr>
  </property>
  <property fmtid="{D5CDD505-2E9C-101B-9397-08002B2CF9AE}" pid="8" name="APPELLEE">
    <vt:lpwstr>ליאור בלטי</vt:lpwstr>
  </property>
  <property fmtid="{D5CDD505-2E9C-101B-9397-08002B2CF9AE}" pid="9" name="LAWYER">
    <vt:lpwstr>יעל רוזנמן;טליה רם</vt:lpwstr>
  </property>
  <property fmtid="{D5CDD505-2E9C-101B-9397-08002B2CF9AE}" pid="10" name="JUDGE">
    <vt:lpwstr>משה דרורי</vt:lpwstr>
  </property>
  <property fmtid="{D5CDD505-2E9C-101B-9397-08002B2CF9AE}" pid="11" name="CITY">
    <vt:lpwstr>י-ם</vt:lpwstr>
  </property>
  <property fmtid="{D5CDD505-2E9C-101B-9397-08002B2CF9AE}" pid="12" name="DATE">
    <vt:lpwstr>20081102</vt:lpwstr>
  </property>
  <property fmtid="{D5CDD505-2E9C-101B-9397-08002B2CF9AE}" pid="13" name="TYPE_N_DATE">
    <vt:lpwstr>39020081102</vt:lpwstr>
  </property>
  <property fmtid="{D5CDD505-2E9C-101B-9397-08002B2CF9AE}" pid="14" name="WORDNUMPAGES">
    <vt:lpwstr>11</vt:lpwstr>
  </property>
  <property fmtid="{D5CDD505-2E9C-101B-9397-08002B2CF9AE}" pid="15" name="TYPE_ABS_DATE">
    <vt:lpwstr>390120081102</vt:lpwstr>
  </property>
  <property fmtid="{D5CDD505-2E9C-101B-9397-08002B2CF9AE}" pid="16" name="ISABSTRACT">
    <vt:lpwstr>Y</vt:lpwstr>
  </property>
  <property fmtid="{D5CDD505-2E9C-101B-9397-08002B2CF9AE}" pid="17" name="VOLUME">
    <vt:lpwstr/>
  </property>
  <property fmtid="{D5CDD505-2E9C-101B-9397-08002B2CF9AE}" pid="18" name="PART">
    <vt:lpwstr/>
  </property>
  <property fmtid="{D5CDD505-2E9C-101B-9397-08002B2CF9AE}" pid="19" name="PAGE">
    <vt:lpwstr/>
  </property>
  <property fmtid="{D5CDD505-2E9C-101B-9397-08002B2CF9AE}" pid="20" name="PADIMAIL">
    <vt:lpwstr>YES</vt:lpwstr>
  </property>
  <property fmtid="{D5CDD505-2E9C-101B-9397-08002B2CF9AE}" pid="21" name="DELEMATA">
    <vt:lpwstr/>
  </property>
  <property fmtid="{D5CDD505-2E9C-101B-9397-08002B2CF9AE}" pid="22" name="LINKK1">
    <vt:lpwstr/>
  </property>
  <property fmtid="{D5CDD505-2E9C-101B-9397-08002B2CF9AE}" pid="23" name="LINKK2">
    <vt:lpwstr/>
  </property>
  <property fmtid="{D5CDD505-2E9C-101B-9397-08002B2CF9AE}" pid="24" name="LINKK3">
    <vt:lpwstr/>
  </property>
  <property fmtid="{D5CDD505-2E9C-101B-9397-08002B2CF9AE}" pid="25" name="LINKK4">
    <vt:lpwstr/>
  </property>
  <property fmtid="{D5CDD505-2E9C-101B-9397-08002B2CF9AE}" pid="26" name="LINKK5">
    <vt:lpwstr/>
  </property>
  <property fmtid="{D5CDD505-2E9C-101B-9397-08002B2CF9AE}" pid="27" name="LINKK6">
    <vt:lpwstr/>
  </property>
  <property fmtid="{D5CDD505-2E9C-101B-9397-08002B2CF9AE}" pid="28" name="LINKK7">
    <vt:lpwstr/>
  </property>
  <property fmtid="{D5CDD505-2E9C-101B-9397-08002B2CF9AE}" pid="29" name="LINKK8">
    <vt:lpwstr/>
  </property>
  <property fmtid="{D5CDD505-2E9C-101B-9397-08002B2CF9AE}" pid="30" name="LINKK9">
    <vt:lpwstr/>
  </property>
  <property fmtid="{D5CDD505-2E9C-101B-9397-08002B2CF9AE}" pid="31" name="LINKK10">
    <vt:lpwstr/>
  </property>
  <property fmtid="{D5CDD505-2E9C-101B-9397-08002B2CF9AE}" pid="32" name="LINKK11">
    <vt:lpwstr/>
  </property>
  <property fmtid="{D5CDD505-2E9C-101B-9397-08002B2CF9AE}" pid="33" name="LINKK12">
    <vt:lpwstr/>
  </property>
  <property fmtid="{D5CDD505-2E9C-101B-9397-08002B2CF9AE}" pid="34" name="NEWPROC">
    <vt:lpwstr/>
  </property>
  <property fmtid="{D5CDD505-2E9C-101B-9397-08002B2CF9AE}" pid="35" name="NEWPARTA">
    <vt:lpwstr/>
  </property>
  <property fmtid="{D5CDD505-2E9C-101B-9397-08002B2CF9AE}" pid="36" name="NEWPARTB">
    <vt:lpwstr/>
  </property>
  <property fmtid="{D5CDD505-2E9C-101B-9397-08002B2CF9AE}" pid="37" name="NEWPARTC">
    <vt:lpwstr/>
  </property>
  <property fmtid="{D5CDD505-2E9C-101B-9397-08002B2CF9AE}" pid="38" name="METAKZER">
    <vt:lpwstr>קרן</vt:lpwstr>
  </property>
  <property fmtid="{D5CDD505-2E9C-101B-9397-08002B2CF9AE}" pid="39" name="NOSE11">
    <vt:lpwstr>עונשין</vt:lpwstr>
  </property>
  <property fmtid="{D5CDD505-2E9C-101B-9397-08002B2CF9AE}" pid="40" name="NOSE21">
    <vt:lpwstr>עבירות</vt:lpwstr>
  </property>
  <property fmtid="{D5CDD505-2E9C-101B-9397-08002B2CF9AE}" pid="41" name="NOSE31">
    <vt:lpwstr>החזקת נשק שלא כדין</vt:lpwstr>
  </property>
  <property fmtid="{D5CDD505-2E9C-101B-9397-08002B2CF9AE}" pid="42" name="NOSE12">
    <vt:lpwstr>עונשין</vt:lpwstr>
  </property>
  <property fmtid="{D5CDD505-2E9C-101B-9397-08002B2CF9AE}" pid="43" name="NOSE22">
    <vt:lpwstr>ענישה</vt:lpwstr>
  </property>
  <property fmtid="{D5CDD505-2E9C-101B-9397-08002B2CF9AE}" pid="44" name="NOSE32">
    <vt:lpwstr>מדיניות ענישה: שיקולים</vt:lpwstr>
  </property>
  <property fmtid="{D5CDD505-2E9C-101B-9397-08002B2CF9AE}" pid="45" name="NOSE13">
    <vt:lpwstr/>
  </property>
  <property fmtid="{D5CDD505-2E9C-101B-9397-08002B2CF9AE}" pid="46" name="NOSE23">
    <vt:lpwstr/>
  </property>
  <property fmtid="{D5CDD505-2E9C-101B-9397-08002B2CF9AE}" pid="47" name="NOSE33">
    <vt:lpwstr/>
  </property>
  <property fmtid="{D5CDD505-2E9C-101B-9397-08002B2CF9AE}" pid="48" name="NOSE14">
    <vt:lpwstr/>
  </property>
  <property fmtid="{D5CDD505-2E9C-101B-9397-08002B2CF9AE}" pid="49" name="NOSE24">
    <vt:lpwstr/>
  </property>
  <property fmtid="{D5CDD505-2E9C-101B-9397-08002B2CF9AE}" pid="50" name="NOSE34">
    <vt:lpwstr/>
  </property>
  <property fmtid="{D5CDD505-2E9C-101B-9397-08002B2CF9AE}" pid="51" name="NOSE15">
    <vt:lpwstr/>
  </property>
  <property fmtid="{D5CDD505-2E9C-101B-9397-08002B2CF9AE}" pid="52" name="NOSE25">
    <vt:lpwstr/>
  </property>
  <property fmtid="{D5CDD505-2E9C-101B-9397-08002B2CF9AE}" pid="53" name="NOSE35">
    <vt:lpwstr/>
  </property>
  <property fmtid="{D5CDD505-2E9C-101B-9397-08002B2CF9AE}" pid="54" name="NOSE16">
    <vt:lpwstr/>
  </property>
  <property fmtid="{D5CDD505-2E9C-101B-9397-08002B2CF9AE}" pid="55" name="NOSE26">
    <vt:lpwstr/>
  </property>
  <property fmtid="{D5CDD505-2E9C-101B-9397-08002B2CF9AE}" pid="56" name="NOSE36">
    <vt:lpwstr/>
  </property>
  <property fmtid="{D5CDD505-2E9C-101B-9397-08002B2CF9AE}" pid="57" name="NOSE17">
    <vt:lpwstr/>
  </property>
  <property fmtid="{D5CDD505-2E9C-101B-9397-08002B2CF9AE}" pid="58" name="NOSE27">
    <vt:lpwstr/>
  </property>
  <property fmtid="{D5CDD505-2E9C-101B-9397-08002B2CF9AE}" pid="59" name="NOSE37">
    <vt:lpwstr/>
  </property>
  <property fmtid="{D5CDD505-2E9C-101B-9397-08002B2CF9AE}" pid="60" name="NOSE18">
    <vt:lpwstr/>
  </property>
  <property fmtid="{D5CDD505-2E9C-101B-9397-08002B2CF9AE}" pid="61" name="NOSE28">
    <vt:lpwstr/>
  </property>
  <property fmtid="{D5CDD505-2E9C-101B-9397-08002B2CF9AE}" pid="62" name="NOSE38">
    <vt:lpwstr/>
  </property>
  <property fmtid="{D5CDD505-2E9C-101B-9397-08002B2CF9AE}" pid="63" name="NOSE19">
    <vt:lpwstr/>
  </property>
  <property fmtid="{D5CDD505-2E9C-101B-9397-08002B2CF9AE}" pid="64" name="NOSE29">
    <vt:lpwstr/>
  </property>
  <property fmtid="{D5CDD505-2E9C-101B-9397-08002B2CF9AE}" pid="65" name="NOSE39">
    <vt:lpwstr/>
  </property>
  <property fmtid="{D5CDD505-2E9C-101B-9397-08002B2CF9AE}" pid="66" name="NOSE110">
    <vt:lpwstr/>
  </property>
  <property fmtid="{D5CDD505-2E9C-101B-9397-08002B2CF9AE}" pid="67" name="NOSE210">
    <vt:lpwstr/>
  </property>
  <property fmtid="{D5CDD505-2E9C-101B-9397-08002B2CF9AE}" pid="68" name="NOSE310">
    <vt:lpwstr/>
  </property>
  <property fmtid="{D5CDD505-2E9C-101B-9397-08002B2CF9AE}" pid="69" name="CASESLISTTMP1">
    <vt:lpwstr>6078308;17929065;20450175;492472;491626;5887664;20012910</vt:lpwstr>
  </property>
  <property fmtid="{D5CDD505-2E9C-101B-9397-08002B2CF9AE}" pid="70" name="LAWLISTTMP1">
    <vt:lpwstr>74874/006</vt:lpwstr>
  </property>
  <property fmtid="{D5CDD505-2E9C-101B-9397-08002B2CF9AE}" pid="71" name="LAWLISTTMP2">
    <vt:lpwstr>70301/144.b;007.a</vt:lpwstr>
  </property>
  <property fmtid="{D5CDD505-2E9C-101B-9397-08002B2CF9AE}" pid="72" name="LAWLISTTMP3">
    <vt:lpwstr>4216/007.c</vt:lpwstr>
  </property>
</Properties>
</file>