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4F207" w14:textId="77777777" w:rsidR="003236FA" w:rsidRPr="00320F37" w:rsidRDefault="003236FA">
      <w:pPr>
        <w:jc w:val="center"/>
        <w:rPr>
          <w:sz w:val="24"/>
        </w:rPr>
      </w:pPr>
      <w:bookmarkStart w:id="0" w:name="LastJudge"/>
      <w:r w:rsidRPr="00320F37">
        <w:rPr>
          <w:rFonts w:hint="cs"/>
          <w:b/>
          <w:bCs/>
          <w:sz w:val="24"/>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394"/>
        <w:gridCol w:w="992"/>
        <w:gridCol w:w="2235"/>
      </w:tblGrid>
      <w:tr w:rsidR="003236FA" w:rsidRPr="00320F37" w14:paraId="7E862917" w14:textId="77777777">
        <w:trPr>
          <w:trHeight w:val="195"/>
        </w:trPr>
        <w:tc>
          <w:tcPr>
            <w:tcW w:w="5302" w:type="dxa"/>
            <w:gridSpan w:val="2"/>
            <w:vMerge w:val="restart"/>
            <w:tcBorders>
              <w:top w:val="single" w:sz="4" w:space="0" w:color="auto"/>
              <w:left w:val="single" w:sz="4" w:space="0" w:color="auto"/>
              <w:bottom w:val="single" w:sz="4" w:space="0" w:color="auto"/>
              <w:right w:val="single" w:sz="4" w:space="0" w:color="auto"/>
            </w:tcBorders>
          </w:tcPr>
          <w:p w14:paraId="28A5C48C" w14:textId="77777777" w:rsidR="003236FA" w:rsidRPr="00320F37" w:rsidRDefault="003236FA">
            <w:pPr>
              <w:rPr>
                <w:b/>
                <w:bCs/>
                <w:sz w:val="24"/>
              </w:rPr>
            </w:pPr>
            <w:r w:rsidRPr="00320F37">
              <w:rPr>
                <w:rFonts w:hint="cs"/>
                <w:b/>
                <w:bCs/>
                <w:sz w:val="24"/>
                <w:rtl/>
              </w:rPr>
              <w:t>בית משפט מחוזי תל אביב-יפו</w:t>
            </w:r>
          </w:p>
        </w:tc>
        <w:tc>
          <w:tcPr>
            <w:tcW w:w="3227" w:type="dxa"/>
            <w:gridSpan w:val="2"/>
            <w:tcBorders>
              <w:top w:val="single" w:sz="4" w:space="0" w:color="auto"/>
              <w:left w:val="single" w:sz="4" w:space="0" w:color="auto"/>
              <w:bottom w:val="single" w:sz="4" w:space="0" w:color="auto"/>
              <w:right w:val="single" w:sz="4" w:space="0" w:color="auto"/>
            </w:tcBorders>
          </w:tcPr>
          <w:p w14:paraId="7A71E5B4" w14:textId="77777777" w:rsidR="003236FA" w:rsidRPr="00320F37" w:rsidRDefault="003236FA">
            <w:pPr>
              <w:rPr>
                <w:b/>
                <w:bCs/>
                <w:sz w:val="24"/>
              </w:rPr>
            </w:pPr>
            <w:r w:rsidRPr="00320F37">
              <w:rPr>
                <w:rFonts w:hint="cs"/>
                <w:b/>
                <w:bCs/>
                <w:sz w:val="24"/>
                <w:rtl/>
              </w:rPr>
              <w:t>פ  050014/08</w:t>
            </w:r>
          </w:p>
        </w:tc>
      </w:tr>
      <w:tr w:rsidR="003236FA" w:rsidRPr="00320F37" w14:paraId="07ADD65B" w14:textId="77777777">
        <w:trPr>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BE35D8C" w14:textId="77777777" w:rsidR="003236FA" w:rsidRPr="00320F37" w:rsidRDefault="003236FA">
            <w:pPr>
              <w:bidi w:val="0"/>
              <w:spacing w:line="240" w:lineRule="auto"/>
              <w:jc w:val="left"/>
              <w:rPr>
                <w:b/>
                <w:bCs/>
                <w:sz w:val="24"/>
              </w:rPr>
            </w:pPr>
          </w:p>
        </w:tc>
        <w:tc>
          <w:tcPr>
            <w:tcW w:w="3227" w:type="dxa"/>
            <w:gridSpan w:val="2"/>
            <w:tcBorders>
              <w:top w:val="single" w:sz="4" w:space="0" w:color="auto"/>
              <w:left w:val="single" w:sz="4" w:space="0" w:color="auto"/>
              <w:bottom w:val="single" w:sz="4" w:space="0" w:color="auto"/>
              <w:right w:val="single" w:sz="4" w:space="0" w:color="auto"/>
            </w:tcBorders>
          </w:tcPr>
          <w:p w14:paraId="5C88D059" w14:textId="77777777" w:rsidR="003236FA" w:rsidRPr="00320F37" w:rsidRDefault="003236FA">
            <w:pPr>
              <w:rPr>
                <w:b/>
                <w:bCs/>
                <w:sz w:val="24"/>
              </w:rPr>
            </w:pPr>
          </w:p>
        </w:tc>
      </w:tr>
      <w:tr w:rsidR="003236FA" w:rsidRPr="00320F37" w14:paraId="127C8A20"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33050360" w14:textId="77777777" w:rsidR="003236FA" w:rsidRPr="00320F37" w:rsidRDefault="003236FA">
            <w:pPr>
              <w:rPr>
                <w:b/>
                <w:bCs/>
                <w:sz w:val="24"/>
              </w:rPr>
            </w:pPr>
            <w:r w:rsidRPr="00320F37">
              <w:rPr>
                <w:rFonts w:hint="cs"/>
                <w:b/>
                <w:bCs/>
                <w:sz w:val="24"/>
                <w:rtl/>
              </w:rPr>
              <w:t>בפני:</w:t>
            </w:r>
          </w:p>
        </w:tc>
        <w:tc>
          <w:tcPr>
            <w:tcW w:w="4394" w:type="dxa"/>
            <w:tcBorders>
              <w:top w:val="single" w:sz="4" w:space="0" w:color="auto"/>
              <w:left w:val="single" w:sz="4" w:space="0" w:color="auto"/>
              <w:bottom w:val="single" w:sz="4" w:space="0" w:color="auto"/>
              <w:right w:val="single" w:sz="4" w:space="0" w:color="auto"/>
            </w:tcBorders>
          </w:tcPr>
          <w:p w14:paraId="625F5B0E" w14:textId="77777777" w:rsidR="003236FA" w:rsidRPr="00320F37" w:rsidRDefault="003236FA">
            <w:pPr>
              <w:rPr>
                <w:b/>
                <w:bCs/>
                <w:sz w:val="24"/>
              </w:rPr>
            </w:pPr>
            <w:r w:rsidRPr="00320F37">
              <w:rPr>
                <w:rFonts w:hint="cs"/>
                <w:b/>
                <w:bCs/>
                <w:sz w:val="24"/>
                <w:rtl/>
              </w:rPr>
              <w:t>כבוד השופטת יהודית שיצר</w:t>
            </w:r>
          </w:p>
        </w:tc>
        <w:tc>
          <w:tcPr>
            <w:tcW w:w="99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F35187A" w14:textId="77777777" w:rsidR="003236FA" w:rsidRPr="00320F37" w:rsidRDefault="003236FA">
            <w:pPr>
              <w:rPr>
                <w:b/>
                <w:bCs/>
                <w:sz w:val="24"/>
              </w:rPr>
            </w:pPr>
          </w:p>
        </w:tc>
        <w:tc>
          <w:tcPr>
            <w:tcW w:w="2235" w:type="dxa"/>
            <w:tcBorders>
              <w:top w:val="single" w:sz="4" w:space="0" w:color="auto"/>
              <w:left w:val="single" w:sz="4" w:space="0" w:color="auto"/>
              <w:bottom w:val="single" w:sz="4" w:space="0" w:color="auto"/>
              <w:right w:val="single" w:sz="4" w:space="0" w:color="auto"/>
            </w:tcBorders>
          </w:tcPr>
          <w:p w14:paraId="32F8EBD8" w14:textId="77777777" w:rsidR="003236FA" w:rsidRPr="00320F37" w:rsidRDefault="003236FA">
            <w:pPr>
              <w:rPr>
                <w:b/>
                <w:bCs/>
                <w:sz w:val="24"/>
              </w:rPr>
            </w:pPr>
            <w:r w:rsidRPr="00320F37">
              <w:rPr>
                <w:rFonts w:hint="cs"/>
                <w:b/>
                <w:bCs/>
                <w:sz w:val="24"/>
                <w:rtl/>
              </w:rPr>
              <w:t>20/10/2009</w:t>
            </w:r>
          </w:p>
        </w:tc>
      </w:tr>
    </w:tbl>
    <w:p w14:paraId="4ECB9A22" w14:textId="77777777" w:rsidR="003236FA" w:rsidRPr="00320F37" w:rsidRDefault="003236FA">
      <w:pPr>
        <w:pStyle w:val="a3"/>
        <w:jc w:val="left"/>
        <w:rPr>
          <w:rFonts w:hint="cs"/>
          <w:sz w:val="24"/>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2466"/>
        <w:gridCol w:w="2354"/>
        <w:gridCol w:w="2409"/>
      </w:tblGrid>
      <w:tr w:rsidR="003236FA" w:rsidRPr="00320F37" w14:paraId="1A360D9C" w14:textId="77777777">
        <w:tc>
          <w:tcPr>
            <w:tcW w:w="1362" w:type="dxa"/>
          </w:tcPr>
          <w:p w14:paraId="73E4E024" w14:textId="77777777" w:rsidR="003236FA" w:rsidRPr="00320F37" w:rsidRDefault="003236FA">
            <w:pPr>
              <w:pStyle w:val="a6"/>
              <w:rPr>
                <w:sz w:val="24"/>
              </w:rPr>
            </w:pPr>
            <w:r w:rsidRPr="00320F37">
              <w:rPr>
                <w:rFonts w:hint="cs"/>
                <w:sz w:val="24"/>
                <w:rtl/>
              </w:rPr>
              <w:t>בעניין:</w:t>
            </w:r>
          </w:p>
        </w:tc>
        <w:tc>
          <w:tcPr>
            <w:tcW w:w="4820" w:type="dxa"/>
            <w:gridSpan w:val="2"/>
          </w:tcPr>
          <w:p w14:paraId="2E77C475" w14:textId="77777777" w:rsidR="003236FA" w:rsidRPr="00320F37" w:rsidRDefault="003236FA">
            <w:pPr>
              <w:pStyle w:val="a6"/>
              <w:rPr>
                <w:sz w:val="24"/>
              </w:rPr>
            </w:pPr>
            <w:bookmarkStart w:id="1" w:name="שם_א"/>
            <w:r w:rsidRPr="00320F37">
              <w:rPr>
                <w:rFonts w:hint="cs"/>
                <w:sz w:val="24"/>
                <w:rtl/>
              </w:rPr>
              <w:t>מדינת ישראל</w:t>
            </w:r>
            <w:bookmarkEnd w:id="1"/>
          </w:p>
        </w:tc>
        <w:tc>
          <w:tcPr>
            <w:tcW w:w="2409" w:type="dxa"/>
          </w:tcPr>
          <w:p w14:paraId="43B88E40" w14:textId="77777777" w:rsidR="003236FA" w:rsidRPr="00320F37" w:rsidRDefault="003236FA">
            <w:pPr>
              <w:pStyle w:val="a6"/>
              <w:rPr>
                <w:sz w:val="24"/>
              </w:rPr>
            </w:pPr>
          </w:p>
        </w:tc>
      </w:tr>
      <w:tr w:rsidR="003236FA" w:rsidRPr="00320F37" w14:paraId="11F82629" w14:textId="77777777">
        <w:tc>
          <w:tcPr>
            <w:tcW w:w="1362" w:type="dxa"/>
          </w:tcPr>
          <w:p w14:paraId="26B4E3C7" w14:textId="77777777" w:rsidR="003236FA" w:rsidRPr="00320F37" w:rsidRDefault="003236FA">
            <w:pPr>
              <w:pStyle w:val="a6"/>
              <w:rPr>
                <w:sz w:val="24"/>
              </w:rPr>
            </w:pPr>
            <w:bookmarkStart w:id="2" w:name="FirstAppellant" w:colFirst="0" w:colLast="0"/>
            <w:bookmarkStart w:id="3" w:name="FirstLawyer"/>
          </w:p>
        </w:tc>
        <w:tc>
          <w:tcPr>
            <w:tcW w:w="2466" w:type="dxa"/>
          </w:tcPr>
          <w:p w14:paraId="0493156D" w14:textId="77777777" w:rsidR="003236FA" w:rsidRPr="00320F37" w:rsidRDefault="003236FA">
            <w:pPr>
              <w:pStyle w:val="a6"/>
              <w:rPr>
                <w:sz w:val="24"/>
              </w:rPr>
            </w:pPr>
            <w:r w:rsidRPr="00320F37">
              <w:rPr>
                <w:rFonts w:hint="cs"/>
                <w:sz w:val="26"/>
                <w:szCs w:val="26"/>
                <w:rtl/>
              </w:rPr>
              <w:t>ע"י ב"כ עו"ד רחל חזן</w:t>
            </w:r>
          </w:p>
        </w:tc>
        <w:tc>
          <w:tcPr>
            <w:tcW w:w="2354" w:type="dxa"/>
          </w:tcPr>
          <w:p w14:paraId="19A998B1" w14:textId="77777777" w:rsidR="003236FA" w:rsidRPr="00320F37" w:rsidRDefault="003236FA">
            <w:pPr>
              <w:pStyle w:val="a6"/>
              <w:rPr>
                <w:sz w:val="24"/>
              </w:rPr>
            </w:pPr>
          </w:p>
        </w:tc>
        <w:tc>
          <w:tcPr>
            <w:tcW w:w="2409" w:type="dxa"/>
          </w:tcPr>
          <w:p w14:paraId="1A538A95" w14:textId="77777777" w:rsidR="003236FA" w:rsidRPr="00320F37" w:rsidRDefault="003236FA">
            <w:pPr>
              <w:pStyle w:val="a6"/>
              <w:rPr>
                <w:sz w:val="24"/>
              </w:rPr>
            </w:pPr>
            <w:r w:rsidRPr="00320F37">
              <w:rPr>
                <w:rFonts w:hint="cs"/>
                <w:sz w:val="24"/>
                <w:rtl/>
              </w:rPr>
              <w:t>המאשימה</w:t>
            </w:r>
          </w:p>
        </w:tc>
      </w:tr>
      <w:bookmarkEnd w:id="3"/>
      <w:tr w:rsidR="003236FA" w:rsidRPr="00320F37" w14:paraId="7CA7D022" w14:textId="77777777">
        <w:tc>
          <w:tcPr>
            <w:tcW w:w="1362" w:type="dxa"/>
          </w:tcPr>
          <w:p w14:paraId="77DCB6ED" w14:textId="77777777" w:rsidR="003236FA" w:rsidRPr="00320F37" w:rsidRDefault="003236FA">
            <w:pPr>
              <w:pStyle w:val="a6"/>
              <w:rPr>
                <w:sz w:val="24"/>
              </w:rPr>
            </w:pPr>
          </w:p>
        </w:tc>
        <w:tc>
          <w:tcPr>
            <w:tcW w:w="4820" w:type="dxa"/>
            <w:gridSpan w:val="2"/>
          </w:tcPr>
          <w:p w14:paraId="69629F9A" w14:textId="77777777" w:rsidR="003236FA" w:rsidRPr="00320F37" w:rsidRDefault="003236FA">
            <w:pPr>
              <w:pStyle w:val="a6"/>
              <w:jc w:val="center"/>
              <w:rPr>
                <w:sz w:val="24"/>
              </w:rPr>
            </w:pPr>
            <w:r w:rsidRPr="00320F37">
              <w:rPr>
                <w:rFonts w:hint="cs"/>
                <w:sz w:val="24"/>
                <w:rtl/>
              </w:rPr>
              <w:t>נ  ג  ד</w:t>
            </w:r>
          </w:p>
        </w:tc>
        <w:tc>
          <w:tcPr>
            <w:tcW w:w="2409" w:type="dxa"/>
          </w:tcPr>
          <w:p w14:paraId="0791BA61" w14:textId="77777777" w:rsidR="003236FA" w:rsidRPr="00320F37" w:rsidRDefault="003236FA">
            <w:pPr>
              <w:pStyle w:val="a6"/>
              <w:rPr>
                <w:sz w:val="24"/>
              </w:rPr>
            </w:pPr>
          </w:p>
        </w:tc>
      </w:tr>
      <w:bookmarkEnd w:id="2"/>
      <w:tr w:rsidR="003236FA" w:rsidRPr="00320F37" w14:paraId="30161901" w14:textId="77777777">
        <w:tc>
          <w:tcPr>
            <w:tcW w:w="1362" w:type="dxa"/>
          </w:tcPr>
          <w:p w14:paraId="4CE8B1B2" w14:textId="77777777" w:rsidR="003236FA" w:rsidRPr="00320F37" w:rsidRDefault="003236FA">
            <w:pPr>
              <w:pStyle w:val="a6"/>
              <w:rPr>
                <w:sz w:val="24"/>
              </w:rPr>
            </w:pPr>
          </w:p>
        </w:tc>
        <w:tc>
          <w:tcPr>
            <w:tcW w:w="4820" w:type="dxa"/>
            <w:gridSpan w:val="2"/>
          </w:tcPr>
          <w:p w14:paraId="15F5D18F" w14:textId="77777777" w:rsidR="003236FA" w:rsidRPr="00320F37" w:rsidRDefault="00DA2A6E">
            <w:pPr>
              <w:pStyle w:val="a6"/>
              <w:rPr>
                <w:sz w:val="24"/>
              </w:rPr>
            </w:pPr>
            <w:bookmarkStart w:id="4" w:name="שם_ב"/>
            <w:r>
              <w:rPr>
                <w:rFonts w:hint="cs"/>
                <w:sz w:val="24"/>
                <w:rtl/>
              </w:rPr>
              <w:t>פלוני</w:t>
            </w:r>
            <w:r w:rsidR="003236FA" w:rsidRPr="00320F37">
              <w:rPr>
                <w:rFonts w:hint="cs"/>
                <w:sz w:val="24"/>
                <w:rtl/>
              </w:rPr>
              <w:t xml:space="preserve"> - קטין</w:t>
            </w:r>
            <w:bookmarkEnd w:id="4"/>
          </w:p>
        </w:tc>
        <w:tc>
          <w:tcPr>
            <w:tcW w:w="2409" w:type="dxa"/>
          </w:tcPr>
          <w:p w14:paraId="127510E7" w14:textId="77777777" w:rsidR="003236FA" w:rsidRPr="00320F37" w:rsidRDefault="003236FA">
            <w:pPr>
              <w:pStyle w:val="a6"/>
              <w:rPr>
                <w:sz w:val="24"/>
              </w:rPr>
            </w:pPr>
          </w:p>
        </w:tc>
      </w:tr>
      <w:tr w:rsidR="003236FA" w:rsidRPr="00320F37" w14:paraId="4D47C5FD" w14:textId="77777777">
        <w:tc>
          <w:tcPr>
            <w:tcW w:w="1362" w:type="dxa"/>
          </w:tcPr>
          <w:p w14:paraId="5AC9FFD9" w14:textId="77777777" w:rsidR="003236FA" w:rsidRPr="00320F37" w:rsidRDefault="003236FA">
            <w:pPr>
              <w:pStyle w:val="a6"/>
              <w:rPr>
                <w:sz w:val="24"/>
              </w:rPr>
            </w:pPr>
          </w:p>
        </w:tc>
        <w:tc>
          <w:tcPr>
            <w:tcW w:w="2466" w:type="dxa"/>
          </w:tcPr>
          <w:p w14:paraId="1269026C" w14:textId="77777777" w:rsidR="003236FA" w:rsidRPr="00320F37" w:rsidRDefault="003236FA">
            <w:pPr>
              <w:pStyle w:val="a6"/>
              <w:rPr>
                <w:sz w:val="24"/>
              </w:rPr>
            </w:pPr>
            <w:r w:rsidRPr="00320F37">
              <w:rPr>
                <w:rFonts w:hint="cs"/>
                <w:sz w:val="26"/>
                <w:szCs w:val="26"/>
                <w:rtl/>
              </w:rPr>
              <w:t>ע"י ב"כ עו"ד צבי אבנון</w:t>
            </w:r>
          </w:p>
        </w:tc>
        <w:tc>
          <w:tcPr>
            <w:tcW w:w="2354" w:type="dxa"/>
          </w:tcPr>
          <w:p w14:paraId="618EB3DC" w14:textId="77777777" w:rsidR="003236FA" w:rsidRPr="00320F37" w:rsidRDefault="003236FA">
            <w:pPr>
              <w:pStyle w:val="a6"/>
              <w:rPr>
                <w:sz w:val="24"/>
              </w:rPr>
            </w:pPr>
          </w:p>
        </w:tc>
        <w:tc>
          <w:tcPr>
            <w:tcW w:w="2409" w:type="dxa"/>
          </w:tcPr>
          <w:p w14:paraId="3A96FBD4" w14:textId="77777777" w:rsidR="003236FA" w:rsidRPr="00320F37" w:rsidRDefault="003236FA">
            <w:pPr>
              <w:pStyle w:val="a6"/>
              <w:rPr>
                <w:sz w:val="24"/>
              </w:rPr>
            </w:pPr>
            <w:r w:rsidRPr="00320F37">
              <w:rPr>
                <w:rFonts w:hint="cs"/>
                <w:sz w:val="24"/>
                <w:rtl/>
              </w:rPr>
              <w:t>הנאשם</w:t>
            </w:r>
          </w:p>
        </w:tc>
      </w:tr>
    </w:tbl>
    <w:p w14:paraId="558349CF" w14:textId="77777777" w:rsidR="003B0313" w:rsidRDefault="003B0313">
      <w:pPr>
        <w:rPr>
          <w:sz w:val="28"/>
          <w:szCs w:val="28"/>
          <w:rtl/>
        </w:rPr>
      </w:pPr>
      <w:bookmarkStart w:id="5" w:name="LawTable"/>
      <w:bookmarkEnd w:id="5"/>
    </w:p>
    <w:p w14:paraId="28B36E4E" w14:textId="77777777" w:rsidR="003B0313" w:rsidRPr="003B0313" w:rsidRDefault="003B0313" w:rsidP="003B0313">
      <w:pPr>
        <w:spacing w:after="120" w:line="240" w:lineRule="exact"/>
        <w:ind w:left="283" w:hanging="283"/>
        <w:rPr>
          <w:rFonts w:ascii="FrankRuehl" w:hAnsi="FrankRuehl" w:cs="FrankRuehl"/>
          <w:sz w:val="24"/>
          <w:rtl/>
        </w:rPr>
      </w:pPr>
    </w:p>
    <w:p w14:paraId="069B7397" w14:textId="77777777" w:rsidR="003B0313" w:rsidRPr="003B0313" w:rsidRDefault="003B0313" w:rsidP="003B0313">
      <w:pPr>
        <w:spacing w:after="120" w:line="240" w:lineRule="exact"/>
        <w:ind w:left="283" w:hanging="283"/>
        <w:rPr>
          <w:rFonts w:ascii="FrankRuehl" w:hAnsi="FrankRuehl" w:cs="FrankRuehl"/>
          <w:sz w:val="24"/>
          <w:rtl/>
        </w:rPr>
      </w:pPr>
      <w:r w:rsidRPr="003B0313">
        <w:rPr>
          <w:rFonts w:ascii="FrankRuehl" w:hAnsi="FrankRuehl" w:cs="FrankRuehl"/>
          <w:sz w:val="24"/>
          <w:rtl/>
        </w:rPr>
        <w:t xml:space="preserve">חקיקה שאוזכרה: </w:t>
      </w:r>
    </w:p>
    <w:p w14:paraId="14AE25C0" w14:textId="77777777" w:rsidR="003B0313" w:rsidRPr="003B0313" w:rsidRDefault="003B0313" w:rsidP="003B0313">
      <w:pPr>
        <w:spacing w:after="120" w:line="240" w:lineRule="exact"/>
        <w:ind w:left="283" w:hanging="283"/>
        <w:rPr>
          <w:rFonts w:ascii="FrankRuehl" w:hAnsi="FrankRuehl" w:cs="FrankRuehl"/>
          <w:sz w:val="24"/>
          <w:rtl/>
        </w:rPr>
      </w:pPr>
      <w:hyperlink r:id="rId7" w:history="1">
        <w:r w:rsidRPr="003B0313">
          <w:rPr>
            <w:rFonts w:ascii="FrankRuehl" w:hAnsi="FrankRuehl" w:cs="FrankRuehl"/>
            <w:color w:val="0000FF"/>
            <w:sz w:val="24"/>
            <w:u w:val="single"/>
            <w:rtl/>
          </w:rPr>
          <w:t>חוק העונשין, תשל"ז-1977</w:t>
        </w:r>
      </w:hyperlink>
      <w:r w:rsidRPr="003B0313">
        <w:rPr>
          <w:rFonts w:ascii="FrankRuehl" w:hAnsi="FrankRuehl" w:cs="FrankRuehl"/>
          <w:sz w:val="24"/>
          <w:rtl/>
        </w:rPr>
        <w:t xml:space="preserve">: סע'  </w:t>
      </w:r>
      <w:hyperlink r:id="rId8" w:history="1">
        <w:r w:rsidRPr="003B0313">
          <w:rPr>
            <w:rFonts w:ascii="FrankRuehl" w:hAnsi="FrankRuehl" w:cs="FrankRuehl"/>
            <w:color w:val="0000FF"/>
            <w:sz w:val="24"/>
            <w:u w:val="single"/>
            <w:rtl/>
          </w:rPr>
          <w:t>144(ב)</w:t>
        </w:r>
      </w:hyperlink>
      <w:r w:rsidRPr="003B0313">
        <w:rPr>
          <w:rFonts w:ascii="FrankRuehl" w:hAnsi="FrankRuehl" w:cs="FrankRuehl"/>
          <w:sz w:val="24"/>
          <w:rtl/>
        </w:rPr>
        <w:t xml:space="preserve">, </w:t>
      </w:r>
      <w:hyperlink r:id="rId9" w:history="1">
        <w:r w:rsidRPr="003B0313">
          <w:rPr>
            <w:rFonts w:ascii="FrankRuehl" w:hAnsi="FrankRuehl" w:cs="FrankRuehl"/>
            <w:color w:val="0000FF"/>
            <w:sz w:val="24"/>
            <w:u w:val="single"/>
            <w:rtl/>
          </w:rPr>
          <w:t>192</w:t>
        </w:r>
      </w:hyperlink>
      <w:r w:rsidRPr="003B0313">
        <w:rPr>
          <w:rFonts w:ascii="FrankRuehl" w:hAnsi="FrankRuehl" w:cs="FrankRuehl"/>
          <w:sz w:val="24"/>
          <w:rtl/>
        </w:rPr>
        <w:t xml:space="preserve">, </w:t>
      </w:r>
      <w:hyperlink r:id="rId10" w:history="1">
        <w:r w:rsidRPr="003B0313">
          <w:rPr>
            <w:rFonts w:ascii="FrankRuehl" w:hAnsi="FrankRuehl" w:cs="FrankRuehl"/>
            <w:color w:val="0000FF"/>
            <w:sz w:val="24"/>
            <w:u w:val="single"/>
            <w:rtl/>
          </w:rPr>
          <w:t>329(א)(2)</w:t>
        </w:r>
      </w:hyperlink>
      <w:r w:rsidRPr="003B0313">
        <w:rPr>
          <w:rFonts w:ascii="FrankRuehl" w:hAnsi="FrankRuehl" w:cs="FrankRuehl"/>
          <w:sz w:val="24"/>
          <w:rtl/>
        </w:rPr>
        <w:t xml:space="preserve">, </w:t>
      </w:r>
      <w:hyperlink r:id="rId11" w:history="1">
        <w:r w:rsidRPr="003B0313">
          <w:rPr>
            <w:rFonts w:ascii="FrankRuehl" w:hAnsi="FrankRuehl" w:cs="FrankRuehl"/>
            <w:color w:val="0000FF"/>
            <w:sz w:val="24"/>
            <w:u w:val="single"/>
            <w:rtl/>
          </w:rPr>
          <w:t>340א</w:t>
        </w:r>
      </w:hyperlink>
    </w:p>
    <w:p w14:paraId="77EAEB92" w14:textId="77777777" w:rsidR="003B0313" w:rsidRPr="003B0313" w:rsidRDefault="003B0313" w:rsidP="003B0313">
      <w:pPr>
        <w:spacing w:after="120" w:line="240" w:lineRule="exact"/>
        <w:ind w:left="283" w:hanging="283"/>
        <w:rPr>
          <w:rFonts w:ascii="FrankRuehl" w:hAnsi="FrankRuehl" w:cs="FrankRuehl"/>
          <w:sz w:val="24"/>
          <w:rtl/>
        </w:rPr>
      </w:pPr>
    </w:p>
    <w:p w14:paraId="0A5C426B" w14:textId="77777777" w:rsidR="003B0313" w:rsidRPr="003B0313" w:rsidRDefault="003B0313">
      <w:pPr>
        <w:rPr>
          <w:sz w:val="28"/>
          <w:szCs w:val="28"/>
          <w:rtl/>
        </w:rPr>
      </w:pPr>
      <w:bookmarkStart w:id="6" w:name="LawTable_End"/>
      <w:bookmarkEnd w:id="6"/>
    </w:p>
    <w:p w14:paraId="106CB873" w14:textId="77777777" w:rsidR="003B0313" w:rsidRPr="003B0313" w:rsidRDefault="003B0313">
      <w:pPr>
        <w:rPr>
          <w:sz w:val="28"/>
          <w:szCs w:val="28"/>
          <w:rtl/>
        </w:rPr>
      </w:pPr>
    </w:p>
    <w:p w14:paraId="35ECC262" w14:textId="77777777" w:rsidR="00361F96" w:rsidRPr="00361F96" w:rsidRDefault="00361F96">
      <w:pPr>
        <w:rPr>
          <w:sz w:val="28"/>
          <w:szCs w:val="28"/>
          <w:rtl/>
        </w:rPr>
      </w:pPr>
    </w:p>
    <w:p w14:paraId="56EA02B1" w14:textId="77777777" w:rsidR="00361F96" w:rsidRPr="00361F96" w:rsidRDefault="00361F96">
      <w:pPr>
        <w:rPr>
          <w:sz w:val="28"/>
          <w:szCs w:val="28"/>
          <w:rtl/>
        </w:rPr>
      </w:pPr>
    </w:p>
    <w:p w14:paraId="6A761903" w14:textId="77777777" w:rsidR="003236FA" w:rsidRPr="00361F96" w:rsidRDefault="003236FA">
      <w:pPr>
        <w:rPr>
          <w:rFonts w:hint="cs"/>
          <w:sz w:val="28"/>
          <w:szCs w:val="28"/>
          <w:rtl/>
        </w:rPr>
      </w:pPr>
    </w:p>
    <w:p w14:paraId="4FAA8AB0" w14:textId="77777777" w:rsidR="00320F37" w:rsidRPr="00320F37" w:rsidRDefault="00320F37" w:rsidP="00320F37">
      <w:pPr>
        <w:ind w:left="360"/>
        <w:jc w:val="center"/>
        <w:rPr>
          <w:b/>
          <w:bCs/>
          <w:sz w:val="28"/>
          <w:szCs w:val="32"/>
          <w:u w:val="single"/>
          <w:rtl/>
        </w:rPr>
      </w:pPr>
      <w:bookmarkStart w:id="7" w:name="סוג_מסמך"/>
      <w:bookmarkStart w:id="8" w:name="PsakDin"/>
      <w:bookmarkEnd w:id="0"/>
      <w:bookmarkEnd w:id="7"/>
      <w:r w:rsidRPr="00320F37">
        <w:rPr>
          <w:b/>
          <w:bCs/>
          <w:sz w:val="28"/>
          <w:szCs w:val="32"/>
          <w:u w:val="single"/>
          <w:rtl/>
        </w:rPr>
        <w:t>גזר דין</w:t>
      </w:r>
    </w:p>
    <w:bookmarkEnd w:id="8"/>
    <w:p w14:paraId="5C9772C7" w14:textId="77777777" w:rsidR="003236FA" w:rsidRDefault="003236FA">
      <w:pPr>
        <w:ind w:left="360"/>
        <w:rPr>
          <w:rFonts w:hint="cs"/>
          <w:sz w:val="26"/>
          <w:szCs w:val="26"/>
          <w:rtl/>
        </w:rPr>
      </w:pPr>
    </w:p>
    <w:p w14:paraId="391B2B43" w14:textId="77777777" w:rsidR="003236FA" w:rsidRDefault="003236FA">
      <w:pPr>
        <w:pStyle w:val="a3"/>
        <w:tabs>
          <w:tab w:val="left" w:pos="720"/>
        </w:tabs>
        <w:rPr>
          <w:rFonts w:hint="cs"/>
          <w:b/>
          <w:bCs/>
          <w:i/>
          <w:iCs/>
          <w:sz w:val="26"/>
          <w:szCs w:val="26"/>
          <w:rtl/>
        </w:rPr>
      </w:pPr>
      <w:r>
        <w:rPr>
          <w:rFonts w:hint="cs"/>
          <w:b/>
          <w:bCs/>
          <w:i/>
          <w:iCs/>
          <w:sz w:val="26"/>
          <w:szCs w:val="26"/>
          <w:rtl/>
        </w:rPr>
        <w:t>הכרעת הדין</w:t>
      </w:r>
    </w:p>
    <w:p w14:paraId="6257838D" w14:textId="77777777" w:rsidR="003236FA" w:rsidRDefault="003236FA">
      <w:pPr>
        <w:rPr>
          <w:sz w:val="26"/>
          <w:szCs w:val="26"/>
        </w:rPr>
      </w:pPr>
      <w:r>
        <w:rPr>
          <w:rFonts w:hint="cs"/>
          <w:b/>
          <w:bCs/>
          <w:i/>
          <w:iCs/>
          <w:sz w:val="26"/>
          <w:szCs w:val="26"/>
          <w:rtl/>
        </w:rPr>
        <w:t>1.</w:t>
      </w:r>
      <w:r>
        <w:rPr>
          <w:rFonts w:hint="cs"/>
          <w:sz w:val="26"/>
          <w:szCs w:val="26"/>
          <w:rtl/>
        </w:rPr>
        <w:t xml:space="preserve">    </w:t>
      </w:r>
      <w:bookmarkStart w:id="9" w:name="ABSTRACT_START"/>
      <w:bookmarkEnd w:id="9"/>
      <w:r>
        <w:rPr>
          <w:rFonts w:hint="cs"/>
          <w:sz w:val="26"/>
          <w:szCs w:val="26"/>
          <w:rtl/>
        </w:rPr>
        <w:t xml:space="preserve">במסגרת הכרעת הדין שניתנה בעניינו הנאשם הורשע בעבירות הבאות: </w:t>
      </w:r>
      <w:r>
        <w:rPr>
          <w:rFonts w:hint="cs"/>
          <w:b/>
          <w:bCs/>
          <w:sz w:val="26"/>
          <w:szCs w:val="26"/>
          <w:rtl/>
        </w:rPr>
        <w:t>ניסיון לחבלה בכוונה מחמירה</w:t>
      </w:r>
      <w:r>
        <w:rPr>
          <w:rFonts w:hint="cs"/>
          <w:sz w:val="26"/>
          <w:szCs w:val="26"/>
          <w:rtl/>
        </w:rPr>
        <w:t xml:space="preserve"> עבירה לפי </w:t>
      </w:r>
      <w:hyperlink r:id="rId12" w:history="1">
        <w:r w:rsidR="003B0313" w:rsidRPr="003B0313">
          <w:rPr>
            <w:color w:val="0000FF"/>
            <w:sz w:val="26"/>
            <w:szCs w:val="26"/>
            <w:u w:val="single"/>
            <w:rtl/>
          </w:rPr>
          <w:t>סעיף 329(א)(2)</w:t>
        </w:r>
      </w:hyperlink>
      <w:r>
        <w:rPr>
          <w:rFonts w:hint="cs"/>
          <w:sz w:val="26"/>
          <w:szCs w:val="26"/>
          <w:rtl/>
        </w:rPr>
        <w:t xml:space="preserve"> ל</w:t>
      </w:r>
      <w:hyperlink r:id="rId13" w:history="1">
        <w:r w:rsidR="00361F96" w:rsidRPr="00361F96">
          <w:rPr>
            <w:rStyle w:val="Hyperlink"/>
            <w:sz w:val="26"/>
            <w:szCs w:val="26"/>
            <w:rtl/>
          </w:rPr>
          <w:t>חוק העונשין</w:t>
        </w:r>
      </w:hyperlink>
      <w:r>
        <w:rPr>
          <w:rFonts w:hint="cs"/>
          <w:sz w:val="26"/>
          <w:szCs w:val="26"/>
          <w:rtl/>
        </w:rPr>
        <w:t xml:space="preserve"> התשל"ז-1977 (להלן: "</w:t>
      </w:r>
      <w:r>
        <w:rPr>
          <w:rFonts w:hint="cs"/>
          <w:b/>
          <w:bCs/>
          <w:sz w:val="26"/>
          <w:szCs w:val="26"/>
          <w:rtl/>
        </w:rPr>
        <w:t>החוק</w:t>
      </w:r>
      <w:r>
        <w:rPr>
          <w:rFonts w:hint="cs"/>
          <w:sz w:val="26"/>
          <w:szCs w:val="26"/>
          <w:rtl/>
        </w:rPr>
        <w:t xml:space="preserve">"); </w:t>
      </w:r>
      <w:r>
        <w:rPr>
          <w:rFonts w:hint="cs"/>
          <w:b/>
          <w:bCs/>
          <w:sz w:val="26"/>
          <w:szCs w:val="26"/>
          <w:rtl/>
        </w:rPr>
        <w:t xml:space="preserve">נשיאה והובלת נשק עבירה </w:t>
      </w:r>
      <w:r>
        <w:rPr>
          <w:rFonts w:hint="cs"/>
          <w:sz w:val="26"/>
          <w:szCs w:val="26"/>
          <w:rtl/>
        </w:rPr>
        <w:t xml:space="preserve">לפי </w:t>
      </w:r>
      <w:hyperlink r:id="rId14" w:history="1">
        <w:r w:rsidR="003B0313" w:rsidRPr="003B0313">
          <w:rPr>
            <w:color w:val="0000FF"/>
            <w:sz w:val="26"/>
            <w:szCs w:val="26"/>
            <w:u w:val="single"/>
            <w:rtl/>
          </w:rPr>
          <w:t>סעיף 144(ב)</w:t>
        </w:r>
      </w:hyperlink>
      <w:r>
        <w:rPr>
          <w:rFonts w:hint="cs"/>
          <w:sz w:val="26"/>
          <w:szCs w:val="26"/>
          <w:rtl/>
        </w:rPr>
        <w:t xml:space="preserve"> לחוק; </w:t>
      </w:r>
      <w:r>
        <w:rPr>
          <w:rFonts w:hint="cs"/>
          <w:b/>
          <w:bCs/>
          <w:sz w:val="26"/>
          <w:szCs w:val="26"/>
          <w:rtl/>
        </w:rPr>
        <w:t>יריות באזור מגורים</w:t>
      </w:r>
      <w:r>
        <w:rPr>
          <w:rFonts w:hint="cs"/>
          <w:sz w:val="26"/>
          <w:szCs w:val="26"/>
          <w:rtl/>
        </w:rPr>
        <w:t xml:space="preserve"> עבירה לפי </w:t>
      </w:r>
      <w:hyperlink r:id="rId15" w:history="1">
        <w:r w:rsidR="003B0313" w:rsidRPr="003B0313">
          <w:rPr>
            <w:color w:val="0000FF"/>
            <w:sz w:val="26"/>
            <w:szCs w:val="26"/>
            <w:u w:val="single"/>
            <w:rtl/>
          </w:rPr>
          <w:t>סעיף 340א</w:t>
        </w:r>
      </w:hyperlink>
      <w:r>
        <w:rPr>
          <w:rFonts w:hint="cs"/>
          <w:sz w:val="26"/>
          <w:szCs w:val="26"/>
          <w:rtl/>
        </w:rPr>
        <w:t xml:space="preserve"> לחוק; וב</w:t>
      </w:r>
      <w:r>
        <w:rPr>
          <w:rFonts w:hint="cs"/>
          <w:b/>
          <w:bCs/>
          <w:sz w:val="26"/>
          <w:szCs w:val="26"/>
          <w:rtl/>
        </w:rPr>
        <w:t>איומים</w:t>
      </w:r>
      <w:r>
        <w:rPr>
          <w:rFonts w:hint="cs"/>
          <w:sz w:val="26"/>
          <w:szCs w:val="26"/>
          <w:rtl/>
        </w:rPr>
        <w:t xml:space="preserve"> עבירה לפי </w:t>
      </w:r>
      <w:hyperlink r:id="rId16" w:history="1">
        <w:r w:rsidR="003B0313" w:rsidRPr="003B0313">
          <w:rPr>
            <w:color w:val="0000FF"/>
            <w:sz w:val="26"/>
            <w:szCs w:val="26"/>
            <w:u w:val="single"/>
            <w:rtl/>
          </w:rPr>
          <w:t>סעיף 192</w:t>
        </w:r>
      </w:hyperlink>
      <w:r>
        <w:rPr>
          <w:rFonts w:hint="cs"/>
          <w:sz w:val="26"/>
          <w:szCs w:val="26"/>
          <w:rtl/>
        </w:rPr>
        <w:t xml:space="preserve"> לחוק. </w:t>
      </w:r>
    </w:p>
    <w:p w14:paraId="525EACBC" w14:textId="77777777" w:rsidR="003236FA" w:rsidRDefault="003236FA">
      <w:pPr>
        <w:rPr>
          <w:rFonts w:hint="cs"/>
          <w:sz w:val="26"/>
          <w:szCs w:val="26"/>
          <w:rtl/>
        </w:rPr>
      </w:pPr>
      <w:bookmarkStart w:id="10" w:name="ABSTRACT_END"/>
      <w:bookmarkEnd w:id="10"/>
    </w:p>
    <w:p w14:paraId="15159373" w14:textId="77777777" w:rsidR="003236FA" w:rsidRDefault="003236FA" w:rsidP="00DA2A6E">
      <w:pPr>
        <w:rPr>
          <w:rFonts w:hint="cs"/>
          <w:sz w:val="26"/>
          <w:szCs w:val="26"/>
          <w:rtl/>
        </w:rPr>
      </w:pPr>
      <w:r>
        <w:rPr>
          <w:rFonts w:hint="cs"/>
          <w:sz w:val="26"/>
          <w:szCs w:val="26"/>
          <w:rtl/>
        </w:rPr>
        <w:t xml:space="preserve">על פי הכרעת הדין בתאריך 21.3.07 סמוך לשעה 01:30 הגיע הנאשם לגינה ציבורית ליד רחוב רבי נחמן מברסלב ביפו, שם בילתה חבורת אנשים באכילה ושתיה, וביניהם </w:t>
      </w:r>
      <w:r w:rsidR="00DA2A6E">
        <w:rPr>
          <w:rFonts w:hint="cs"/>
          <w:sz w:val="26"/>
          <w:szCs w:val="26"/>
          <w:rtl/>
        </w:rPr>
        <w:t>אלמוני</w:t>
      </w:r>
      <w:r>
        <w:rPr>
          <w:rFonts w:hint="cs"/>
          <w:sz w:val="26"/>
          <w:szCs w:val="26"/>
          <w:rtl/>
        </w:rPr>
        <w:t xml:space="preserve"> (להלן: "</w:t>
      </w:r>
      <w:r w:rsidR="00DA2A6E">
        <w:rPr>
          <w:rFonts w:hint="cs"/>
          <w:b/>
          <w:bCs/>
          <w:sz w:val="26"/>
          <w:szCs w:val="26"/>
          <w:rtl/>
        </w:rPr>
        <w:t>אלמוני</w:t>
      </w:r>
      <w:r>
        <w:rPr>
          <w:rFonts w:hint="cs"/>
          <w:sz w:val="26"/>
          <w:szCs w:val="26"/>
          <w:rtl/>
        </w:rPr>
        <w:t xml:space="preserve">") ואחיו </w:t>
      </w:r>
      <w:r w:rsidR="00DA2A6E">
        <w:rPr>
          <w:rFonts w:hint="cs"/>
          <w:sz w:val="26"/>
          <w:szCs w:val="26"/>
          <w:rtl/>
        </w:rPr>
        <w:t>פלמוני</w:t>
      </w:r>
      <w:r>
        <w:rPr>
          <w:rFonts w:hint="cs"/>
          <w:sz w:val="26"/>
          <w:szCs w:val="26"/>
          <w:rtl/>
        </w:rPr>
        <w:t xml:space="preserve"> (להלן: "</w:t>
      </w:r>
      <w:r w:rsidR="00DA2A6E">
        <w:rPr>
          <w:rFonts w:hint="cs"/>
          <w:b/>
          <w:bCs/>
          <w:sz w:val="26"/>
          <w:szCs w:val="26"/>
          <w:rtl/>
        </w:rPr>
        <w:t>פלמוני</w:t>
      </w:r>
      <w:r>
        <w:rPr>
          <w:rFonts w:hint="cs"/>
          <w:sz w:val="26"/>
          <w:szCs w:val="26"/>
          <w:rtl/>
        </w:rPr>
        <w:t>"). הוא פנה ל</w:t>
      </w:r>
      <w:r w:rsidR="00DA2A6E">
        <w:rPr>
          <w:rFonts w:hint="cs"/>
          <w:sz w:val="26"/>
          <w:szCs w:val="26"/>
          <w:rtl/>
        </w:rPr>
        <w:t>אלמוני</w:t>
      </w:r>
      <w:r>
        <w:rPr>
          <w:rFonts w:hint="cs"/>
          <w:sz w:val="26"/>
          <w:szCs w:val="26"/>
          <w:rtl/>
        </w:rPr>
        <w:t xml:space="preserve"> בצעקות, קילל אותו ואת </w:t>
      </w:r>
      <w:r w:rsidR="00DA2A6E">
        <w:rPr>
          <w:rFonts w:hint="cs"/>
          <w:sz w:val="26"/>
          <w:szCs w:val="26"/>
          <w:rtl/>
        </w:rPr>
        <w:t>פלמוני</w:t>
      </w:r>
      <w:r>
        <w:rPr>
          <w:rFonts w:hint="cs"/>
          <w:sz w:val="26"/>
          <w:szCs w:val="26"/>
          <w:rtl/>
        </w:rPr>
        <w:t>. אמר לו ול</w:t>
      </w:r>
      <w:r w:rsidR="00DA2A6E">
        <w:rPr>
          <w:rFonts w:hint="cs"/>
          <w:sz w:val="26"/>
          <w:szCs w:val="26"/>
          <w:rtl/>
        </w:rPr>
        <w:t>פלמוני</w:t>
      </w:r>
      <w:r>
        <w:rPr>
          <w:rFonts w:hint="cs"/>
          <w:sz w:val="26"/>
          <w:szCs w:val="26"/>
          <w:rtl/>
        </w:rPr>
        <w:t xml:space="preserve"> "אני אזיין את אמא שלכם יא בני שרמוטה" והמשיך להטיל אימה </w:t>
      </w:r>
      <w:r>
        <w:rPr>
          <w:rFonts w:hint="cs"/>
          <w:sz w:val="26"/>
          <w:szCs w:val="26"/>
          <w:rtl/>
        </w:rPr>
        <w:lastRenderedPageBreak/>
        <w:t>ב</w:t>
      </w:r>
      <w:r w:rsidR="00DA2A6E">
        <w:rPr>
          <w:rFonts w:hint="cs"/>
          <w:sz w:val="26"/>
          <w:szCs w:val="26"/>
          <w:rtl/>
        </w:rPr>
        <w:t>אלמוני</w:t>
      </w:r>
      <w:r>
        <w:rPr>
          <w:rFonts w:hint="cs"/>
          <w:sz w:val="26"/>
          <w:szCs w:val="26"/>
          <w:rtl/>
        </w:rPr>
        <w:t xml:space="preserve"> בהטיחו בו "אתה לא רוצה להרגע ? אתה לא רוצה לקצר את הלשון שלך?" כשניסו הנוכחים להרגיע את הנאשם השיב להם בקללות ועזב את המקום. שניות לאחר מכן חזר כשבידו אקדח חצי אוטומטי, כיוון אותו אל </w:t>
      </w:r>
      <w:r w:rsidR="00DA2A6E">
        <w:rPr>
          <w:rFonts w:hint="cs"/>
          <w:sz w:val="26"/>
          <w:szCs w:val="26"/>
          <w:rtl/>
        </w:rPr>
        <w:t>אלמוני</w:t>
      </w:r>
      <w:r>
        <w:rPr>
          <w:rFonts w:hint="cs"/>
          <w:sz w:val="26"/>
          <w:szCs w:val="26"/>
          <w:rtl/>
        </w:rPr>
        <w:t xml:space="preserve"> וירה כ- 6 כדורים לעברו ולעבר חבריו כשהוא מנסה לפגוע ב</w:t>
      </w:r>
      <w:r w:rsidR="00DA2A6E">
        <w:rPr>
          <w:rFonts w:hint="cs"/>
          <w:sz w:val="26"/>
          <w:szCs w:val="26"/>
          <w:rtl/>
        </w:rPr>
        <w:t>אלמוני</w:t>
      </w:r>
      <w:r>
        <w:rPr>
          <w:rFonts w:hint="cs"/>
          <w:sz w:val="26"/>
          <w:szCs w:val="26"/>
          <w:rtl/>
        </w:rPr>
        <w:t xml:space="preserve">. הנוכחים פתחו בריצה מבוהלת וברחו מהגינה. למחרת, פנו בני משפחתו של </w:t>
      </w:r>
      <w:r w:rsidR="00DA2A6E">
        <w:rPr>
          <w:rFonts w:hint="cs"/>
          <w:sz w:val="26"/>
          <w:szCs w:val="26"/>
          <w:rtl/>
        </w:rPr>
        <w:t>אלמוני</w:t>
      </w:r>
      <w:r>
        <w:rPr>
          <w:rFonts w:hint="cs"/>
          <w:sz w:val="26"/>
          <w:szCs w:val="26"/>
          <w:rtl/>
        </w:rPr>
        <w:t xml:space="preserve"> אל דודיו של הנאשם והתחננו שירגיעו אותו. הדוד עשה כן וכן קרוב נוסף אשר הבטיחו לנאשם כי </w:t>
      </w:r>
      <w:r w:rsidR="00DA2A6E">
        <w:rPr>
          <w:rFonts w:hint="cs"/>
          <w:sz w:val="26"/>
          <w:szCs w:val="26"/>
          <w:rtl/>
        </w:rPr>
        <w:t>אלמוני</w:t>
      </w:r>
      <w:r>
        <w:rPr>
          <w:rFonts w:hint="cs"/>
          <w:sz w:val="26"/>
          <w:szCs w:val="26"/>
          <w:rtl/>
        </w:rPr>
        <w:t xml:space="preserve"> מבטיח שלא ידבר. </w:t>
      </w:r>
    </w:p>
    <w:p w14:paraId="77C64C82" w14:textId="77777777" w:rsidR="003236FA" w:rsidRDefault="003236FA">
      <w:pPr>
        <w:rPr>
          <w:rFonts w:hint="cs"/>
          <w:sz w:val="26"/>
          <w:szCs w:val="26"/>
          <w:rtl/>
        </w:rPr>
      </w:pPr>
    </w:p>
    <w:p w14:paraId="0D721E1A" w14:textId="77777777" w:rsidR="003236FA" w:rsidRDefault="003236FA">
      <w:pPr>
        <w:pStyle w:val="4"/>
        <w:rPr>
          <w:rFonts w:hint="cs"/>
          <w:i/>
          <w:iCs/>
          <w:u w:val="none"/>
          <w:rtl/>
        </w:rPr>
      </w:pPr>
    </w:p>
    <w:p w14:paraId="6DF97D1F" w14:textId="77777777" w:rsidR="003236FA" w:rsidRDefault="003236FA">
      <w:pPr>
        <w:pStyle w:val="4"/>
        <w:rPr>
          <w:rFonts w:hint="cs"/>
          <w:i/>
          <w:iCs/>
          <w:u w:val="none"/>
          <w:rtl/>
        </w:rPr>
      </w:pPr>
      <w:r>
        <w:rPr>
          <w:rFonts w:hint="cs"/>
          <w:i/>
          <w:iCs/>
          <w:u w:val="none"/>
          <w:rtl/>
        </w:rPr>
        <w:t>טיעוני הצדדים</w:t>
      </w:r>
    </w:p>
    <w:p w14:paraId="1741F883" w14:textId="77777777" w:rsidR="003236FA" w:rsidRDefault="003236FA">
      <w:pPr>
        <w:pStyle w:val="6"/>
        <w:rPr>
          <w:rFonts w:hint="cs"/>
          <w:rtl/>
        </w:rPr>
      </w:pPr>
      <w:r>
        <w:rPr>
          <w:rFonts w:hint="cs"/>
          <w:rtl/>
        </w:rPr>
        <w:t>טיעוני ב"כ המאשימה</w:t>
      </w:r>
    </w:p>
    <w:p w14:paraId="58E782F2" w14:textId="77777777" w:rsidR="003236FA" w:rsidRDefault="003236FA">
      <w:pPr>
        <w:rPr>
          <w:rFonts w:hint="cs"/>
          <w:sz w:val="26"/>
          <w:szCs w:val="26"/>
          <w:rtl/>
        </w:rPr>
      </w:pPr>
      <w:r>
        <w:rPr>
          <w:rFonts w:hint="cs"/>
          <w:b/>
          <w:bCs/>
          <w:i/>
          <w:iCs/>
          <w:sz w:val="26"/>
          <w:szCs w:val="26"/>
          <w:rtl/>
        </w:rPr>
        <w:t xml:space="preserve">2.     </w:t>
      </w:r>
      <w:r>
        <w:rPr>
          <w:rFonts w:hint="cs"/>
          <w:sz w:val="26"/>
          <w:szCs w:val="26"/>
          <w:rtl/>
        </w:rPr>
        <w:t xml:space="preserve">ב"כ המאשימה טענה כי נסיבות האירוע מצביעות על מסוכנותו של הנאשם, כמו גם גיליון הרשעותיו הקודמות, התסקיר והראיות שנשמעו בתיק. אך בנס לא נפגע מי מהנוכחים באירוע היריות, לרבות חפים מפשע. מהראיות שנשמעו בתיק מבקשת היא להסיק, כי גם הסובבים את הנאשם רואים בו אדם מסוכן שיש להרגיעו. תסקיר שירות המבחן בעניינו אינו חיובי. עולה ממנו שההליכים המשפטיים אינם מרתיעים אותו וכי הוא הפנים דפוסי התנהגות עברייניים. הנאשם שתק בחקירתו ובמהלך ניהול התיק ולא העיד אף בבית המשפט. כמו כן לא הביע חרטה ואף בפני שירות המבחן לא הודה במיוחס לו. את העבירה ביצע בהיותו כבן 17, אך במקרה שלו האפיק השיקומי אינו ראוי לאור תסקיר שירות המבחן ומשכך הענישה צריכה להיות הרתעתית ולשקף את מלוא חומרת העבירות. </w:t>
      </w:r>
    </w:p>
    <w:p w14:paraId="44975116" w14:textId="77777777" w:rsidR="003236FA" w:rsidRDefault="003236FA">
      <w:pPr>
        <w:rPr>
          <w:rFonts w:hint="cs"/>
          <w:sz w:val="26"/>
          <w:szCs w:val="26"/>
          <w:rtl/>
        </w:rPr>
      </w:pPr>
      <w:r>
        <w:rPr>
          <w:rFonts w:hint="cs"/>
          <w:sz w:val="26"/>
          <w:szCs w:val="26"/>
          <w:rtl/>
        </w:rPr>
        <w:t xml:space="preserve">ב"כ המאשימה הגישה אסופת פסיקה ממנה היא מבקשת ללמוד את רף הענישה בנסיבות האמורות אשר צריך להתבטא לשיטתה במאסר ממושך, מאסר על תנאי וקנס. </w:t>
      </w:r>
    </w:p>
    <w:p w14:paraId="7C0E844B" w14:textId="77777777" w:rsidR="003236FA" w:rsidRDefault="003236FA">
      <w:pPr>
        <w:rPr>
          <w:rFonts w:hint="cs"/>
          <w:sz w:val="26"/>
          <w:szCs w:val="26"/>
          <w:rtl/>
        </w:rPr>
      </w:pPr>
    </w:p>
    <w:p w14:paraId="53F62024" w14:textId="77777777" w:rsidR="003236FA" w:rsidRDefault="003236FA">
      <w:pPr>
        <w:pStyle w:val="4"/>
        <w:rPr>
          <w:rFonts w:hint="cs"/>
          <w:u w:val="none"/>
          <w:rtl/>
        </w:rPr>
      </w:pPr>
      <w:r>
        <w:rPr>
          <w:rFonts w:hint="cs"/>
          <w:rtl/>
        </w:rPr>
        <w:t>טיעוני ב"כ הנאשם</w:t>
      </w:r>
    </w:p>
    <w:p w14:paraId="243BD853" w14:textId="77777777" w:rsidR="003236FA" w:rsidRDefault="003236FA">
      <w:pPr>
        <w:rPr>
          <w:rFonts w:hint="cs"/>
          <w:sz w:val="26"/>
          <w:szCs w:val="26"/>
          <w:rtl/>
        </w:rPr>
      </w:pPr>
      <w:r>
        <w:rPr>
          <w:rFonts w:hint="cs"/>
          <w:b/>
          <w:bCs/>
          <w:i/>
          <w:iCs/>
          <w:sz w:val="26"/>
          <w:szCs w:val="26"/>
          <w:rtl/>
        </w:rPr>
        <w:t xml:space="preserve">3.     </w:t>
      </w:r>
      <w:r>
        <w:rPr>
          <w:rFonts w:hint="cs"/>
          <w:sz w:val="26"/>
          <w:szCs w:val="26"/>
          <w:rtl/>
        </w:rPr>
        <w:t xml:space="preserve">ב"כ הנאשם מצידו הדגיש כי הנאשם לא הורשע בחבלה, אלא בניסיון חבלה בלבד. לטענתו, הירי נועד רק לזרוע פחד, מבלי שליוותה את ביצועו כוונת פגיעה. בכך הוא מאבחן את המקרה דנן מפסקי הדין שהציגה ב"כ המאשימה, שם נורו יריות בכוונה לפגוע ובאחד המקרים נוספו גם דקירות סכין. מכל מקום, המתלונן נפגע מן הירי בעוד שבמקרה דנן הדגש הוא על הנתון כי איש לא נפגע. עוד נתן משקל לגילו הצעיר של הנאשם ולעובדה שהמאסר בן חצי השנה שריצה הנאשם היה בגין עבירה מאוחרת יותר ובמקרים כאלה לטענתו יש מקום לחפוף את העונש ואילו שבמקרה זה, הנאשם נעצר ביום בו יצא ממאסרו. לטענתו, על בית המשפט להתחשב בכך שמדובר בקטין, אשר דינו שונה מדין בגיר ועל כן ההתייחסות אליו צריכה להיות שונה. עוד הפנה לאסופת פסיקה שמצביעה על עונשים שהתחשבו בנסיבותיהם של הנאשמים אף כשהורשעו בעבירת חבלה חמורה בנסיבות מחמירות וכן הצביע על פסיקה </w:t>
      </w:r>
      <w:r>
        <w:rPr>
          <w:rFonts w:hint="cs"/>
          <w:sz w:val="26"/>
          <w:szCs w:val="26"/>
          <w:rtl/>
        </w:rPr>
        <w:lastRenderedPageBreak/>
        <w:t xml:space="preserve">הנוגעת למאסרים שאינם ממושכים ועל מאסר לריצוי בעבודות שירות. מאחר והנאשם עצור כבר תקופה שמעל שנה וחצי, ללא חופשות, בתנאי מעצר קשים, בהפרדה ארצית בכלא "רימונים", סבור בא כוחו שניתן להסתפק בתקופת המעצר בהנחה שהנאשם זכאי לניכוי שליש. הוא גם ציין כי למרות שהנאשם עובר תקופה קשה בכלא, הוא לא הסתבך, הוא אסיר ללא בעיות ומכאן ניתן ללמוד כי הנאשם למד מתקופת השהייה בכלא והפיק את לקחו ועל כן אין לגזור עליו מאסר מעבר למה שכבר ריצה. </w:t>
      </w:r>
    </w:p>
    <w:p w14:paraId="26E6BA6D" w14:textId="77777777" w:rsidR="003236FA" w:rsidRDefault="003236FA">
      <w:pPr>
        <w:rPr>
          <w:rFonts w:hint="cs"/>
          <w:sz w:val="26"/>
          <w:szCs w:val="26"/>
          <w:rtl/>
        </w:rPr>
      </w:pPr>
    </w:p>
    <w:p w14:paraId="7C8AAC01" w14:textId="77777777" w:rsidR="003236FA" w:rsidRDefault="003236FA">
      <w:pPr>
        <w:pStyle w:val="4"/>
        <w:rPr>
          <w:rFonts w:hint="cs"/>
          <w:i/>
          <w:iCs/>
          <w:u w:val="none"/>
          <w:rtl/>
        </w:rPr>
      </w:pPr>
      <w:r>
        <w:rPr>
          <w:rFonts w:hint="cs"/>
          <w:i/>
          <w:iCs/>
          <w:u w:val="none"/>
          <w:rtl/>
        </w:rPr>
        <w:t>דיון</w:t>
      </w:r>
    </w:p>
    <w:p w14:paraId="6EF59C58" w14:textId="77777777" w:rsidR="003236FA" w:rsidRDefault="003236FA">
      <w:pPr>
        <w:rPr>
          <w:rFonts w:hint="cs"/>
          <w:sz w:val="26"/>
          <w:szCs w:val="26"/>
          <w:rtl/>
        </w:rPr>
      </w:pPr>
      <w:r>
        <w:rPr>
          <w:rFonts w:hint="cs"/>
          <w:b/>
          <w:bCs/>
          <w:i/>
          <w:iCs/>
          <w:sz w:val="26"/>
          <w:szCs w:val="26"/>
          <w:rtl/>
        </w:rPr>
        <w:t xml:space="preserve">4.    </w:t>
      </w:r>
      <w:r>
        <w:rPr>
          <w:rFonts w:hint="cs"/>
          <w:sz w:val="26"/>
          <w:szCs w:val="26"/>
          <w:rtl/>
        </w:rPr>
        <w:t xml:space="preserve">אין ספק כי העבירות שביצע הנאשם הן עבירות קשות ומסוכנות. לא מדובר רק בנשיאת נשק תיאורטית בלבד, אלא שהנאשם גם מימש בפועל את פוטנציאל הסיכון הטמון בכלי נשק בכך שירה בהיותו באזור מגורים באדם אשר היה לו דין ודברים איתו וזאת למרות נוכחותה של חבורת אנשים שכלל לא היו מעורבים באירועים בגינם הנאשם איים וירה במתלונן. די היה לשמוע במהלך הראיות את עדותו של עד אשר כדור עבר ליד גופו ותיאר את תחושת הסכנה והאימה שחווה. </w:t>
      </w:r>
    </w:p>
    <w:p w14:paraId="5F7BD115" w14:textId="77777777" w:rsidR="003236FA" w:rsidRDefault="003236FA">
      <w:pPr>
        <w:rPr>
          <w:rFonts w:hint="cs"/>
          <w:sz w:val="26"/>
          <w:szCs w:val="26"/>
          <w:rtl/>
        </w:rPr>
      </w:pPr>
    </w:p>
    <w:p w14:paraId="2C10E8DF" w14:textId="77777777" w:rsidR="003236FA" w:rsidRDefault="003236FA">
      <w:pPr>
        <w:rPr>
          <w:rFonts w:hint="cs"/>
          <w:sz w:val="26"/>
          <w:szCs w:val="26"/>
          <w:rtl/>
        </w:rPr>
      </w:pPr>
      <w:r>
        <w:rPr>
          <w:rFonts w:hint="cs"/>
          <w:sz w:val="26"/>
          <w:szCs w:val="26"/>
          <w:rtl/>
        </w:rPr>
        <w:t>תסקיר שירות המבחן אשר בחן את עניינו של הקטין מדבר בנאשם אשר מוכר לשירות המבחן לנוער ואכן גליון ההרשעות שלו מלמד על עבר עשיר, כאשר ניכרת הסלמה בעבירות ובהתאם לכך בגישה העונשית. יצוין, שבעברו של הנאשם כבר יש עבירות של החזקת מחסניות אקדח וכדורי אקדח וכן החזקת סם – הירואין שלא לצריכה עצמית בנוסף לעבירות רכוש וכן עבירות תעבורה. חרף הגישה הטיפולית של בית המשפט לנוער, הנאשם לא למד את הלקח ולא חדל מהדרך העבריינית. שירות המבחן מציין כי למרות הרשעתו לא לקח כל אחריות על המעשים וכי נראה כי: "</w:t>
      </w:r>
      <w:r>
        <w:rPr>
          <w:rFonts w:hint="cs"/>
          <w:b/>
          <w:bCs/>
          <w:sz w:val="26"/>
          <w:szCs w:val="26"/>
          <w:rtl/>
        </w:rPr>
        <w:t>ההליכים המשפטיים הננקטים אינם מהווים אמצעי הרתעה משמעותי עבורו, ניכר כי הפנים במידה רבה דפוסי התנהגות עברייניים ומתקשה לערוך שינוי בחייו</w:t>
      </w:r>
      <w:r>
        <w:rPr>
          <w:rFonts w:hint="cs"/>
          <w:sz w:val="26"/>
          <w:szCs w:val="26"/>
          <w:rtl/>
        </w:rPr>
        <w:t>".</w:t>
      </w:r>
    </w:p>
    <w:p w14:paraId="1FC28F7A" w14:textId="77777777" w:rsidR="003236FA" w:rsidRDefault="003236FA">
      <w:pPr>
        <w:rPr>
          <w:rFonts w:hint="cs"/>
          <w:sz w:val="26"/>
          <w:szCs w:val="26"/>
          <w:rtl/>
        </w:rPr>
      </w:pPr>
      <w:r>
        <w:rPr>
          <w:rFonts w:hint="cs"/>
          <w:sz w:val="26"/>
          <w:szCs w:val="26"/>
          <w:rtl/>
        </w:rPr>
        <w:t>מסתבר גם שניסיון טיפולי וניסיון להושיט עזרה לנאשם בעבר נכשל והוא חדל לשתף פעולה עם שירות המבחן בזמנו והמשיך לבצע עבירות. בנסיבות אלה שירות המבחן אינו בא בהמלצה טיפולית לגביו ומסקנתו היא כי: "</w:t>
      </w:r>
      <w:r>
        <w:rPr>
          <w:rFonts w:hint="cs"/>
          <w:b/>
          <w:bCs/>
          <w:sz w:val="26"/>
          <w:szCs w:val="26"/>
          <w:rtl/>
        </w:rPr>
        <w:t>יש מקום להעביר את מלוא האחריות על כתפיו</w:t>
      </w:r>
      <w:r>
        <w:rPr>
          <w:rFonts w:hint="cs"/>
          <w:sz w:val="26"/>
          <w:szCs w:val="26"/>
          <w:rtl/>
        </w:rPr>
        <w:t xml:space="preserve">". </w:t>
      </w:r>
    </w:p>
    <w:p w14:paraId="0606F458" w14:textId="77777777" w:rsidR="003236FA" w:rsidRDefault="003236FA">
      <w:pPr>
        <w:rPr>
          <w:rFonts w:hint="cs"/>
          <w:sz w:val="26"/>
          <w:szCs w:val="26"/>
          <w:rtl/>
        </w:rPr>
      </w:pPr>
    </w:p>
    <w:p w14:paraId="53D89036" w14:textId="77777777" w:rsidR="003236FA" w:rsidRDefault="003236FA">
      <w:pPr>
        <w:rPr>
          <w:rFonts w:hint="cs"/>
          <w:sz w:val="26"/>
          <w:szCs w:val="26"/>
          <w:rtl/>
        </w:rPr>
      </w:pPr>
      <w:r>
        <w:rPr>
          <w:rFonts w:hint="cs"/>
          <w:sz w:val="26"/>
          <w:szCs w:val="26"/>
          <w:rtl/>
        </w:rPr>
        <w:t xml:space="preserve">לאור התסקיר ולאור עברו של הנאשם נראה לי שבשלב בו הוא נמצא כיום הנאשם זקוק לעונש מרתיע, אשר ילמד אותו להכיר בגבולות החוק והנורמות החברתיות. בנסיבות העניין נסוג ההיבט הטיפולי בעניינו בפני האינטרס החברתי להגן על הציבור הרחב מפניו, ובמיוחד בהינתן העבירות בהן הורשע, אשר פוטנציאל הפגיעה הפיסית שבהן גבוה. </w:t>
      </w:r>
    </w:p>
    <w:p w14:paraId="362142F5" w14:textId="77777777" w:rsidR="003236FA" w:rsidRDefault="003236FA">
      <w:pPr>
        <w:rPr>
          <w:rFonts w:hint="cs"/>
          <w:sz w:val="26"/>
          <w:szCs w:val="26"/>
          <w:rtl/>
        </w:rPr>
      </w:pPr>
    </w:p>
    <w:p w14:paraId="35127497" w14:textId="77777777" w:rsidR="003236FA" w:rsidRDefault="003236FA">
      <w:pPr>
        <w:rPr>
          <w:rFonts w:hint="cs"/>
          <w:sz w:val="26"/>
          <w:szCs w:val="26"/>
          <w:rtl/>
        </w:rPr>
      </w:pPr>
      <w:r>
        <w:rPr>
          <w:rFonts w:hint="cs"/>
          <w:sz w:val="26"/>
          <w:szCs w:val="26"/>
          <w:rtl/>
        </w:rPr>
        <w:t>ערה אני לפסיקה שהגישו באי כוח הצדדים. אכן ב</w:t>
      </w:r>
      <w:hyperlink r:id="rId17" w:history="1">
        <w:r w:rsidR="00361F96" w:rsidRPr="00361F96">
          <w:rPr>
            <w:rStyle w:val="Hyperlink"/>
            <w:sz w:val="26"/>
            <w:szCs w:val="26"/>
            <w:rtl/>
          </w:rPr>
          <w:t>ע"פ 7434/08</w:t>
        </w:r>
      </w:hyperlink>
      <w:r>
        <w:rPr>
          <w:rFonts w:hint="cs"/>
          <w:sz w:val="26"/>
          <w:szCs w:val="26"/>
          <w:rtl/>
        </w:rPr>
        <w:t xml:space="preserve"> </w:t>
      </w:r>
      <w:r>
        <w:rPr>
          <w:rFonts w:hint="cs"/>
          <w:b/>
          <w:bCs/>
          <w:sz w:val="26"/>
          <w:szCs w:val="26"/>
          <w:rtl/>
        </w:rPr>
        <w:t>קשקוש נ' מדינת ישראל</w:t>
      </w:r>
      <w:r>
        <w:rPr>
          <w:rFonts w:hint="cs"/>
          <w:sz w:val="26"/>
          <w:szCs w:val="26"/>
          <w:rtl/>
        </w:rPr>
        <w:t xml:space="preserve"> (פורסם במאגר נבו) הטיל בית המשפט 6 שנות מאסר על נאשם שהורשע בעבירות חבלה בכוונה מחמירה ונשיאת נשק וב</w:t>
      </w:r>
      <w:hyperlink r:id="rId18" w:history="1">
        <w:r w:rsidR="00361F96" w:rsidRPr="00361F96">
          <w:rPr>
            <w:rStyle w:val="Hyperlink"/>
            <w:sz w:val="26"/>
            <w:szCs w:val="26"/>
            <w:rtl/>
          </w:rPr>
          <w:t>ע"פ 8498/07</w:t>
        </w:r>
      </w:hyperlink>
      <w:r>
        <w:rPr>
          <w:rFonts w:hint="cs"/>
          <w:sz w:val="26"/>
          <w:szCs w:val="26"/>
          <w:rtl/>
        </w:rPr>
        <w:t xml:space="preserve"> </w:t>
      </w:r>
      <w:r>
        <w:rPr>
          <w:rFonts w:hint="cs"/>
          <w:b/>
          <w:bCs/>
          <w:sz w:val="26"/>
          <w:szCs w:val="26"/>
          <w:rtl/>
        </w:rPr>
        <w:t>רג'בי נ' מדינת ישראל</w:t>
      </w:r>
      <w:r>
        <w:rPr>
          <w:rFonts w:hint="cs"/>
          <w:sz w:val="26"/>
          <w:szCs w:val="26"/>
          <w:rtl/>
        </w:rPr>
        <w:t xml:space="preserve"> (פורסם במאגר נבו) הטיל בית המשפט 4 שנות מאסר בגין ביצוען של עבירות אלו. יחד עם זאת, המעשים שהיו נשוא פרשיות אלה כמו גם תוצאותיהם היו חמורים יותר ממעשיו של הנאשם שבפני אשר בסופו של יום למרבה מזלו, לא גרמו נזק לאלו שלעברם כוון הירי שביצע. </w:t>
      </w:r>
    </w:p>
    <w:p w14:paraId="200F988D" w14:textId="77777777" w:rsidR="003236FA" w:rsidRDefault="003236FA">
      <w:pPr>
        <w:rPr>
          <w:rFonts w:hint="cs"/>
          <w:sz w:val="26"/>
          <w:szCs w:val="26"/>
          <w:rtl/>
        </w:rPr>
      </w:pPr>
      <w:r>
        <w:rPr>
          <w:rFonts w:hint="cs"/>
          <w:sz w:val="26"/>
          <w:szCs w:val="26"/>
          <w:rtl/>
        </w:rPr>
        <w:t>אשר לפסיקה שהתחשבה בנסיבות האינדיבידואליות של הנאשמים, כאמור אין ברקע ובנסיבות של הנאשם כדי להצביע על שיקולים משמעותיים לקולא.</w:t>
      </w:r>
    </w:p>
    <w:p w14:paraId="115C2EF2" w14:textId="77777777" w:rsidR="003236FA" w:rsidRDefault="003236FA">
      <w:pPr>
        <w:rPr>
          <w:rFonts w:hint="cs"/>
          <w:sz w:val="26"/>
          <w:szCs w:val="26"/>
          <w:rtl/>
        </w:rPr>
      </w:pPr>
    </w:p>
    <w:p w14:paraId="1881A59A" w14:textId="77777777" w:rsidR="003236FA" w:rsidRDefault="003236FA">
      <w:pPr>
        <w:rPr>
          <w:rFonts w:hint="cs"/>
          <w:sz w:val="26"/>
          <w:szCs w:val="26"/>
          <w:rtl/>
        </w:rPr>
      </w:pPr>
      <w:r>
        <w:rPr>
          <w:rFonts w:hint="cs"/>
          <w:i/>
          <w:iCs/>
          <w:sz w:val="26"/>
          <w:szCs w:val="26"/>
          <w:rtl/>
        </w:rPr>
        <w:t>5</w:t>
      </w:r>
      <w:r>
        <w:rPr>
          <w:rFonts w:hint="cs"/>
          <w:sz w:val="26"/>
          <w:szCs w:val="26"/>
          <w:rtl/>
        </w:rPr>
        <w:t>.</w:t>
      </w:r>
      <w:r>
        <w:rPr>
          <w:rFonts w:hint="cs"/>
          <w:sz w:val="26"/>
          <w:szCs w:val="26"/>
          <w:rtl/>
        </w:rPr>
        <w:tab/>
        <w:t>אשר על כן אני גוזרת על הנאשם את העונשים הבאים:</w:t>
      </w:r>
    </w:p>
    <w:p w14:paraId="40BAB473" w14:textId="77777777" w:rsidR="003236FA" w:rsidRDefault="003236FA">
      <w:pPr>
        <w:numPr>
          <w:ilvl w:val="0"/>
          <w:numId w:val="2"/>
        </w:numPr>
        <w:rPr>
          <w:rFonts w:hint="cs"/>
          <w:sz w:val="26"/>
          <w:szCs w:val="26"/>
          <w:rtl/>
        </w:rPr>
      </w:pPr>
      <w:r>
        <w:rPr>
          <w:rFonts w:hint="cs"/>
          <w:sz w:val="26"/>
          <w:szCs w:val="26"/>
          <w:rtl/>
        </w:rPr>
        <w:t>מאסר בפועל למשך 30  חודשים שיימנו מיום מעצרו ה-14.9.08.</w:t>
      </w:r>
    </w:p>
    <w:p w14:paraId="55A97FC2" w14:textId="77777777" w:rsidR="003236FA" w:rsidRDefault="003236FA">
      <w:pPr>
        <w:numPr>
          <w:ilvl w:val="0"/>
          <w:numId w:val="2"/>
        </w:numPr>
        <w:rPr>
          <w:rFonts w:hint="cs"/>
          <w:sz w:val="26"/>
          <w:szCs w:val="26"/>
          <w:rtl/>
        </w:rPr>
      </w:pPr>
      <w:r>
        <w:rPr>
          <w:rFonts w:hint="cs"/>
          <w:sz w:val="26"/>
          <w:szCs w:val="26"/>
          <w:rtl/>
        </w:rPr>
        <w:t xml:space="preserve"> 24 חודשי מאסר על תנאי, כאשר התנאי הוא שבמשך שלוש שנים מיום שחרורו ממאסר לא יעבור הנאשם עבירות של ניסיון לחבלה בכוונה מחמירה, נשיאת נשק, ואיומים. </w:t>
      </w:r>
    </w:p>
    <w:p w14:paraId="62972977" w14:textId="77777777" w:rsidR="003236FA" w:rsidRDefault="003236FA">
      <w:pPr>
        <w:numPr>
          <w:ilvl w:val="0"/>
          <w:numId w:val="2"/>
        </w:numPr>
        <w:rPr>
          <w:sz w:val="26"/>
          <w:szCs w:val="26"/>
        </w:rPr>
      </w:pPr>
      <w:r>
        <w:rPr>
          <w:rFonts w:hint="cs"/>
          <w:sz w:val="26"/>
          <w:szCs w:val="26"/>
          <w:rtl/>
        </w:rPr>
        <w:t>שנה מאסר על תנאי, כאשר התנאי הוא שלא יעבור תוך שנתיים מיום שחרורו ממאסר עבירת יריות באזור מגורים.</w:t>
      </w:r>
    </w:p>
    <w:p w14:paraId="5C1E9AF6" w14:textId="77777777" w:rsidR="003236FA" w:rsidRDefault="003236FA">
      <w:pPr>
        <w:numPr>
          <w:ilvl w:val="0"/>
          <w:numId w:val="2"/>
        </w:numPr>
        <w:rPr>
          <w:sz w:val="26"/>
          <w:szCs w:val="26"/>
        </w:rPr>
      </w:pPr>
      <w:r>
        <w:rPr>
          <w:rFonts w:hint="cs"/>
          <w:sz w:val="26"/>
          <w:szCs w:val="26"/>
          <w:rtl/>
        </w:rPr>
        <w:t>קנס כספי בסך 3,000 ₪ או 45 יום מאסר תמורתו. התשלום תוך 30 יום מהיום.</w:t>
      </w:r>
    </w:p>
    <w:p w14:paraId="1D2BBC51" w14:textId="77777777" w:rsidR="00320F37" w:rsidRPr="00320F37" w:rsidRDefault="00320F37">
      <w:pPr>
        <w:rPr>
          <w:color w:val="FFFFFF"/>
          <w:sz w:val="2"/>
          <w:szCs w:val="2"/>
          <w:rtl/>
        </w:rPr>
      </w:pPr>
      <w:bookmarkStart w:id="11" w:name="Decision1"/>
      <w:bookmarkEnd w:id="11"/>
    </w:p>
    <w:p w14:paraId="31E426F3" w14:textId="77777777" w:rsidR="00320F37" w:rsidRPr="00320F37" w:rsidRDefault="00320F37">
      <w:pPr>
        <w:rPr>
          <w:color w:val="FFFFFF"/>
          <w:sz w:val="2"/>
          <w:szCs w:val="2"/>
        </w:rPr>
      </w:pPr>
      <w:r w:rsidRPr="00320F37">
        <w:rPr>
          <w:color w:val="FFFFFF"/>
          <w:sz w:val="2"/>
          <w:szCs w:val="2"/>
          <w:rtl/>
        </w:rPr>
        <w:t>5129371</w:t>
      </w:r>
    </w:p>
    <w:p w14:paraId="18B7029C" w14:textId="77777777" w:rsidR="003236FA" w:rsidRDefault="00320F37">
      <w:pPr>
        <w:rPr>
          <w:sz w:val="28"/>
          <w:szCs w:val="28"/>
        </w:rPr>
      </w:pPr>
      <w:r w:rsidRPr="00320F37">
        <w:rPr>
          <w:color w:val="FFFFFF"/>
          <w:sz w:val="2"/>
          <w:szCs w:val="2"/>
          <w:rtl/>
        </w:rPr>
        <w:t>54678313</w:t>
      </w:r>
    </w:p>
    <w:p w14:paraId="3FEBD557" w14:textId="77777777" w:rsidR="003236FA" w:rsidRDefault="003236FA">
      <w:pPr>
        <w:rPr>
          <w:rFonts w:hint="cs"/>
          <w:b/>
          <w:bCs/>
          <w:sz w:val="28"/>
          <w:szCs w:val="28"/>
          <w:rtl/>
        </w:rPr>
      </w:pPr>
      <w:r>
        <w:rPr>
          <w:rFonts w:hint="cs"/>
          <w:b/>
          <w:bCs/>
          <w:sz w:val="28"/>
          <w:szCs w:val="28"/>
          <w:rtl/>
        </w:rPr>
        <w:t xml:space="preserve">זכות הערעור לבית המשפט העליון תוך 45 יום. </w:t>
      </w:r>
    </w:p>
    <w:p w14:paraId="55644D0F" w14:textId="77777777" w:rsidR="003236FA" w:rsidRDefault="003236FA">
      <w:pPr>
        <w:rPr>
          <w:rFonts w:hint="cs"/>
          <w:sz w:val="28"/>
          <w:szCs w:val="28"/>
          <w:rtl/>
        </w:rPr>
      </w:pPr>
    </w:p>
    <w:p w14:paraId="03ED2C38" w14:textId="77777777" w:rsidR="00320F37" w:rsidRPr="00320F37" w:rsidRDefault="00320F37" w:rsidP="00320F37">
      <w:pPr>
        <w:keepNext/>
        <w:jc w:val="left"/>
        <w:rPr>
          <w:rFonts w:ascii="David" w:hAnsi="David"/>
          <w:color w:val="000000"/>
          <w:sz w:val="22"/>
          <w:szCs w:val="22"/>
          <w:rtl/>
        </w:rPr>
      </w:pPr>
    </w:p>
    <w:p w14:paraId="3CC605CF" w14:textId="77777777" w:rsidR="009A4EE5" w:rsidRPr="009A4EE5" w:rsidRDefault="009A4EE5">
      <w:pPr>
        <w:rPr>
          <w:b/>
          <w:bCs/>
          <w:color w:val="FFFFFF"/>
          <w:sz w:val="2"/>
          <w:szCs w:val="2"/>
          <w:rtl/>
        </w:rPr>
      </w:pPr>
      <w:r w:rsidRPr="009A4EE5">
        <w:rPr>
          <w:b/>
          <w:bCs/>
          <w:color w:val="FFFFFF"/>
          <w:sz w:val="2"/>
          <w:szCs w:val="2"/>
          <w:rtl/>
        </w:rPr>
        <w:t>5129371</w:t>
      </w:r>
    </w:p>
    <w:p w14:paraId="13D9A926" w14:textId="77777777" w:rsidR="009A4EE5" w:rsidRPr="009A4EE5" w:rsidRDefault="009A4EE5" w:rsidP="009A4EE5">
      <w:pPr>
        <w:keepNext/>
        <w:jc w:val="left"/>
        <w:rPr>
          <w:rFonts w:ascii="David" w:hAnsi="David"/>
          <w:color w:val="000000"/>
          <w:sz w:val="22"/>
          <w:szCs w:val="22"/>
          <w:rtl/>
        </w:rPr>
      </w:pPr>
    </w:p>
    <w:p w14:paraId="203ACD34" w14:textId="77777777" w:rsidR="00DA2A6E" w:rsidRPr="00DA2A6E" w:rsidRDefault="00DA2A6E">
      <w:pPr>
        <w:rPr>
          <w:b/>
          <w:bCs/>
          <w:color w:val="FFFFFF"/>
          <w:sz w:val="2"/>
          <w:szCs w:val="2"/>
          <w:rtl/>
        </w:rPr>
      </w:pPr>
    </w:p>
    <w:p w14:paraId="0ADF18CA" w14:textId="77777777" w:rsidR="00DA2A6E" w:rsidRPr="00DA2A6E" w:rsidRDefault="00DA2A6E">
      <w:pPr>
        <w:rPr>
          <w:b/>
          <w:bCs/>
          <w:color w:val="FFFFFF"/>
          <w:sz w:val="2"/>
          <w:szCs w:val="2"/>
          <w:rtl/>
        </w:rPr>
      </w:pPr>
      <w:r w:rsidRPr="00DA2A6E">
        <w:rPr>
          <w:b/>
          <w:bCs/>
          <w:color w:val="FFFFFF"/>
          <w:sz w:val="2"/>
          <w:szCs w:val="2"/>
          <w:rtl/>
        </w:rPr>
        <w:t>5129371</w:t>
      </w:r>
    </w:p>
    <w:p w14:paraId="2BC6A924" w14:textId="77777777" w:rsidR="00DA2A6E" w:rsidRPr="00DA2A6E" w:rsidRDefault="00DA2A6E" w:rsidP="00DA2A6E">
      <w:pPr>
        <w:keepNext/>
        <w:jc w:val="left"/>
        <w:rPr>
          <w:rFonts w:ascii="David" w:hAnsi="David"/>
          <w:color w:val="000000"/>
          <w:sz w:val="22"/>
          <w:szCs w:val="22"/>
          <w:rtl/>
        </w:rPr>
      </w:pPr>
    </w:p>
    <w:p w14:paraId="7F53A6E9" w14:textId="77777777" w:rsidR="00DA2A6E" w:rsidRPr="00DA2A6E" w:rsidRDefault="00DA2A6E" w:rsidP="00DA2A6E">
      <w:pPr>
        <w:keepNext/>
        <w:jc w:val="left"/>
        <w:rPr>
          <w:rFonts w:ascii="David" w:hAnsi="David"/>
          <w:color w:val="000000"/>
          <w:sz w:val="22"/>
          <w:szCs w:val="22"/>
          <w:rtl/>
        </w:rPr>
      </w:pPr>
      <w:r w:rsidRPr="00DA2A6E">
        <w:rPr>
          <w:rFonts w:ascii="David" w:hAnsi="David"/>
          <w:color w:val="000000"/>
          <w:sz w:val="22"/>
          <w:szCs w:val="22"/>
          <w:rtl/>
        </w:rPr>
        <w:t>יהודית שיצר 54678313-50014/08</w:t>
      </w:r>
    </w:p>
    <w:p w14:paraId="47373ADF" w14:textId="77777777" w:rsidR="003236FA" w:rsidRDefault="00DA2A6E">
      <w:pPr>
        <w:rPr>
          <w:rFonts w:hint="cs"/>
          <w:sz w:val="28"/>
          <w:szCs w:val="28"/>
          <w:rtl/>
        </w:rPr>
      </w:pPr>
      <w:r w:rsidRPr="00DA2A6E">
        <w:rPr>
          <w:b/>
          <w:bCs/>
          <w:color w:val="FFFFFF"/>
          <w:sz w:val="2"/>
          <w:szCs w:val="2"/>
          <w:rtl/>
        </w:rPr>
        <w:t>54678313</w:t>
      </w:r>
      <w:r w:rsidR="009A4EE5" w:rsidRPr="009A4EE5">
        <w:rPr>
          <w:b/>
          <w:bCs/>
          <w:color w:val="FFFFFF"/>
          <w:sz w:val="2"/>
          <w:szCs w:val="2"/>
          <w:rtl/>
        </w:rPr>
        <w:t>54678313</w:t>
      </w:r>
      <w:r w:rsidR="00320F37">
        <w:rPr>
          <w:b/>
          <w:bCs/>
          <w:sz w:val="28"/>
          <w:szCs w:val="28"/>
          <w:rtl/>
        </w:rPr>
        <w:t xml:space="preserve">ניתן היום, ב' בחשון, תש"ע (20 באוקטובר 2009), במעמד הנאשם וב"כ הצדדים. </w:t>
      </w:r>
    </w:p>
    <w:tbl>
      <w:tblPr>
        <w:bidiVisual/>
        <w:tblW w:w="0" w:type="auto"/>
        <w:tblInd w:w="6011" w:type="dxa"/>
        <w:tblBorders>
          <w:top w:val="single" w:sz="4" w:space="0" w:color="auto"/>
        </w:tblBorders>
        <w:tblLook w:val="0000" w:firstRow="0" w:lastRow="0" w:firstColumn="0" w:lastColumn="0" w:noHBand="0" w:noVBand="0"/>
      </w:tblPr>
      <w:tblGrid>
        <w:gridCol w:w="2518"/>
      </w:tblGrid>
      <w:tr w:rsidR="003236FA" w14:paraId="4D824F0B" w14:textId="77777777">
        <w:tc>
          <w:tcPr>
            <w:tcW w:w="2518" w:type="dxa"/>
            <w:tcBorders>
              <w:top w:val="single" w:sz="4" w:space="0" w:color="auto"/>
              <w:left w:val="nil"/>
              <w:bottom w:val="nil"/>
              <w:right w:val="nil"/>
            </w:tcBorders>
          </w:tcPr>
          <w:p w14:paraId="2CDA4B2A" w14:textId="77777777" w:rsidR="003236FA" w:rsidRDefault="003236FA">
            <w:pPr>
              <w:jc w:val="center"/>
              <w:rPr>
                <w:b/>
                <w:bCs/>
                <w:szCs w:val="28"/>
              </w:rPr>
            </w:pPr>
            <w:r>
              <w:rPr>
                <w:rFonts w:hint="cs"/>
                <w:b/>
                <w:bCs/>
                <w:szCs w:val="28"/>
                <w:rtl/>
              </w:rPr>
              <w:t>יהודית שיצר,שופטת</w:t>
            </w:r>
          </w:p>
        </w:tc>
      </w:tr>
      <w:tr w:rsidR="003236FA" w14:paraId="15785E3B" w14:textId="77777777">
        <w:tc>
          <w:tcPr>
            <w:tcW w:w="2518" w:type="dxa"/>
            <w:tcBorders>
              <w:top w:val="nil"/>
              <w:left w:val="nil"/>
              <w:bottom w:val="nil"/>
              <w:right w:val="nil"/>
            </w:tcBorders>
          </w:tcPr>
          <w:p w14:paraId="1B1F2919" w14:textId="77777777" w:rsidR="003236FA" w:rsidRDefault="003236FA">
            <w:pPr>
              <w:jc w:val="center"/>
              <w:rPr>
                <w:b/>
                <w:bCs/>
                <w:szCs w:val="28"/>
              </w:rPr>
            </w:pPr>
          </w:p>
        </w:tc>
      </w:tr>
    </w:tbl>
    <w:p w14:paraId="45C3AF1C" w14:textId="77777777" w:rsidR="00320F37" w:rsidRDefault="00320F37" w:rsidP="00320F37">
      <w:pPr>
        <w:jc w:val="left"/>
        <w:rPr>
          <w:rtl/>
        </w:rPr>
      </w:pPr>
      <w:r w:rsidRPr="00320F37">
        <w:rPr>
          <w:color w:val="000000"/>
          <w:rtl/>
        </w:rPr>
        <w:t>נוסח מסמך זה כפוף לשינויי ניסוח ועריכה</w:t>
      </w:r>
    </w:p>
    <w:p w14:paraId="7F21AF6B" w14:textId="77777777" w:rsidR="00320F37" w:rsidRDefault="00320F37" w:rsidP="00320F37">
      <w:pPr>
        <w:jc w:val="left"/>
        <w:rPr>
          <w:rtl/>
        </w:rPr>
      </w:pPr>
    </w:p>
    <w:p w14:paraId="4A538B70" w14:textId="77777777" w:rsidR="00DA2A6E" w:rsidRPr="00DA2A6E" w:rsidRDefault="00320F37" w:rsidP="00DA2A6E">
      <w:pPr>
        <w:jc w:val="left"/>
        <w:rPr>
          <w:color w:val="000000"/>
          <w:u w:val="single"/>
          <w:rtl/>
        </w:rPr>
      </w:pPr>
      <w:r w:rsidRPr="00EF59B6">
        <w:rPr>
          <w:color w:val="000000"/>
          <w:rtl/>
        </w:rPr>
        <w:t>הודעה למנויים על עריכה ושינויים במסמכי פסיקה, חקיקה ועוד באתר נבו - הקש כאן</w:t>
      </w:r>
    </w:p>
    <w:sectPr w:rsidR="00DA2A6E" w:rsidRPr="00DA2A6E" w:rsidSect="00DA2A6E">
      <w:headerReference w:type="even" r:id="rId19"/>
      <w:headerReference w:type="default" r:id="rId20"/>
      <w:footerReference w:type="even" r:id="rId21"/>
      <w:footerReference w:type="default" r:id="rId22"/>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45326" w14:textId="77777777" w:rsidR="007C6EBC" w:rsidRDefault="007C6EBC">
      <w:r>
        <w:separator/>
      </w:r>
    </w:p>
  </w:endnote>
  <w:endnote w:type="continuationSeparator" w:id="0">
    <w:p w14:paraId="654DA075" w14:textId="77777777" w:rsidR="007C6EBC" w:rsidRDefault="007C6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A6F47" w14:textId="77777777" w:rsidR="00FD6F02" w:rsidRDefault="00FD6F02" w:rsidP="00DA2A6E">
    <w:pPr>
      <w:pStyle w:val="a4"/>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221BF041" w14:textId="77777777" w:rsidR="00FD6F02" w:rsidRPr="00DA2A6E" w:rsidRDefault="00FD6F02" w:rsidP="00DA2A6E">
    <w:pPr>
      <w:pStyle w:val="a4"/>
      <w:pBdr>
        <w:top w:val="single" w:sz="4" w:space="1" w:color="auto"/>
        <w:between w:val="single" w:sz="4" w:space="0" w:color="auto"/>
      </w:pBdr>
      <w:spacing w:after="60" w:line="240" w:lineRule="auto"/>
      <w:jc w:val="center"/>
      <w:rPr>
        <w:rFonts w:ascii="FrankRuehl" w:hAnsi="FrankRuehl" w:cs="FrankRuehl"/>
        <w:color w:val="000000"/>
        <w:sz w:val="24"/>
      </w:rPr>
    </w:pPr>
    <w:r w:rsidRPr="00DA2A6E">
      <w:rPr>
        <w:rFonts w:ascii="FrankRuehl" w:hAnsi="FrankRuehl" w:cs="FrankRuehl"/>
        <w:color w:val="00000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75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383EE" w14:textId="77777777" w:rsidR="00FD6F02" w:rsidRDefault="00FD6F02" w:rsidP="00DA2A6E">
    <w:pPr>
      <w:pStyle w:val="a4"/>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4A587F">
      <w:rPr>
        <w:rFonts w:ascii="FrankRuehl" w:hAnsi="FrankRuehl" w:cs="FrankRuehl"/>
        <w:noProof/>
        <w:sz w:val="24"/>
        <w:rtl/>
      </w:rPr>
      <w:t>1</w:t>
    </w:r>
    <w:r>
      <w:rPr>
        <w:rFonts w:ascii="FrankRuehl" w:hAnsi="FrankRuehl" w:cs="FrankRuehl"/>
        <w:sz w:val="24"/>
        <w:rtl/>
      </w:rPr>
      <w:fldChar w:fldCharType="end"/>
    </w:r>
  </w:p>
  <w:p w14:paraId="39091455" w14:textId="77777777" w:rsidR="00FD6F02" w:rsidRPr="00DA2A6E" w:rsidRDefault="00FD6F02" w:rsidP="00DA2A6E">
    <w:pPr>
      <w:pStyle w:val="a4"/>
      <w:pBdr>
        <w:top w:val="single" w:sz="4" w:space="1" w:color="auto"/>
        <w:between w:val="single" w:sz="4" w:space="0" w:color="auto"/>
      </w:pBdr>
      <w:spacing w:after="60" w:line="240" w:lineRule="auto"/>
      <w:jc w:val="center"/>
      <w:rPr>
        <w:rFonts w:ascii="FrankRuehl" w:hAnsi="FrankRuehl" w:cs="FrankRuehl"/>
        <w:color w:val="000000"/>
        <w:sz w:val="24"/>
      </w:rPr>
    </w:pPr>
    <w:r w:rsidRPr="00DA2A6E">
      <w:rPr>
        <w:rFonts w:ascii="FrankRuehl" w:hAnsi="FrankRuehl" w:cs="FrankRuehl"/>
        <w:color w:val="000000"/>
        <w:sz w:val="24"/>
      </w:rPr>
      <w:pict w14:anchorId="7A6CC9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5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42AF0" w14:textId="77777777" w:rsidR="007C6EBC" w:rsidRDefault="007C6EBC">
      <w:r>
        <w:separator/>
      </w:r>
    </w:p>
  </w:footnote>
  <w:footnote w:type="continuationSeparator" w:id="0">
    <w:p w14:paraId="0A140280" w14:textId="77777777" w:rsidR="007C6EBC" w:rsidRDefault="007C6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6429" w14:textId="77777777" w:rsidR="00FD6F02" w:rsidRPr="00DA2A6E" w:rsidRDefault="00FD6F02" w:rsidP="00DA2A6E">
    <w:pPr>
      <w:pStyle w:val="a3"/>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(ת"א) 50014/08 </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6CE2D" w14:textId="77777777" w:rsidR="00FD6F02" w:rsidRPr="00DA2A6E" w:rsidRDefault="00FD6F02" w:rsidP="00DA2A6E">
    <w:pPr>
      <w:pStyle w:val="a3"/>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(ת"א) 50014/08 </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6774C"/>
    <w:multiLevelType w:val="hybridMultilevel"/>
    <w:tmpl w:val="A9604416"/>
    <w:lvl w:ilvl="0" w:tplc="0178D8DA">
      <w:start w:val="1"/>
      <w:numFmt w:val="hebrew1"/>
      <w:lvlText w:val="%1."/>
      <w:lvlJc w:val="left"/>
      <w:pPr>
        <w:tabs>
          <w:tab w:val="num" w:pos="720"/>
        </w:tabs>
        <w:ind w:left="720" w:hanging="360"/>
      </w:pPr>
    </w:lvl>
    <w:lvl w:ilvl="1" w:tplc="040D0019">
      <w:start w:val="1"/>
      <w:numFmt w:val="decimal"/>
      <w:lvlText w:val="%2."/>
      <w:lvlJc w:val="left"/>
      <w:pPr>
        <w:tabs>
          <w:tab w:val="num" w:pos="1440"/>
        </w:tabs>
        <w:ind w:left="1440" w:hanging="360"/>
      </w:pPr>
    </w:lvl>
    <w:lvl w:ilvl="2" w:tplc="040D001B">
      <w:start w:val="1"/>
      <w:numFmt w:val="decimal"/>
      <w:lvlText w:val="%3."/>
      <w:lvlJc w:val="left"/>
      <w:pPr>
        <w:tabs>
          <w:tab w:val="num" w:pos="2160"/>
        </w:tabs>
        <w:ind w:left="2160" w:hanging="360"/>
      </w:pPr>
    </w:lvl>
    <w:lvl w:ilvl="3" w:tplc="040D000F">
      <w:start w:val="1"/>
      <w:numFmt w:val="decimal"/>
      <w:lvlText w:val="%4."/>
      <w:lvlJc w:val="left"/>
      <w:pPr>
        <w:tabs>
          <w:tab w:val="num" w:pos="2880"/>
        </w:tabs>
        <w:ind w:left="2880" w:hanging="360"/>
      </w:pPr>
    </w:lvl>
    <w:lvl w:ilvl="4" w:tplc="040D0019">
      <w:start w:val="1"/>
      <w:numFmt w:val="decimal"/>
      <w:lvlText w:val="%5."/>
      <w:lvlJc w:val="left"/>
      <w:pPr>
        <w:tabs>
          <w:tab w:val="num" w:pos="3600"/>
        </w:tabs>
        <w:ind w:left="3600" w:hanging="360"/>
      </w:pPr>
    </w:lvl>
    <w:lvl w:ilvl="5" w:tplc="040D001B">
      <w:start w:val="1"/>
      <w:numFmt w:val="decimal"/>
      <w:lvlText w:val="%6."/>
      <w:lvlJc w:val="left"/>
      <w:pPr>
        <w:tabs>
          <w:tab w:val="num" w:pos="4320"/>
        </w:tabs>
        <w:ind w:left="4320" w:hanging="360"/>
      </w:pPr>
    </w:lvl>
    <w:lvl w:ilvl="6" w:tplc="040D000F">
      <w:start w:val="1"/>
      <w:numFmt w:val="decimal"/>
      <w:lvlText w:val="%7."/>
      <w:lvlJc w:val="left"/>
      <w:pPr>
        <w:tabs>
          <w:tab w:val="num" w:pos="5040"/>
        </w:tabs>
        <w:ind w:left="5040" w:hanging="360"/>
      </w:pPr>
    </w:lvl>
    <w:lvl w:ilvl="7" w:tplc="040D0019">
      <w:start w:val="1"/>
      <w:numFmt w:val="decimal"/>
      <w:lvlText w:val="%8."/>
      <w:lvlJc w:val="left"/>
      <w:pPr>
        <w:tabs>
          <w:tab w:val="num" w:pos="5760"/>
        </w:tabs>
        <w:ind w:left="5760" w:hanging="360"/>
      </w:pPr>
    </w:lvl>
    <w:lvl w:ilvl="8" w:tplc="040D001B">
      <w:start w:val="1"/>
      <w:numFmt w:val="decimal"/>
      <w:lvlText w:val="%9."/>
      <w:lvlJc w:val="left"/>
      <w:pPr>
        <w:tabs>
          <w:tab w:val="num" w:pos="6480"/>
        </w:tabs>
        <w:ind w:left="6480" w:hanging="360"/>
      </w:pPr>
    </w:lvl>
  </w:abstractNum>
  <w:num w:numId="1" w16cid:durableId="1409420550">
    <w:abstractNumId w:val="0"/>
  </w:num>
  <w:num w:numId="2" w16cid:durableId="13508361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3236FA"/>
    <w:rsid w:val="00173EF9"/>
    <w:rsid w:val="00320F37"/>
    <w:rsid w:val="003236FA"/>
    <w:rsid w:val="00361F96"/>
    <w:rsid w:val="0039020F"/>
    <w:rsid w:val="003B0313"/>
    <w:rsid w:val="003B5FCD"/>
    <w:rsid w:val="004A587F"/>
    <w:rsid w:val="007C6EBC"/>
    <w:rsid w:val="009A4EE5"/>
    <w:rsid w:val="009B63D8"/>
    <w:rsid w:val="00C0501C"/>
    <w:rsid w:val="00DA2A6E"/>
    <w:rsid w:val="00EF59B6"/>
    <w:rsid w:val="00FD6F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9067924"/>
  <w15:chartTrackingRefBased/>
  <w15:docId w15:val="{B4FE4FEF-2D21-4280-A363-F2E9B19A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spacing w:line="360" w:lineRule="auto"/>
      <w:jc w:val="both"/>
    </w:pPr>
    <w:rPr>
      <w:rFonts w:cs="David"/>
      <w:szCs w:val="24"/>
    </w:rPr>
  </w:style>
  <w:style w:type="paragraph" w:styleId="1">
    <w:name w:val="heading 1"/>
    <w:basedOn w:val="a"/>
    <w:next w:val="a"/>
    <w:qFormat/>
    <w:pPr>
      <w:keepNext/>
      <w:jc w:val="center"/>
      <w:outlineLvl w:val="0"/>
    </w:pPr>
    <w:rPr>
      <w:b/>
      <w:bCs/>
      <w:sz w:val="32"/>
      <w:szCs w:val="32"/>
      <w:u w:val="single"/>
    </w:rPr>
  </w:style>
  <w:style w:type="paragraph" w:styleId="2">
    <w:name w:val="heading 2"/>
    <w:basedOn w:val="a"/>
    <w:next w:val="a"/>
    <w:qFormat/>
    <w:pPr>
      <w:keepNext/>
      <w:snapToGrid w:val="0"/>
      <w:spacing w:before="240" w:after="60"/>
      <w:jc w:val="center"/>
      <w:outlineLvl w:val="1"/>
    </w:pPr>
    <w:rPr>
      <w:rFonts w:ascii="Arial"/>
      <w:b/>
      <w:bCs/>
      <w:sz w:val="24"/>
      <w:szCs w:val="28"/>
      <w:u w:val="single"/>
    </w:rPr>
  </w:style>
  <w:style w:type="paragraph" w:styleId="3">
    <w:name w:val="heading 3"/>
    <w:basedOn w:val="a"/>
    <w:next w:val="a"/>
    <w:qFormat/>
    <w:pPr>
      <w:keepNext/>
      <w:outlineLvl w:val="2"/>
    </w:pPr>
    <w:rPr>
      <w:b/>
      <w:bCs/>
    </w:rPr>
  </w:style>
  <w:style w:type="paragraph" w:styleId="4">
    <w:name w:val="heading 4"/>
    <w:basedOn w:val="a"/>
    <w:next w:val="a"/>
    <w:qFormat/>
    <w:pPr>
      <w:keepNext/>
      <w:outlineLvl w:val="3"/>
    </w:pPr>
    <w:rPr>
      <w:b/>
      <w:bCs/>
      <w:sz w:val="26"/>
      <w:szCs w:val="26"/>
      <w:u w:val="single"/>
    </w:rPr>
  </w:style>
  <w:style w:type="paragraph" w:styleId="5">
    <w:name w:val="heading 5"/>
    <w:basedOn w:val="a"/>
    <w:next w:val="a"/>
    <w:qFormat/>
    <w:pPr>
      <w:keepNext/>
      <w:outlineLvl w:val="4"/>
    </w:pPr>
    <w:rPr>
      <w:sz w:val="26"/>
      <w:szCs w:val="26"/>
      <w:u w:val="single"/>
    </w:rPr>
  </w:style>
  <w:style w:type="paragraph" w:styleId="6">
    <w:name w:val="heading 6"/>
    <w:basedOn w:val="a"/>
    <w:next w:val="a"/>
    <w:qFormat/>
    <w:pPr>
      <w:keepNext/>
      <w:outlineLvl w:val="5"/>
    </w:pPr>
    <w:rPr>
      <w:b/>
      <w:bCs/>
      <w:u w:val="singl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snapToGrid w:val="0"/>
    </w:pPr>
  </w:style>
  <w:style w:type="paragraph" w:styleId="a4">
    <w:name w:val="footer"/>
    <w:basedOn w:val="a"/>
    <w:pPr>
      <w:tabs>
        <w:tab w:val="center" w:pos="4153"/>
        <w:tab w:val="right" w:pos="8306"/>
      </w:tabs>
      <w:snapToGrid w:val="0"/>
    </w:pPr>
    <w:rPr>
      <w:sz w:val="22"/>
    </w:rPr>
  </w:style>
  <w:style w:type="paragraph" w:styleId="a5">
    <w:name w:val="Body Text"/>
    <w:basedOn w:val="a"/>
    <w:pPr>
      <w:spacing w:line="240" w:lineRule="auto"/>
      <w:jc w:val="left"/>
    </w:pPr>
    <w:rPr>
      <w:sz w:val="24"/>
      <w:szCs w:val="28"/>
    </w:rPr>
  </w:style>
  <w:style w:type="paragraph" w:customStyle="1" w:styleId="10">
    <w:name w:val="רגיל1"/>
    <w:pPr>
      <w:bidi/>
      <w:snapToGrid w:val="0"/>
    </w:pPr>
    <w:rPr>
      <w:rFonts w:cs="David"/>
      <w:szCs w:val="24"/>
    </w:rPr>
  </w:style>
  <w:style w:type="paragraph" w:customStyle="1" w:styleId="a6">
    <w:name w:val="שמות"/>
    <w:basedOn w:val="a"/>
    <w:pPr>
      <w:suppressLineNumbers/>
      <w:snapToGrid w:val="0"/>
    </w:pPr>
    <w:rPr>
      <w:b/>
      <w:bCs/>
      <w:sz w:val="22"/>
    </w:rPr>
  </w:style>
  <w:style w:type="paragraph" w:customStyle="1" w:styleId="11">
    <w:name w:val="חתימה1"/>
    <w:basedOn w:val="2"/>
    <w:pPr>
      <w:suppressLineNumbers/>
    </w:pPr>
    <w:rPr>
      <w:rFonts w:hAnsi="Arial"/>
      <w:bCs w:val="0"/>
      <w:szCs w:val="24"/>
    </w:rPr>
  </w:style>
  <w:style w:type="paragraph" w:customStyle="1" w:styleId="a7">
    <w:name w:val="החלטה"/>
    <w:basedOn w:val="10"/>
    <w:pPr>
      <w:suppressLineNumbers/>
    </w:pPr>
    <w:rPr>
      <w:bCs/>
    </w:rPr>
  </w:style>
  <w:style w:type="paragraph" w:customStyle="1" w:styleId="a8">
    <w:name w:val="חקירה"/>
    <w:basedOn w:val="10"/>
    <w:pPr>
      <w:suppressLineNumbers/>
    </w:pPr>
  </w:style>
  <w:style w:type="character" w:styleId="a9">
    <w:name w:val="page number"/>
    <w:rPr>
      <w:rFonts w:cs="David"/>
    </w:rPr>
  </w:style>
  <w:style w:type="character" w:styleId="Hyperlink">
    <w:name w:val="Hyperlink"/>
    <w:rsid w:val="00320F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5847838"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329.a.2" TargetMode="External"/><Relationship Id="rId17" Type="http://schemas.openxmlformats.org/officeDocument/2006/relationships/hyperlink" Target="http://www.nevo.co.il/case/6103745" TargetMode="External"/><Relationship Id="rId2" Type="http://schemas.openxmlformats.org/officeDocument/2006/relationships/styles" Target="styles.xml"/><Relationship Id="rId16" Type="http://schemas.openxmlformats.org/officeDocument/2006/relationships/hyperlink" Target="http://www.nevo.co.il/law/70301/192"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0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340a" TargetMode="External"/><Relationship Id="rId23" Type="http://schemas.openxmlformats.org/officeDocument/2006/relationships/fontTable" Target="fontTable.xml"/><Relationship Id="rId10" Type="http://schemas.openxmlformats.org/officeDocument/2006/relationships/hyperlink" Target="http://www.nevo.co.il/law/70301/329.a.2"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92" TargetMode="External"/><Relationship Id="rId14" Type="http://schemas.openxmlformats.org/officeDocument/2006/relationships/hyperlink" Target="http://www.nevo.co.il/law/70301/144.b"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1164</Words>
  <Characters>5821</Characters>
  <Application>Microsoft Office Word</Application>
  <DocSecurity>0</DocSecurity>
  <Lines>48</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6972</CharactersWithSpaces>
  <SharedDoc>false</SharedDoc>
  <HLinks>
    <vt:vector size="72" baseType="variant">
      <vt:variant>
        <vt:i4>3211384</vt:i4>
      </vt:variant>
      <vt:variant>
        <vt:i4>33</vt:i4>
      </vt:variant>
      <vt:variant>
        <vt:i4>0</vt:i4>
      </vt:variant>
      <vt:variant>
        <vt:i4>5</vt:i4>
      </vt:variant>
      <vt:variant>
        <vt:lpwstr>http://www.nevo.co.il/case/5847838</vt:lpwstr>
      </vt:variant>
      <vt:variant>
        <vt:lpwstr/>
      </vt:variant>
      <vt:variant>
        <vt:i4>3407986</vt:i4>
      </vt:variant>
      <vt:variant>
        <vt:i4>30</vt:i4>
      </vt:variant>
      <vt:variant>
        <vt:i4>0</vt:i4>
      </vt:variant>
      <vt:variant>
        <vt:i4>5</vt:i4>
      </vt:variant>
      <vt:variant>
        <vt:lpwstr>http://www.nevo.co.il/case/6103745</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86</vt:i4>
      </vt:variant>
      <vt:variant>
        <vt:i4>24</vt:i4>
      </vt:variant>
      <vt:variant>
        <vt:i4>0</vt:i4>
      </vt:variant>
      <vt:variant>
        <vt:i4>5</vt:i4>
      </vt:variant>
      <vt:variant>
        <vt:lpwstr>http://www.nevo.co.il/law/70301/340a</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7995492</vt:i4>
      </vt:variant>
      <vt:variant>
        <vt:i4>18</vt:i4>
      </vt:variant>
      <vt:variant>
        <vt:i4>0</vt:i4>
      </vt:variant>
      <vt:variant>
        <vt:i4>5</vt:i4>
      </vt:variant>
      <vt:variant>
        <vt:lpwstr>http://www.nevo.co.il/law/70301</vt:lpwstr>
      </vt:variant>
      <vt:variant>
        <vt:lpwstr/>
      </vt:variant>
      <vt:variant>
        <vt:i4>6750270</vt:i4>
      </vt:variant>
      <vt:variant>
        <vt:i4>15</vt:i4>
      </vt:variant>
      <vt:variant>
        <vt:i4>0</vt:i4>
      </vt:variant>
      <vt:variant>
        <vt:i4>5</vt:i4>
      </vt:variant>
      <vt:variant>
        <vt:lpwstr>http://www.nevo.co.il/law/70301/329.a.2</vt:lpwstr>
      </vt:variant>
      <vt:variant>
        <vt:lpwstr/>
      </vt:variant>
      <vt:variant>
        <vt:i4>86</vt:i4>
      </vt:variant>
      <vt:variant>
        <vt:i4>12</vt:i4>
      </vt:variant>
      <vt:variant>
        <vt:i4>0</vt:i4>
      </vt:variant>
      <vt:variant>
        <vt:i4>5</vt:i4>
      </vt:variant>
      <vt:variant>
        <vt:lpwstr>http://www.nevo.co.il/law/70301/340a</vt:lpwstr>
      </vt:variant>
      <vt:variant>
        <vt:lpwstr/>
      </vt:variant>
      <vt:variant>
        <vt:i4>6750270</vt:i4>
      </vt:variant>
      <vt:variant>
        <vt:i4>9</vt:i4>
      </vt:variant>
      <vt:variant>
        <vt:i4>0</vt:i4>
      </vt:variant>
      <vt:variant>
        <vt:i4>5</vt:i4>
      </vt:variant>
      <vt:variant>
        <vt:lpwstr>http://www.nevo.co.il/law/70301/329.a.2</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Shahar Goldstein</dc:creator>
  <cp:keywords/>
  <cp:lastModifiedBy>ליאור קובי</cp:lastModifiedBy>
  <cp:revision>2</cp:revision>
  <cp:lastPrinted>2009-10-20T11:43:00Z</cp:lastPrinted>
  <dcterms:created xsi:type="dcterms:W3CDTF">2024-01-08T13:46:00Z</dcterms:created>
  <dcterms:modified xsi:type="dcterms:W3CDTF">2024-01-08T13:46:00Z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PROCESS">
    <vt:lpwstr>תפ</vt:lpwstr>
  </property>
  <property fmtid="{D5CDD505-2E9C-101B-9397-08002B2CF9AE}" pid="5" name="PROCNUM">
    <vt:lpwstr>50014</vt:lpwstr>
  </property>
  <property fmtid="{D5CDD505-2E9C-101B-9397-08002B2CF9AE}" pid="6" name="PROCYEAR">
    <vt:lpwstr>08</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רחל חזן;צבי אבנון</vt:lpwstr>
  </property>
  <property fmtid="{D5CDD505-2E9C-101B-9397-08002B2CF9AE}" pid="10" name="JUDGE">
    <vt:lpwstr>יהודית שיצר</vt:lpwstr>
  </property>
  <property fmtid="{D5CDD505-2E9C-101B-9397-08002B2CF9AE}" pid="11" name="CITY">
    <vt:lpwstr>ת"א</vt:lpwstr>
  </property>
  <property fmtid="{D5CDD505-2E9C-101B-9397-08002B2CF9AE}" pid="12" name="DATE">
    <vt:lpwstr>20091020</vt:lpwstr>
  </property>
  <property fmtid="{D5CDD505-2E9C-101B-9397-08002B2CF9AE}" pid="13" name="TYPE_N_DATE">
    <vt:lpwstr>39020091020</vt:lpwstr>
  </property>
  <property fmtid="{D5CDD505-2E9C-101B-9397-08002B2CF9AE}" pid="14" name="WORDNUMPAGES">
    <vt:lpwstr>4</vt:lpwstr>
  </property>
  <property fmtid="{D5CDD505-2E9C-101B-9397-08002B2CF9AE}" pid="15" name="TYPE_ABS_DATE">
    <vt:lpwstr>390020091020</vt:lpwstr>
  </property>
  <property fmtid="{D5CDD505-2E9C-101B-9397-08002B2CF9AE}" pid="16" name="RemarkFileName">
    <vt:lpwstr>mechozi m08050014 189 htm</vt:lpwstr>
  </property>
  <property fmtid="{D5CDD505-2E9C-101B-9397-08002B2CF9AE}" pid="17" name="ISABSTRACT">
    <vt:lpwstr>Y</vt:lpwstr>
  </property>
  <property fmtid="{D5CDD505-2E9C-101B-9397-08002B2CF9AE}" pid="18" name="VOLUME">
    <vt:lpwstr/>
  </property>
  <property fmtid="{D5CDD505-2E9C-101B-9397-08002B2CF9AE}" pid="19" name="PART">
    <vt:lpwstr/>
  </property>
  <property fmtid="{D5CDD505-2E9C-101B-9397-08002B2CF9AE}" pid="20" name="PAGE">
    <vt:lpwstr/>
  </property>
  <property fmtid="{D5CDD505-2E9C-101B-9397-08002B2CF9AE}" pid="21" name="PADIMAIL">
    <vt:lpwstr/>
  </property>
  <property fmtid="{D5CDD505-2E9C-101B-9397-08002B2CF9AE}" pid="22" name="DELEMATA">
    <vt:lpwstr/>
  </property>
  <property fmtid="{D5CDD505-2E9C-101B-9397-08002B2CF9AE}" pid="23" name="LINKK1">
    <vt:lpwstr/>
  </property>
  <property fmtid="{D5CDD505-2E9C-101B-9397-08002B2CF9AE}" pid="24" name="LINKK2">
    <vt:lpwstr/>
  </property>
  <property fmtid="{D5CDD505-2E9C-101B-9397-08002B2CF9AE}" pid="25" name="LINKK3">
    <vt:lpwstr/>
  </property>
  <property fmtid="{D5CDD505-2E9C-101B-9397-08002B2CF9AE}" pid="26" name="LINKK4">
    <vt:lpwstr/>
  </property>
  <property fmtid="{D5CDD505-2E9C-101B-9397-08002B2CF9AE}" pid="27" name="LINKK5">
    <vt:lpwstr/>
  </property>
  <property fmtid="{D5CDD505-2E9C-101B-9397-08002B2CF9AE}" pid="28" name="LINKK6">
    <vt:lpwstr/>
  </property>
  <property fmtid="{D5CDD505-2E9C-101B-9397-08002B2CF9AE}" pid="29" name="LINKK7">
    <vt:lpwstr/>
  </property>
  <property fmtid="{D5CDD505-2E9C-101B-9397-08002B2CF9AE}" pid="30" name="LINKK8">
    <vt:lpwstr/>
  </property>
  <property fmtid="{D5CDD505-2E9C-101B-9397-08002B2CF9AE}" pid="31" name="LINKK9">
    <vt:lpwstr/>
  </property>
  <property fmtid="{D5CDD505-2E9C-101B-9397-08002B2CF9AE}" pid="32" name="LINKK10">
    <vt:lpwstr/>
  </property>
  <property fmtid="{D5CDD505-2E9C-101B-9397-08002B2CF9AE}" pid="33" name="LINKK11">
    <vt:lpwstr/>
  </property>
  <property fmtid="{D5CDD505-2E9C-101B-9397-08002B2CF9AE}" pid="34" name="LINKK12">
    <vt:lpwstr/>
  </property>
  <property fmtid="{D5CDD505-2E9C-101B-9397-08002B2CF9AE}" pid="35" name="NEWPROC">
    <vt:lpwstr/>
  </property>
  <property fmtid="{D5CDD505-2E9C-101B-9397-08002B2CF9AE}" pid="36" name="NEWPARTA">
    <vt:lpwstr/>
  </property>
  <property fmtid="{D5CDD505-2E9C-101B-9397-08002B2CF9AE}" pid="37" name="NEWPARTB">
    <vt:lpwstr/>
  </property>
  <property fmtid="{D5CDD505-2E9C-101B-9397-08002B2CF9AE}" pid="38" name="NEWPARTC">
    <vt:lpwstr/>
  </property>
  <property fmtid="{D5CDD505-2E9C-101B-9397-08002B2CF9AE}" pid="39" name="APPELLANT1">
    <vt:lpwstr/>
  </property>
  <property fmtid="{D5CDD505-2E9C-101B-9397-08002B2CF9AE}" pid="40" name="APPELLANT2">
    <vt:lpwstr/>
  </property>
  <property fmtid="{D5CDD505-2E9C-101B-9397-08002B2CF9AE}" pid="41" name="APPELLEE1">
    <vt:lpwstr/>
  </property>
  <property fmtid="{D5CDD505-2E9C-101B-9397-08002B2CF9AE}" pid="42" name="APPELLEE2">
    <vt:lpwstr/>
  </property>
  <property fmtid="{D5CDD505-2E9C-101B-9397-08002B2CF9AE}" pid="43" name="CASESLISTTMP1">
    <vt:lpwstr>6103745;5847838</vt:lpwstr>
  </property>
  <property fmtid="{D5CDD505-2E9C-101B-9397-08002B2CF9AE}" pid="44" name="LAWLISTTMP1">
    <vt:lpwstr>70301/329.a.2;144.b;340a;192</vt:lpwstr>
  </property>
</Properties>
</file>