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023E96" w:rsidRPr="009436F6" w14:paraId="0EC6253B" w14:textId="77777777">
        <w:trPr>
          <w:trHeight w:hRule="exact" w:val="418"/>
          <w:jc w:val="center"/>
        </w:trPr>
        <w:tc>
          <w:tcPr>
            <w:tcW w:w="8721" w:type="dxa"/>
            <w:gridSpan w:val="2"/>
          </w:tcPr>
          <w:p w14:paraId="70F8AB07" w14:textId="77777777" w:rsidR="00023E96" w:rsidRPr="009436F6" w:rsidRDefault="009436F6">
            <w:pPr>
              <w:pStyle w:val="a3"/>
              <w:jc w:val="center"/>
              <w:rPr>
                <w:rFonts w:ascii="Arial" w:hAnsi="Arial" w:cs="Arial"/>
                <w:b/>
                <w:bCs/>
                <w:color w:val="000080"/>
                <w:rtl/>
              </w:rPr>
            </w:pPr>
            <w:r w:rsidRPr="009436F6">
              <w:rPr>
                <w:rFonts w:ascii="Arial" w:hAnsi="Arial" w:cs="Arial"/>
                <w:b/>
                <w:bCs/>
                <w:color w:val="000080"/>
                <w:rtl/>
              </w:rPr>
              <w:t>בית המשפט המחוזי בבאר שבע</w:t>
            </w:r>
          </w:p>
        </w:tc>
      </w:tr>
      <w:tr w:rsidR="00023E96" w:rsidRPr="009436F6" w14:paraId="3AE63076" w14:textId="77777777">
        <w:trPr>
          <w:trHeight w:val="337"/>
          <w:jc w:val="center"/>
        </w:trPr>
        <w:tc>
          <w:tcPr>
            <w:tcW w:w="5044" w:type="dxa"/>
          </w:tcPr>
          <w:p w14:paraId="628EFB4F" w14:textId="77777777" w:rsidR="00023E96" w:rsidRPr="009436F6" w:rsidRDefault="009436F6">
            <w:pPr>
              <w:rPr>
                <w:rFonts w:ascii="Arial" w:hAnsi="Arial" w:cs="Arial"/>
                <w:b/>
                <w:bCs/>
                <w:rtl/>
              </w:rPr>
            </w:pPr>
            <w:r w:rsidRPr="009436F6">
              <w:rPr>
                <w:rFonts w:ascii="Arial" w:hAnsi="Arial" w:cs="Arial"/>
                <w:b/>
                <w:bCs/>
                <w:rtl/>
              </w:rPr>
              <w:t>בפני כב' ההרכב:</w:t>
            </w:r>
          </w:p>
          <w:p w14:paraId="224BEC5A" w14:textId="77777777" w:rsidR="00023E96" w:rsidRPr="009436F6" w:rsidRDefault="009436F6">
            <w:pPr>
              <w:rPr>
                <w:rFonts w:ascii="Arial" w:hAnsi="Arial" w:cs="Arial"/>
                <w:b/>
                <w:bCs/>
                <w:rtl/>
              </w:rPr>
            </w:pPr>
            <w:r w:rsidRPr="009436F6">
              <w:rPr>
                <w:rFonts w:ascii="Arial" w:hAnsi="Arial" w:cs="Arial"/>
                <w:b/>
                <w:bCs/>
                <w:rtl/>
              </w:rPr>
              <w:t>כב' השופטת רויטל יפה-כ"ץ- ס. נשיא- אב"ד</w:t>
            </w:r>
          </w:p>
          <w:p w14:paraId="55B70CB0" w14:textId="77777777" w:rsidR="00023E96" w:rsidRPr="009436F6" w:rsidRDefault="009436F6">
            <w:pPr>
              <w:rPr>
                <w:rFonts w:ascii="Arial" w:hAnsi="Arial" w:cs="Arial"/>
                <w:b/>
                <w:bCs/>
                <w:rtl/>
              </w:rPr>
            </w:pPr>
            <w:r w:rsidRPr="009436F6">
              <w:rPr>
                <w:rFonts w:ascii="Arial" w:hAnsi="Arial" w:cs="Arial"/>
                <w:b/>
                <w:bCs/>
                <w:rtl/>
              </w:rPr>
              <w:t>כב' השופט אריאל ואגו</w:t>
            </w:r>
          </w:p>
          <w:p w14:paraId="6A6EAD87" w14:textId="77777777" w:rsidR="00023E96" w:rsidRPr="009436F6" w:rsidRDefault="009436F6">
            <w:pPr>
              <w:rPr>
                <w:rFonts w:ascii="Arial" w:hAnsi="Arial" w:cs="Arial"/>
                <w:b/>
                <w:bCs/>
              </w:rPr>
            </w:pPr>
            <w:r w:rsidRPr="009436F6">
              <w:rPr>
                <w:rFonts w:ascii="Arial" w:hAnsi="Arial" w:cs="Arial"/>
                <w:b/>
                <w:bCs/>
                <w:rtl/>
              </w:rPr>
              <w:t xml:space="preserve">כב' השופט יורם צלקובניק </w:t>
            </w:r>
          </w:p>
        </w:tc>
        <w:tc>
          <w:tcPr>
            <w:tcW w:w="3677" w:type="dxa"/>
          </w:tcPr>
          <w:p w14:paraId="3303FBF8" w14:textId="77777777" w:rsidR="00023E96" w:rsidRPr="009436F6" w:rsidRDefault="009436F6">
            <w:pPr>
              <w:rPr>
                <w:rFonts w:ascii="Arial" w:hAnsi="Arial" w:cs="Arial"/>
                <w:b/>
                <w:bCs/>
              </w:rPr>
            </w:pPr>
            <w:r w:rsidRPr="009436F6">
              <w:rPr>
                <w:rFonts w:ascii="Arial" w:hAnsi="Arial" w:cs="Arial"/>
                <w:b/>
                <w:bCs/>
                <w:rtl/>
              </w:rPr>
              <w:t xml:space="preserve">                        </w:t>
            </w:r>
            <w:r w:rsidRPr="009436F6">
              <w:rPr>
                <w:rFonts w:ascii="Arial" w:hAnsi="Arial" w:cs="Arial"/>
                <w:b/>
                <w:bCs/>
                <w:sz w:val="28"/>
                <w:szCs w:val="28"/>
                <w:rtl/>
              </w:rPr>
              <w:t xml:space="preserve">תפ"ח 1010-09 </w:t>
            </w:r>
          </w:p>
        </w:tc>
      </w:tr>
    </w:tbl>
    <w:p w14:paraId="2BDDF0C4" w14:textId="77777777" w:rsidR="00023E96" w:rsidRPr="009436F6" w:rsidRDefault="009436F6">
      <w:pPr>
        <w:pStyle w:val="a3"/>
        <w:rPr>
          <w:rFonts w:ascii="Arial" w:hAnsi="Arial" w:cs="Arial"/>
          <w:b/>
          <w:bCs/>
          <w:rtl/>
        </w:rPr>
      </w:pPr>
      <w:bookmarkStart w:id="0" w:name="LastJudge"/>
      <w:bookmarkEnd w:id="0"/>
      <w:r w:rsidRPr="009436F6">
        <w:rPr>
          <w:rFonts w:ascii="Arial" w:hAnsi="Arial" w:cs="Arial"/>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3E96" w:rsidRPr="009436F6" w14:paraId="6A26E039" w14:textId="77777777">
        <w:trPr>
          <w:trHeight w:val="355"/>
          <w:jc w:val="center"/>
        </w:trPr>
        <w:tc>
          <w:tcPr>
            <w:tcW w:w="923" w:type="dxa"/>
            <w:tcBorders>
              <w:top w:val="nil"/>
              <w:left w:val="nil"/>
              <w:bottom w:val="nil"/>
              <w:right w:val="nil"/>
            </w:tcBorders>
          </w:tcPr>
          <w:p w14:paraId="7C6A5722" w14:textId="77777777" w:rsidR="00023E96" w:rsidRPr="009436F6" w:rsidRDefault="009436F6">
            <w:pPr>
              <w:jc w:val="both"/>
              <w:rPr>
                <w:rFonts w:ascii="Arial" w:hAnsi="Arial" w:cs="Arial"/>
                <w:sz w:val="28"/>
                <w:szCs w:val="28"/>
              </w:rPr>
            </w:pPr>
            <w:bookmarkStart w:id="1" w:name="FirstAppellant"/>
            <w:r w:rsidRPr="009436F6">
              <w:rPr>
                <w:rFonts w:ascii="Arial" w:hAnsi="Arial" w:cs="Arial"/>
                <w:sz w:val="28"/>
                <w:szCs w:val="28"/>
                <w:rtl/>
              </w:rPr>
              <w:t>בעניין:</w:t>
            </w:r>
          </w:p>
        </w:tc>
        <w:tc>
          <w:tcPr>
            <w:tcW w:w="4126" w:type="dxa"/>
            <w:tcBorders>
              <w:top w:val="nil"/>
              <w:left w:val="nil"/>
              <w:bottom w:val="nil"/>
              <w:right w:val="nil"/>
            </w:tcBorders>
          </w:tcPr>
          <w:p w14:paraId="169D9B94" w14:textId="77777777" w:rsidR="00023E96" w:rsidRPr="009436F6" w:rsidRDefault="009436F6">
            <w:pPr>
              <w:jc w:val="both"/>
              <w:rPr>
                <w:rFonts w:ascii="Arial" w:hAnsi="Arial" w:cs="Arial"/>
              </w:rPr>
            </w:pPr>
            <w:r w:rsidRPr="009436F6">
              <w:rPr>
                <w:rFonts w:ascii="Arial" w:hAnsi="Arial" w:cs="Arial" w:hint="cs"/>
                <w:rtl/>
              </w:rPr>
              <w:br/>
              <w:t xml:space="preserve">מדינת ישראל </w:t>
            </w:r>
          </w:p>
        </w:tc>
        <w:tc>
          <w:tcPr>
            <w:tcW w:w="3771" w:type="dxa"/>
            <w:tcBorders>
              <w:top w:val="nil"/>
              <w:left w:val="nil"/>
              <w:bottom w:val="nil"/>
              <w:right w:val="nil"/>
            </w:tcBorders>
          </w:tcPr>
          <w:p w14:paraId="376649B8" w14:textId="77777777" w:rsidR="00023E96" w:rsidRPr="009436F6" w:rsidRDefault="00023E96">
            <w:pPr>
              <w:jc w:val="both"/>
              <w:rPr>
                <w:rFonts w:ascii="Arial" w:hAnsi="Arial" w:cs="Arial"/>
                <w:sz w:val="28"/>
                <w:szCs w:val="28"/>
              </w:rPr>
            </w:pPr>
          </w:p>
        </w:tc>
      </w:tr>
      <w:tr w:rsidR="00023E96" w:rsidRPr="009436F6" w14:paraId="62590297" w14:textId="77777777">
        <w:trPr>
          <w:trHeight w:val="355"/>
          <w:jc w:val="center"/>
        </w:trPr>
        <w:tc>
          <w:tcPr>
            <w:tcW w:w="923" w:type="dxa"/>
            <w:tcBorders>
              <w:top w:val="nil"/>
              <w:left w:val="nil"/>
              <w:bottom w:val="nil"/>
              <w:right w:val="nil"/>
            </w:tcBorders>
          </w:tcPr>
          <w:p w14:paraId="7074D660" w14:textId="77777777" w:rsidR="00023E96" w:rsidRPr="009436F6" w:rsidRDefault="00023E96">
            <w:pPr>
              <w:jc w:val="both"/>
              <w:rPr>
                <w:rFonts w:ascii="Arial" w:hAnsi="Arial" w:cs="Arial"/>
                <w:sz w:val="28"/>
                <w:szCs w:val="28"/>
                <w:rtl/>
              </w:rPr>
            </w:pPr>
            <w:bookmarkStart w:id="2" w:name="FirstLawyer"/>
            <w:bookmarkEnd w:id="1"/>
          </w:p>
        </w:tc>
        <w:tc>
          <w:tcPr>
            <w:tcW w:w="4126" w:type="dxa"/>
            <w:tcBorders>
              <w:top w:val="nil"/>
              <w:left w:val="nil"/>
              <w:bottom w:val="nil"/>
              <w:right w:val="nil"/>
            </w:tcBorders>
          </w:tcPr>
          <w:p w14:paraId="4D5121C0" w14:textId="77777777" w:rsidR="00023E96" w:rsidRPr="009436F6" w:rsidRDefault="009436F6">
            <w:pPr>
              <w:jc w:val="both"/>
              <w:rPr>
                <w:rFonts w:ascii="Arial" w:hAnsi="Arial" w:cs="Arial"/>
                <w:b/>
                <w:bCs/>
                <w:rtl/>
              </w:rPr>
            </w:pPr>
            <w:r w:rsidRPr="009436F6">
              <w:rPr>
                <w:rFonts w:ascii="Arial" w:hAnsi="Arial" w:cs="Arial"/>
                <w:b/>
                <w:bCs/>
                <w:rtl/>
              </w:rPr>
              <w:t xml:space="preserve">ע"י ב"כ עו"ד אלכס דרנבוים- פמ"ד              </w:t>
            </w:r>
          </w:p>
        </w:tc>
        <w:tc>
          <w:tcPr>
            <w:tcW w:w="3771" w:type="dxa"/>
            <w:tcBorders>
              <w:top w:val="nil"/>
              <w:left w:val="nil"/>
              <w:bottom w:val="nil"/>
              <w:right w:val="nil"/>
            </w:tcBorders>
          </w:tcPr>
          <w:p w14:paraId="3C88ACC6" w14:textId="77777777" w:rsidR="00023E96" w:rsidRPr="009436F6" w:rsidRDefault="009436F6">
            <w:pPr>
              <w:jc w:val="both"/>
              <w:rPr>
                <w:rFonts w:ascii="Arial" w:hAnsi="Arial" w:cs="Arial"/>
                <w:b/>
                <w:bCs/>
                <w:sz w:val="28"/>
                <w:szCs w:val="28"/>
                <w:rtl/>
              </w:rPr>
            </w:pPr>
            <w:r w:rsidRPr="009436F6">
              <w:rPr>
                <w:rFonts w:ascii="Arial" w:hAnsi="Arial" w:cs="Arial"/>
                <w:b/>
                <w:bCs/>
                <w:sz w:val="28"/>
                <w:szCs w:val="28"/>
                <w:rtl/>
              </w:rPr>
              <w:t>ה</w:t>
            </w:r>
            <w:r w:rsidRPr="009436F6">
              <w:rPr>
                <w:rFonts w:ascii="Arial" w:hAnsi="Arial" w:cs="Arial" w:hint="cs"/>
                <w:b/>
                <w:bCs/>
                <w:rtl/>
              </w:rPr>
              <w:t xml:space="preserve">מאשימה </w:t>
            </w:r>
          </w:p>
        </w:tc>
      </w:tr>
      <w:bookmarkEnd w:id="2"/>
      <w:tr w:rsidR="00023E96" w:rsidRPr="009436F6" w14:paraId="1C5A245B" w14:textId="77777777">
        <w:trPr>
          <w:trHeight w:val="355"/>
          <w:jc w:val="center"/>
        </w:trPr>
        <w:tc>
          <w:tcPr>
            <w:tcW w:w="923" w:type="dxa"/>
            <w:tcBorders>
              <w:top w:val="nil"/>
              <w:left w:val="nil"/>
              <w:bottom w:val="nil"/>
              <w:right w:val="nil"/>
            </w:tcBorders>
          </w:tcPr>
          <w:p w14:paraId="0BC552D2" w14:textId="77777777" w:rsidR="00023E96" w:rsidRPr="009436F6" w:rsidRDefault="00023E96">
            <w:pPr>
              <w:jc w:val="both"/>
              <w:rPr>
                <w:rFonts w:ascii="Arial" w:hAnsi="Arial" w:cs="Arial"/>
                <w:sz w:val="28"/>
                <w:szCs w:val="28"/>
                <w:rtl/>
              </w:rPr>
            </w:pPr>
          </w:p>
        </w:tc>
        <w:tc>
          <w:tcPr>
            <w:tcW w:w="7897" w:type="dxa"/>
            <w:gridSpan w:val="2"/>
            <w:tcBorders>
              <w:top w:val="nil"/>
              <w:left w:val="nil"/>
              <w:bottom w:val="nil"/>
              <w:right w:val="nil"/>
            </w:tcBorders>
          </w:tcPr>
          <w:p w14:paraId="2C06EE59" w14:textId="77777777" w:rsidR="00023E96" w:rsidRPr="009436F6" w:rsidRDefault="00023E96">
            <w:pPr>
              <w:jc w:val="both"/>
              <w:rPr>
                <w:rFonts w:ascii="Arial" w:hAnsi="Arial" w:cs="Arial"/>
                <w:b/>
                <w:bCs/>
                <w:sz w:val="28"/>
                <w:szCs w:val="28"/>
                <w:rtl/>
              </w:rPr>
            </w:pPr>
          </w:p>
          <w:p w14:paraId="20F29EAE" w14:textId="77777777" w:rsidR="00023E96" w:rsidRPr="009436F6" w:rsidRDefault="009436F6">
            <w:pPr>
              <w:rPr>
                <w:rFonts w:ascii="Arial" w:hAnsi="Arial" w:cs="Arial"/>
                <w:b/>
                <w:bCs/>
                <w:sz w:val="28"/>
                <w:szCs w:val="28"/>
                <w:rtl/>
              </w:rPr>
            </w:pPr>
            <w:r w:rsidRPr="009436F6">
              <w:rPr>
                <w:rFonts w:ascii="Arial" w:hAnsi="Arial" w:cs="Arial"/>
                <w:b/>
                <w:bCs/>
                <w:sz w:val="28"/>
                <w:szCs w:val="28"/>
                <w:rtl/>
              </w:rPr>
              <w:t xml:space="preserve">      נגד</w:t>
            </w:r>
          </w:p>
          <w:p w14:paraId="16BE4497" w14:textId="77777777" w:rsidR="00023E96" w:rsidRPr="009436F6" w:rsidRDefault="00023E96">
            <w:pPr>
              <w:jc w:val="both"/>
              <w:rPr>
                <w:rFonts w:ascii="Arial" w:hAnsi="Arial" w:cs="Arial"/>
                <w:sz w:val="28"/>
                <w:szCs w:val="28"/>
              </w:rPr>
            </w:pPr>
          </w:p>
        </w:tc>
      </w:tr>
      <w:tr w:rsidR="00023E96" w:rsidRPr="009436F6" w14:paraId="5B49F318" w14:textId="77777777">
        <w:trPr>
          <w:trHeight w:val="355"/>
          <w:jc w:val="center"/>
        </w:trPr>
        <w:tc>
          <w:tcPr>
            <w:tcW w:w="923" w:type="dxa"/>
            <w:tcBorders>
              <w:top w:val="nil"/>
              <w:left w:val="nil"/>
              <w:bottom w:val="nil"/>
              <w:right w:val="nil"/>
            </w:tcBorders>
          </w:tcPr>
          <w:p w14:paraId="4931862F" w14:textId="77777777" w:rsidR="00023E96" w:rsidRPr="009436F6" w:rsidRDefault="00023E96">
            <w:pPr>
              <w:jc w:val="both"/>
              <w:rPr>
                <w:rFonts w:ascii="Arial" w:hAnsi="Arial" w:cs="Arial"/>
                <w:sz w:val="28"/>
                <w:szCs w:val="28"/>
                <w:rtl/>
              </w:rPr>
            </w:pPr>
          </w:p>
        </w:tc>
        <w:tc>
          <w:tcPr>
            <w:tcW w:w="4126" w:type="dxa"/>
            <w:tcBorders>
              <w:top w:val="nil"/>
              <w:left w:val="nil"/>
              <w:bottom w:val="nil"/>
              <w:right w:val="nil"/>
            </w:tcBorders>
          </w:tcPr>
          <w:p w14:paraId="0BF58BB9" w14:textId="77777777" w:rsidR="00023E96" w:rsidRPr="009436F6" w:rsidRDefault="009436F6">
            <w:pPr>
              <w:jc w:val="both"/>
              <w:rPr>
                <w:rFonts w:ascii="Arial" w:hAnsi="Arial" w:cs="Arial"/>
                <w:rtl/>
              </w:rPr>
            </w:pPr>
            <w:r w:rsidRPr="009436F6">
              <w:rPr>
                <w:rFonts w:ascii="Arial" w:hAnsi="Arial" w:cs="Arial" w:hint="cs"/>
                <w:rtl/>
              </w:rPr>
              <w:t xml:space="preserve">חוסאם עטאר </w:t>
            </w:r>
          </w:p>
        </w:tc>
        <w:tc>
          <w:tcPr>
            <w:tcW w:w="3771" w:type="dxa"/>
            <w:tcBorders>
              <w:top w:val="nil"/>
              <w:left w:val="nil"/>
              <w:bottom w:val="nil"/>
              <w:right w:val="nil"/>
            </w:tcBorders>
          </w:tcPr>
          <w:p w14:paraId="65FDF918" w14:textId="77777777" w:rsidR="00023E96" w:rsidRPr="009436F6" w:rsidRDefault="00023E96">
            <w:pPr>
              <w:jc w:val="both"/>
              <w:rPr>
                <w:rFonts w:ascii="Arial" w:hAnsi="Arial" w:cs="Arial"/>
                <w:sz w:val="28"/>
                <w:szCs w:val="28"/>
              </w:rPr>
            </w:pPr>
          </w:p>
        </w:tc>
      </w:tr>
      <w:tr w:rsidR="00023E96" w:rsidRPr="009436F6" w14:paraId="01F6726C" w14:textId="77777777">
        <w:trPr>
          <w:trHeight w:val="355"/>
          <w:jc w:val="center"/>
        </w:trPr>
        <w:tc>
          <w:tcPr>
            <w:tcW w:w="923" w:type="dxa"/>
            <w:tcBorders>
              <w:top w:val="nil"/>
              <w:left w:val="nil"/>
              <w:bottom w:val="nil"/>
              <w:right w:val="nil"/>
            </w:tcBorders>
          </w:tcPr>
          <w:p w14:paraId="3EFFD6B5" w14:textId="77777777" w:rsidR="00023E96" w:rsidRPr="009436F6" w:rsidRDefault="00023E96">
            <w:pPr>
              <w:jc w:val="both"/>
              <w:rPr>
                <w:rFonts w:ascii="Arial" w:hAnsi="Arial" w:cs="Arial"/>
                <w:sz w:val="28"/>
                <w:szCs w:val="28"/>
                <w:rtl/>
              </w:rPr>
            </w:pPr>
          </w:p>
        </w:tc>
        <w:tc>
          <w:tcPr>
            <w:tcW w:w="4126" w:type="dxa"/>
            <w:tcBorders>
              <w:top w:val="nil"/>
              <w:left w:val="nil"/>
              <w:bottom w:val="nil"/>
              <w:right w:val="nil"/>
            </w:tcBorders>
          </w:tcPr>
          <w:p w14:paraId="77DCA24F" w14:textId="77777777" w:rsidR="00023E96" w:rsidRPr="009436F6" w:rsidRDefault="009436F6">
            <w:pPr>
              <w:jc w:val="both"/>
              <w:rPr>
                <w:rFonts w:ascii="Arial" w:hAnsi="Arial" w:cs="Arial"/>
                <w:b/>
                <w:bCs/>
                <w:rtl/>
              </w:rPr>
            </w:pPr>
            <w:r w:rsidRPr="009436F6">
              <w:rPr>
                <w:rFonts w:ascii="Arial" w:hAnsi="Arial" w:cs="Arial"/>
                <w:b/>
                <w:bCs/>
                <w:rtl/>
              </w:rPr>
              <w:t xml:space="preserve">ע"י ב"כ עו"ד חביב לביב </w:t>
            </w:r>
          </w:p>
        </w:tc>
        <w:tc>
          <w:tcPr>
            <w:tcW w:w="3771" w:type="dxa"/>
            <w:tcBorders>
              <w:top w:val="nil"/>
              <w:left w:val="nil"/>
              <w:bottom w:val="nil"/>
              <w:right w:val="nil"/>
            </w:tcBorders>
          </w:tcPr>
          <w:p w14:paraId="664BB89E" w14:textId="77777777" w:rsidR="00023E96" w:rsidRPr="009436F6" w:rsidRDefault="009436F6">
            <w:pPr>
              <w:jc w:val="both"/>
              <w:rPr>
                <w:rFonts w:ascii="Arial" w:hAnsi="Arial" w:cs="Arial"/>
                <w:b/>
                <w:bCs/>
                <w:sz w:val="28"/>
                <w:szCs w:val="28"/>
              </w:rPr>
            </w:pPr>
            <w:r w:rsidRPr="009436F6">
              <w:rPr>
                <w:rFonts w:ascii="Arial" w:hAnsi="Arial" w:cs="Arial"/>
                <w:b/>
                <w:bCs/>
                <w:sz w:val="28"/>
                <w:szCs w:val="28"/>
                <w:rtl/>
              </w:rPr>
              <w:t>הנאשם</w:t>
            </w:r>
          </w:p>
        </w:tc>
      </w:tr>
    </w:tbl>
    <w:p w14:paraId="669057B9" w14:textId="77777777" w:rsidR="00522440" w:rsidRDefault="00522440">
      <w:pPr>
        <w:jc w:val="both"/>
        <w:rPr>
          <w:rFonts w:ascii="Arial" w:hAnsi="Arial" w:cs="Arial"/>
          <w:rtl/>
        </w:rPr>
      </w:pPr>
      <w:bookmarkStart w:id="3" w:name="LawTable"/>
      <w:bookmarkEnd w:id="3"/>
    </w:p>
    <w:p w14:paraId="4A8240C8" w14:textId="77777777" w:rsidR="00522440" w:rsidRPr="00522440" w:rsidRDefault="00522440" w:rsidP="00522440">
      <w:pPr>
        <w:spacing w:after="120" w:line="240" w:lineRule="exact"/>
        <w:ind w:left="283" w:hanging="283"/>
        <w:jc w:val="both"/>
        <w:rPr>
          <w:rFonts w:ascii="FrankRuehl" w:hAnsi="FrankRuehl" w:cs="FrankRuehl"/>
          <w:rtl/>
        </w:rPr>
      </w:pPr>
    </w:p>
    <w:p w14:paraId="01FC0AB5" w14:textId="77777777" w:rsidR="00522440" w:rsidRPr="00522440" w:rsidRDefault="00522440" w:rsidP="00522440">
      <w:pPr>
        <w:spacing w:after="120" w:line="240" w:lineRule="exact"/>
        <w:ind w:left="283" w:hanging="283"/>
        <w:jc w:val="both"/>
        <w:rPr>
          <w:rFonts w:ascii="FrankRuehl" w:hAnsi="FrankRuehl" w:cs="FrankRuehl"/>
          <w:rtl/>
        </w:rPr>
      </w:pPr>
      <w:r w:rsidRPr="00522440">
        <w:rPr>
          <w:rFonts w:ascii="FrankRuehl" w:hAnsi="FrankRuehl" w:cs="FrankRuehl"/>
          <w:rtl/>
        </w:rPr>
        <w:t xml:space="preserve">חקיקה שאוזכרה: </w:t>
      </w:r>
    </w:p>
    <w:p w14:paraId="3D337142" w14:textId="77777777" w:rsidR="00522440" w:rsidRPr="00522440" w:rsidRDefault="00522440" w:rsidP="00522440">
      <w:pPr>
        <w:spacing w:after="120" w:line="240" w:lineRule="exact"/>
        <w:ind w:left="283" w:hanging="283"/>
        <w:jc w:val="both"/>
        <w:rPr>
          <w:rFonts w:ascii="FrankRuehl" w:hAnsi="FrankRuehl" w:cs="FrankRuehl"/>
          <w:color w:val="0000FF"/>
          <w:u w:val="single"/>
          <w:rtl/>
        </w:rPr>
      </w:pPr>
      <w:hyperlink r:id="rId6" w:history="1">
        <w:r w:rsidRPr="00522440">
          <w:rPr>
            <w:rStyle w:val="Hyperlink"/>
            <w:rFonts w:ascii="FrankRuehl" w:hAnsi="FrankRuehl" w:cs="FrankRuehl"/>
            <w:rtl/>
          </w:rPr>
          <w:t>תקנות ההגנה (שעת-חירום), 1945</w:t>
        </w:r>
      </w:hyperlink>
      <w:r w:rsidRPr="00522440">
        <w:rPr>
          <w:rFonts w:ascii="FrankRuehl" w:hAnsi="FrankRuehl" w:cs="FrankRuehl"/>
          <w:color w:val="0000FF"/>
          <w:u w:val="single"/>
          <w:rtl/>
        </w:rPr>
        <w:t xml:space="preserve">: סע'  </w:t>
      </w:r>
      <w:hyperlink r:id="rId7" w:history="1">
        <w:r w:rsidRPr="00522440">
          <w:rPr>
            <w:rStyle w:val="Hyperlink"/>
            <w:rFonts w:ascii="FrankRuehl" w:hAnsi="FrankRuehl" w:cs="FrankRuehl"/>
          </w:rPr>
          <w:t>85(1)(</w:t>
        </w:r>
        <w:r w:rsidRPr="00522440">
          <w:rPr>
            <w:rStyle w:val="Hyperlink"/>
            <w:rFonts w:ascii="FrankRuehl" w:hAnsi="FrankRuehl" w:cs="FrankRuehl"/>
            <w:rtl/>
          </w:rPr>
          <w:t>א</w:t>
        </w:r>
        <w:r w:rsidRPr="00522440">
          <w:rPr>
            <w:rStyle w:val="Hyperlink"/>
            <w:rFonts w:ascii="FrankRuehl" w:hAnsi="FrankRuehl" w:cs="FrankRuehl"/>
          </w:rPr>
          <w:t>)</w:t>
        </w:r>
      </w:hyperlink>
    </w:p>
    <w:p w14:paraId="798CD0F5" w14:textId="77777777" w:rsidR="00522440" w:rsidRPr="00522440" w:rsidRDefault="00522440" w:rsidP="00522440">
      <w:pPr>
        <w:spacing w:after="120" w:line="240" w:lineRule="exact"/>
        <w:ind w:left="283" w:hanging="283"/>
        <w:jc w:val="both"/>
        <w:rPr>
          <w:rFonts w:ascii="FrankRuehl" w:hAnsi="FrankRuehl" w:cs="FrankRuehl"/>
          <w:color w:val="0000FF"/>
          <w:u w:val="single"/>
          <w:rtl/>
        </w:rPr>
      </w:pPr>
      <w:hyperlink r:id="rId8" w:history="1">
        <w:r w:rsidRPr="00522440">
          <w:rPr>
            <w:rStyle w:val="Hyperlink"/>
            <w:rFonts w:ascii="FrankRuehl" w:hAnsi="FrankRuehl" w:cs="FrankRuehl"/>
            <w:rtl/>
          </w:rPr>
          <w:t>חוק העונשין, תשל"ז-1977</w:t>
        </w:r>
      </w:hyperlink>
      <w:r w:rsidRPr="00522440">
        <w:rPr>
          <w:rFonts w:ascii="FrankRuehl" w:hAnsi="FrankRuehl" w:cs="FrankRuehl"/>
          <w:color w:val="0000FF"/>
          <w:u w:val="single"/>
          <w:rtl/>
        </w:rPr>
        <w:t xml:space="preserve">: סע'  </w:t>
      </w:r>
      <w:hyperlink r:id="rId9" w:history="1">
        <w:r w:rsidRPr="00522440">
          <w:rPr>
            <w:rStyle w:val="Hyperlink"/>
            <w:rFonts w:ascii="FrankRuehl" w:hAnsi="FrankRuehl" w:cs="FrankRuehl"/>
          </w:rPr>
          <w:t>40</w:t>
        </w:r>
      </w:hyperlink>
      <w:r w:rsidRPr="00522440">
        <w:rPr>
          <w:rFonts w:ascii="FrankRuehl" w:hAnsi="FrankRuehl" w:cs="FrankRuehl"/>
          <w:color w:val="0000FF"/>
          <w:u w:val="single"/>
          <w:rtl/>
        </w:rPr>
        <w:t xml:space="preserve">, </w:t>
      </w:r>
      <w:hyperlink r:id="rId10" w:history="1">
        <w:r w:rsidRPr="00522440">
          <w:rPr>
            <w:rStyle w:val="Hyperlink"/>
            <w:rFonts w:ascii="FrankRuehl" w:hAnsi="FrankRuehl" w:cs="FrankRuehl"/>
          </w:rPr>
          <w:t>40</w:t>
        </w:r>
        <w:r w:rsidRPr="00522440">
          <w:rPr>
            <w:rStyle w:val="Hyperlink"/>
            <w:rFonts w:ascii="FrankRuehl" w:hAnsi="FrankRuehl" w:cs="FrankRuehl"/>
            <w:rtl/>
          </w:rPr>
          <w:t>ב</w:t>
        </w:r>
      </w:hyperlink>
      <w:r w:rsidRPr="00522440">
        <w:rPr>
          <w:rFonts w:ascii="FrankRuehl" w:hAnsi="FrankRuehl" w:cs="FrankRuehl"/>
          <w:color w:val="0000FF"/>
          <w:u w:val="single"/>
          <w:rtl/>
        </w:rPr>
        <w:t xml:space="preserve">, </w:t>
      </w:r>
      <w:hyperlink r:id="rId11" w:history="1">
        <w:r w:rsidRPr="00522440">
          <w:rPr>
            <w:rStyle w:val="Hyperlink"/>
            <w:rFonts w:ascii="FrankRuehl" w:hAnsi="FrankRuehl" w:cs="FrankRuehl"/>
          </w:rPr>
          <w:t>40</w:t>
        </w:r>
        <w:r w:rsidRPr="00522440">
          <w:rPr>
            <w:rStyle w:val="Hyperlink"/>
            <w:rFonts w:ascii="FrankRuehl" w:hAnsi="FrankRuehl" w:cs="FrankRuehl"/>
            <w:rtl/>
          </w:rPr>
          <w:t>ג(א)</w:t>
        </w:r>
      </w:hyperlink>
      <w:r w:rsidRPr="00522440">
        <w:rPr>
          <w:rFonts w:ascii="FrankRuehl" w:hAnsi="FrankRuehl" w:cs="FrankRuehl"/>
          <w:color w:val="0000FF"/>
          <w:u w:val="single"/>
          <w:rtl/>
        </w:rPr>
        <w:t xml:space="preserve">, </w:t>
      </w:r>
      <w:hyperlink r:id="rId12" w:history="1">
        <w:r w:rsidRPr="00522440">
          <w:rPr>
            <w:rStyle w:val="Hyperlink"/>
            <w:rFonts w:ascii="FrankRuehl" w:hAnsi="FrankRuehl" w:cs="FrankRuehl"/>
          </w:rPr>
          <w:t>40</w:t>
        </w:r>
        <w:r w:rsidRPr="00522440">
          <w:rPr>
            <w:rStyle w:val="Hyperlink"/>
            <w:rFonts w:ascii="FrankRuehl" w:hAnsi="FrankRuehl" w:cs="FrankRuehl"/>
            <w:rtl/>
          </w:rPr>
          <w:t>ד</w:t>
        </w:r>
      </w:hyperlink>
      <w:r w:rsidRPr="00522440">
        <w:rPr>
          <w:rFonts w:ascii="FrankRuehl" w:hAnsi="FrankRuehl" w:cs="FrankRuehl"/>
          <w:color w:val="0000FF"/>
          <w:u w:val="single"/>
          <w:rtl/>
        </w:rPr>
        <w:t xml:space="preserve">, </w:t>
      </w:r>
      <w:hyperlink r:id="rId13" w:history="1">
        <w:r w:rsidRPr="00522440">
          <w:rPr>
            <w:rStyle w:val="Hyperlink"/>
            <w:rFonts w:ascii="FrankRuehl" w:hAnsi="FrankRuehl" w:cs="FrankRuehl"/>
          </w:rPr>
          <w:t>40</w:t>
        </w:r>
        <w:r w:rsidRPr="00522440">
          <w:rPr>
            <w:rStyle w:val="Hyperlink"/>
            <w:rFonts w:ascii="FrankRuehl" w:hAnsi="FrankRuehl" w:cs="FrankRuehl"/>
            <w:rtl/>
          </w:rPr>
          <w:t>ה</w:t>
        </w:r>
      </w:hyperlink>
      <w:r w:rsidRPr="00522440">
        <w:rPr>
          <w:rFonts w:ascii="FrankRuehl" w:hAnsi="FrankRuehl" w:cs="FrankRuehl"/>
          <w:color w:val="0000FF"/>
          <w:u w:val="single"/>
          <w:rtl/>
        </w:rPr>
        <w:t xml:space="preserve">, </w:t>
      </w:r>
      <w:hyperlink r:id="rId14" w:history="1">
        <w:r w:rsidRPr="00522440">
          <w:rPr>
            <w:rStyle w:val="Hyperlink"/>
            <w:rFonts w:ascii="FrankRuehl" w:hAnsi="FrankRuehl" w:cs="FrankRuehl"/>
          </w:rPr>
          <w:t>40</w:t>
        </w:r>
        <w:r w:rsidRPr="00522440">
          <w:rPr>
            <w:rStyle w:val="Hyperlink"/>
            <w:rFonts w:ascii="FrankRuehl" w:hAnsi="FrankRuehl" w:cs="FrankRuehl"/>
            <w:rtl/>
          </w:rPr>
          <w:t>ט</w:t>
        </w:r>
      </w:hyperlink>
      <w:r w:rsidRPr="00522440">
        <w:rPr>
          <w:rFonts w:ascii="FrankRuehl" w:hAnsi="FrankRuehl" w:cs="FrankRuehl"/>
          <w:color w:val="0000FF"/>
          <w:u w:val="single"/>
          <w:rtl/>
        </w:rPr>
        <w:t xml:space="preserve">, </w:t>
      </w:r>
      <w:hyperlink r:id="rId15" w:history="1">
        <w:r w:rsidRPr="00522440">
          <w:rPr>
            <w:rStyle w:val="Hyperlink"/>
            <w:rFonts w:ascii="FrankRuehl" w:hAnsi="FrankRuehl" w:cs="FrankRuehl"/>
          </w:rPr>
          <w:t>143(</w:t>
        </w:r>
        <w:r w:rsidRPr="00522440">
          <w:rPr>
            <w:rStyle w:val="Hyperlink"/>
            <w:rFonts w:ascii="FrankRuehl" w:hAnsi="FrankRuehl" w:cs="FrankRuehl"/>
            <w:rtl/>
          </w:rPr>
          <w:t>ב</w:t>
        </w:r>
        <w:r w:rsidRPr="00522440">
          <w:rPr>
            <w:rStyle w:val="Hyperlink"/>
            <w:rFonts w:ascii="FrankRuehl" w:hAnsi="FrankRuehl" w:cs="FrankRuehl"/>
          </w:rPr>
          <w:t>)</w:t>
        </w:r>
      </w:hyperlink>
      <w:r w:rsidRPr="00522440">
        <w:rPr>
          <w:rFonts w:ascii="FrankRuehl" w:hAnsi="FrankRuehl" w:cs="FrankRuehl"/>
          <w:color w:val="0000FF"/>
          <w:u w:val="single"/>
          <w:rtl/>
        </w:rPr>
        <w:t xml:space="preserve">, </w:t>
      </w:r>
      <w:hyperlink r:id="rId16" w:history="1">
        <w:r w:rsidRPr="00522440">
          <w:rPr>
            <w:rStyle w:val="Hyperlink"/>
            <w:rFonts w:ascii="FrankRuehl" w:hAnsi="FrankRuehl" w:cs="FrankRuehl"/>
          </w:rPr>
          <w:t>144(</w:t>
        </w:r>
        <w:r w:rsidRPr="00522440">
          <w:rPr>
            <w:rStyle w:val="Hyperlink"/>
            <w:rFonts w:ascii="FrankRuehl" w:hAnsi="FrankRuehl" w:cs="FrankRuehl"/>
            <w:rtl/>
          </w:rPr>
          <w:t>ב</w:t>
        </w:r>
        <w:r w:rsidRPr="00522440">
          <w:rPr>
            <w:rStyle w:val="Hyperlink"/>
            <w:rFonts w:ascii="FrankRuehl" w:hAnsi="FrankRuehl" w:cs="FrankRuehl"/>
          </w:rPr>
          <w:t>)</w:t>
        </w:r>
      </w:hyperlink>
      <w:r w:rsidRPr="00522440">
        <w:rPr>
          <w:rFonts w:ascii="FrankRuehl" w:hAnsi="FrankRuehl" w:cs="FrankRuehl"/>
          <w:color w:val="0000FF"/>
          <w:u w:val="single"/>
          <w:rtl/>
        </w:rPr>
        <w:t xml:space="preserve">, </w:t>
      </w:r>
      <w:hyperlink r:id="rId17" w:history="1">
        <w:r w:rsidRPr="00522440">
          <w:rPr>
            <w:rStyle w:val="Hyperlink"/>
            <w:rFonts w:ascii="FrankRuehl" w:hAnsi="FrankRuehl" w:cs="FrankRuehl"/>
          </w:rPr>
          <w:t>305(1)</w:t>
        </w:r>
      </w:hyperlink>
      <w:r w:rsidRPr="00522440">
        <w:rPr>
          <w:rFonts w:ascii="FrankRuehl" w:hAnsi="FrankRuehl" w:cs="FrankRuehl"/>
          <w:color w:val="0000FF"/>
          <w:u w:val="single"/>
          <w:rtl/>
        </w:rPr>
        <w:t xml:space="preserve">, </w:t>
      </w:r>
      <w:hyperlink r:id="rId18" w:history="1">
        <w:r w:rsidRPr="00522440">
          <w:rPr>
            <w:rStyle w:val="Hyperlink"/>
            <w:rFonts w:ascii="FrankRuehl" w:hAnsi="FrankRuehl" w:cs="FrankRuehl"/>
          </w:rPr>
          <w:t>499(</w:t>
        </w:r>
        <w:r w:rsidRPr="00522440">
          <w:rPr>
            <w:rStyle w:val="Hyperlink"/>
            <w:rFonts w:ascii="FrankRuehl" w:hAnsi="FrankRuehl" w:cs="FrankRuehl"/>
            <w:rtl/>
          </w:rPr>
          <w:t>א)</w:t>
        </w:r>
        <w:r w:rsidRPr="00522440">
          <w:rPr>
            <w:rStyle w:val="Hyperlink"/>
            <w:rFonts w:ascii="FrankRuehl" w:hAnsi="FrankRuehl" w:cs="FrankRuehl"/>
          </w:rPr>
          <w:t>(1)</w:t>
        </w:r>
      </w:hyperlink>
    </w:p>
    <w:p w14:paraId="2A3951FF" w14:textId="77777777" w:rsidR="00522440" w:rsidRPr="00522440" w:rsidRDefault="00522440" w:rsidP="00522440">
      <w:pPr>
        <w:spacing w:after="120" w:line="240" w:lineRule="exact"/>
        <w:ind w:left="283" w:hanging="283"/>
        <w:jc w:val="both"/>
        <w:rPr>
          <w:rFonts w:ascii="FrankRuehl" w:hAnsi="FrankRuehl" w:cs="FrankRuehl"/>
          <w:rtl/>
        </w:rPr>
      </w:pPr>
    </w:p>
    <w:p w14:paraId="740B7B60" w14:textId="77777777" w:rsidR="00522440" w:rsidRPr="00522440" w:rsidRDefault="00522440">
      <w:pPr>
        <w:jc w:val="both"/>
        <w:rPr>
          <w:rFonts w:ascii="Arial" w:hAnsi="Arial" w:cs="Arial"/>
          <w:rtl/>
        </w:rPr>
      </w:pPr>
      <w:bookmarkStart w:id="4" w:name="LawTable_End"/>
      <w:bookmarkEnd w:id="4"/>
    </w:p>
    <w:p w14:paraId="7789069C" w14:textId="77777777" w:rsidR="00F5046D" w:rsidRPr="00F5046D" w:rsidRDefault="00F5046D">
      <w:pPr>
        <w:jc w:val="both"/>
        <w:rPr>
          <w:rFonts w:ascii="Arial" w:hAnsi="Arial" w:cs="Arial"/>
          <w:rtl/>
        </w:rPr>
      </w:pPr>
    </w:p>
    <w:p w14:paraId="5ECF8EDF" w14:textId="77777777" w:rsidR="00F5046D" w:rsidRPr="00F5046D" w:rsidRDefault="00F5046D">
      <w:pPr>
        <w:jc w:val="both"/>
        <w:rPr>
          <w:rFonts w:ascii="Arial" w:hAnsi="Arial" w:cs="Arial"/>
          <w:rtl/>
        </w:rPr>
      </w:pPr>
    </w:p>
    <w:p w14:paraId="5BA8F91F" w14:textId="77777777" w:rsidR="00F5046D" w:rsidRPr="00F5046D" w:rsidRDefault="00F5046D">
      <w:pPr>
        <w:jc w:val="both"/>
        <w:rPr>
          <w:rFonts w:ascii="Arial" w:hAnsi="Arial" w:cs="Arial"/>
          <w:rtl/>
        </w:rPr>
      </w:pPr>
    </w:p>
    <w:p w14:paraId="7C69FA9E" w14:textId="77777777" w:rsidR="00003FFC" w:rsidRPr="00003FFC" w:rsidRDefault="00003FFC">
      <w:pPr>
        <w:jc w:val="both"/>
        <w:rPr>
          <w:rFonts w:ascii="Arial" w:hAnsi="Arial" w:cs="Arial"/>
          <w:rtl/>
        </w:rPr>
      </w:pPr>
    </w:p>
    <w:p w14:paraId="08C06FDF" w14:textId="77777777" w:rsidR="00003FFC" w:rsidRPr="00003FFC" w:rsidRDefault="00003FFC">
      <w:pPr>
        <w:jc w:val="both"/>
        <w:rPr>
          <w:rFonts w:ascii="Arial" w:hAnsi="Arial" w:cs="Arial"/>
          <w:rtl/>
        </w:rPr>
      </w:pPr>
    </w:p>
    <w:p w14:paraId="599063D9" w14:textId="77777777" w:rsidR="00023E96" w:rsidRPr="00003FFC" w:rsidRDefault="00023E96">
      <w:pPr>
        <w:jc w:val="both"/>
        <w:rPr>
          <w:rFonts w:ascii="Arial" w:hAnsi="Arial" w:cs="Arial"/>
          <w:rtl/>
        </w:rPr>
      </w:pPr>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3E96" w14:paraId="7C6F1622" w14:textId="77777777">
        <w:trPr>
          <w:trHeight w:val="355"/>
        </w:trPr>
        <w:tc>
          <w:tcPr>
            <w:tcW w:w="8820" w:type="dxa"/>
            <w:tcBorders>
              <w:top w:val="nil"/>
              <w:left w:val="nil"/>
              <w:bottom w:val="nil"/>
              <w:right w:val="nil"/>
            </w:tcBorders>
          </w:tcPr>
          <w:p w14:paraId="1353719F" w14:textId="77777777" w:rsidR="009436F6" w:rsidRPr="009436F6" w:rsidRDefault="009436F6" w:rsidP="009436F6">
            <w:pPr>
              <w:jc w:val="center"/>
              <w:rPr>
                <w:rFonts w:ascii="Arial" w:hAnsi="Arial" w:cs="Arial"/>
                <w:b/>
                <w:bCs/>
                <w:sz w:val="32"/>
                <w:szCs w:val="32"/>
                <w:u w:val="single"/>
                <w:rtl/>
              </w:rPr>
            </w:pPr>
            <w:bookmarkStart w:id="5" w:name="PsakDin" w:colFirst="0" w:colLast="0"/>
            <w:r w:rsidRPr="009436F6">
              <w:rPr>
                <w:rFonts w:ascii="Arial" w:hAnsi="Arial" w:cs="Arial"/>
                <w:b/>
                <w:bCs/>
                <w:sz w:val="32"/>
                <w:szCs w:val="32"/>
                <w:u w:val="single"/>
                <w:rtl/>
              </w:rPr>
              <w:t>גזר דין</w:t>
            </w:r>
          </w:p>
          <w:p w14:paraId="033AA8EC" w14:textId="77777777" w:rsidR="00023E96" w:rsidRPr="009436F6" w:rsidRDefault="00023E96" w:rsidP="009436F6">
            <w:pPr>
              <w:jc w:val="center"/>
              <w:rPr>
                <w:rFonts w:ascii="Arial" w:hAnsi="Arial" w:cs="Arial"/>
                <w:bCs/>
                <w:sz w:val="32"/>
                <w:szCs w:val="32"/>
                <w:u w:val="single"/>
                <w:rtl/>
              </w:rPr>
            </w:pPr>
          </w:p>
        </w:tc>
      </w:tr>
      <w:bookmarkEnd w:id="5"/>
    </w:tbl>
    <w:p w14:paraId="4CB12398" w14:textId="77777777" w:rsidR="00023E96" w:rsidRDefault="00023E96">
      <w:pPr>
        <w:jc w:val="both"/>
        <w:rPr>
          <w:rFonts w:ascii="Arial" w:hAnsi="Arial" w:cs="Arial"/>
          <w:rtl/>
        </w:rPr>
      </w:pPr>
    </w:p>
    <w:p w14:paraId="42AF57C2" w14:textId="77777777" w:rsidR="00023E96" w:rsidRDefault="009436F6">
      <w:pPr>
        <w:spacing w:line="360" w:lineRule="auto"/>
        <w:jc w:val="both"/>
        <w:rPr>
          <w:rFonts w:ascii="Arial" w:hAnsi="Arial" w:cs="Arial"/>
          <w:rtl/>
        </w:rPr>
      </w:pPr>
      <w:bookmarkStart w:id="6" w:name="ABSTRACT_START"/>
      <w:bookmarkEnd w:id="6"/>
      <w:r>
        <w:rPr>
          <w:rFonts w:ascii="Arial" w:hAnsi="Arial" w:cs="Arial"/>
          <w:rtl/>
        </w:rPr>
        <w:t>הנאשם הורשע, על פי הודאתו, במסגרת הסדר טיעון, בעבירות, כנגד ביטחון המדינה</w:t>
      </w:r>
      <w:bookmarkStart w:id="7" w:name="ABSTRACT_END"/>
      <w:bookmarkEnd w:id="7"/>
      <w:r>
        <w:rPr>
          <w:rFonts w:ascii="Arial" w:hAnsi="Arial" w:cs="Arial"/>
          <w:rtl/>
        </w:rPr>
        <w:t xml:space="preserve">, כפי המפורט בכתב אישום מתוקן שהוגש נגדו. </w:t>
      </w:r>
    </w:p>
    <w:p w14:paraId="5BC689A3" w14:textId="77777777" w:rsidR="00023E96" w:rsidRDefault="00023E96">
      <w:pPr>
        <w:spacing w:line="360" w:lineRule="auto"/>
        <w:jc w:val="both"/>
        <w:rPr>
          <w:rFonts w:ascii="Arial" w:hAnsi="Arial" w:cs="Arial"/>
          <w:rtl/>
        </w:rPr>
      </w:pPr>
    </w:p>
    <w:p w14:paraId="6A9B1C16" w14:textId="77777777" w:rsidR="00023E96" w:rsidRDefault="009436F6">
      <w:pPr>
        <w:spacing w:line="360" w:lineRule="auto"/>
        <w:jc w:val="both"/>
        <w:rPr>
          <w:rFonts w:ascii="Arial" w:hAnsi="Arial" w:cs="Arial"/>
          <w:rtl/>
        </w:rPr>
      </w:pPr>
      <w:r>
        <w:rPr>
          <w:rFonts w:ascii="Arial" w:hAnsi="Arial" w:cs="Arial"/>
          <w:rtl/>
        </w:rPr>
        <w:t xml:space="preserve">הסדר הטיעון נעשה לאחר שמיעת ראיות המאשימה וטרם תחילת פרשת ההגנה, ואינו כולל הסכמה במישור העונשי, ולעניין זה טענו הצדדים בפנינו. </w:t>
      </w:r>
    </w:p>
    <w:p w14:paraId="5B916B15" w14:textId="77777777" w:rsidR="00023E96" w:rsidRDefault="00023E96">
      <w:pPr>
        <w:spacing w:line="360" w:lineRule="auto"/>
        <w:jc w:val="both"/>
        <w:rPr>
          <w:rFonts w:ascii="Arial" w:hAnsi="Arial" w:cs="Arial"/>
          <w:rtl/>
        </w:rPr>
      </w:pPr>
    </w:p>
    <w:p w14:paraId="74C5DE77" w14:textId="77777777" w:rsidR="00023E96" w:rsidRDefault="009436F6">
      <w:pPr>
        <w:spacing w:line="360" w:lineRule="auto"/>
        <w:jc w:val="both"/>
        <w:rPr>
          <w:rFonts w:ascii="Arial" w:hAnsi="Arial" w:cs="Arial"/>
          <w:rtl/>
        </w:rPr>
      </w:pPr>
      <w:r>
        <w:rPr>
          <w:rFonts w:ascii="Arial" w:hAnsi="Arial" w:cs="Arial"/>
          <w:rtl/>
        </w:rPr>
        <w:t xml:space="preserve">על פי עובדות </w:t>
      </w:r>
      <w:r>
        <w:rPr>
          <w:rFonts w:ascii="Arial" w:hAnsi="Arial" w:cs="Arial"/>
          <w:u w:val="single"/>
          <w:rtl/>
        </w:rPr>
        <w:t>האישום הראשון,</w:t>
      </w:r>
      <w:r>
        <w:rPr>
          <w:rFonts w:ascii="Arial" w:hAnsi="Arial" w:cs="Arial"/>
          <w:rtl/>
        </w:rPr>
        <w:t xml:space="preserve"> בכתב האישום המתוקן, שבו הודה הנאשם, התגייס הנאשם, במהלך שנת 2007 לזרוע הצבאית של ארגון החמאס, שכינויו "גדודי עז א-דין אלקסאם" </w:t>
      </w:r>
      <w:r>
        <w:rPr>
          <w:rFonts w:ascii="Arial" w:hAnsi="Arial" w:cs="Arial"/>
          <w:rtl/>
        </w:rPr>
        <w:lastRenderedPageBreak/>
        <w:t xml:space="preserve">(להלן:"הגדודים") ובמסגרת זו השתתף עם חברי החוליה שלו בשמירות ליליות חמושות כנגד כניסת כוחות צה"ל ("ריבאט"). השמירה נעשתה בפרדס הסמוך לתחנת גז ברצועת עזה והנאשם וחברי החוליה היו חמושים במטול </w:t>
      </w:r>
      <w:r>
        <w:rPr>
          <w:rFonts w:ascii="Arial" w:hAnsi="Arial" w:cs="Arial"/>
        </w:rPr>
        <w:t>RPG</w:t>
      </w:r>
      <w:r>
        <w:rPr>
          <w:rFonts w:ascii="Arial" w:hAnsi="Arial" w:cs="Arial"/>
          <w:rtl/>
        </w:rPr>
        <w:t xml:space="preserve">, רוסר קלצ'ניקוב, שתי מחסניות ורימון יד. הנאשם השתתף בשמירות אלה עד תאריך 7.12.08. מאחר שהגדודים הנ"ל הוכרזו כהתאחדות בלתי מותרת, וארגון החמאס הוכרז כארגון טרוריסטי, ולפי שהשמירות החמושות של חברי החוליה נועדו לגרום למותם של חיילי צה"ל, ככל שיגיעו לאזור, הורשע הנאשם באישום זה בעבירות של </w:t>
      </w:r>
      <w:r>
        <w:rPr>
          <w:rFonts w:ascii="Arial" w:hAnsi="Arial" w:cs="Arial"/>
          <w:b/>
          <w:bCs/>
          <w:sz w:val="22"/>
          <w:szCs w:val="22"/>
          <w:rtl/>
        </w:rPr>
        <w:t>פעילות בהתאחדות בלתי מותרת</w:t>
      </w:r>
      <w:r>
        <w:rPr>
          <w:rFonts w:ascii="Arial" w:hAnsi="Arial" w:cs="Arial"/>
          <w:rtl/>
        </w:rPr>
        <w:t xml:space="preserve">, לפי סעיף </w:t>
      </w:r>
      <w:hyperlink r:id="rId19" w:history="1">
        <w:r w:rsidR="001E4EEF" w:rsidRPr="001E4EEF">
          <w:rPr>
            <w:rStyle w:val="Hyperlink"/>
            <w:rFonts w:ascii="Arial" w:hAnsi="Arial" w:cs="Arial"/>
            <w:b/>
            <w:bCs/>
            <w:sz w:val="22"/>
            <w:szCs w:val="22"/>
            <w:rtl/>
          </w:rPr>
          <w:t>85(1)(א)</w:t>
        </w:r>
      </w:hyperlink>
      <w:r>
        <w:rPr>
          <w:rFonts w:ascii="Arial" w:hAnsi="Arial" w:cs="Arial"/>
          <w:b/>
          <w:bCs/>
          <w:sz w:val="22"/>
          <w:szCs w:val="22"/>
          <w:rtl/>
        </w:rPr>
        <w:t xml:space="preserve"> ל</w:t>
      </w:r>
      <w:hyperlink r:id="rId20" w:history="1">
        <w:r w:rsidR="00003FFC" w:rsidRPr="00003FFC">
          <w:rPr>
            <w:rStyle w:val="Hyperlink"/>
            <w:rFonts w:ascii="Arial" w:hAnsi="Arial" w:cs="Arial"/>
            <w:b/>
            <w:bCs/>
            <w:sz w:val="22"/>
            <w:szCs w:val="22"/>
            <w:rtl/>
          </w:rPr>
          <w:t>תקנות ההגנה (שעת חירום)</w:t>
        </w:r>
      </w:hyperlink>
      <w:r>
        <w:rPr>
          <w:rFonts w:ascii="Arial" w:hAnsi="Arial" w:cs="Arial"/>
          <w:b/>
          <w:bCs/>
          <w:sz w:val="22"/>
          <w:szCs w:val="22"/>
          <w:rtl/>
        </w:rPr>
        <w:t xml:space="preserve"> 1945</w:t>
      </w:r>
      <w:r>
        <w:rPr>
          <w:rFonts w:ascii="Arial" w:hAnsi="Arial" w:cs="Arial"/>
          <w:sz w:val="22"/>
          <w:szCs w:val="22"/>
          <w:rtl/>
        </w:rPr>
        <w:t xml:space="preserve">, </w:t>
      </w:r>
      <w:r>
        <w:rPr>
          <w:rFonts w:ascii="Arial" w:hAnsi="Arial" w:cs="Arial"/>
          <w:b/>
          <w:bCs/>
          <w:sz w:val="22"/>
          <w:szCs w:val="22"/>
          <w:rtl/>
        </w:rPr>
        <w:t xml:space="preserve">בקשירת קשר לפשע (רצח) לפי סעיף </w:t>
      </w:r>
      <w:hyperlink r:id="rId21" w:history="1">
        <w:r w:rsidR="001E4EEF" w:rsidRPr="001E4EEF">
          <w:rPr>
            <w:rStyle w:val="Hyperlink"/>
            <w:rFonts w:ascii="Arial" w:hAnsi="Arial" w:cs="Arial"/>
            <w:b/>
            <w:bCs/>
            <w:sz w:val="22"/>
            <w:szCs w:val="22"/>
            <w:rtl/>
          </w:rPr>
          <w:t>499(א)(1)</w:t>
        </w:r>
      </w:hyperlink>
      <w:r>
        <w:rPr>
          <w:rFonts w:ascii="Arial" w:hAnsi="Arial" w:cs="Arial"/>
          <w:b/>
          <w:bCs/>
          <w:sz w:val="22"/>
          <w:szCs w:val="22"/>
          <w:rtl/>
        </w:rPr>
        <w:t xml:space="preserve"> ל</w:t>
      </w:r>
      <w:hyperlink r:id="rId22" w:history="1">
        <w:r w:rsidR="00003FFC" w:rsidRPr="00003FFC">
          <w:rPr>
            <w:rStyle w:val="Hyperlink"/>
            <w:rFonts w:ascii="Arial" w:hAnsi="Arial" w:cs="Arial"/>
            <w:b/>
            <w:bCs/>
            <w:sz w:val="22"/>
            <w:szCs w:val="22"/>
            <w:rtl/>
          </w:rPr>
          <w:t>חוק העונשין</w:t>
        </w:r>
      </w:hyperlink>
      <w:r>
        <w:rPr>
          <w:rFonts w:ascii="Arial" w:hAnsi="Arial" w:cs="Arial"/>
          <w:b/>
          <w:bCs/>
          <w:sz w:val="22"/>
          <w:szCs w:val="22"/>
          <w:rtl/>
        </w:rPr>
        <w:t xml:space="preserve"> תשל"ז – 1977 ובעביר</w:t>
      </w:r>
      <w:r w:rsidR="001E4EEF">
        <w:rPr>
          <w:rFonts w:ascii="Arial" w:hAnsi="Arial" w:cs="Arial"/>
          <w:b/>
          <w:bCs/>
          <w:sz w:val="22"/>
          <w:szCs w:val="22"/>
          <w:rtl/>
        </w:rPr>
        <w:t xml:space="preserve">ות נשק (הובלת נשק) לפי סעיף </w:t>
      </w:r>
      <w:hyperlink r:id="rId23" w:history="1">
        <w:r w:rsidR="00F5046D" w:rsidRPr="00F5046D">
          <w:rPr>
            <w:rStyle w:val="Hyperlink"/>
            <w:rFonts w:ascii="Arial" w:hAnsi="Arial" w:cs="Arial"/>
            <w:b/>
            <w:bCs/>
            <w:sz w:val="22"/>
            <w:szCs w:val="22"/>
            <w:rtl/>
          </w:rPr>
          <w:t>144(ב)</w:t>
        </w:r>
      </w:hyperlink>
      <w:r>
        <w:rPr>
          <w:rFonts w:ascii="Arial" w:hAnsi="Arial" w:cs="Arial"/>
          <w:b/>
          <w:bCs/>
          <w:sz w:val="22"/>
          <w:szCs w:val="22"/>
          <w:rtl/>
        </w:rPr>
        <w:t xml:space="preserve"> </w:t>
      </w:r>
      <w:r>
        <w:rPr>
          <w:rFonts w:ascii="Arial" w:hAnsi="Arial" w:cs="Arial"/>
          <w:rtl/>
        </w:rPr>
        <w:t xml:space="preserve">לחוק העונשין. </w:t>
      </w:r>
    </w:p>
    <w:p w14:paraId="65F47343" w14:textId="77777777" w:rsidR="00023E96" w:rsidRDefault="00023E96">
      <w:pPr>
        <w:spacing w:line="360" w:lineRule="auto"/>
        <w:jc w:val="both"/>
        <w:rPr>
          <w:rFonts w:ascii="Arial" w:hAnsi="Arial" w:cs="Arial"/>
          <w:rtl/>
        </w:rPr>
      </w:pPr>
    </w:p>
    <w:p w14:paraId="6DF6D13D" w14:textId="77777777" w:rsidR="00023E96" w:rsidRDefault="009436F6">
      <w:pPr>
        <w:spacing w:line="360" w:lineRule="auto"/>
        <w:jc w:val="both"/>
        <w:rPr>
          <w:rFonts w:ascii="Arial" w:hAnsi="Arial" w:cs="Arial"/>
          <w:rtl/>
        </w:rPr>
      </w:pPr>
      <w:r>
        <w:rPr>
          <w:rFonts w:ascii="Arial" w:hAnsi="Arial" w:cs="Arial"/>
          <w:rtl/>
        </w:rPr>
        <w:t xml:space="preserve">על פי עובדות </w:t>
      </w:r>
      <w:r>
        <w:rPr>
          <w:rFonts w:ascii="Arial" w:hAnsi="Arial" w:cs="Arial"/>
          <w:u w:val="single"/>
          <w:rtl/>
        </w:rPr>
        <w:t>האישום השני</w:t>
      </w:r>
      <w:r>
        <w:rPr>
          <w:rFonts w:ascii="Arial" w:hAnsi="Arial" w:cs="Arial"/>
          <w:rtl/>
        </w:rPr>
        <w:t xml:space="preserve"> בכתב אישום המתוקן, בסמוך לסוף שנת 2008, הצטרף הנאשם לפלוגה אחרת של הגדודים והשתתף באימון צבאי של 6 ימים למטרת הכשרתו בשיריון, ובמסגרת זו הוכשר בירי טילי יאסין ופצצות </w:t>
      </w:r>
      <w:r>
        <w:rPr>
          <w:rFonts w:ascii="Arial" w:hAnsi="Arial" w:cs="Arial"/>
        </w:rPr>
        <w:t xml:space="preserve">RPG </w:t>
      </w:r>
      <w:r>
        <w:rPr>
          <w:rFonts w:ascii="Arial" w:hAnsi="Arial" w:cs="Arial"/>
          <w:rtl/>
        </w:rPr>
        <w:t xml:space="preserve">. </w:t>
      </w:r>
    </w:p>
    <w:p w14:paraId="30C613B0" w14:textId="77777777" w:rsidR="00023E96" w:rsidRDefault="009436F6">
      <w:pPr>
        <w:spacing w:line="360" w:lineRule="auto"/>
        <w:jc w:val="both"/>
        <w:rPr>
          <w:rFonts w:ascii="Arial" w:hAnsi="Arial" w:cs="Arial"/>
          <w:rtl/>
        </w:rPr>
      </w:pPr>
      <w:r>
        <w:rPr>
          <w:rFonts w:ascii="Arial" w:hAnsi="Arial" w:cs="Arial"/>
          <w:rtl/>
        </w:rPr>
        <w:t xml:space="preserve">משהודה הנאשם בעובדות אלה, הוא הורשע </w:t>
      </w:r>
      <w:r>
        <w:rPr>
          <w:rFonts w:ascii="Arial" w:hAnsi="Arial" w:cs="Arial"/>
          <w:b/>
          <w:bCs/>
          <w:sz w:val="22"/>
          <w:szCs w:val="22"/>
          <w:rtl/>
        </w:rPr>
        <w:t>בפעילות בהתאחדות בלתי מותרת</w:t>
      </w:r>
      <w:r>
        <w:rPr>
          <w:rFonts w:ascii="Arial" w:hAnsi="Arial" w:cs="Arial"/>
          <w:rtl/>
        </w:rPr>
        <w:t xml:space="preserve">, עבירה לפי סעיף </w:t>
      </w:r>
      <w:hyperlink r:id="rId24" w:history="1">
        <w:r w:rsidR="00F5046D" w:rsidRPr="00F5046D">
          <w:rPr>
            <w:rStyle w:val="Hyperlink"/>
            <w:rFonts w:ascii="Arial" w:hAnsi="Arial" w:cs="Arial"/>
            <w:b/>
            <w:bCs/>
            <w:sz w:val="22"/>
            <w:szCs w:val="22"/>
            <w:rtl/>
          </w:rPr>
          <w:t>85(1)(א)</w:t>
        </w:r>
      </w:hyperlink>
      <w:r>
        <w:rPr>
          <w:rFonts w:ascii="Arial" w:hAnsi="Arial" w:cs="Arial"/>
          <w:b/>
          <w:bCs/>
          <w:rtl/>
        </w:rPr>
        <w:t xml:space="preserve"> </w:t>
      </w:r>
      <w:r>
        <w:rPr>
          <w:rFonts w:ascii="Arial" w:hAnsi="Arial" w:cs="Arial"/>
          <w:rtl/>
        </w:rPr>
        <w:t xml:space="preserve">לתקנות, וכן </w:t>
      </w:r>
      <w:r>
        <w:rPr>
          <w:rFonts w:ascii="Arial" w:hAnsi="Arial" w:cs="Arial"/>
          <w:b/>
          <w:bCs/>
          <w:sz w:val="22"/>
          <w:szCs w:val="22"/>
          <w:rtl/>
        </w:rPr>
        <w:t>באימונים צבאיים אסורים</w:t>
      </w:r>
      <w:r>
        <w:rPr>
          <w:rFonts w:ascii="Arial" w:hAnsi="Arial" w:cs="Arial"/>
          <w:rtl/>
        </w:rPr>
        <w:t xml:space="preserve">, לפי </w:t>
      </w:r>
      <w:hyperlink r:id="rId25" w:history="1">
        <w:r w:rsidR="00F5046D" w:rsidRPr="00F5046D">
          <w:rPr>
            <w:rStyle w:val="Hyperlink"/>
            <w:rFonts w:ascii="Arial" w:hAnsi="Arial" w:cs="Arial"/>
            <w:b/>
            <w:bCs/>
            <w:sz w:val="22"/>
            <w:szCs w:val="22"/>
            <w:rtl/>
          </w:rPr>
          <w:t>סעיף 143(ב)</w:t>
        </w:r>
      </w:hyperlink>
      <w:r>
        <w:rPr>
          <w:rFonts w:ascii="Arial" w:hAnsi="Arial" w:cs="Arial"/>
          <w:b/>
          <w:bCs/>
          <w:rtl/>
        </w:rPr>
        <w:t xml:space="preserve"> </w:t>
      </w:r>
      <w:r>
        <w:rPr>
          <w:rFonts w:ascii="Arial" w:hAnsi="Arial" w:cs="Arial"/>
          <w:rtl/>
        </w:rPr>
        <w:t>ל</w:t>
      </w:r>
      <w:hyperlink r:id="rId26" w:history="1">
        <w:r w:rsidR="00003FFC" w:rsidRPr="00003FFC">
          <w:rPr>
            <w:rStyle w:val="Hyperlink"/>
            <w:rFonts w:ascii="Arial" w:hAnsi="Arial" w:cs="Arial"/>
            <w:rtl/>
          </w:rPr>
          <w:t>חוק העונשין</w:t>
        </w:r>
      </w:hyperlink>
      <w:r>
        <w:rPr>
          <w:rFonts w:ascii="Arial" w:hAnsi="Arial" w:cs="Arial"/>
          <w:rtl/>
        </w:rPr>
        <w:t xml:space="preserve">. </w:t>
      </w:r>
    </w:p>
    <w:p w14:paraId="39EE0A99" w14:textId="77777777" w:rsidR="00023E96" w:rsidRDefault="00023E96">
      <w:pPr>
        <w:spacing w:line="360" w:lineRule="auto"/>
        <w:jc w:val="both"/>
        <w:rPr>
          <w:rFonts w:ascii="Arial" w:hAnsi="Arial" w:cs="Arial"/>
          <w:rtl/>
        </w:rPr>
      </w:pPr>
    </w:p>
    <w:p w14:paraId="7C196A3E" w14:textId="77777777" w:rsidR="00023E96" w:rsidRDefault="009436F6">
      <w:pPr>
        <w:spacing w:line="360" w:lineRule="auto"/>
        <w:jc w:val="both"/>
        <w:rPr>
          <w:rFonts w:ascii="Arial" w:hAnsi="Arial" w:cs="Arial"/>
          <w:rtl/>
        </w:rPr>
      </w:pPr>
      <w:r>
        <w:rPr>
          <w:rFonts w:ascii="Arial" w:hAnsi="Arial" w:cs="Arial"/>
          <w:rtl/>
        </w:rPr>
        <w:t xml:space="preserve">על פי עובדות </w:t>
      </w:r>
      <w:r>
        <w:rPr>
          <w:rFonts w:ascii="Arial" w:hAnsi="Arial" w:cs="Arial"/>
          <w:u w:val="single"/>
          <w:rtl/>
        </w:rPr>
        <w:t>האישום השלישי</w:t>
      </w:r>
      <w:r>
        <w:rPr>
          <w:rFonts w:ascii="Arial" w:hAnsi="Arial" w:cs="Arial"/>
          <w:rtl/>
        </w:rPr>
        <w:t xml:space="preserve"> בכתב אישום המתוקן, לאחר האימון הצבאי שתואר לעיל, ביצעו הנאשם וחברי חולייתו פעילות לילית נוספת, באורח סדיר, של שמירה חמושה -"ריבאט" - במוצב מודיעין של הרשות הפלשתינאית, כאשר הנאשם וחבריו נושאים על גופם אפודים וחמושים כל אחד ברוס"ר קלצ'ניקוב  ורימון יד. הנאשם נשא עימו גם טיל יאסין והיה מופקד על תפעולו בשעת הצורך. הכוונה היתה לפגוע בחיילי צה"ל אם יגיעו לאזור, ולגרום למותם. </w:t>
      </w:r>
    </w:p>
    <w:p w14:paraId="760DC47B" w14:textId="77777777" w:rsidR="00023E96" w:rsidRDefault="009436F6">
      <w:pPr>
        <w:spacing w:line="360" w:lineRule="auto"/>
        <w:jc w:val="both"/>
        <w:rPr>
          <w:rFonts w:ascii="Arial" w:hAnsi="Arial" w:cs="Arial"/>
          <w:rtl/>
        </w:rPr>
      </w:pPr>
      <w:r>
        <w:rPr>
          <w:rFonts w:ascii="Arial" w:hAnsi="Arial" w:cs="Arial"/>
          <w:rtl/>
        </w:rPr>
        <w:t xml:space="preserve">בשל כך הורשע הנאשם בעבירות של </w:t>
      </w:r>
      <w:r>
        <w:rPr>
          <w:rFonts w:ascii="Arial" w:hAnsi="Arial" w:cs="Arial"/>
          <w:b/>
          <w:bCs/>
          <w:sz w:val="22"/>
          <w:szCs w:val="22"/>
          <w:rtl/>
        </w:rPr>
        <w:t>פעילות בהתאחדות בלתי מותרת</w:t>
      </w:r>
      <w:r>
        <w:rPr>
          <w:rFonts w:ascii="Arial" w:hAnsi="Arial" w:cs="Arial"/>
          <w:b/>
          <w:bCs/>
          <w:rtl/>
        </w:rPr>
        <w:t>,</w:t>
      </w:r>
      <w:r>
        <w:rPr>
          <w:rFonts w:ascii="Arial" w:hAnsi="Arial" w:cs="Arial"/>
          <w:rtl/>
        </w:rPr>
        <w:t xml:space="preserve"> לפי סעיף </w:t>
      </w:r>
      <w:hyperlink r:id="rId27" w:history="1">
        <w:r w:rsidR="00F5046D" w:rsidRPr="00F5046D">
          <w:rPr>
            <w:rStyle w:val="Hyperlink"/>
            <w:rFonts w:ascii="Arial" w:hAnsi="Arial" w:cs="Arial"/>
            <w:b/>
            <w:bCs/>
            <w:sz w:val="22"/>
            <w:szCs w:val="22"/>
            <w:rtl/>
          </w:rPr>
          <w:t>85(1)(א)</w:t>
        </w:r>
      </w:hyperlink>
      <w:r>
        <w:rPr>
          <w:rFonts w:ascii="Arial" w:hAnsi="Arial" w:cs="Arial"/>
          <w:b/>
          <w:bCs/>
          <w:sz w:val="22"/>
          <w:szCs w:val="22"/>
          <w:rtl/>
        </w:rPr>
        <w:t xml:space="preserve"> לתקנות ובקשירת קשר לפשע (רצח)</w:t>
      </w:r>
      <w:r>
        <w:rPr>
          <w:rFonts w:ascii="Arial" w:hAnsi="Arial" w:cs="Arial"/>
          <w:rtl/>
        </w:rPr>
        <w:t xml:space="preserve"> לפי סעיף </w:t>
      </w:r>
      <w:hyperlink r:id="rId28" w:history="1">
        <w:r w:rsidR="00F5046D" w:rsidRPr="00F5046D">
          <w:rPr>
            <w:rStyle w:val="Hyperlink"/>
            <w:rFonts w:ascii="Arial" w:hAnsi="Arial" w:cs="Arial"/>
            <w:b/>
            <w:bCs/>
            <w:sz w:val="22"/>
            <w:szCs w:val="22"/>
            <w:rtl/>
          </w:rPr>
          <w:t>499(א)(1)</w:t>
        </w:r>
      </w:hyperlink>
      <w:r>
        <w:rPr>
          <w:rFonts w:ascii="Arial" w:hAnsi="Arial" w:cs="Arial"/>
          <w:b/>
          <w:bCs/>
          <w:rtl/>
        </w:rPr>
        <w:t xml:space="preserve"> </w:t>
      </w:r>
      <w:r>
        <w:rPr>
          <w:rFonts w:ascii="Arial" w:hAnsi="Arial" w:cs="Arial"/>
          <w:rtl/>
        </w:rPr>
        <w:t>ל</w:t>
      </w:r>
      <w:hyperlink r:id="rId29" w:history="1">
        <w:r w:rsidR="00003FFC" w:rsidRPr="00003FFC">
          <w:rPr>
            <w:rStyle w:val="Hyperlink"/>
            <w:rFonts w:ascii="Arial" w:hAnsi="Arial" w:cs="Arial"/>
            <w:rtl/>
          </w:rPr>
          <w:t>חוק העונשין</w:t>
        </w:r>
      </w:hyperlink>
      <w:r>
        <w:rPr>
          <w:rFonts w:ascii="Arial" w:hAnsi="Arial" w:cs="Arial"/>
          <w:rtl/>
        </w:rPr>
        <w:t xml:space="preserve">, </w:t>
      </w:r>
      <w:r>
        <w:rPr>
          <w:rFonts w:ascii="Arial" w:hAnsi="Arial" w:cs="Arial"/>
          <w:b/>
          <w:bCs/>
          <w:sz w:val="22"/>
          <w:szCs w:val="22"/>
          <w:rtl/>
        </w:rPr>
        <w:t>ובעבירות נשק (הובלת נשק)</w:t>
      </w:r>
      <w:r>
        <w:rPr>
          <w:rFonts w:ascii="Arial" w:hAnsi="Arial" w:cs="Arial"/>
          <w:rtl/>
        </w:rPr>
        <w:t xml:space="preserve"> לפי סעיף </w:t>
      </w:r>
      <w:hyperlink r:id="rId30" w:history="1">
        <w:r w:rsidR="00F5046D" w:rsidRPr="00F5046D">
          <w:rPr>
            <w:rStyle w:val="Hyperlink"/>
            <w:rFonts w:ascii="Arial" w:hAnsi="Arial" w:cs="Arial"/>
            <w:b/>
            <w:bCs/>
            <w:sz w:val="22"/>
            <w:szCs w:val="22"/>
            <w:rtl/>
          </w:rPr>
          <w:t>144(ב)</w:t>
        </w:r>
      </w:hyperlink>
      <w:r>
        <w:rPr>
          <w:rFonts w:ascii="Arial" w:hAnsi="Arial" w:cs="Arial"/>
          <w:b/>
          <w:bCs/>
          <w:rtl/>
        </w:rPr>
        <w:t xml:space="preserve"> </w:t>
      </w:r>
      <w:r>
        <w:rPr>
          <w:rFonts w:ascii="Arial" w:hAnsi="Arial" w:cs="Arial"/>
          <w:rtl/>
        </w:rPr>
        <w:t xml:space="preserve">לחוק. </w:t>
      </w:r>
    </w:p>
    <w:p w14:paraId="09379B8C" w14:textId="77777777" w:rsidR="00023E96" w:rsidRDefault="00023E96">
      <w:pPr>
        <w:spacing w:line="360" w:lineRule="auto"/>
        <w:jc w:val="both"/>
        <w:rPr>
          <w:rFonts w:ascii="Arial" w:hAnsi="Arial" w:cs="Arial"/>
          <w:rtl/>
        </w:rPr>
      </w:pPr>
    </w:p>
    <w:p w14:paraId="3556FCE3" w14:textId="77777777" w:rsidR="00023E96" w:rsidRDefault="009436F6">
      <w:pPr>
        <w:spacing w:line="360" w:lineRule="auto"/>
        <w:jc w:val="both"/>
        <w:rPr>
          <w:rFonts w:ascii="Arial" w:hAnsi="Arial" w:cs="Arial"/>
          <w:rtl/>
        </w:rPr>
      </w:pPr>
      <w:r>
        <w:rPr>
          <w:rFonts w:ascii="Arial" w:hAnsi="Arial" w:cs="Arial"/>
          <w:rtl/>
        </w:rPr>
        <w:t xml:space="preserve">על פי עובדות </w:t>
      </w:r>
      <w:r>
        <w:rPr>
          <w:rFonts w:ascii="Arial" w:hAnsi="Arial" w:cs="Arial"/>
          <w:u w:val="single"/>
          <w:rtl/>
        </w:rPr>
        <w:t>האישום הרביעי</w:t>
      </w:r>
      <w:r>
        <w:rPr>
          <w:rFonts w:ascii="Arial" w:hAnsi="Arial" w:cs="Arial"/>
          <w:rtl/>
        </w:rPr>
        <w:t xml:space="preserve"> בכתב האישום המתוקן, במהלך חודש אוקטובר 2008, הנאשם יצא, יחד עם שני פעילים נוספים בגדודים, כדי להטמין מטען חבלה נגד טנקים באזור כיכר מסויימת ברצועת עזה. חבריו של הנאשם הניחו את המטען מתחת לאספלט בכיכר, כדי להפעילו כנגד טנקים של צה"ל לכשיגיעו למקום. תפקידו של הנאשם היה לאבטח את שני </w:t>
      </w:r>
      <w:r>
        <w:rPr>
          <w:rFonts w:ascii="Arial" w:hAnsi="Arial" w:cs="Arial"/>
          <w:rtl/>
        </w:rPr>
        <w:lastRenderedPageBreak/>
        <w:t>חבריו בעת הנחת המטען. לאחר שכוחות צה"ל נכנסו לאזור, סיפר אחד מחברי החוליה לנאשם כי המטען אכן הופעל והתפוצץ על טנק של צה"ל.</w:t>
      </w:r>
    </w:p>
    <w:p w14:paraId="65305EB0" w14:textId="77777777" w:rsidR="00023E96" w:rsidRDefault="009436F6">
      <w:pPr>
        <w:spacing w:line="360" w:lineRule="auto"/>
        <w:jc w:val="both"/>
        <w:rPr>
          <w:rFonts w:ascii="Arial" w:hAnsi="Arial" w:cs="Arial"/>
          <w:rtl/>
        </w:rPr>
      </w:pPr>
      <w:r>
        <w:rPr>
          <w:rFonts w:ascii="Arial" w:hAnsi="Arial" w:cs="Arial"/>
          <w:rtl/>
        </w:rPr>
        <w:t xml:space="preserve">בשל כך הורשע הנאשם בעבירות של </w:t>
      </w:r>
      <w:r>
        <w:rPr>
          <w:rFonts w:ascii="Arial" w:hAnsi="Arial" w:cs="Arial"/>
          <w:b/>
          <w:bCs/>
          <w:sz w:val="22"/>
          <w:szCs w:val="22"/>
          <w:rtl/>
        </w:rPr>
        <w:t>ניסיון לרצח</w:t>
      </w:r>
      <w:r>
        <w:rPr>
          <w:rFonts w:ascii="Arial" w:hAnsi="Arial" w:cs="Arial"/>
          <w:sz w:val="22"/>
          <w:szCs w:val="22"/>
          <w:rtl/>
        </w:rPr>
        <w:t xml:space="preserve"> לפי</w:t>
      </w:r>
      <w:r>
        <w:rPr>
          <w:rFonts w:ascii="Arial" w:hAnsi="Arial" w:cs="Arial"/>
          <w:rtl/>
        </w:rPr>
        <w:t xml:space="preserve"> סעיף </w:t>
      </w:r>
      <w:hyperlink r:id="rId31" w:history="1">
        <w:r w:rsidR="00F5046D" w:rsidRPr="00F5046D">
          <w:rPr>
            <w:rStyle w:val="Hyperlink"/>
            <w:rFonts w:ascii="Arial" w:hAnsi="Arial" w:cs="Arial"/>
            <w:b/>
            <w:bCs/>
            <w:sz w:val="22"/>
            <w:szCs w:val="22"/>
            <w:rtl/>
          </w:rPr>
          <w:t>305(1)</w:t>
        </w:r>
      </w:hyperlink>
      <w:r>
        <w:rPr>
          <w:rFonts w:ascii="Arial" w:hAnsi="Arial" w:cs="Arial"/>
          <w:rtl/>
        </w:rPr>
        <w:t xml:space="preserve"> ל</w:t>
      </w:r>
      <w:hyperlink r:id="rId32" w:history="1">
        <w:r w:rsidR="00003FFC" w:rsidRPr="00003FFC">
          <w:rPr>
            <w:rStyle w:val="Hyperlink"/>
            <w:rFonts w:ascii="Arial" w:hAnsi="Arial" w:cs="Arial"/>
            <w:rtl/>
          </w:rPr>
          <w:t>חוק העונשין</w:t>
        </w:r>
      </w:hyperlink>
      <w:r>
        <w:rPr>
          <w:rFonts w:ascii="Arial" w:hAnsi="Arial" w:cs="Arial"/>
          <w:rtl/>
        </w:rPr>
        <w:t xml:space="preserve"> </w:t>
      </w:r>
      <w:r>
        <w:rPr>
          <w:rFonts w:ascii="Arial" w:hAnsi="Arial" w:cs="Arial"/>
          <w:b/>
          <w:bCs/>
          <w:sz w:val="22"/>
          <w:szCs w:val="22"/>
          <w:rtl/>
        </w:rPr>
        <w:t>ובעבירות נשק (הובלת נשק</w:t>
      </w:r>
      <w:r>
        <w:rPr>
          <w:rFonts w:ascii="Arial" w:hAnsi="Arial" w:cs="Arial"/>
          <w:b/>
          <w:bCs/>
          <w:rtl/>
        </w:rPr>
        <w:t>)</w:t>
      </w:r>
      <w:r>
        <w:rPr>
          <w:rFonts w:ascii="Arial" w:hAnsi="Arial" w:cs="Arial"/>
          <w:rtl/>
        </w:rPr>
        <w:t xml:space="preserve"> לפי סעיף </w:t>
      </w:r>
      <w:hyperlink r:id="rId33" w:history="1">
        <w:r w:rsidR="00F5046D" w:rsidRPr="00F5046D">
          <w:rPr>
            <w:rStyle w:val="Hyperlink"/>
            <w:rFonts w:ascii="Arial" w:hAnsi="Arial" w:cs="Arial"/>
            <w:b/>
            <w:bCs/>
            <w:sz w:val="22"/>
            <w:szCs w:val="22"/>
            <w:rtl/>
          </w:rPr>
          <w:t>144(ב)</w:t>
        </w:r>
      </w:hyperlink>
      <w:r>
        <w:rPr>
          <w:rFonts w:ascii="Arial" w:hAnsi="Arial" w:cs="Arial"/>
          <w:rtl/>
        </w:rPr>
        <w:t xml:space="preserve"> לחוק. </w:t>
      </w:r>
    </w:p>
    <w:p w14:paraId="0BAD780F" w14:textId="77777777" w:rsidR="00023E96" w:rsidRDefault="00023E96">
      <w:pPr>
        <w:spacing w:line="360" w:lineRule="auto"/>
        <w:jc w:val="both"/>
        <w:rPr>
          <w:rFonts w:ascii="Arial" w:hAnsi="Arial" w:cs="Arial"/>
          <w:rtl/>
        </w:rPr>
      </w:pPr>
    </w:p>
    <w:p w14:paraId="18E37D11" w14:textId="77777777" w:rsidR="00023E96" w:rsidRDefault="009436F6">
      <w:pPr>
        <w:spacing w:line="360" w:lineRule="auto"/>
        <w:jc w:val="both"/>
        <w:rPr>
          <w:rFonts w:ascii="Arial" w:hAnsi="Arial" w:cs="Arial"/>
          <w:rtl/>
        </w:rPr>
      </w:pPr>
      <w:r>
        <w:rPr>
          <w:rFonts w:ascii="Arial" w:hAnsi="Arial" w:cs="Arial"/>
          <w:rtl/>
        </w:rPr>
        <w:t xml:space="preserve">הנאשם הוא יליד 1985, והיה תושב בית להיא ברצועת עזה, טרם מעצרו בינואר 2009. אין לו הרשעות קודמות. </w:t>
      </w:r>
    </w:p>
    <w:p w14:paraId="6A41AFB1" w14:textId="77777777" w:rsidR="00023E96" w:rsidRDefault="00023E96">
      <w:pPr>
        <w:spacing w:line="360" w:lineRule="auto"/>
        <w:jc w:val="both"/>
        <w:rPr>
          <w:rFonts w:ascii="Arial" w:hAnsi="Arial" w:cs="Arial"/>
          <w:rtl/>
        </w:rPr>
      </w:pPr>
    </w:p>
    <w:p w14:paraId="74FE142E" w14:textId="77777777" w:rsidR="00023E96" w:rsidRDefault="009436F6">
      <w:pPr>
        <w:spacing w:line="360" w:lineRule="auto"/>
        <w:jc w:val="both"/>
        <w:rPr>
          <w:rFonts w:ascii="Arial" w:hAnsi="Arial" w:cs="Arial"/>
          <w:rtl/>
        </w:rPr>
      </w:pPr>
      <w:r>
        <w:rPr>
          <w:rFonts w:ascii="Arial" w:hAnsi="Arial" w:cs="Arial"/>
          <w:rtl/>
        </w:rPr>
        <w:t xml:space="preserve">בטיעוני המאשימה לעונש (שהוגשו בכתב), הוטעמו שיקולי הרתעת הפרט והרבים, והודגשה החומרה היתרה של מעורבות פעילה של הנאשם בהוצאה לפועל של פיגוע תופת, שנועד להרוג חיילים ישראליים, ואך בנס הסתיים ללא קורבנות (פרשת המטען נגד טנקים), זאת לצד פעילות ממושכת בשמירות חמושות שמטרתן להמתין לבואם של חיילי צה"ל ולהורגם. </w:t>
      </w:r>
    </w:p>
    <w:p w14:paraId="525924B7" w14:textId="77777777" w:rsidR="00023E96" w:rsidRDefault="00023E96">
      <w:pPr>
        <w:spacing w:line="360" w:lineRule="auto"/>
        <w:jc w:val="both"/>
        <w:rPr>
          <w:rFonts w:ascii="Arial" w:hAnsi="Arial" w:cs="Arial"/>
          <w:rtl/>
        </w:rPr>
      </w:pPr>
    </w:p>
    <w:p w14:paraId="40E271FF" w14:textId="77777777" w:rsidR="00023E96" w:rsidRDefault="009436F6">
      <w:pPr>
        <w:spacing w:line="360" w:lineRule="auto"/>
        <w:jc w:val="both"/>
        <w:rPr>
          <w:rFonts w:ascii="Arial" w:hAnsi="Arial" w:cs="Arial"/>
          <w:rtl/>
        </w:rPr>
      </w:pPr>
      <w:r>
        <w:rPr>
          <w:rFonts w:ascii="Arial" w:hAnsi="Arial" w:cs="Arial"/>
          <w:rtl/>
        </w:rPr>
        <w:t xml:space="preserve">המאשימה מצביעה על כך שהנאשם "שידרג" את יכולותיו ומיומנותו כלוחם, בכך שעבר קורס להפעלת נשק ומונה כאחראי להפעלת טיל היאסין. הוא הצטרף לחוליה שבה פעל מדעת ומרצון, וביודעו שהמטרה היא לפגוע בישראלים ממניעים לאומניים. הוא עשה, לטענת המאשימה, כל שביכולתו להוצאת המזימה אל הפועל, והתוצאה הסופית, שבמסגרתה לא נפגעו חיילי צה"ל בפועל, לא נבעה מחרטה שלו או של שותפיו. כמו כן, התבקשנו לייחס חומרה לפגיעה הקשה שעלולה היתה להיגרם לחיי אדם כתוצאה מהנחת מטען חבלה בציר תנועה של כוחות צה"ל ברצועת עזה. </w:t>
      </w:r>
    </w:p>
    <w:p w14:paraId="4A3C2498" w14:textId="77777777" w:rsidR="00023E96" w:rsidRDefault="00023E96">
      <w:pPr>
        <w:jc w:val="both"/>
        <w:rPr>
          <w:rFonts w:ascii="Arial" w:hAnsi="Arial" w:cs="Arial"/>
          <w:rtl/>
        </w:rPr>
      </w:pPr>
    </w:p>
    <w:p w14:paraId="0054B6B6" w14:textId="77777777" w:rsidR="00023E96" w:rsidRDefault="009436F6">
      <w:pPr>
        <w:spacing w:line="360" w:lineRule="auto"/>
        <w:jc w:val="both"/>
        <w:rPr>
          <w:rFonts w:ascii="Arial" w:hAnsi="Arial" w:cs="Arial"/>
          <w:rtl/>
        </w:rPr>
      </w:pPr>
      <w:r>
        <w:rPr>
          <w:rFonts w:ascii="Arial" w:hAnsi="Arial" w:cs="Arial"/>
          <w:rtl/>
        </w:rPr>
        <w:t xml:space="preserve">התובעת המלומדה, עו"ד א. דרנבוים, התייחסה, בטיעוניה, להחלת אמות המידה שיש ליישם, במקרה דנן, על פי עקרונות הבניית שיקול הדעת השיפוטי בענישה, מכח תיקון 113 של </w:t>
      </w:r>
      <w:hyperlink r:id="rId34" w:history="1">
        <w:r w:rsidR="00003FFC" w:rsidRPr="00003FFC">
          <w:rPr>
            <w:rStyle w:val="Hyperlink"/>
            <w:rFonts w:ascii="Arial" w:hAnsi="Arial" w:cs="Arial"/>
            <w:rtl/>
          </w:rPr>
          <w:t>חוק העונשין</w:t>
        </w:r>
      </w:hyperlink>
      <w:r>
        <w:rPr>
          <w:rFonts w:ascii="Arial" w:hAnsi="Arial" w:cs="Arial"/>
          <w:rtl/>
        </w:rPr>
        <w:t xml:space="preserve">. </w:t>
      </w:r>
    </w:p>
    <w:p w14:paraId="4CF20F47" w14:textId="77777777" w:rsidR="00023E96" w:rsidRDefault="00023E96">
      <w:pPr>
        <w:jc w:val="both"/>
        <w:rPr>
          <w:rFonts w:ascii="Arial" w:hAnsi="Arial" w:cs="Arial"/>
          <w:rtl/>
        </w:rPr>
      </w:pPr>
    </w:p>
    <w:p w14:paraId="7D40E23E" w14:textId="77777777" w:rsidR="00023E96" w:rsidRDefault="009436F6">
      <w:pPr>
        <w:spacing w:line="360" w:lineRule="auto"/>
        <w:jc w:val="both"/>
        <w:rPr>
          <w:rFonts w:ascii="Arial" w:hAnsi="Arial" w:cs="Arial"/>
          <w:rtl/>
        </w:rPr>
      </w:pPr>
      <w:r>
        <w:rPr>
          <w:rFonts w:ascii="Arial" w:hAnsi="Arial" w:cs="Arial"/>
          <w:rtl/>
        </w:rPr>
        <w:t xml:space="preserve">עו"ד דרנבוים טענה, כי הערך החברתי שנפגע בעבירות נגד ביטחון המדינה מחייב ענישה מחמירה במיוחד ומדובר בצורכי ההגנה על הציבור בישראל ועל כוחות הביטחון. מהיבט זה התבקשנו להבחין, לעניין קביעת מתחם הענישה הראוי, בין שלושת האישומים הראשונים, שעניינם בשמירות חמושות ובאימון צבאי, ולבין האישום הרביעי, החמור ביותר, שעוסק בהטמנת מטען רב עוצמה לצורכי פגיעה וקטל בחיילים. </w:t>
      </w:r>
    </w:p>
    <w:p w14:paraId="3D346FBE" w14:textId="77777777" w:rsidR="00023E96" w:rsidRDefault="00023E96">
      <w:pPr>
        <w:spacing w:line="360" w:lineRule="auto"/>
        <w:jc w:val="both"/>
        <w:rPr>
          <w:rFonts w:ascii="Arial" w:hAnsi="Arial" w:cs="Arial"/>
          <w:rtl/>
        </w:rPr>
      </w:pPr>
    </w:p>
    <w:p w14:paraId="1FAF9262" w14:textId="77777777" w:rsidR="00023E96" w:rsidRDefault="009436F6">
      <w:pPr>
        <w:spacing w:line="360" w:lineRule="auto"/>
        <w:jc w:val="both"/>
        <w:rPr>
          <w:rFonts w:ascii="Arial" w:hAnsi="Arial" w:cs="Arial"/>
          <w:rtl/>
        </w:rPr>
      </w:pPr>
      <w:r>
        <w:rPr>
          <w:rFonts w:ascii="Arial" w:hAnsi="Arial" w:cs="Arial"/>
          <w:rtl/>
        </w:rPr>
        <w:t xml:space="preserve">נטען, על בסיס פסיקה שעליה מסתמכת המאשימה, שמתחם הענישה לגבי עבירת הנחת המטען, כפי שתואר הינו בין 15 -10 שנים מאסר בפועל, ואילו ביחס לשני האישומים העוסקים בשמירות חמושות, נע המתחם הראוי בין 10 - 6 שנות מאסר לכל אישום, ואילו לגבי האימונים הצבאיים, מדובר במתחם ענישה ראוי של 5- 3 שנים. </w:t>
      </w:r>
    </w:p>
    <w:p w14:paraId="2D8F8295" w14:textId="77777777" w:rsidR="00023E96" w:rsidRDefault="00023E96">
      <w:pPr>
        <w:spacing w:line="360" w:lineRule="auto"/>
        <w:jc w:val="both"/>
        <w:rPr>
          <w:rFonts w:ascii="Arial" w:hAnsi="Arial" w:cs="Arial"/>
          <w:rtl/>
        </w:rPr>
      </w:pPr>
    </w:p>
    <w:p w14:paraId="759164D1" w14:textId="77777777" w:rsidR="00023E96" w:rsidRDefault="009436F6">
      <w:pPr>
        <w:spacing w:line="360" w:lineRule="auto"/>
        <w:jc w:val="both"/>
        <w:rPr>
          <w:rFonts w:ascii="Arial" w:hAnsi="Arial" w:cs="Arial"/>
          <w:rtl/>
        </w:rPr>
      </w:pPr>
      <w:r>
        <w:rPr>
          <w:rFonts w:ascii="Arial" w:hAnsi="Arial" w:cs="Arial"/>
          <w:rtl/>
        </w:rPr>
        <w:t xml:space="preserve">אשר לנסיבותיו האישיות של הנאשם, שאינן קשורות במישרין לביצוע העבירה, צויין שהאירועים המתוארים התרחשו כאשר היה כבן 23, ומאחר שהוא נעצר בתחילת שנת 2009,  נקטעה פעילותו, שלא מרצונו הוא. התבקשנו שלא לייחס משקל רב לנסיבות האישיות, וכך ראוי לנהוג, כנטען, כאשר מדובר בעבירות ביטחון חמורות. </w:t>
      </w:r>
    </w:p>
    <w:p w14:paraId="65D5AC32" w14:textId="77777777" w:rsidR="00023E96" w:rsidRDefault="00023E96">
      <w:pPr>
        <w:spacing w:line="360" w:lineRule="auto"/>
        <w:jc w:val="both"/>
        <w:rPr>
          <w:rFonts w:ascii="Arial" w:hAnsi="Arial" w:cs="Arial"/>
          <w:rtl/>
        </w:rPr>
      </w:pPr>
    </w:p>
    <w:p w14:paraId="513BE72F" w14:textId="77777777" w:rsidR="00023E96" w:rsidRDefault="009436F6">
      <w:pPr>
        <w:spacing w:line="360" w:lineRule="auto"/>
        <w:jc w:val="both"/>
        <w:rPr>
          <w:rFonts w:ascii="Arial" w:hAnsi="Arial" w:cs="Arial"/>
          <w:rtl/>
        </w:rPr>
      </w:pPr>
      <w:r>
        <w:rPr>
          <w:rFonts w:ascii="Arial" w:hAnsi="Arial" w:cs="Arial"/>
          <w:rtl/>
        </w:rPr>
        <w:t xml:space="preserve">המאשימה מבקשת, איפוא, להטיל על הנאשם עונש הולם, שיכלול מאסר בפועל ארוך ומאסר על תנאי ארוך ומרתיע בנוסף, וזאת - ברף הגבוה של מתחם הענישה הרלוונטי למעשים שתוארו. בכך יובא לידי ביטוי האינטרס של הגנה על ביטחון הציבור וביטחון המדינה, בדרך של הרחקה ממושכת של הנאשם מהחברה, לצד השיקול ההרתעתי ליחיד ולרבים כאחד. </w:t>
      </w:r>
    </w:p>
    <w:p w14:paraId="0220DAEF" w14:textId="77777777" w:rsidR="00023E96" w:rsidRDefault="00023E96">
      <w:pPr>
        <w:spacing w:line="360" w:lineRule="auto"/>
        <w:jc w:val="both"/>
        <w:rPr>
          <w:rFonts w:ascii="Arial" w:hAnsi="Arial" w:cs="Arial"/>
          <w:rtl/>
        </w:rPr>
      </w:pPr>
    </w:p>
    <w:p w14:paraId="417BA2AB" w14:textId="77777777" w:rsidR="00023E96" w:rsidRDefault="009436F6">
      <w:pPr>
        <w:spacing w:line="360" w:lineRule="auto"/>
        <w:jc w:val="both"/>
        <w:rPr>
          <w:rFonts w:ascii="Arial" w:hAnsi="Arial" w:cs="Arial"/>
          <w:rtl/>
        </w:rPr>
      </w:pPr>
      <w:r>
        <w:rPr>
          <w:rFonts w:ascii="Arial" w:hAnsi="Arial" w:cs="Arial"/>
          <w:rtl/>
        </w:rPr>
        <w:t xml:space="preserve">בפתח טיעוניו לעונש, הגיש הסנגור, עו"ד ל. חביב, לעיוננו, אישור ממוכתר הישוב שבו התגורר הנאשם </w:t>
      </w:r>
      <w:r>
        <w:rPr>
          <w:rFonts w:ascii="Arial" w:hAnsi="Arial" w:cs="Arial"/>
          <w:sz w:val="22"/>
          <w:szCs w:val="22"/>
          <w:rtl/>
        </w:rPr>
        <w:t>(מוצג נ/1 לעונש)</w:t>
      </w:r>
      <w:r>
        <w:rPr>
          <w:rFonts w:ascii="Arial" w:hAnsi="Arial" w:cs="Arial"/>
          <w:rtl/>
        </w:rPr>
        <w:t xml:space="preserve">, ועל פיו הנאשם היה חקלאי בעיסוקו מגיל צעיר, ואימו סובלת ממחלות כרוניות וזקוקה לטיפול. הנאשם היה המפרנס היחיד של משפחתו. </w:t>
      </w:r>
    </w:p>
    <w:p w14:paraId="3F1C5B88" w14:textId="77777777" w:rsidR="00023E96" w:rsidRDefault="00023E96">
      <w:pPr>
        <w:spacing w:line="360" w:lineRule="auto"/>
        <w:jc w:val="both"/>
        <w:rPr>
          <w:rFonts w:ascii="Arial" w:hAnsi="Arial" w:cs="Arial"/>
          <w:rtl/>
        </w:rPr>
      </w:pPr>
    </w:p>
    <w:p w14:paraId="3DF03FFB" w14:textId="77777777" w:rsidR="00023E96" w:rsidRDefault="009436F6">
      <w:pPr>
        <w:spacing w:line="360" w:lineRule="auto"/>
        <w:jc w:val="both"/>
        <w:rPr>
          <w:rFonts w:ascii="Arial" w:hAnsi="Arial" w:cs="Arial"/>
          <w:rtl/>
        </w:rPr>
      </w:pPr>
      <w:r>
        <w:rPr>
          <w:rFonts w:ascii="Arial" w:hAnsi="Arial" w:cs="Arial"/>
          <w:rtl/>
        </w:rPr>
        <w:t xml:space="preserve">עו"ד לביב סבור שאין לראות בחקיקת תיקון 113, לעניין הבניית שיקול הדעת בענישה, משום כוונה של המחוקק להביא להחמרה ברמת הענישה. הוא צירף לעיוננו מספר החלטות שיפוטיות, אומנם של בתי משפט שלום, שלשיטתו תומכים באמור. ההגנה סבורה, מכל מקום, שנקודת המוצא לקביעת העונש היא רמת הענישה שהיתה קיימת לפני התיקון, ושאין לנקוט גישה המעלה את הרף לאחריו. עוד ביקש עו"ד לביב, שנתייחס בראייה כוללת של מכלול העבירות שבכתב האישום, בבואנו לשקול הפעלת עיקרון ההלימה בין חומרת המעשים ונסיבותיהם ומידת אשמו של הנאשם לבין סוג ומידת העונש שיוטל עליו. לגישתו, יש "חפיפה" בין העבירות שעניינן פעילות השמירה החמושה למיניה, ומבחינת זמן ביצוע עבירות אלה, הן נעשו, ברובן, בעת קיום הרגיעה ("תהדיה") ברצועה, כאשר פוטנציאל ההתנגשות כמעט לא היה קיים והפעילות היתה בעלת אופי יותר ראוותני. </w:t>
      </w:r>
    </w:p>
    <w:p w14:paraId="44D35647" w14:textId="77777777" w:rsidR="00023E96" w:rsidRDefault="00023E96">
      <w:pPr>
        <w:spacing w:line="360" w:lineRule="auto"/>
        <w:jc w:val="both"/>
        <w:rPr>
          <w:rFonts w:ascii="Arial" w:hAnsi="Arial" w:cs="Arial"/>
          <w:rtl/>
        </w:rPr>
      </w:pPr>
    </w:p>
    <w:p w14:paraId="7AA1B051" w14:textId="77777777" w:rsidR="00023E96" w:rsidRDefault="009436F6">
      <w:pPr>
        <w:spacing w:line="360" w:lineRule="auto"/>
        <w:jc w:val="both"/>
        <w:rPr>
          <w:rFonts w:ascii="Arial" w:hAnsi="Arial" w:cs="Arial"/>
          <w:rtl/>
        </w:rPr>
      </w:pPr>
      <w:r>
        <w:rPr>
          <w:rFonts w:ascii="Arial" w:hAnsi="Arial" w:cs="Arial"/>
          <w:rtl/>
        </w:rPr>
        <w:t xml:space="preserve">אשר לאישום השני, שעניינו האימונים הצבאיים האסורים, רואה בכך ההגנה מעשה החופף במידה רבה את אישומי ה"ריבאט", במובן זה שהאימון נועד להכשיר את הנאשם לאותן שמירות ותו לא. הסנגור טוען, בהסתמך על פסקי דין, שניתנו בין היתר ע"י מותב זה, שמתחם הענישה הראוי לגבי עבירות השמירה החמושה והאימונים הוא בין 3-3.5 שנים וכי אין מקום, בנסיבות כתב האישום הספציפי, לגזור הדין ברף העליון של מתחם זה. </w:t>
      </w:r>
    </w:p>
    <w:p w14:paraId="27F5FB0E" w14:textId="77777777" w:rsidR="00023E96" w:rsidRDefault="00023E96">
      <w:pPr>
        <w:spacing w:line="360" w:lineRule="auto"/>
        <w:jc w:val="both"/>
        <w:rPr>
          <w:rFonts w:ascii="Arial" w:hAnsi="Arial" w:cs="Arial"/>
          <w:rtl/>
        </w:rPr>
      </w:pPr>
    </w:p>
    <w:p w14:paraId="22AD03A8" w14:textId="77777777" w:rsidR="00023E96" w:rsidRDefault="009436F6">
      <w:pPr>
        <w:spacing w:line="360" w:lineRule="auto"/>
        <w:jc w:val="both"/>
        <w:rPr>
          <w:rFonts w:ascii="Arial" w:hAnsi="Arial" w:cs="Arial"/>
          <w:rtl/>
        </w:rPr>
      </w:pPr>
      <w:r>
        <w:rPr>
          <w:rFonts w:ascii="Arial" w:hAnsi="Arial" w:cs="Arial"/>
          <w:rtl/>
        </w:rPr>
        <w:t xml:space="preserve">אשר לאישום החמור של הנחת המטען, הטעים עו"ד לביב שהנאשם לא הניח אותו בעצמו, ותפקידו היה זוטר, של מאבטח, ושאין ראיה שהמטען בכלל התפוצץ, לא כל שכן לגרימת נזק כלשהו. מתחם הענישה שהסנגור טוען לו, בהסתמך על פסיקה שהגיש,  בזיקה לאישום זה, הוא בין 5-8 שנות מאסר. הסנגור טוען עוד, שלמעשה פעולות הנאשם בהקשר אישום זה קרובות באופיין לסיוע לביצוע העבירה יותר מאשר לעבירת ניסיון הרצח אשר יוחסה לו ושבה הודה. מכל מקום – עותר הוא להטלת מאסר בגבול התחתון של המתחם האמור לאור "זוטרות" חלקו של הנאשם במעשה. </w:t>
      </w:r>
    </w:p>
    <w:p w14:paraId="62720704" w14:textId="77777777" w:rsidR="00023E96" w:rsidRDefault="00023E96">
      <w:pPr>
        <w:spacing w:line="360" w:lineRule="auto"/>
        <w:jc w:val="both"/>
        <w:rPr>
          <w:rFonts w:ascii="Arial" w:hAnsi="Arial" w:cs="Arial"/>
          <w:rtl/>
        </w:rPr>
      </w:pPr>
    </w:p>
    <w:p w14:paraId="4B840D21" w14:textId="77777777" w:rsidR="00023E96" w:rsidRDefault="009436F6">
      <w:pPr>
        <w:spacing w:line="360" w:lineRule="auto"/>
        <w:jc w:val="both"/>
        <w:rPr>
          <w:rFonts w:ascii="Arial" w:hAnsi="Arial" w:cs="Arial"/>
          <w:rtl/>
        </w:rPr>
      </w:pPr>
      <w:r>
        <w:rPr>
          <w:rFonts w:ascii="Arial" w:hAnsi="Arial" w:cs="Arial"/>
          <w:rtl/>
        </w:rPr>
        <w:t xml:space="preserve">עוד ביקש עו"ד לביב ליתן משקל לנסיבותיו האישיות של הנאשם, הפגיעה במשפחתו שאותה הוא פרנס, לרבות אמו החולנית, מעצרו הממושך, כ- 4 שנים, במהלך ניהול המשפט, חלוף הזמן מאז ביצוע העבירות ובעצם ההודאה ונטילת האחריות מצד הנאשם. </w:t>
      </w:r>
    </w:p>
    <w:p w14:paraId="23F87B50" w14:textId="77777777" w:rsidR="00023E96" w:rsidRDefault="00023E96">
      <w:pPr>
        <w:spacing w:line="360" w:lineRule="auto"/>
        <w:jc w:val="both"/>
        <w:rPr>
          <w:rFonts w:ascii="Arial" w:hAnsi="Arial" w:cs="Arial"/>
          <w:rtl/>
        </w:rPr>
      </w:pPr>
    </w:p>
    <w:p w14:paraId="0E9F7B1D" w14:textId="77777777" w:rsidR="00023E96" w:rsidRDefault="009436F6">
      <w:pPr>
        <w:spacing w:line="360" w:lineRule="auto"/>
        <w:jc w:val="both"/>
        <w:rPr>
          <w:rFonts w:ascii="Arial" w:hAnsi="Arial" w:cs="Arial"/>
          <w:rtl/>
        </w:rPr>
      </w:pPr>
      <w:r>
        <w:rPr>
          <w:rFonts w:ascii="Arial" w:hAnsi="Arial" w:cs="Arial"/>
          <w:rtl/>
        </w:rPr>
        <w:t>בדבריו לביהמ"ש, לאחר טיעוני הסנגור, ביקש הנאשם רחמים לעת גזירת הדין, והביע צער על מעשיו, שאותם הגדיר כטעות, וציין שהוא בן 26 והיה נשוי אך חודשיים כאשר נעצר, והוסיף ותיאר את מצבה הקשה של משפחתו, את מחלת אמו ואת נטל הפרנסה שבו נשא טרם המעצר.</w:t>
      </w:r>
    </w:p>
    <w:p w14:paraId="1742D337" w14:textId="77777777" w:rsidR="00023E96" w:rsidRDefault="00023E96">
      <w:pPr>
        <w:spacing w:line="360" w:lineRule="auto"/>
        <w:jc w:val="both"/>
        <w:rPr>
          <w:rFonts w:ascii="Arial" w:hAnsi="Arial" w:cs="Arial"/>
          <w:rtl/>
        </w:rPr>
      </w:pPr>
    </w:p>
    <w:p w14:paraId="79ADA9FC" w14:textId="77777777" w:rsidR="00023E96" w:rsidRDefault="009436F6">
      <w:pPr>
        <w:spacing w:line="360" w:lineRule="auto"/>
        <w:jc w:val="both"/>
        <w:rPr>
          <w:rFonts w:ascii="Arial" w:hAnsi="Arial" w:cs="Arial"/>
          <w:rtl/>
        </w:rPr>
      </w:pPr>
      <w:r>
        <w:rPr>
          <w:rFonts w:ascii="Arial" w:hAnsi="Arial" w:cs="Arial"/>
          <w:rtl/>
        </w:rPr>
        <w:t xml:space="preserve">עד כאן סקרנו טיעוני הצדדים לעונש. </w:t>
      </w:r>
    </w:p>
    <w:p w14:paraId="165F33EB" w14:textId="77777777" w:rsidR="00023E96" w:rsidRDefault="00023E96">
      <w:pPr>
        <w:spacing w:line="360" w:lineRule="auto"/>
        <w:jc w:val="both"/>
        <w:rPr>
          <w:rFonts w:ascii="Arial" w:hAnsi="Arial" w:cs="Arial"/>
          <w:rtl/>
        </w:rPr>
      </w:pPr>
    </w:p>
    <w:p w14:paraId="5D576C27" w14:textId="77777777" w:rsidR="00023E96" w:rsidRDefault="009436F6">
      <w:pPr>
        <w:spacing w:line="360" w:lineRule="auto"/>
        <w:jc w:val="both"/>
        <w:rPr>
          <w:rFonts w:ascii="Arial" w:hAnsi="Arial" w:cs="Arial"/>
          <w:rtl/>
        </w:rPr>
      </w:pPr>
      <w:r>
        <w:rPr>
          <w:rFonts w:ascii="Arial" w:hAnsi="Arial" w:cs="Arial"/>
          <w:rtl/>
        </w:rPr>
        <w:t xml:space="preserve">בבואנו לשקלל כל האמור ולהטיל על הנאשם את העונש המתאים, על פי העקרונות והשיקולים המנחים המותווים כיום במסגרת תיקון 113 של </w:t>
      </w:r>
      <w:hyperlink r:id="rId35" w:history="1">
        <w:r w:rsidR="00003FFC" w:rsidRPr="00003FFC">
          <w:rPr>
            <w:rStyle w:val="Hyperlink"/>
            <w:rFonts w:ascii="Arial" w:hAnsi="Arial" w:cs="Arial"/>
            <w:rtl/>
          </w:rPr>
          <w:t>חוק העונשין</w:t>
        </w:r>
      </w:hyperlink>
      <w:r>
        <w:rPr>
          <w:rFonts w:ascii="Arial" w:hAnsi="Arial" w:cs="Arial"/>
          <w:rtl/>
        </w:rPr>
        <w:t xml:space="preserve">, איננו רואים  צורך לקבוע עמדה בשאלה, שהציף עו"ד לביב בטיעוניו, האם מטרת המחוקק היתה להביא להחמרה בענישה אם לאו. </w:t>
      </w:r>
    </w:p>
    <w:p w14:paraId="7DDCED54" w14:textId="77777777" w:rsidR="00023E96" w:rsidRDefault="009436F6">
      <w:pPr>
        <w:spacing w:line="360" w:lineRule="auto"/>
        <w:jc w:val="both"/>
        <w:rPr>
          <w:rFonts w:ascii="Arial" w:hAnsi="Arial" w:cs="Arial"/>
          <w:rtl/>
        </w:rPr>
      </w:pPr>
      <w:r>
        <w:rPr>
          <w:rFonts w:ascii="Arial" w:hAnsi="Arial" w:cs="Arial"/>
          <w:rtl/>
        </w:rPr>
        <w:t xml:space="preserve">המחוקק קבע, ברורות, כי מטרת התיקון הינה לקבוע את העקרונות והשיקולים המנחים בענישה ואת המשקל שיש לתת להם על מנת לקבוע עונש המתאים לנאשם, בנסיבות העבירה, על בסיס "עיקרון העל" של הלימה, כמפורט </w:t>
      </w:r>
      <w:hyperlink r:id="rId36" w:history="1">
        <w:r w:rsidR="00F5046D" w:rsidRPr="00F5046D">
          <w:rPr>
            <w:rStyle w:val="Hyperlink"/>
            <w:rFonts w:ascii="Arial" w:hAnsi="Arial" w:cs="Arial"/>
            <w:rtl/>
          </w:rPr>
          <w:t>בסעיפים 40</w:t>
        </w:r>
      </w:hyperlink>
      <w:r w:rsidR="00F5046D">
        <w:rPr>
          <w:rFonts w:ascii="Arial" w:hAnsi="Arial" w:cs="Arial"/>
          <w:rtl/>
        </w:rPr>
        <w:t xml:space="preserve"> א ו </w:t>
      </w:r>
      <w:hyperlink r:id="rId37" w:history="1">
        <w:r w:rsidR="00F5046D" w:rsidRPr="00F5046D">
          <w:rPr>
            <w:rStyle w:val="Hyperlink"/>
            <w:rFonts w:ascii="Arial" w:hAnsi="Arial" w:cs="Arial"/>
            <w:rtl/>
          </w:rPr>
          <w:t>40ב</w:t>
        </w:r>
      </w:hyperlink>
      <w:r>
        <w:rPr>
          <w:rFonts w:ascii="Arial" w:hAnsi="Arial" w:cs="Arial"/>
          <w:rtl/>
        </w:rPr>
        <w:t xml:space="preserve"> של החוק.</w:t>
      </w:r>
    </w:p>
    <w:p w14:paraId="1F89B591" w14:textId="77777777" w:rsidR="00023E96" w:rsidRDefault="009436F6">
      <w:pPr>
        <w:spacing w:line="360" w:lineRule="auto"/>
        <w:jc w:val="both"/>
        <w:rPr>
          <w:rFonts w:ascii="Arial" w:hAnsi="Arial" w:cs="Arial"/>
          <w:rtl/>
        </w:rPr>
      </w:pPr>
      <w:r>
        <w:rPr>
          <w:rFonts w:ascii="Arial" w:hAnsi="Arial" w:cs="Arial"/>
          <w:rtl/>
        </w:rPr>
        <w:t xml:space="preserve"> </w:t>
      </w:r>
    </w:p>
    <w:p w14:paraId="01072D82" w14:textId="77777777" w:rsidR="00023E96" w:rsidRDefault="009436F6">
      <w:pPr>
        <w:spacing w:line="360" w:lineRule="auto"/>
        <w:jc w:val="both"/>
        <w:rPr>
          <w:rFonts w:ascii="Arial" w:hAnsi="Arial" w:cs="Arial"/>
          <w:rtl/>
        </w:rPr>
      </w:pPr>
      <w:r>
        <w:rPr>
          <w:rFonts w:ascii="Arial" w:hAnsi="Arial" w:cs="Arial"/>
          <w:rtl/>
        </w:rPr>
        <w:t xml:space="preserve">עלינו לחתור, איפוא, להטלת עונש שיהיה מתאים והולם, כפי הגדרת מונחים אלה ומשמעותם על פי החוק, תוך יישום מושכל של מכלול השיקולים והאיזונים שנקבעו בתיקון 113 הנ"ל, ואין צורך להרהר בשאלה האם חקיקת התיקון נועדה להשגת תכלית נוספת, כזו שאינה נקובה בו ואינה עולה מפורשות מתוכנו, בין להחמרה ובין להקלה. </w:t>
      </w:r>
    </w:p>
    <w:p w14:paraId="0B697FB0" w14:textId="77777777" w:rsidR="00023E96" w:rsidRDefault="00023E96">
      <w:pPr>
        <w:spacing w:line="360" w:lineRule="auto"/>
        <w:jc w:val="both"/>
        <w:rPr>
          <w:rFonts w:ascii="Arial" w:hAnsi="Arial" w:cs="Arial"/>
          <w:rtl/>
        </w:rPr>
      </w:pPr>
    </w:p>
    <w:p w14:paraId="695443E6" w14:textId="77777777" w:rsidR="00023E96" w:rsidRDefault="009436F6">
      <w:pPr>
        <w:spacing w:line="360" w:lineRule="auto"/>
        <w:jc w:val="both"/>
        <w:rPr>
          <w:rFonts w:ascii="Arial" w:hAnsi="Arial" w:cs="Arial"/>
          <w:rtl/>
        </w:rPr>
      </w:pPr>
      <w:r>
        <w:rPr>
          <w:rFonts w:ascii="Arial" w:hAnsi="Arial" w:cs="Arial"/>
          <w:rtl/>
        </w:rPr>
        <w:t xml:space="preserve">מהיבט הערך החברתי המוגן, והאינטרס הציבורי, אל מול נסיבותיו האישיות של נאשם המובא לדין בשל עבירות נגד ביטחון המדינה, הכלל שהשתרש בפסיקה הינו, כי שיקולי הגמול וההרתעה, במקרים הללו, גוברים במשקלם על אלה הקשורים בנסיבות האישיות. </w:t>
      </w:r>
    </w:p>
    <w:p w14:paraId="60BDC667" w14:textId="77777777" w:rsidR="00023E96" w:rsidRDefault="00023E96">
      <w:pPr>
        <w:spacing w:line="360" w:lineRule="auto"/>
        <w:jc w:val="both"/>
        <w:rPr>
          <w:rFonts w:ascii="Arial" w:hAnsi="Arial" w:cs="Arial"/>
          <w:rtl/>
        </w:rPr>
      </w:pPr>
    </w:p>
    <w:p w14:paraId="6B713887" w14:textId="77777777" w:rsidR="00023E96" w:rsidRDefault="009436F6">
      <w:pPr>
        <w:spacing w:line="360" w:lineRule="auto"/>
        <w:jc w:val="both"/>
        <w:rPr>
          <w:rFonts w:ascii="Arial" w:hAnsi="Arial" w:cs="Arial"/>
          <w:b/>
          <w:bCs/>
          <w:rtl/>
        </w:rPr>
      </w:pPr>
      <w:r>
        <w:rPr>
          <w:rFonts w:ascii="Arial" w:hAnsi="Arial" w:cs="Arial"/>
          <w:rtl/>
        </w:rPr>
        <w:t>ב</w:t>
      </w:r>
      <w:hyperlink r:id="rId38" w:history="1">
        <w:r w:rsidR="00003FFC" w:rsidRPr="00003FFC">
          <w:rPr>
            <w:rStyle w:val="Hyperlink"/>
            <w:rFonts w:ascii="Arial" w:hAnsi="Arial" w:cs="Arial"/>
            <w:rtl/>
          </w:rPr>
          <w:t>ע"פ 9349/07</w:t>
        </w:r>
      </w:hyperlink>
      <w:r>
        <w:rPr>
          <w:rFonts w:ascii="Arial" w:hAnsi="Arial" w:cs="Arial"/>
          <w:b/>
          <w:bCs/>
          <w:sz w:val="22"/>
          <w:szCs w:val="22"/>
          <w:rtl/>
        </w:rPr>
        <w:t>, חאמד נ' מדינת ישראל</w:t>
      </w:r>
      <w:r>
        <w:rPr>
          <w:rFonts w:ascii="Arial" w:hAnsi="Arial" w:cs="Arial"/>
          <w:rtl/>
        </w:rPr>
        <w:t xml:space="preserve"> [מיום 23.6.08, פורסם באתר נבו], נאמר כי: </w:t>
      </w:r>
    </w:p>
    <w:p w14:paraId="71928E72" w14:textId="77777777" w:rsidR="00023E96" w:rsidRDefault="009436F6">
      <w:pPr>
        <w:spacing w:line="360" w:lineRule="auto"/>
        <w:jc w:val="both"/>
        <w:rPr>
          <w:rFonts w:ascii="Arial" w:hAnsi="Arial" w:cs="Arial"/>
          <w:b/>
          <w:bCs/>
          <w:sz w:val="22"/>
          <w:szCs w:val="22"/>
          <w:rtl/>
        </w:rPr>
      </w:pPr>
      <w:r>
        <w:rPr>
          <w:rFonts w:ascii="Arial" w:hAnsi="Arial" w:cs="Arial"/>
          <w:b/>
          <w:bCs/>
          <w:sz w:val="22"/>
          <w:szCs w:val="22"/>
          <w:rtl/>
        </w:rPr>
        <w:t xml:space="preserve">"מדינת ישראל חבה חובה עליונה להגן על תושביה, ובכלל זה גם על חיילי צה"ל המופקדים על בטחון המדינה. מעשי טרור המכוונים לפגוע בחיי ישראלים – חיילים או אזרחים – מחייבת ענישה מחמירה במיוחד, אשר תטמיע את מסר הגמול וההרתעה כלפי כל מי שמעורב בפעילות בלתי חוקית המסכנת חיים... בסוג זה של עבירות הנסיבות האישיות של הנאשם מתגמדות במשקלן לנוכח חומרת המעשים והסיכויים הטמונים בהם, למען ידע כל גורם עויין למדינה ולתושביה כי הוא צפוי לעונש חמור ביותר, אם ימצא מעורב בפעולות טרור שנועדו לפגוע בביטחון אזרחי ישראל ולקטול חיים". </w:t>
      </w:r>
    </w:p>
    <w:p w14:paraId="1E6FB1EA" w14:textId="77777777" w:rsidR="00023E96" w:rsidRDefault="00023E96">
      <w:pPr>
        <w:spacing w:line="360" w:lineRule="auto"/>
        <w:jc w:val="both"/>
        <w:rPr>
          <w:rFonts w:ascii="Arial" w:hAnsi="Arial" w:cs="Arial"/>
          <w:rtl/>
        </w:rPr>
      </w:pPr>
    </w:p>
    <w:p w14:paraId="3E091348" w14:textId="77777777" w:rsidR="00023E96" w:rsidRDefault="009436F6">
      <w:pPr>
        <w:spacing w:line="360" w:lineRule="auto"/>
        <w:jc w:val="both"/>
        <w:rPr>
          <w:rFonts w:ascii="Arial" w:hAnsi="Arial" w:cs="Arial"/>
          <w:sz w:val="22"/>
          <w:szCs w:val="22"/>
          <w:rtl/>
        </w:rPr>
      </w:pPr>
      <w:r>
        <w:rPr>
          <w:rFonts w:ascii="Arial" w:hAnsi="Arial" w:cs="Arial"/>
          <w:rtl/>
        </w:rPr>
        <w:t xml:space="preserve">כמובן, אף ששיקולי ההרתעה והגנה על שלום הציבור מקבלים משקל רב, לעת גזירת הדין, אין פשר הדבר שביהמ"ש מתעלם משיקולי קולא, כגון נסיבות אישיות של נאשם, ועדיין כל מקרה, על נסיבותיו המיוחדות, נבחן לגופו </w:t>
      </w:r>
      <w:r>
        <w:rPr>
          <w:rFonts w:ascii="Arial" w:hAnsi="Arial" w:cs="Arial"/>
          <w:sz w:val="22"/>
          <w:szCs w:val="22"/>
          <w:rtl/>
        </w:rPr>
        <w:t xml:space="preserve">[ראה </w:t>
      </w:r>
      <w:hyperlink r:id="rId39" w:history="1">
        <w:r w:rsidR="00003FFC" w:rsidRPr="00003FFC">
          <w:rPr>
            <w:rStyle w:val="Hyperlink"/>
            <w:rFonts w:ascii="Arial" w:hAnsi="Arial" w:cs="Arial"/>
            <w:sz w:val="22"/>
            <w:szCs w:val="22"/>
            <w:rtl/>
          </w:rPr>
          <w:t>ע"פ 3834/07</w:t>
        </w:r>
      </w:hyperlink>
      <w:r>
        <w:rPr>
          <w:rFonts w:ascii="Arial" w:hAnsi="Arial" w:cs="Arial"/>
          <w:b/>
          <w:bCs/>
          <w:sz w:val="22"/>
          <w:szCs w:val="22"/>
          <w:rtl/>
        </w:rPr>
        <w:t>, מוחמד אבו שלוף נ' מ.י</w:t>
      </w:r>
      <w:r>
        <w:rPr>
          <w:rFonts w:ascii="Arial" w:hAnsi="Arial" w:cs="Arial"/>
          <w:sz w:val="22"/>
          <w:szCs w:val="22"/>
          <w:rtl/>
        </w:rPr>
        <w:t xml:space="preserve">, מיום 29.3.09]. </w:t>
      </w:r>
    </w:p>
    <w:p w14:paraId="7D35909D" w14:textId="77777777" w:rsidR="00023E96" w:rsidRDefault="00023E96">
      <w:pPr>
        <w:spacing w:line="360" w:lineRule="auto"/>
        <w:jc w:val="both"/>
        <w:rPr>
          <w:rFonts w:ascii="Arial" w:hAnsi="Arial" w:cs="Arial"/>
          <w:rtl/>
        </w:rPr>
      </w:pPr>
    </w:p>
    <w:p w14:paraId="0AF9C09D" w14:textId="77777777" w:rsidR="00023E96" w:rsidRDefault="009436F6">
      <w:pPr>
        <w:spacing w:line="360" w:lineRule="auto"/>
        <w:jc w:val="both"/>
        <w:rPr>
          <w:rFonts w:ascii="Arial" w:hAnsi="Arial" w:cs="Arial"/>
          <w:sz w:val="22"/>
          <w:szCs w:val="22"/>
        </w:rPr>
      </w:pPr>
      <w:r>
        <w:rPr>
          <w:rFonts w:ascii="Arial" w:hAnsi="Arial" w:cs="Arial"/>
          <w:rtl/>
        </w:rPr>
        <w:t xml:space="preserve">לאחרונה, הזדמן לנו להתייחס לממשק שבין גבולות מתחם הענישה, הנקבע על פי תיקון 113, לבין ההתחשבות בנסיבות אישיות של נאשם, והבענו דעתנו כי </w:t>
      </w:r>
      <w:r>
        <w:rPr>
          <w:rFonts w:ascii="Arial" w:hAnsi="Arial" w:cs="Arial"/>
          <w:b/>
          <w:bCs/>
          <w:sz w:val="22"/>
          <w:szCs w:val="22"/>
          <w:rtl/>
        </w:rPr>
        <w:t>"...כיום, לאחר התיקון לחוק, השיקולים הקשורים בנסיבות האישיות של הנאשם, ילקחו בחשבון בקביעת העונש בתוך מתחם העונש ההולם שיקבע, שהרי המתחם יקבע על פי הערך החברתי שנפגע, כמפורט לעיל, מידת הפגיעה בערך החברתי, מדיניות הענישה ונסיבות העבירה"</w:t>
      </w:r>
      <w:r>
        <w:rPr>
          <w:rFonts w:ascii="Arial" w:hAnsi="Arial" w:cs="Arial"/>
          <w:b/>
          <w:bCs/>
          <w:rtl/>
        </w:rPr>
        <w:t xml:space="preserve"> </w:t>
      </w:r>
      <w:r>
        <w:rPr>
          <w:rFonts w:ascii="Arial" w:hAnsi="Arial" w:cs="Arial"/>
          <w:b/>
          <w:bCs/>
          <w:sz w:val="22"/>
          <w:szCs w:val="22"/>
          <w:rtl/>
        </w:rPr>
        <w:t>[</w:t>
      </w:r>
      <w:r>
        <w:rPr>
          <w:rFonts w:ascii="Arial" w:hAnsi="Arial" w:cs="Arial"/>
          <w:sz w:val="22"/>
          <w:szCs w:val="22"/>
          <w:rtl/>
        </w:rPr>
        <w:t>ראה</w:t>
      </w:r>
      <w:r>
        <w:rPr>
          <w:rFonts w:ascii="Arial" w:hAnsi="Arial" w:cs="Arial"/>
          <w:b/>
          <w:bCs/>
          <w:sz w:val="22"/>
          <w:szCs w:val="22"/>
          <w:rtl/>
        </w:rPr>
        <w:t xml:space="preserve"> - </w:t>
      </w:r>
      <w:r w:rsidRPr="00CC3227">
        <w:rPr>
          <w:rFonts w:ascii="Arial" w:hAnsi="Arial" w:cs="Arial"/>
          <w:b/>
          <w:bCs/>
          <w:color w:val="000000"/>
          <w:sz w:val="22"/>
          <w:szCs w:val="22"/>
          <w:rtl/>
        </w:rPr>
        <w:t xml:space="preserve">תפ"ח </w:t>
      </w:r>
      <w:hyperlink r:id="rId40" w:history="1">
        <w:r w:rsidR="00522440" w:rsidRPr="00522440">
          <w:rPr>
            <w:rStyle w:val="Hyperlink"/>
            <w:rFonts w:ascii="Arial" w:hAnsi="Arial" w:cs="Arial"/>
            <w:b/>
            <w:bCs/>
            <w:sz w:val="22"/>
            <w:szCs w:val="22"/>
            <w:rtl/>
          </w:rPr>
          <w:t>1103/06</w:t>
        </w:r>
      </w:hyperlink>
      <w:r>
        <w:rPr>
          <w:rFonts w:ascii="Arial" w:hAnsi="Arial" w:cs="Arial"/>
          <w:b/>
          <w:bCs/>
          <w:sz w:val="22"/>
          <w:szCs w:val="22"/>
          <w:rtl/>
        </w:rPr>
        <w:t xml:space="preserve">, מ.י נ' יאסר אבו חמאד, </w:t>
      </w:r>
      <w:r>
        <w:rPr>
          <w:rFonts w:ascii="Arial" w:hAnsi="Arial" w:cs="Arial"/>
          <w:sz w:val="22"/>
          <w:szCs w:val="22"/>
          <w:rtl/>
        </w:rPr>
        <w:t>גז"ד מיום 22.10.12, להלן:"גז"ד אבו יאסר"].</w:t>
      </w:r>
    </w:p>
    <w:p w14:paraId="2A5EF7F7" w14:textId="77777777" w:rsidR="00023E96" w:rsidRDefault="00023E96">
      <w:pPr>
        <w:spacing w:line="360" w:lineRule="auto"/>
        <w:jc w:val="both"/>
        <w:rPr>
          <w:rFonts w:ascii="Arial" w:hAnsi="Arial" w:cs="Arial"/>
          <w:sz w:val="22"/>
          <w:szCs w:val="22"/>
          <w:rtl/>
        </w:rPr>
      </w:pPr>
    </w:p>
    <w:p w14:paraId="185B89A9" w14:textId="77777777" w:rsidR="00023E96" w:rsidRDefault="009436F6">
      <w:pPr>
        <w:spacing w:line="360" w:lineRule="auto"/>
        <w:jc w:val="both"/>
        <w:rPr>
          <w:rFonts w:ascii="Arial" w:hAnsi="Arial" w:cs="Arial"/>
          <w:rtl/>
        </w:rPr>
      </w:pPr>
      <w:r>
        <w:rPr>
          <w:rFonts w:ascii="Arial" w:hAnsi="Arial" w:cs="Arial"/>
          <w:rtl/>
        </w:rPr>
        <w:t xml:space="preserve">במקרה הנדון לפנינו כעת, ובשים לב לאמור, יהא עלינו לקבוע מתחם העונש ההולם, לעבירות השונות, ולשקלל, בתוך אותו מתחם, את הנסיבות הספציפיות, הן של מעשי העבירה, הן של עושה העבירה - הנאשם, על מנת לקבוע היכן, בתוך אותו מתחם, יש למקם עונשו של הנאשם. </w:t>
      </w:r>
    </w:p>
    <w:p w14:paraId="0ABCE473" w14:textId="77777777" w:rsidR="00023E96" w:rsidRDefault="009436F6">
      <w:pPr>
        <w:spacing w:line="360" w:lineRule="auto"/>
        <w:jc w:val="both"/>
        <w:rPr>
          <w:rFonts w:ascii="Arial" w:hAnsi="Arial" w:cs="Arial"/>
          <w:sz w:val="22"/>
          <w:szCs w:val="22"/>
          <w:rtl/>
        </w:rPr>
      </w:pPr>
      <w:r>
        <w:rPr>
          <w:rFonts w:ascii="Arial" w:hAnsi="Arial" w:cs="Arial"/>
          <w:rtl/>
        </w:rPr>
        <w:t xml:space="preserve">אין טענה, ובדין כך, שהמקרה שלפנינו מצדיק חריגה ממתחם העונש ההולם, בין לקולא, משיקולי שיקום </w:t>
      </w:r>
      <w:r w:rsidR="00F5046D">
        <w:rPr>
          <w:rFonts w:ascii="Arial" w:hAnsi="Arial" w:cs="Arial"/>
          <w:sz w:val="22"/>
          <w:szCs w:val="22"/>
          <w:rtl/>
        </w:rPr>
        <w:t xml:space="preserve">[סעיף </w:t>
      </w:r>
      <w:hyperlink r:id="rId41" w:history="1">
        <w:r w:rsidR="00F5046D" w:rsidRPr="00F5046D">
          <w:rPr>
            <w:rStyle w:val="Hyperlink"/>
            <w:rFonts w:ascii="Arial" w:hAnsi="Arial" w:cs="Arial"/>
            <w:sz w:val="22"/>
            <w:szCs w:val="22"/>
            <w:rtl/>
          </w:rPr>
          <w:t>40ד</w:t>
        </w:r>
      </w:hyperlink>
      <w:r>
        <w:rPr>
          <w:rFonts w:ascii="Arial" w:hAnsi="Arial" w:cs="Arial"/>
          <w:sz w:val="22"/>
          <w:szCs w:val="22"/>
          <w:rtl/>
        </w:rPr>
        <w:t xml:space="preserve"> לחוק]</w:t>
      </w:r>
      <w:r>
        <w:rPr>
          <w:rFonts w:ascii="Arial" w:hAnsi="Arial" w:cs="Arial"/>
          <w:rtl/>
        </w:rPr>
        <w:t xml:space="preserve">, ובין לחומרא, משיקולי הגנה על שלום הציבור </w:t>
      </w:r>
      <w:r w:rsidR="00F5046D">
        <w:rPr>
          <w:rFonts w:ascii="Arial" w:hAnsi="Arial" w:cs="Arial"/>
          <w:sz w:val="22"/>
          <w:szCs w:val="22"/>
          <w:rtl/>
        </w:rPr>
        <w:t xml:space="preserve">[סעיף </w:t>
      </w:r>
      <w:hyperlink r:id="rId42" w:history="1">
        <w:r w:rsidR="00F5046D" w:rsidRPr="00F5046D">
          <w:rPr>
            <w:rStyle w:val="Hyperlink"/>
            <w:rFonts w:ascii="Arial" w:hAnsi="Arial" w:cs="Arial"/>
            <w:sz w:val="22"/>
            <w:szCs w:val="22"/>
            <w:rtl/>
          </w:rPr>
          <w:t>40ה</w:t>
        </w:r>
      </w:hyperlink>
      <w:r>
        <w:rPr>
          <w:rFonts w:ascii="Arial" w:hAnsi="Arial" w:cs="Arial"/>
          <w:sz w:val="22"/>
          <w:szCs w:val="22"/>
          <w:rtl/>
        </w:rPr>
        <w:t xml:space="preserve"> לחוק]. </w:t>
      </w:r>
    </w:p>
    <w:p w14:paraId="0B94D145" w14:textId="77777777" w:rsidR="00023E96" w:rsidRDefault="00023E96">
      <w:pPr>
        <w:spacing w:line="360" w:lineRule="auto"/>
        <w:jc w:val="both"/>
        <w:rPr>
          <w:rFonts w:ascii="Arial" w:hAnsi="Arial" w:cs="Arial"/>
          <w:rtl/>
        </w:rPr>
      </w:pPr>
    </w:p>
    <w:p w14:paraId="672CEE19" w14:textId="77777777" w:rsidR="00023E96" w:rsidRDefault="009436F6">
      <w:pPr>
        <w:spacing w:line="360" w:lineRule="auto"/>
        <w:jc w:val="both"/>
        <w:rPr>
          <w:rFonts w:ascii="Arial" w:hAnsi="Arial" w:cs="Arial"/>
          <w:rtl/>
        </w:rPr>
      </w:pPr>
      <w:r>
        <w:rPr>
          <w:rFonts w:ascii="Arial" w:hAnsi="Arial" w:cs="Arial"/>
          <w:rtl/>
        </w:rPr>
        <w:t xml:space="preserve">בגז"ד "יאסר אבו חאמד" שלעיל </w:t>
      </w:r>
      <w:r>
        <w:rPr>
          <w:rFonts w:ascii="Arial" w:hAnsi="Arial" w:cs="Arial"/>
          <w:sz w:val="22"/>
          <w:szCs w:val="22"/>
          <w:rtl/>
        </w:rPr>
        <w:t>[תפ"ח 1103/06],</w:t>
      </w:r>
      <w:r>
        <w:rPr>
          <w:rFonts w:ascii="Arial" w:hAnsi="Arial" w:cs="Arial"/>
          <w:rtl/>
        </w:rPr>
        <w:t xml:space="preserve"> קבענו את מתחמי הענישה ביחס לעבירות כדוגמת אלה שבהן הורשע הנאשם כעת, ובהתבסס על פסקי דין בעניינים דומים, שחלקם אוזכר וצוטט על ידינו בגזר הדין הנזכר. </w:t>
      </w:r>
    </w:p>
    <w:p w14:paraId="41B73177" w14:textId="77777777" w:rsidR="00023E96" w:rsidRDefault="00023E96">
      <w:pPr>
        <w:spacing w:line="360" w:lineRule="auto"/>
        <w:jc w:val="both"/>
        <w:rPr>
          <w:rFonts w:ascii="Arial" w:hAnsi="Arial" w:cs="Arial"/>
          <w:rtl/>
        </w:rPr>
      </w:pPr>
    </w:p>
    <w:p w14:paraId="2BF169CA" w14:textId="77777777" w:rsidR="00023E96" w:rsidRDefault="009436F6">
      <w:pPr>
        <w:spacing w:line="360" w:lineRule="auto"/>
        <w:jc w:val="both"/>
        <w:rPr>
          <w:rFonts w:ascii="Arial" w:hAnsi="Arial" w:cs="Arial"/>
          <w:rtl/>
        </w:rPr>
      </w:pPr>
      <w:r>
        <w:rPr>
          <w:rFonts w:ascii="Arial" w:hAnsi="Arial" w:cs="Arial"/>
          <w:rtl/>
        </w:rPr>
        <w:t xml:space="preserve">אשר לפעילות בארגון טרור ואימונים צבאיים מטעם הארגון, נקבע מתחם ענישה של 3-5 שנות מאסר בפועל. </w:t>
      </w:r>
    </w:p>
    <w:p w14:paraId="67742FC4" w14:textId="77777777" w:rsidR="00023E96" w:rsidRDefault="00023E96">
      <w:pPr>
        <w:spacing w:line="360" w:lineRule="auto"/>
        <w:jc w:val="both"/>
        <w:rPr>
          <w:rFonts w:ascii="Arial" w:hAnsi="Arial" w:cs="Arial"/>
          <w:rtl/>
        </w:rPr>
      </w:pPr>
    </w:p>
    <w:p w14:paraId="6F5953AF" w14:textId="77777777" w:rsidR="00023E96" w:rsidRDefault="009436F6">
      <w:pPr>
        <w:spacing w:line="360" w:lineRule="auto"/>
        <w:jc w:val="both"/>
        <w:rPr>
          <w:rFonts w:ascii="Arial" w:hAnsi="Arial" w:cs="Arial"/>
          <w:sz w:val="22"/>
          <w:szCs w:val="22"/>
          <w:rtl/>
        </w:rPr>
      </w:pPr>
      <w:r>
        <w:rPr>
          <w:rFonts w:ascii="Arial" w:hAnsi="Arial" w:cs="Arial"/>
          <w:rtl/>
        </w:rPr>
        <w:t xml:space="preserve">אשר לשמירות חמושות </w:t>
      </w:r>
      <w:r>
        <w:rPr>
          <w:rFonts w:ascii="Arial" w:hAnsi="Arial" w:cs="Arial"/>
          <w:sz w:val="22"/>
          <w:szCs w:val="22"/>
          <w:rtl/>
        </w:rPr>
        <w:t>("ריבאט")</w:t>
      </w:r>
      <w:r>
        <w:rPr>
          <w:rFonts w:ascii="Arial" w:hAnsi="Arial" w:cs="Arial"/>
          <w:rtl/>
        </w:rPr>
        <w:t xml:space="preserve">, שתכליתן התרעה וירי לעבר חיילים באזור הגבול, קבענו מתחם שבין 6-10 שנות מאסר לריצוי בפועל. ערים אנו לכך שהסנגור במקרה הנדון כעת,  הצביע בטיעוניו על פסיקה מקלה יותר, המשקפת מתחם שונה, כאשר דובר על עבירות דומות, במקרים אחרים, אולם, יש לזכור שעל פי סעיף </w:t>
      </w:r>
      <w:hyperlink r:id="rId43" w:history="1">
        <w:r w:rsidR="00F5046D" w:rsidRPr="00F5046D">
          <w:rPr>
            <w:rStyle w:val="Hyperlink"/>
            <w:rFonts w:ascii="Arial" w:hAnsi="Arial" w:cs="Arial"/>
            <w:rtl/>
          </w:rPr>
          <w:t>40ג(א),</w:t>
        </w:r>
      </w:hyperlink>
      <w:r>
        <w:rPr>
          <w:rFonts w:ascii="Arial" w:hAnsi="Arial" w:cs="Arial"/>
          <w:rtl/>
        </w:rPr>
        <w:t xml:space="preserve"> מתחם העונש ההולם למעשה העבירה נגזר גם מ</w:t>
      </w:r>
      <w:r>
        <w:rPr>
          <w:rFonts w:ascii="Arial" w:hAnsi="Arial" w:cs="Arial"/>
          <w:b/>
          <w:bCs/>
          <w:sz w:val="22"/>
          <w:szCs w:val="22"/>
          <w:rtl/>
        </w:rPr>
        <w:t>"נסיבות הקשורות בביצוע העבירה כאמור בסעיף 40 ט'"</w:t>
      </w:r>
      <w:r>
        <w:rPr>
          <w:rFonts w:ascii="Arial" w:hAnsi="Arial" w:cs="Arial"/>
          <w:sz w:val="22"/>
          <w:szCs w:val="22"/>
          <w:rtl/>
        </w:rPr>
        <w:t>.</w:t>
      </w:r>
      <w:r w:rsidR="00F5046D">
        <w:rPr>
          <w:rFonts w:ascii="Arial" w:hAnsi="Arial" w:cs="Arial"/>
          <w:rtl/>
        </w:rPr>
        <w:t xml:space="preserve"> סעיף </w:t>
      </w:r>
      <w:hyperlink r:id="rId44" w:history="1">
        <w:r w:rsidR="00F5046D" w:rsidRPr="00F5046D">
          <w:rPr>
            <w:rStyle w:val="Hyperlink"/>
            <w:rFonts w:ascii="Arial" w:hAnsi="Arial" w:cs="Arial"/>
            <w:rtl/>
          </w:rPr>
          <w:t>40ט</w:t>
        </w:r>
      </w:hyperlink>
      <w:r w:rsidR="00F5046D">
        <w:rPr>
          <w:rFonts w:ascii="Arial" w:hAnsi="Arial" w:cs="Arial" w:hint="cs"/>
          <w:rtl/>
        </w:rPr>
        <w:t xml:space="preserve"> </w:t>
      </w:r>
      <w:r>
        <w:rPr>
          <w:rFonts w:ascii="Arial" w:hAnsi="Arial" w:cs="Arial"/>
          <w:rtl/>
        </w:rPr>
        <w:t xml:space="preserve">. הנ"ל מונה בין אותן נסיבות, כאלה המשפיעות על חומרת מעשה העבירה ועל אשמו של הנאשם, ובהן הנזק שהיה צפוי להיגרם מביצוע העבירה </w:t>
      </w:r>
      <w:r>
        <w:rPr>
          <w:rFonts w:ascii="Arial" w:hAnsi="Arial" w:cs="Arial"/>
          <w:sz w:val="22"/>
          <w:szCs w:val="22"/>
          <w:rtl/>
        </w:rPr>
        <w:t>[סק' (3)] וחלקו היחסי של הנאשם בביצוע העבירה [סק' (2)].</w:t>
      </w:r>
    </w:p>
    <w:p w14:paraId="50EC467A" w14:textId="77777777" w:rsidR="00023E96" w:rsidRDefault="009436F6">
      <w:pPr>
        <w:spacing w:line="360" w:lineRule="auto"/>
        <w:jc w:val="both"/>
        <w:rPr>
          <w:rFonts w:ascii="Arial" w:hAnsi="Arial" w:cs="Arial"/>
          <w:sz w:val="22"/>
          <w:szCs w:val="22"/>
          <w:rtl/>
        </w:rPr>
      </w:pPr>
      <w:r>
        <w:rPr>
          <w:rFonts w:ascii="Arial" w:hAnsi="Arial" w:cs="Arial"/>
          <w:rtl/>
        </w:rPr>
        <w:t xml:space="preserve">במקרה שלפנינו קיימות נסיבות מחמירות, הן בשל כך שהנזק שצפוי היה להיגרם היה ניכר וכבד, באשר הנאשם וחבריו היו חמושים לעייפה, גם בנשק קל וגם בנשק נ"ט </w:t>
      </w:r>
      <w:r>
        <w:rPr>
          <w:rFonts w:ascii="Arial" w:hAnsi="Arial" w:cs="Arial"/>
          <w:sz w:val="22"/>
          <w:szCs w:val="22"/>
          <w:rtl/>
        </w:rPr>
        <w:t>(</w:t>
      </w:r>
      <w:r>
        <w:rPr>
          <w:rFonts w:ascii="Arial" w:hAnsi="Arial" w:cs="Arial"/>
          <w:sz w:val="22"/>
          <w:szCs w:val="22"/>
        </w:rPr>
        <w:t>RPG</w:t>
      </w:r>
      <w:r>
        <w:rPr>
          <w:rFonts w:ascii="Arial" w:hAnsi="Arial" w:cs="Arial"/>
          <w:sz w:val="22"/>
          <w:szCs w:val="22"/>
          <w:rtl/>
        </w:rPr>
        <w:t>)</w:t>
      </w:r>
      <w:r>
        <w:rPr>
          <w:rFonts w:ascii="Arial" w:hAnsi="Arial" w:cs="Arial"/>
          <w:rtl/>
        </w:rPr>
        <w:t xml:space="preserve">, וכן ברימונים </w:t>
      </w:r>
      <w:r>
        <w:rPr>
          <w:rFonts w:ascii="Arial" w:hAnsi="Arial" w:cs="Arial"/>
          <w:sz w:val="22"/>
          <w:szCs w:val="22"/>
          <w:rtl/>
        </w:rPr>
        <w:t xml:space="preserve">(האישום הראשון), </w:t>
      </w:r>
      <w:r>
        <w:rPr>
          <w:rFonts w:ascii="Arial" w:hAnsi="Arial" w:cs="Arial"/>
          <w:rtl/>
        </w:rPr>
        <w:t xml:space="preserve">ואף בשל כך שבחלק מהפעילות האמורה </w:t>
      </w:r>
      <w:r>
        <w:rPr>
          <w:rFonts w:ascii="Arial" w:hAnsi="Arial" w:cs="Arial"/>
          <w:sz w:val="22"/>
          <w:szCs w:val="22"/>
          <w:rtl/>
        </w:rPr>
        <w:t xml:space="preserve">(נשוא האישום השלישי), </w:t>
      </w:r>
      <w:r>
        <w:rPr>
          <w:rFonts w:ascii="Arial" w:hAnsi="Arial" w:cs="Arial"/>
          <w:rtl/>
        </w:rPr>
        <w:t xml:space="preserve">חלקו היחסי של הנאשם היה דומיננטי בתוך חולייתו, והוא היה ממונה על הפעלת טיל היאסין, לאור ההכשרה הספציפית שקיבל </w:t>
      </w:r>
      <w:r>
        <w:rPr>
          <w:rFonts w:ascii="Arial" w:hAnsi="Arial" w:cs="Arial"/>
          <w:sz w:val="22"/>
          <w:szCs w:val="22"/>
          <w:rtl/>
        </w:rPr>
        <w:t xml:space="preserve">(נשוא האישום השני). </w:t>
      </w:r>
    </w:p>
    <w:p w14:paraId="1358915C" w14:textId="77777777" w:rsidR="00023E96" w:rsidRDefault="009436F6">
      <w:pPr>
        <w:spacing w:line="360" w:lineRule="auto"/>
        <w:jc w:val="both"/>
        <w:rPr>
          <w:rFonts w:ascii="Arial" w:hAnsi="Arial" w:cs="Arial"/>
          <w:rtl/>
        </w:rPr>
      </w:pPr>
      <w:r>
        <w:rPr>
          <w:rFonts w:ascii="Arial" w:hAnsi="Arial" w:cs="Arial"/>
          <w:rtl/>
        </w:rPr>
        <w:t xml:space="preserve">מכאן – מתחם הענישה האמור ראוי ורלוונטי למעשים הספציפיים המפורטים בכתב האישום. </w:t>
      </w:r>
    </w:p>
    <w:p w14:paraId="47CD447F" w14:textId="77777777" w:rsidR="00023E96" w:rsidRDefault="00023E96">
      <w:pPr>
        <w:spacing w:line="360" w:lineRule="auto"/>
        <w:jc w:val="both"/>
        <w:rPr>
          <w:rFonts w:ascii="Arial" w:hAnsi="Arial" w:cs="Arial"/>
          <w:rtl/>
        </w:rPr>
      </w:pPr>
    </w:p>
    <w:p w14:paraId="28C9A051" w14:textId="77777777" w:rsidR="00023E96" w:rsidRDefault="009436F6">
      <w:pPr>
        <w:spacing w:line="360" w:lineRule="auto"/>
        <w:jc w:val="both"/>
        <w:rPr>
          <w:rFonts w:ascii="Arial" w:hAnsi="Arial" w:cs="Arial"/>
          <w:rtl/>
        </w:rPr>
      </w:pPr>
      <w:r>
        <w:rPr>
          <w:rFonts w:ascii="Arial" w:hAnsi="Arial" w:cs="Arial"/>
          <w:rtl/>
        </w:rPr>
        <w:t xml:space="preserve">אשר להנחת המטען לצורך פגיעה בטנק </w:t>
      </w:r>
      <w:r>
        <w:rPr>
          <w:rFonts w:ascii="Arial" w:hAnsi="Arial" w:cs="Arial"/>
          <w:sz w:val="22"/>
          <w:szCs w:val="22"/>
          <w:rtl/>
        </w:rPr>
        <w:t>(האישום הרביעי)</w:t>
      </w:r>
      <w:r>
        <w:rPr>
          <w:rFonts w:ascii="Arial" w:hAnsi="Arial" w:cs="Arial"/>
          <w:rtl/>
        </w:rPr>
        <w:t xml:space="preserve">, קבענו בגז"ד "אבו חאמד" כי מתחם הענישה ההולם למעשה כזה, הינו בין 10-15 שנות מאסר. </w:t>
      </w:r>
    </w:p>
    <w:p w14:paraId="5A1817A5" w14:textId="77777777" w:rsidR="00023E96" w:rsidRDefault="00023E96">
      <w:pPr>
        <w:spacing w:line="360" w:lineRule="auto"/>
        <w:jc w:val="both"/>
        <w:rPr>
          <w:rFonts w:ascii="Arial" w:hAnsi="Arial" w:cs="Arial"/>
          <w:rtl/>
        </w:rPr>
      </w:pPr>
    </w:p>
    <w:p w14:paraId="694FF512" w14:textId="77777777" w:rsidR="00023E96" w:rsidRDefault="009436F6">
      <w:pPr>
        <w:spacing w:line="360" w:lineRule="auto"/>
        <w:jc w:val="both"/>
        <w:rPr>
          <w:rFonts w:ascii="Arial" w:hAnsi="Arial" w:cs="Arial"/>
          <w:rtl/>
        </w:rPr>
      </w:pPr>
      <w:r>
        <w:rPr>
          <w:rFonts w:ascii="Arial" w:hAnsi="Arial" w:cs="Arial"/>
          <w:rtl/>
        </w:rPr>
        <w:t xml:space="preserve">בבואנו לקבוע העונש ההולם למעשים שבהם הורשע הנאשם כאן, בתוך גדרי מתחמי הענישה שצויינו, שקלנו את טיעוני הצדדים כפי שתומצתו לעיל. כאשר מדובר על האימונים וההכשרה שעבר הנאשם, והשתתפותו בפעולות השמירה החמושות, העונש ההולם אינו ברף הנמוך של המתחם, כפי שטוען הסנגור, וזאת משום חלקו הדומיננטי, כאמור, של הנאשם בחוליה והיותו מופקד על כלי הנשק ההרסני והמשמעותי שעמד לרשותה - טיל היאסין, וגם משום ההצטיידות המסיבית בנשק מסוגים שונים - רוס"ר, </w:t>
      </w:r>
      <w:r>
        <w:rPr>
          <w:rFonts w:ascii="Arial" w:hAnsi="Arial" w:cs="Arial"/>
        </w:rPr>
        <w:t xml:space="preserve">RPG </w:t>
      </w:r>
      <w:r>
        <w:rPr>
          <w:rFonts w:ascii="Arial" w:hAnsi="Arial" w:cs="Arial"/>
          <w:rtl/>
        </w:rPr>
        <w:t xml:space="preserve"> ורימונים, דבר המעיד על כוונה ורצון לגרום נזק ונפגעים מירביים לעת התקלות אפשרית עם כוחות צה"ל, להבדיל, למשל, משמירה הרתעתית או "ראוותנית" גרידא. עם זאת, הבאנו בחשבון גם את טענת הסנגור שמרבית פעולות השמירה, על ציר הזמן, בוצעו בזמן הרגיעה היחסית ברצועה </w:t>
      </w:r>
      <w:r>
        <w:rPr>
          <w:rFonts w:ascii="Arial" w:hAnsi="Arial" w:cs="Arial"/>
          <w:sz w:val="22"/>
          <w:szCs w:val="22"/>
          <w:rtl/>
        </w:rPr>
        <w:t>("תהדיה")</w:t>
      </w:r>
      <w:r>
        <w:rPr>
          <w:rFonts w:ascii="Arial" w:hAnsi="Arial" w:cs="Arial"/>
          <w:rtl/>
        </w:rPr>
        <w:t xml:space="preserve">, בעת שבה פוטנציאל החיכוך וההתקלות בפועל, היה נמוך יחסית. </w:t>
      </w:r>
    </w:p>
    <w:p w14:paraId="3B79B577" w14:textId="77777777" w:rsidR="00023E96" w:rsidRDefault="00023E96">
      <w:pPr>
        <w:spacing w:line="360" w:lineRule="auto"/>
        <w:jc w:val="both"/>
        <w:rPr>
          <w:rFonts w:ascii="Arial" w:hAnsi="Arial" w:cs="Arial"/>
          <w:rtl/>
        </w:rPr>
      </w:pPr>
    </w:p>
    <w:p w14:paraId="47336EB8" w14:textId="77777777" w:rsidR="00023E96" w:rsidRDefault="009436F6">
      <w:pPr>
        <w:spacing w:line="360" w:lineRule="auto"/>
        <w:jc w:val="both"/>
        <w:rPr>
          <w:rFonts w:ascii="Arial" w:hAnsi="Arial" w:cs="Arial"/>
          <w:rtl/>
        </w:rPr>
      </w:pPr>
      <w:r>
        <w:rPr>
          <w:rFonts w:ascii="Arial" w:hAnsi="Arial" w:cs="Arial"/>
          <w:rtl/>
        </w:rPr>
        <w:t xml:space="preserve">אשר לאישום הרביעי – הנחת המטען, אכן, תפקידו של הנאשם היה לאבטח במהלך הנחתו את שני חבריו שעסקו בביצוע בפועל, אולם, עדיין, מדובר בהיותו של הנאשם חוליה חיונית וחשובה במעגל המיידי של הטמנת המטען. מאחר שברור, ובכך הודה הנאשם, שכוונת החוליה היתה להפעיל המטען כנגד טנקים של צה"ל ולגרום למותם של אנשי הצוות, הרי חלקו המדוייק של כל אחד מהחברים בביצוע בפועל, אינו הרכיב המכריע לעת גזירת העונש. כל אחד מהמשתתפים "תורם" את חלקו בהתאם ליכולותיו והכשרתו. עם זאת – נתחשב בכך שבפועל, אף שלא מחמת חרטה של הנאשם, לא נגדעו חיי אדם, כתוצאה מהפעלת המטען, וגם בכך שמעבר לשמועה, מכלי שני, ששמע הנאשם על כך שהמטען אכן התפוצץ, אין ראייה ממשית לכך שהופעל  ושאכן היה זה כנגד טנק של צה"ל. </w:t>
      </w:r>
    </w:p>
    <w:p w14:paraId="1B2B768B" w14:textId="77777777" w:rsidR="00023E96" w:rsidRDefault="00023E96">
      <w:pPr>
        <w:jc w:val="both"/>
        <w:rPr>
          <w:rFonts w:ascii="Arial" w:hAnsi="Arial" w:cs="Arial"/>
          <w:rtl/>
        </w:rPr>
      </w:pPr>
    </w:p>
    <w:p w14:paraId="6D6F62F9" w14:textId="77777777" w:rsidR="00023E96" w:rsidRDefault="009436F6">
      <w:pPr>
        <w:spacing w:line="360" w:lineRule="auto"/>
        <w:jc w:val="both"/>
        <w:rPr>
          <w:rFonts w:ascii="Arial" w:hAnsi="Arial" w:cs="Arial"/>
          <w:rtl/>
        </w:rPr>
      </w:pPr>
      <w:r>
        <w:rPr>
          <w:rFonts w:ascii="Arial" w:hAnsi="Arial" w:cs="Arial"/>
          <w:rtl/>
        </w:rPr>
        <w:t xml:space="preserve">אשר לנסיבות האישיות שהוצגו, וכאמור משקלם היחסי אינו גדול במיוחד, כאשר מדובר בעבירות ביטחון כדוגמת אלה שלפנינו, התחשבנו בכך שהנאשם יחסית צעיר, ושרקעו הוא ממשפחה קשת יום ואף ידועת חולי. כמו כן, ניתן משקל לכך שהנאשם, הגם שלאחר שמיעת ראיות התביעה, נאות לקבל אחריות על מעשיו ולהודות בהם, ואף הביע צער וחרטה על ביצועם. </w:t>
      </w:r>
    </w:p>
    <w:p w14:paraId="6534D84D" w14:textId="77777777" w:rsidR="00023E96" w:rsidRDefault="00023E96">
      <w:pPr>
        <w:jc w:val="both"/>
        <w:rPr>
          <w:rFonts w:ascii="Arial" w:hAnsi="Arial" w:cs="Arial"/>
          <w:rtl/>
        </w:rPr>
      </w:pPr>
    </w:p>
    <w:p w14:paraId="375AE6E7" w14:textId="77777777" w:rsidR="00023E96" w:rsidRDefault="009436F6">
      <w:pPr>
        <w:spacing w:line="360" w:lineRule="auto"/>
        <w:jc w:val="both"/>
        <w:rPr>
          <w:rFonts w:ascii="Arial" w:hAnsi="Arial" w:cs="Arial"/>
          <w:rtl/>
        </w:rPr>
      </w:pPr>
      <w:r>
        <w:rPr>
          <w:rFonts w:ascii="Arial" w:hAnsi="Arial" w:cs="Arial"/>
          <w:rtl/>
        </w:rPr>
        <w:t xml:space="preserve">ראינו לנכון לגזור עונש כולל לכל האירועים שבהם הורשע הנאשם, ולכל מעשי העבירה שפורטו לעיל. </w:t>
      </w:r>
    </w:p>
    <w:p w14:paraId="3558F918" w14:textId="77777777" w:rsidR="00023E96" w:rsidRDefault="00023E96">
      <w:pPr>
        <w:jc w:val="both"/>
        <w:rPr>
          <w:rFonts w:ascii="Arial" w:hAnsi="Arial" w:cs="Arial"/>
          <w:rtl/>
        </w:rPr>
      </w:pPr>
    </w:p>
    <w:p w14:paraId="3158EB01" w14:textId="77777777" w:rsidR="00023E96" w:rsidRDefault="009436F6">
      <w:pPr>
        <w:spacing w:line="360" w:lineRule="auto"/>
        <w:jc w:val="both"/>
        <w:rPr>
          <w:rFonts w:ascii="Arial" w:hAnsi="Arial" w:cs="Arial"/>
          <w:rtl/>
        </w:rPr>
      </w:pPr>
      <w:r>
        <w:rPr>
          <w:rFonts w:ascii="Arial" w:hAnsi="Arial" w:cs="Arial"/>
          <w:rtl/>
        </w:rPr>
        <w:t>בשים לב למכלול השיקולים שתוארו, ולצורך בקביעת עונש הולם תוך מתן ביטוי לסוגי העבירה השונים ומתחמי הענישה שתוחמו, ובהתחשב בנסיבות לחומרא ולקולא שפורטו, החלטנו לגזור על הנאשם את העונשים הבאים:</w:t>
      </w:r>
    </w:p>
    <w:p w14:paraId="3B3C64AC" w14:textId="77777777" w:rsidR="00023E96" w:rsidRDefault="00023E96">
      <w:pPr>
        <w:jc w:val="both"/>
        <w:rPr>
          <w:rFonts w:ascii="Arial" w:hAnsi="Arial" w:cs="Arial"/>
          <w:rtl/>
        </w:rPr>
      </w:pPr>
    </w:p>
    <w:p w14:paraId="16EEF620" w14:textId="77777777" w:rsidR="00023E96" w:rsidRDefault="009436F6">
      <w:pPr>
        <w:spacing w:line="360" w:lineRule="auto"/>
        <w:jc w:val="both"/>
        <w:rPr>
          <w:rFonts w:ascii="Arial" w:hAnsi="Arial" w:cs="Arial"/>
          <w:rtl/>
        </w:rPr>
      </w:pPr>
      <w:r>
        <w:rPr>
          <w:rFonts w:ascii="Arial" w:hAnsi="Arial" w:cs="Arial"/>
          <w:rtl/>
        </w:rPr>
        <w:t>1.</w:t>
      </w:r>
      <w:r>
        <w:rPr>
          <w:rFonts w:ascii="Arial" w:hAnsi="Arial" w:cs="Arial"/>
          <w:rtl/>
        </w:rPr>
        <w:tab/>
        <w:t>מאסר בפועל למשך 18 שנים, בניכוי תקופת מעצרו בתיק זה, החל מיום 11.1.09.</w:t>
      </w:r>
    </w:p>
    <w:p w14:paraId="6864E2B8" w14:textId="77777777" w:rsidR="00023E96" w:rsidRDefault="009436F6">
      <w:pPr>
        <w:spacing w:line="360" w:lineRule="auto"/>
        <w:ind w:left="720" w:hanging="720"/>
        <w:jc w:val="both"/>
        <w:rPr>
          <w:rFonts w:ascii="Arial" w:hAnsi="Arial" w:cs="Arial"/>
          <w:rtl/>
        </w:rPr>
      </w:pPr>
      <w:r>
        <w:rPr>
          <w:rFonts w:ascii="Arial" w:hAnsi="Arial" w:cs="Arial"/>
          <w:rtl/>
        </w:rPr>
        <w:t>2.</w:t>
      </w:r>
      <w:r>
        <w:rPr>
          <w:rFonts w:ascii="Arial" w:hAnsi="Arial" w:cs="Arial"/>
          <w:rtl/>
        </w:rPr>
        <w:tab/>
        <w:t>מאסר על תנאי של 24 חודשים על כל עבירה כנגד בטחון המדינה, שהיא מסוג פשע, ככל שהנאשם יעבור ויורשע עליה בתוך 3 שנים מיום שחרורו ממאסר.</w:t>
      </w:r>
    </w:p>
    <w:p w14:paraId="015A966C" w14:textId="77777777" w:rsidR="00023E96" w:rsidRDefault="00023E96">
      <w:pPr>
        <w:rPr>
          <w:rFonts w:ascii="Arial" w:hAnsi="Arial" w:cs="Arial"/>
          <w:rtl/>
        </w:rPr>
      </w:pPr>
    </w:p>
    <w:p w14:paraId="0B495E17" w14:textId="77777777" w:rsidR="00023E96" w:rsidRDefault="009436F6">
      <w:pPr>
        <w:rPr>
          <w:rFonts w:ascii="Arial" w:hAnsi="Arial" w:cs="Arial"/>
        </w:rPr>
      </w:pPr>
      <w:r>
        <w:rPr>
          <w:rFonts w:ascii="Arial" w:hAnsi="Arial" w:cs="Arial" w:hint="cs"/>
          <w:rtl/>
        </w:rPr>
        <w:t>זכות ערעור תוך 45 יום לבית משפט העליון.</w:t>
      </w:r>
    </w:p>
    <w:p w14:paraId="18AB5C52" w14:textId="77777777" w:rsidR="00023E96" w:rsidRDefault="00023E96">
      <w:pPr>
        <w:jc w:val="both"/>
        <w:rPr>
          <w:rFonts w:ascii="Arial" w:hAnsi="Arial" w:cs="Arial"/>
          <w:rtl/>
        </w:rPr>
      </w:pPr>
    </w:p>
    <w:p w14:paraId="01016B1B" w14:textId="77777777" w:rsidR="00023E96" w:rsidRDefault="00023E96">
      <w:pPr>
        <w:rPr>
          <w:rFonts w:ascii="Arial" w:hAnsi="Arial" w:cs="Arial"/>
          <w:b/>
          <w:bCs/>
          <w:rtl/>
        </w:rPr>
      </w:pPr>
    </w:p>
    <w:p w14:paraId="2E769435" w14:textId="77777777" w:rsidR="00023E96" w:rsidRDefault="009436F6">
      <w:pPr>
        <w:rPr>
          <w:rFonts w:ascii="Arial" w:hAnsi="Arial" w:cs="Arial"/>
          <w:rtl/>
        </w:rPr>
      </w:pPr>
      <w:r w:rsidRPr="009436F6">
        <w:rPr>
          <w:rFonts w:ascii="Arial" w:hAnsi="Arial" w:cs="Arial"/>
          <w:b/>
          <w:bCs/>
          <w:color w:val="FFFFFF"/>
          <w:sz w:val="2"/>
          <w:szCs w:val="2"/>
          <w:rtl/>
        </w:rPr>
        <w:t>5129371</w:t>
      </w:r>
      <w:r>
        <w:rPr>
          <w:rFonts w:ascii="Arial" w:hAnsi="Arial" w:cs="Arial"/>
          <w:b/>
          <w:bCs/>
          <w:rtl/>
        </w:rPr>
        <w:t xml:space="preserve">ניתן היום כח' בניסן תשע"ג  (8 באפריל 2013) במעמד הצדדים. </w:t>
      </w:r>
    </w:p>
    <w:tbl>
      <w:tblPr>
        <w:bidiVisual/>
        <w:tblW w:w="0" w:type="auto"/>
        <w:tblLook w:val="01E0" w:firstRow="1" w:lastRow="1" w:firstColumn="1" w:lastColumn="1" w:noHBand="0" w:noVBand="0"/>
      </w:tblPr>
      <w:tblGrid>
        <w:gridCol w:w="2654"/>
        <w:gridCol w:w="236"/>
        <w:gridCol w:w="2104"/>
        <w:gridCol w:w="236"/>
        <w:gridCol w:w="3008"/>
      </w:tblGrid>
      <w:tr w:rsidR="00023E96" w14:paraId="3B4165A2" w14:textId="77777777">
        <w:tc>
          <w:tcPr>
            <w:tcW w:w="2654" w:type="dxa"/>
            <w:tcBorders>
              <w:top w:val="nil"/>
              <w:left w:val="nil"/>
              <w:bottom w:val="single" w:sz="4" w:space="0" w:color="auto"/>
              <w:right w:val="nil"/>
            </w:tcBorders>
            <w:vAlign w:val="center"/>
          </w:tcPr>
          <w:p w14:paraId="16208997" w14:textId="77777777" w:rsidR="00023E96" w:rsidRPr="009436F6" w:rsidRDefault="009436F6">
            <w:pPr>
              <w:jc w:val="center"/>
              <w:rPr>
                <w:rFonts w:ascii="Courier New" w:hAnsi="Courier New"/>
                <w:b/>
                <w:bCs/>
                <w:color w:val="FFFFFF"/>
                <w:sz w:val="2"/>
                <w:szCs w:val="2"/>
              </w:rPr>
            </w:pPr>
            <w:r w:rsidRPr="009436F6">
              <w:rPr>
                <w:rFonts w:ascii="Courier New" w:hAnsi="Courier New"/>
                <w:b/>
                <w:bCs/>
                <w:color w:val="FFFFFF"/>
                <w:sz w:val="2"/>
                <w:szCs w:val="2"/>
                <w:rtl/>
              </w:rPr>
              <w:t>54678313</w:t>
            </w:r>
          </w:p>
        </w:tc>
        <w:tc>
          <w:tcPr>
            <w:tcW w:w="236" w:type="dxa"/>
            <w:vAlign w:val="center"/>
          </w:tcPr>
          <w:p w14:paraId="794B2265" w14:textId="77777777" w:rsidR="00023E96" w:rsidRDefault="00023E96">
            <w:pPr>
              <w:jc w:val="center"/>
              <w:rPr>
                <w:rFonts w:ascii="Courier New" w:hAnsi="Courier New"/>
                <w:b/>
                <w:bCs/>
              </w:rPr>
            </w:pPr>
          </w:p>
        </w:tc>
        <w:tc>
          <w:tcPr>
            <w:tcW w:w="2104" w:type="dxa"/>
            <w:tcBorders>
              <w:top w:val="nil"/>
              <w:left w:val="nil"/>
              <w:bottom w:val="single" w:sz="4" w:space="0" w:color="auto"/>
              <w:right w:val="nil"/>
            </w:tcBorders>
            <w:vAlign w:val="center"/>
          </w:tcPr>
          <w:p w14:paraId="527373E7" w14:textId="77777777" w:rsidR="00023E96" w:rsidRDefault="00023E96">
            <w:pPr>
              <w:jc w:val="center"/>
              <w:rPr>
                <w:rFonts w:ascii="Courier New" w:hAnsi="Courier New"/>
                <w:b/>
                <w:bCs/>
                <w:sz w:val="20"/>
                <w:szCs w:val="20"/>
              </w:rPr>
            </w:pPr>
          </w:p>
        </w:tc>
        <w:tc>
          <w:tcPr>
            <w:tcW w:w="236" w:type="dxa"/>
            <w:vAlign w:val="center"/>
          </w:tcPr>
          <w:p w14:paraId="32323E75" w14:textId="77777777" w:rsidR="00023E96" w:rsidRDefault="00023E96">
            <w:pPr>
              <w:jc w:val="center"/>
              <w:rPr>
                <w:rFonts w:ascii="Courier New" w:hAnsi="Courier New"/>
                <w:b/>
                <w:bCs/>
              </w:rPr>
            </w:pPr>
          </w:p>
        </w:tc>
        <w:tc>
          <w:tcPr>
            <w:tcW w:w="3008" w:type="dxa"/>
            <w:tcBorders>
              <w:top w:val="nil"/>
              <w:left w:val="nil"/>
              <w:bottom w:val="single" w:sz="4" w:space="0" w:color="auto"/>
              <w:right w:val="nil"/>
            </w:tcBorders>
            <w:vAlign w:val="center"/>
          </w:tcPr>
          <w:p w14:paraId="4C92EAAA" w14:textId="77777777" w:rsidR="00023E96" w:rsidRDefault="00023E96">
            <w:pPr>
              <w:jc w:val="center"/>
              <w:rPr>
                <w:rFonts w:ascii="Courier New" w:hAnsi="Courier New"/>
                <w:b/>
                <w:bCs/>
                <w:sz w:val="20"/>
                <w:szCs w:val="20"/>
              </w:rPr>
            </w:pPr>
          </w:p>
        </w:tc>
      </w:tr>
      <w:tr w:rsidR="00023E96" w14:paraId="5DCFC11F" w14:textId="77777777">
        <w:tc>
          <w:tcPr>
            <w:tcW w:w="2654" w:type="dxa"/>
            <w:tcBorders>
              <w:top w:val="single" w:sz="4" w:space="0" w:color="auto"/>
              <w:left w:val="nil"/>
              <w:bottom w:val="nil"/>
              <w:right w:val="nil"/>
            </w:tcBorders>
            <w:vAlign w:val="bottom"/>
          </w:tcPr>
          <w:p w14:paraId="56E4C494" w14:textId="77777777" w:rsidR="00023E96" w:rsidRDefault="009436F6">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21563B9B" w14:textId="77777777" w:rsidR="00023E96" w:rsidRDefault="009436F6">
            <w:pPr>
              <w:jc w:val="center"/>
              <w:rPr>
                <w:rtl/>
              </w:rPr>
            </w:pPr>
            <w:r>
              <w:rPr>
                <w:rFonts w:ascii="Arial" w:hAnsi="Arial" w:cs="Arial"/>
                <w:b/>
                <w:bCs/>
                <w:rtl/>
              </w:rPr>
              <w:t>אב"ד</w:t>
            </w:r>
          </w:p>
          <w:p w14:paraId="04397AFC" w14:textId="77777777" w:rsidR="00023E96" w:rsidRDefault="00023E96">
            <w:pPr>
              <w:jc w:val="center"/>
              <w:rPr>
                <w:rFonts w:ascii="Courier New" w:hAnsi="Courier New"/>
                <w:b/>
                <w:bCs/>
              </w:rPr>
            </w:pPr>
          </w:p>
        </w:tc>
        <w:tc>
          <w:tcPr>
            <w:tcW w:w="236" w:type="dxa"/>
            <w:vAlign w:val="bottom"/>
          </w:tcPr>
          <w:p w14:paraId="2C2FC893" w14:textId="77777777" w:rsidR="00023E96" w:rsidRDefault="00023E96">
            <w:pPr>
              <w:jc w:val="center"/>
              <w:rPr>
                <w:rFonts w:ascii="Courier New" w:hAnsi="Courier New"/>
                <w:b/>
                <w:bCs/>
              </w:rPr>
            </w:pPr>
          </w:p>
        </w:tc>
        <w:tc>
          <w:tcPr>
            <w:tcW w:w="2104" w:type="dxa"/>
            <w:tcBorders>
              <w:top w:val="single" w:sz="4" w:space="0" w:color="auto"/>
              <w:left w:val="nil"/>
              <w:bottom w:val="nil"/>
              <w:right w:val="nil"/>
            </w:tcBorders>
          </w:tcPr>
          <w:p w14:paraId="402E7DA1" w14:textId="77777777" w:rsidR="00023E96" w:rsidRDefault="009436F6">
            <w:pPr>
              <w:jc w:val="center"/>
              <w:rPr>
                <w:rFonts w:ascii="Arial" w:hAnsi="Arial" w:cs="Arial"/>
                <w:b/>
                <w:bCs/>
              </w:rPr>
            </w:pPr>
            <w:r>
              <w:rPr>
                <w:rFonts w:ascii="Arial" w:hAnsi="Arial" w:cs="Arial"/>
                <w:b/>
                <w:bCs/>
                <w:rtl/>
              </w:rPr>
              <w:t>אריאל ואגו, שופט</w:t>
            </w:r>
          </w:p>
        </w:tc>
        <w:tc>
          <w:tcPr>
            <w:tcW w:w="236" w:type="dxa"/>
          </w:tcPr>
          <w:p w14:paraId="5296553D" w14:textId="77777777" w:rsidR="00023E96" w:rsidRDefault="00023E96">
            <w:pPr>
              <w:jc w:val="center"/>
              <w:rPr>
                <w:rFonts w:ascii="Arial" w:hAnsi="Arial" w:cs="Arial"/>
                <w:b/>
                <w:bCs/>
              </w:rPr>
            </w:pPr>
          </w:p>
        </w:tc>
        <w:tc>
          <w:tcPr>
            <w:tcW w:w="3008" w:type="dxa"/>
            <w:tcBorders>
              <w:top w:val="single" w:sz="4" w:space="0" w:color="auto"/>
              <w:left w:val="nil"/>
              <w:bottom w:val="nil"/>
              <w:right w:val="nil"/>
            </w:tcBorders>
          </w:tcPr>
          <w:p w14:paraId="6C50F780" w14:textId="77777777" w:rsidR="009436F6" w:rsidRDefault="009436F6">
            <w:pPr>
              <w:jc w:val="center"/>
              <w:rPr>
                <w:rFonts w:ascii="Arial" w:hAnsi="Arial" w:cs="Arial"/>
                <w:b/>
                <w:bCs/>
              </w:rPr>
            </w:pPr>
            <w:r>
              <w:rPr>
                <w:rFonts w:ascii="Arial" w:hAnsi="Arial" w:cs="Arial"/>
                <w:b/>
                <w:bCs/>
                <w:rtl/>
              </w:rPr>
              <w:t>יורם צלקובניק, שופט</w:t>
            </w:r>
          </w:p>
          <w:p w14:paraId="7933CA61" w14:textId="77777777" w:rsidR="00F04885" w:rsidRDefault="00F04885">
            <w:pPr>
              <w:jc w:val="center"/>
              <w:rPr>
                <w:rFonts w:ascii="Arial" w:hAnsi="Arial" w:cs="Arial"/>
                <w:b/>
                <w:bCs/>
                <w:rtl/>
              </w:rPr>
            </w:pPr>
          </w:p>
          <w:p w14:paraId="52E7E632" w14:textId="77777777" w:rsidR="00F04885" w:rsidRDefault="00F04885">
            <w:pPr>
              <w:jc w:val="center"/>
              <w:rPr>
                <w:rFonts w:ascii="Arial" w:hAnsi="Arial" w:cs="Arial"/>
                <w:b/>
                <w:bCs/>
                <w:rtl/>
              </w:rPr>
            </w:pPr>
          </w:p>
          <w:p w14:paraId="2576E8DA" w14:textId="77777777" w:rsidR="00023E96" w:rsidRDefault="00023E96">
            <w:pPr>
              <w:jc w:val="center"/>
              <w:rPr>
                <w:rFonts w:ascii="Arial" w:hAnsi="Arial" w:cs="Arial"/>
                <w:b/>
                <w:bCs/>
              </w:rPr>
            </w:pPr>
          </w:p>
        </w:tc>
      </w:tr>
    </w:tbl>
    <w:p w14:paraId="06309882" w14:textId="77777777" w:rsidR="00F04885" w:rsidRPr="00F04885" w:rsidRDefault="00F04885" w:rsidP="00F04885">
      <w:pPr>
        <w:keepNext/>
        <w:rPr>
          <w:rFonts w:ascii="David" w:hAnsi="David"/>
          <w:color w:val="000000"/>
          <w:sz w:val="22"/>
          <w:szCs w:val="22"/>
          <w:rtl/>
        </w:rPr>
      </w:pPr>
      <w:bookmarkStart w:id="8" w:name="_GoBack"/>
      <w:bookmarkEnd w:id="8"/>
    </w:p>
    <w:p w14:paraId="11576954" w14:textId="77777777" w:rsidR="00F04885" w:rsidRPr="00F04885" w:rsidRDefault="00F04885" w:rsidP="00F04885">
      <w:pPr>
        <w:keepNext/>
        <w:rPr>
          <w:rFonts w:ascii="David" w:hAnsi="David"/>
          <w:color w:val="000000"/>
          <w:sz w:val="22"/>
          <w:szCs w:val="22"/>
          <w:rtl/>
        </w:rPr>
      </w:pPr>
      <w:r w:rsidRPr="00F04885">
        <w:rPr>
          <w:rFonts w:ascii="David" w:hAnsi="David"/>
          <w:color w:val="000000"/>
          <w:sz w:val="22"/>
          <w:szCs w:val="22"/>
          <w:rtl/>
        </w:rPr>
        <w:t>רויטל יפה כ#ץ 54678313-1010/09</w:t>
      </w:r>
    </w:p>
    <w:p w14:paraId="61707489" w14:textId="77777777" w:rsidR="009436F6" w:rsidRPr="00F04885" w:rsidRDefault="00F04885" w:rsidP="009436F6">
      <w:pPr>
        <w:keepNext/>
        <w:rPr>
          <w:rFonts w:ascii="David" w:hAnsi="David"/>
          <w:color w:val="FFFFFF"/>
          <w:sz w:val="2"/>
          <w:szCs w:val="2"/>
          <w:rtl/>
        </w:rPr>
      </w:pPr>
      <w:r w:rsidRPr="00F04885">
        <w:rPr>
          <w:rFonts w:ascii="David" w:hAnsi="David"/>
          <w:color w:val="FFFFFF"/>
          <w:sz w:val="2"/>
          <w:szCs w:val="2"/>
          <w:rtl/>
        </w:rPr>
        <w:t>5129371</w:t>
      </w:r>
    </w:p>
    <w:p w14:paraId="32338E60" w14:textId="77777777" w:rsidR="009436F6" w:rsidRDefault="009436F6" w:rsidP="009436F6">
      <w:r w:rsidRPr="009436F6">
        <w:rPr>
          <w:color w:val="000000"/>
          <w:rtl/>
        </w:rPr>
        <w:t>נוסח מסמך זה כפוף לשינויי ניסוח ועריכה</w:t>
      </w:r>
    </w:p>
    <w:p w14:paraId="7EE9D436" w14:textId="77777777" w:rsidR="009436F6" w:rsidRDefault="009436F6" w:rsidP="009436F6">
      <w:pPr>
        <w:rPr>
          <w:rtl/>
        </w:rPr>
      </w:pPr>
    </w:p>
    <w:p w14:paraId="6B7F0590" w14:textId="77777777" w:rsidR="009436F6" w:rsidRDefault="009436F6" w:rsidP="009436F6">
      <w:pPr>
        <w:jc w:val="center"/>
        <w:rPr>
          <w:color w:val="0000FF"/>
          <w:u w:val="single"/>
        </w:rPr>
      </w:pPr>
      <w:r w:rsidRPr="00CC3227">
        <w:rPr>
          <w:color w:val="000000"/>
          <w:rtl/>
        </w:rPr>
        <w:t>בעניין עריכה ושינויים במסמכי פסיקה, חקיקה ועוד באתר נבו – הקש כאן</w:t>
      </w:r>
    </w:p>
    <w:sectPr w:rsidR="009436F6" w:rsidSect="00F04885">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DA5C9" w14:textId="77777777" w:rsidR="001518A4" w:rsidRPr="00F91D79" w:rsidRDefault="001518A4">
      <w:pPr>
        <w:rPr>
          <w:rFonts w:cs="Arial"/>
          <w:szCs w:val="20"/>
        </w:rPr>
      </w:pPr>
      <w:r>
        <w:separator/>
      </w:r>
    </w:p>
  </w:endnote>
  <w:endnote w:type="continuationSeparator" w:id="0">
    <w:p w14:paraId="3839C7BE" w14:textId="77777777" w:rsidR="001518A4" w:rsidRPr="00F91D79" w:rsidRDefault="001518A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E0D62" w14:textId="77777777" w:rsidR="00DE2AE3" w:rsidRDefault="00DE2AE3" w:rsidP="00F0488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E40B11" w14:textId="77777777" w:rsidR="00DE2AE3" w:rsidRPr="00F04885" w:rsidRDefault="00DE2AE3" w:rsidP="00F04885">
    <w:pPr>
      <w:pStyle w:val="a4"/>
      <w:pBdr>
        <w:top w:val="single" w:sz="4" w:space="1" w:color="auto"/>
        <w:between w:val="single" w:sz="4" w:space="0" w:color="auto"/>
      </w:pBdr>
      <w:spacing w:after="60"/>
      <w:jc w:val="center"/>
      <w:rPr>
        <w:rFonts w:ascii="FrankRuehl" w:hAnsi="FrankRuehl" w:cs="FrankRuehl"/>
        <w:color w:val="000000"/>
      </w:rPr>
    </w:pPr>
    <w:r w:rsidRPr="00F048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57779" w14:textId="77777777" w:rsidR="00DE2AE3" w:rsidRDefault="00DE2AE3" w:rsidP="00F0488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7136">
      <w:rPr>
        <w:rFonts w:ascii="FrankRuehl" w:hAnsi="FrankRuehl" w:cs="FrankRuehl"/>
        <w:noProof/>
        <w:rtl/>
      </w:rPr>
      <w:t>1</w:t>
    </w:r>
    <w:r>
      <w:rPr>
        <w:rFonts w:ascii="FrankRuehl" w:hAnsi="FrankRuehl" w:cs="FrankRuehl"/>
        <w:rtl/>
      </w:rPr>
      <w:fldChar w:fldCharType="end"/>
    </w:r>
  </w:p>
  <w:p w14:paraId="636529D5" w14:textId="77777777" w:rsidR="00DE2AE3" w:rsidRPr="00F04885" w:rsidRDefault="00DE2AE3" w:rsidP="00F04885">
    <w:pPr>
      <w:pStyle w:val="a4"/>
      <w:pBdr>
        <w:top w:val="single" w:sz="4" w:space="1" w:color="auto"/>
        <w:between w:val="single" w:sz="4" w:space="0" w:color="auto"/>
      </w:pBdr>
      <w:spacing w:after="60"/>
      <w:jc w:val="center"/>
      <w:rPr>
        <w:rFonts w:ascii="FrankRuehl" w:hAnsi="FrankRuehl" w:cs="FrankRuehl"/>
        <w:color w:val="000000"/>
      </w:rPr>
    </w:pPr>
    <w:r w:rsidRPr="00F04885">
      <w:rPr>
        <w:rFonts w:ascii="FrankRuehl" w:hAnsi="FrankRuehl" w:cs="FrankRuehl"/>
        <w:color w:val="000000"/>
      </w:rPr>
      <w:pict w14:anchorId="59887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E550D" w14:textId="77777777" w:rsidR="001518A4" w:rsidRPr="00F91D79" w:rsidRDefault="001518A4">
      <w:pPr>
        <w:rPr>
          <w:rFonts w:cs="Arial"/>
          <w:szCs w:val="20"/>
        </w:rPr>
      </w:pPr>
      <w:r>
        <w:separator/>
      </w:r>
    </w:p>
  </w:footnote>
  <w:footnote w:type="continuationSeparator" w:id="0">
    <w:p w14:paraId="5ED0C7D8" w14:textId="77777777" w:rsidR="001518A4" w:rsidRPr="00F91D79" w:rsidRDefault="001518A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47A4" w14:textId="77777777" w:rsidR="00DE2AE3" w:rsidRPr="00F04885" w:rsidRDefault="00DE2AE3" w:rsidP="00F048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1010/09 תפח (ב"ש) 1010-09</w:t>
    </w:r>
    <w:r>
      <w:rPr>
        <w:rFonts w:ascii="David" w:hAnsi="David"/>
        <w:color w:val="000000"/>
        <w:sz w:val="22"/>
        <w:szCs w:val="22"/>
        <w:rtl/>
      </w:rPr>
      <w:tab/>
      <w:t xml:space="preserve"> מדינת ישראל נ' חוסאם עטאר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DFB8" w14:textId="77777777" w:rsidR="00DE2AE3" w:rsidRPr="00F04885" w:rsidRDefault="00DE2AE3" w:rsidP="00F048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1010/09 תפח (ב"ש) 1010-09</w:t>
    </w:r>
    <w:r>
      <w:rPr>
        <w:rFonts w:ascii="David" w:hAnsi="David"/>
        <w:color w:val="000000"/>
        <w:sz w:val="22"/>
        <w:szCs w:val="22"/>
        <w:rtl/>
      </w:rPr>
      <w:tab/>
      <w:t xml:space="preserve"> מדינת ישראל נ' חוסאם עטאר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3E96"/>
    <w:rsid w:val="00003FFC"/>
    <w:rsid w:val="00023E96"/>
    <w:rsid w:val="001518A4"/>
    <w:rsid w:val="0015417A"/>
    <w:rsid w:val="001E4EEF"/>
    <w:rsid w:val="003E74DB"/>
    <w:rsid w:val="00522440"/>
    <w:rsid w:val="00617136"/>
    <w:rsid w:val="00824568"/>
    <w:rsid w:val="008702FE"/>
    <w:rsid w:val="009436F6"/>
    <w:rsid w:val="00A84985"/>
    <w:rsid w:val="00B56BD3"/>
    <w:rsid w:val="00C707DC"/>
    <w:rsid w:val="00CC3227"/>
    <w:rsid w:val="00DE2AE3"/>
    <w:rsid w:val="00F04885"/>
    <w:rsid w:val="00F504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DD28EB"/>
  <w15:chartTrackingRefBased/>
  <w15:docId w15:val="{EB73C716-2E61-4A33-A386-2ABE09F5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3E9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23E96"/>
    <w:pPr>
      <w:tabs>
        <w:tab w:val="center" w:pos="4153"/>
        <w:tab w:val="right" w:pos="8306"/>
      </w:tabs>
    </w:pPr>
  </w:style>
  <w:style w:type="paragraph" w:styleId="a4">
    <w:name w:val="footer"/>
    <w:basedOn w:val="a"/>
    <w:rsid w:val="00023E96"/>
    <w:pPr>
      <w:tabs>
        <w:tab w:val="center" w:pos="4153"/>
        <w:tab w:val="right" w:pos="8306"/>
      </w:tabs>
    </w:pPr>
  </w:style>
  <w:style w:type="character" w:styleId="a5">
    <w:name w:val="page number"/>
    <w:basedOn w:val="a0"/>
    <w:rsid w:val="00023E96"/>
  </w:style>
  <w:style w:type="character" w:styleId="Hyperlink">
    <w:name w:val="Hyperlink"/>
    <w:rsid w:val="00943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e"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918236"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3729/85.1.a"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3729/85.1.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b" TargetMode="External"/><Relationship Id="rId40" Type="http://schemas.openxmlformats.org/officeDocument/2006/relationships/hyperlink" Target="http://www.nevo.co.il/case/2378644"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143.b"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40" TargetMode="External"/><Relationship Id="rId49" Type="http://schemas.openxmlformats.org/officeDocument/2006/relationships/fontTable" Target="fontTable.xml"/><Relationship Id="rId10" Type="http://schemas.openxmlformats.org/officeDocument/2006/relationships/hyperlink" Target="http://www.nevo.co.il/law/70301/40b" TargetMode="External"/><Relationship Id="rId19" Type="http://schemas.openxmlformats.org/officeDocument/2006/relationships/hyperlink" Target="http://www.nevo.co.il/law/73729/85.1.a" TargetMode="External"/><Relationship Id="rId31" Type="http://schemas.openxmlformats.org/officeDocument/2006/relationships/hyperlink" Target="http://www.nevo.co.il/law/70301/305.1" TargetMode="External"/><Relationship Id="rId44" Type="http://schemas.openxmlformats.org/officeDocument/2006/relationships/hyperlink" Target="http://www.nevo.co.il/law/70301/40i" TargetMode="External"/><Relationship Id="rId4" Type="http://schemas.openxmlformats.org/officeDocument/2006/relationships/footnotes" Target="footnotes.xml"/><Relationship Id="rId9" Type="http://schemas.openxmlformats.org/officeDocument/2006/relationships/hyperlink" Target="http://www.nevo.co.il/law/70301/40"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3729/85.1.a"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c.a" TargetMode="External"/><Relationship Id="rId48"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70301/305.1" TargetMode="External"/><Relationship Id="rId25" Type="http://schemas.openxmlformats.org/officeDocument/2006/relationships/hyperlink" Target="http://www.nevo.co.il/law/70301/143.b"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6150971" TargetMode="External"/><Relationship Id="rId46" Type="http://schemas.openxmlformats.org/officeDocument/2006/relationships/header" Target="header2.xml"/><Relationship Id="rId20" Type="http://schemas.openxmlformats.org/officeDocument/2006/relationships/hyperlink" Target="http://www.nevo.co.il/law/73729" TargetMode="External"/><Relationship Id="rId41" Type="http://schemas.openxmlformats.org/officeDocument/2006/relationships/hyperlink" Target="http://www.nevo.co.il/law/70301/40d" TargetMode="External"/><Relationship Id="rId1" Type="http://schemas.openxmlformats.org/officeDocument/2006/relationships/styles" Target="styles.xml"/><Relationship Id="rId6" Type="http://schemas.openxmlformats.org/officeDocument/2006/relationships/hyperlink" Target="http://www.nevo.co.il/law/737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2747</Words>
  <Characters>13736</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16451</CharactersWithSpaces>
  <SharedDoc>false</SharedDoc>
  <HLinks>
    <vt:vector size="234" baseType="variant">
      <vt:variant>
        <vt:i4>6619233</vt:i4>
      </vt:variant>
      <vt:variant>
        <vt:i4>114</vt:i4>
      </vt:variant>
      <vt:variant>
        <vt:i4>0</vt:i4>
      </vt:variant>
      <vt:variant>
        <vt:i4>5</vt:i4>
      </vt:variant>
      <vt:variant>
        <vt:lpwstr>http://www.nevo.co.il/law/70301/40i</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6619233</vt:i4>
      </vt:variant>
      <vt:variant>
        <vt:i4>108</vt:i4>
      </vt:variant>
      <vt:variant>
        <vt:i4>0</vt:i4>
      </vt:variant>
      <vt:variant>
        <vt:i4>5</vt:i4>
      </vt:variant>
      <vt:variant>
        <vt:lpwstr>http://www.nevo.co.il/law/70301/40e</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3604603</vt:i4>
      </vt:variant>
      <vt:variant>
        <vt:i4>102</vt:i4>
      </vt:variant>
      <vt:variant>
        <vt:i4>0</vt:i4>
      </vt:variant>
      <vt:variant>
        <vt:i4>5</vt:i4>
      </vt:variant>
      <vt:variant>
        <vt:lpwstr>http://www.nevo.co.il/case/2378644</vt:lpwstr>
      </vt:variant>
      <vt:variant>
        <vt:lpwstr/>
      </vt:variant>
      <vt:variant>
        <vt:i4>3145846</vt:i4>
      </vt:variant>
      <vt:variant>
        <vt:i4>99</vt:i4>
      </vt:variant>
      <vt:variant>
        <vt:i4>0</vt:i4>
      </vt:variant>
      <vt:variant>
        <vt:i4>5</vt:i4>
      </vt:variant>
      <vt:variant>
        <vt:lpwstr>http://www.nevo.co.il/case/5918236</vt:lpwstr>
      </vt:variant>
      <vt:variant>
        <vt:lpwstr/>
      </vt:variant>
      <vt:variant>
        <vt:i4>3866738</vt:i4>
      </vt:variant>
      <vt:variant>
        <vt:i4>96</vt:i4>
      </vt:variant>
      <vt:variant>
        <vt:i4>0</vt:i4>
      </vt:variant>
      <vt:variant>
        <vt:i4>5</vt:i4>
      </vt:variant>
      <vt:variant>
        <vt:lpwstr>http://www.nevo.co.il/case/6150971</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6619233</vt:i4>
      </vt:variant>
      <vt:variant>
        <vt:i4>90</vt:i4>
      </vt:variant>
      <vt:variant>
        <vt:i4>0</vt:i4>
      </vt:variant>
      <vt:variant>
        <vt:i4>5</vt:i4>
      </vt:variant>
      <vt:variant>
        <vt:lpwstr>http://www.nevo.co.il/law/70301/40</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4915283</vt:i4>
      </vt:variant>
      <vt:variant>
        <vt:i4>75</vt:i4>
      </vt:variant>
      <vt:variant>
        <vt:i4>0</vt:i4>
      </vt:variant>
      <vt:variant>
        <vt:i4>5</vt:i4>
      </vt:variant>
      <vt:variant>
        <vt:lpwstr>http://www.nevo.co.il/law/70301/305.1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3211361</vt:i4>
      </vt:variant>
      <vt:variant>
        <vt:i4>63</vt:i4>
      </vt:variant>
      <vt:variant>
        <vt:i4>0</vt:i4>
      </vt:variant>
      <vt:variant>
        <vt:i4>5</vt:i4>
      </vt:variant>
      <vt:variant>
        <vt:lpwstr>http://www.nevo.co.il/law/73729/85.1.a</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5177431</vt:i4>
      </vt:variant>
      <vt:variant>
        <vt:i4>57</vt:i4>
      </vt:variant>
      <vt:variant>
        <vt:i4>0</vt:i4>
      </vt:variant>
      <vt:variant>
        <vt:i4>5</vt:i4>
      </vt:variant>
      <vt:variant>
        <vt:lpwstr>http://www.nevo.co.il/law/70301/143.b</vt:lpwstr>
      </vt:variant>
      <vt:variant>
        <vt:lpwstr/>
      </vt:variant>
      <vt:variant>
        <vt:i4>3211361</vt:i4>
      </vt:variant>
      <vt:variant>
        <vt:i4>54</vt:i4>
      </vt:variant>
      <vt:variant>
        <vt:i4>0</vt:i4>
      </vt:variant>
      <vt:variant>
        <vt:i4>5</vt:i4>
      </vt:variant>
      <vt:variant>
        <vt:lpwstr>http://www.nevo.co.il/law/73729/85.1.a</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8061024</vt:i4>
      </vt:variant>
      <vt:variant>
        <vt:i4>42</vt:i4>
      </vt:variant>
      <vt:variant>
        <vt:i4>0</vt:i4>
      </vt:variant>
      <vt:variant>
        <vt:i4>5</vt:i4>
      </vt:variant>
      <vt:variant>
        <vt:lpwstr>http://www.nevo.co.il/law/73729</vt:lpwstr>
      </vt:variant>
      <vt:variant>
        <vt:lpwstr/>
      </vt:variant>
      <vt:variant>
        <vt:i4>3211361</vt:i4>
      </vt:variant>
      <vt:variant>
        <vt:i4>39</vt:i4>
      </vt:variant>
      <vt:variant>
        <vt:i4>0</vt:i4>
      </vt:variant>
      <vt:variant>
        <vt:i4>5</vt:i4>
      </vt:variant>
      <vt:variant>
        <vt:lpwstr>http://www.nevo.co.il/law/73729/85.1.a</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4915283</vt:i4>
      </vt:variant>
      <vt:variant>
        <vt:i4>33</vt:i4>
      </vt:variant>
      <vt:variant>
        <vt:i4>0</vt:i4>
      </vt:variant>
      <vt:variant>
        <vt:i4>5</vt:i4>
      </vt:variant>
      <vt:variant>
        <vt:lpwstr>http://www.nevo.co.il/law/70301/305.1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5177431</vt:i4>
      </vt:variant>
      <vt:variant>
        <vt:i4>27</vt:i4>
      </vt:variant>
      <vt:variant>
        <vt:i4>0</vt:i4>
      </vt:variant>
      <vt:variant>
        <vt:i4>5</vt:i4>
      </vt:variant>
      <vt:variant>
        <vt:lpwstr>http://www.nevo.co.il/law/70301/143.b</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6619233</vt:i4>
      </vt:variant>
      <vt:variant>
        <vt:i4>9</vt:i4>
      </vt:variant>
      <vt:variant>
        <vt:i4>0</vt:i4>
      </vt:variant>
      <vt:variant>
        <vt:i4>5</vt:i4>
      </vt:variant>
      <vt:variant>
        <vt:lpwstr>http://www.nevo.co.il/law/70301/40</vt:lpwstr>
      </vt:variant>
      <vt:variant>
        <vt:lpwstr/>
      </vt:variant>
      <vt:variant>
        <vt:i4>7995492</vt:i4>
      </vt:variant>
      <vt:variant>
        <vt:i4>6</vt:i4>
      </vt:variant>
      <vt:variant>
        <vt:i4>0</vt:i4>
      </vt:variant>
      <vt:variant>
        <vt:i4>5</vt:i4>
      </vt:variant>
      <vt:variant>
        <vt:lpwstr>http://www.nevo.co.il/law/70301</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2025-04-25T10:24:00Z</dcterms:created>
  <dcterms:modified xsi:type="dcterms:W3CDTF">2025-04-25T10:24:00Z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1010</vt:lpwstr>
  </property>
  <property fmtid="{D5CDD505-2E9C-101B-9397-08002B2CF9AE}" pid="6" name="NEWPARTB">
    <vt:lpwstr/>
  </property>
  <property fmtid="{D5CDD505-2E9C-101B-9397-08002B2CF9AE}" pid="7" name="NEWPARTC">
    <vt:lpwstr>09</vt:lpwstr>
  </property>
  <property fmtid="{D5CDD505-2E9C-101B-9397-08002B2CF9AE}" pid="8" name="PROCNUM">
    <vt:lpwstr>1010</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חוסאם עטאר</vt:lpwstr>
  </property>
  <property fmtid="{D5CDD505-2E9C-101B-9397-08002B2CF9AE}" pid="12" name="LAWYER">
    <vt:lpwstr>אלכס דרנבוים;חביב לביב</vt:lpwstr>
  </property>
  <property fmtid="{D5CDD505-2E9C-101B-9397-08002B2CF9AE}" pid="13" name="JUDGE">
    <vt:lpwstr>רויטל יפה כ#ץ;אריאל ואגו;יורם צלקובניק</vt:lpwstr>
  </property>
  <property fmtid="{D5CDD505-2E9C-101B-9397-08002B2CF9AE}" pid="14" name="CITY">
    <vt:lpwstr>ב"ש</vt:lpwstr>
  </property>
  <property fmtid="{D5CDD505-2E9C-101B-9397-08002B2CF9AE}" pid="15" name="DATE">
    <vt:lpwstr>20130408</vt:lpwstr>
  </property>
  <property fmtid="{D5CDD505-2E9C-101B-9397-08002B2CF9AE}" pid="16" name="TYPE_N_DATE">
    <vt:lpwstr>39020130408</vt:lpwstr>
  </property>
  <property fmtid="{D5CDD505-2E9C-101B-9397-08002B2CF9AE}" pid="17" name="WORDNUMPAGES">
    <vt:lpwstr>9</vt:lpwstr>
  </property>
  <property fmtid="{D5CDD505-2E9C-101B-9397-08002B2CF9AE}" pid="18" name="TYPE_ABS_DATE">
    <vt:lpwstr>390020130408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6150971;5918236;2378644</vt:lpwstr>
  </property>
  <property fmtid="{D5CDD505-2E9C-101B-9397-08002B2CF9AE}" pid="36" name="LAWLISTTMP1">
    <vt:lpwstr>73729/085.1.a:3</vt:lpwstr>
  </property>
  <property fmtid="{D5CDD505-2E9C-101B-9397-08002B2CF9AE}" pid="37" name="LAWLISTTMP2">
    <vt:lpwstr>70301/499.a.1:2;144.b:3;143.b;305.1;040;040b;040d;040e;040c.a;040i</vt:lpwstr>
  </property>
</Properties>
</file>