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863ECD" w:rsidRPr="00285948" w14:paraId="7CEFF517" w14:textId="77777777">
        <w:trPr>
          <w:trHeight w:hRule="exact" w:val="523"/>
          <w:jc w:val="center"/>
        </w:trPr>
        <w:tc>
          <w:tcPr>
            <w:tcW w:w="8721" w:type="dxa"/>
            <w:gridSpan w:val="2"/>
          </w:tcPr>
          <w:p w14:paraId="4C51E5F6" w14:textId="77777777" w:rsidR="00863ECD" w:rsidRPr="00285948" w:rsidRDefault="00285948">
            <w:pPr>
              <w:pStyle w:val="a3"/>
              <w:jc w:val="center"/>
              <w:rPr>
                <w:rFonts w:ascii="Tahoma" w:hAnsi="Tahoma" w:cs="Tahoma"/>
                <w:color w:val="000080"/>
                <w:rtl/>
              </w:rPr>
            </w:pPr>
            <w:bookmarkStart w:id="0" w:name="LastJudge"/>
            <w:r w:rsidRPr="00285948">
              <w:rPr>
                <w:rFonts w:ascii="Tahoma" w:hAnsi="Tahoma" w:cs="Tahoma"/>
                <w:b/>
                <w:bCs/>
                <w:color w:val="000080"/>
                <w:rtl/>
              </w:rPr>
              <w:t>בית המשפט המחוזי בירושלים</w:t>
            </w:r>
          </w:p>
        </w:tc>
      </w:tr>
      <w:tr w:rsidR="00863ECD" w:rsidRPr="00285948" w14:paraId="105BBC5E" w14:textId="77777777">
        <w:trPr>
          <w:trHeight w:val="337"/>
          <w:jc w:val="center"/>
        </w:trPr>
        <w:tc>
          <w:tcPr>
            <w:tcW w:w="5046" w:type="dxa"/>
          </w:tcPr>
          <w:p w14:paraId="1C9A74AF" w14:textId="77777777" w:rsidR="00863ECD" w:rsidRPr="00285948" w:rsidRDefault="00285948">
            <w:pPr>
              <w:rPr>
                <w:rFonts w:cs="FrankRuehl"/>
                <w:bCs/>
                <w:sz w:val="32"/>
                <w:szCs w:val="32"/>
                <w:rtl/>
              </w:rPr>
            </w:pPr>
            <w:r w:rsidRPr="00285948">
              <w:rPr>
                <w:rFonts w:cs="FrankRuehl" w:hint="cs"/>
                <w:bCs/>
                <w:sz w:val="32"/>
                <w:szCs w:val="32"/>
                <w:rtl/>
              </w:rPr>
              <w:t>לפני כבוד השופט רפי כרמל</w:t>
            </w:r>
          </w:p>
          <w:p w14:paraId="6C7B24D4" w14:textId="77777777" w:rsidR="00863ECD" w:rsidRPr="00285948" w:rsidRDefault="00863ECD">
            <w:pPr>
              <w:pStyle w:val="a3"/>
              <w:rPr>
                <w:rFonts w:cs="FrankRuehl"/>
                <w:bCs/>
                <w:sz w:val="32"/>
                <w:szCs w:val="32"/>
                <w:rtl/>
              </w:rPr>
            </w:pPr>
          </w:p>
        </w:tc>
        <w:tc>
          <w:tcPr>
            <w:tcW w:w="3675" w:type="dxa"/>
          </w:tcPr>
          <w:p w14:paraId="4B40CF41" w14:textId="77777777" w:rsidR="00863ECD" w:rsidRPr="00285948" w:rsidRDefault="00285948">
            <w:pPr>
              <w:pStyle w:val="a3"/>
              <w:jc w:val="right"/>
              <w:rPr>
                <w:rFonts w:cs="FrankRuehl"/>
                <w:bCs/>
                <w:sz w:val="32"/>
                <w:szCs w:val="32"/>
                <w:rtl/>
              </w:rPr>
            </w:pPr>
            <w:r w:rsidRPr="00285948">
              <w:rPr>
                <w:rFonts w:cs="FrankRuehl"/>
                <w:bCs/>
                <w:sz w:val="32"/>
                <w:szCs w:val="32"/>
                <w:rtl/>
              </w:rPr>
              <w:t>ת"פ</w:t>
            </w:r>
            <w:r w:rsidRPr="00285948">
              <w:rPr>
                <w:rFonts w:hint="cs"/>
                <w:bCs/>
                <w:sz w:val="32"/>
                <w:szCs w:val="32"/>
                <w:rtl/>
              </w:rPr>
              <w:t xml:space="preserve"> </w:t>
            </w:r>
            <w:r w:rsidRPr="00285948">
              <w:rPr>
                <w:rFonts w:cs="FrankRuehl" w:hint="cs"/>
                <w:bCs/>
                <w:sz w:val="32"/>
                <w:szCs w:val="32"/>
                <w:rtl/>
              </w:rPr>
              <w:t xml:space="preserve"> </w:t>
            </w:r>
            <w:r w:rsidRPr="00285948">
              <w:rPr>
                <w:rFonts w:cs="FrankRuehl"/>
                <w:bCs/>
                <w:sz w:val="32"/>
                <w:szCs w:val="32"/>
                <w:rtl/>
              </w:rPr>
              <w:t>11982-05-10</w:t>
            </w:r>
          </w:p>
        </w:tc>
      </w:tr>
    </w:tbl>
    <w:p w14:paraId="2A562E21" w14:textId="77777777" w:rsidR="00863ECD" w:rsidRPr="00285948" w:rsidRDefault="00285948" w:rsidP="0063544D">
      <w:pPr>
        <w:pStyle w:val="a3"/>
        <w:rPr>
          <w:rtl/>
        </w:rPr>
      </w:pPr>
      <w:r w:rsidRPr="00285948">
        <w:rPr>
          <w:rFonts w:hint="cs"/>
          <w:rtl/>
        </w:rPr>
        <w:t xml:space="preserve"> </w:t>
      </w:r>
    </w:p>
    <w:tbl>
      <w:tblPr>
        <w:bidiVisual/>
        <w:tblW w:w="8848" w:type="dxa"/>
        <w:tblInd w:w="-28" w:type="dxa"/>
        <w:tblLook w:val="01E0" w:firstRow="1" w:lastRow="1" w:firstColumn="1" w:lastColumn="1" w:noHBand="0" w:noVBand="0"/>
      </w:tblPr>
      <w:tblGrid>
        <w:gridCol w:w="28"/>
        <w:gridCol w:w="917"/>
        <w:gridCol w:w="4910"/>
        <w:gridCol w:w="2947"/>
        <w:gridCol w:w="46"/>
      </w:tblGrid>
      <w:tr w:rsidR="00863ECD" w:rsidRPr="00285948" w14:paraId="17E1C200" w14:textId="77777777">
        <w:trPr>
          <w:gridAfter w:val="1"/>
          <w:wAfter w:w="46" w:type="dxa"/>
        </w:trPr>
        <w:tc>
          <w:tcPr>
            <w:tcW w:w="945" w:type="dxa"/>
            <w:gridSpan w:val="2"/>
          </w:tcPr>
          <w:p w14:paraId="47346282" w14:textId="77777777" w:rsidR="00863ECD" w:rsidRPr="00285948" w:rsidRDefault="00863ECD">
            <w:pPr>
              <w:spacing w:line="360" w:lineRule="auto"/>
              <w:jc w:val="both"/>
              <w:rPr>
                <w:sz w:val="28"/>
                <w:szCs w:val="28"/>
              </w:rPr>
            </w:pPr>
            <w:bookmarkStart w:id="1" w:name="_GoBack"/>
            <w:bookmarkStart w:id="2" w:name="FirstAppellant"/>
            <w:bookmarkEnd w:id="1"/>
          </w:p>
          <w:p w14:paraId="3FB3E9BF" w14:textId="77777777" w:rsidR="00863ECD" w:rsidRPr="00285948" w:rsidRDefault="00285948">
            <w:pPr>
              <w:spacing w:line="360" w:lineRule="auto"/>
              <w:rPr>
                <w:b/>
                <w:bCs/>
                <w:sz w:val="28"/>
                <w:szCs w:val="28"/>
              </w:rPr>
            </w:pPr>
            <w:r w:rsidRPr="00285948">
              <w:rPr>
                <w:rFonts w:hint="cs"/>
                <w:b/>
                <w:bCs/>
                <w:sz w:val="28"/>
                <w:szCs w:val="28"/>
                <w:rtl/>
              </w:rPr>
              <w:t xml:space="preserve">בעניין: </w:t>
            </w:r>
          </w:p>
        </w:tc>
        <w:tc>
          <w:tcPr>
            <w:tcW w:w="4910" w:type="dxa"/>
          </w:tcPr>
          <w:p w14:paraId="741B1A07" w14:textId="77777777" w:rsidR="00863ECD" w:rsidRPr="00285948" w:rsidRDefault="00863ECD">
            <w:pPr>
              <w:spacing w:line="360" w:lineRule="auto"/>
              <w:rPr>
                <w:b/>
                <w:bCs/>
                <w:sz w:val="28"/>
                <w:szCs w:val="28"/>
                <w:rtl/>
              </w:rPr>
            </w:pPr>
          </w:p>
          <w:p w14:paraId="4EC26FFC" w14:textId="77777777" w:rsidR="00863ECD" w:rsidRPr="00285948" w:rsidRDefault="00285948">
            <w:pPr>
              <w:spacing w:line="360" w:lineRule="auto"/>
              <w:rPr>
                <w:b/>
                <w:bCs/>
                <w:sz w:val="28"/>
                <w:szCs w:val="28"/>
                <w:rtl/>
              </w:rPr>
            </w:pPr>
            <w:r w:rsidRPr="00285948">
              <w:rPr>
                <w:rFonts w:hint="cs"/>
                <w:b/>
                <w:bCs/>
                <w:sz w:val="28"/>
                <w:szCs w:val="28"/>
                <w:rtl/>
              </w:rPr>
              <w:t>מדינת ישראל</w:t>
            </w:r>
          </w:p>
          <w:p w14:paraId="144EF0B0" w14:textId="77777777" w:rsidR="00863ECD" w:rsidRPr="00285948" w:rsidRDefault="00285948">
            <w:pPr>
              <w:spacing w:line="360" w:lineRule="auto"/>
              <w:rPr>
                <w:b/>
                <w:bCs/>
                <w:sz w:val="28"/>
                <w:szCs w:val="28"/>
              </w:rPr>
            </w:pPr>
            <w:r w:rsidRPr="00285948">
              <w:rPr>
                <w:rFonts w:hint="cs"/>
                <w:b/>
                <w:bCs/>
                <w:sz w:val="28"/>
                <w:szCs w:val="28"/>
                <w:rtl/>
              </w:rPr>
              <w:t>באמצעות פרקליטות מחוז ירושלים</w:t>
            </w:r>
          </w:p>
        </w:tc>
        <w:tc>
          <w:tcPr>
            <w:tcW w:w="2947" w:type="dxa"/>
          </w:tcPr>
          <w:p w14:paraId="3374571F" w14:textId="77777777" w:rsidR="00863ECD" w:rsidRPr="00285948" w:rsidRDefault="00863ECD">
            <w:pPr>
              <w:spacing w:line="360" w:lineRule="auto"/>
              <w:rPr>
                <w:b/>
                <w:bCs/>
                <w:sz w:val="28"/>
                <w:szCs w:val="28"/>
                <w:rtl/>
              </w:rPr>
            </w:pPr>
          </w:p>
          <w:p w14:paraId="113F092C" w14:textId="77777777" w:rsidR="00863ECD" w:rsidRPr="00285948" w:rsidRDefault="00863ECD">
            <w:pPr>
              <w:spacing w:line="360" w:lineRule="auto"/>
              <w:rPr>
                <w:b/>
                <w:bCs/>
                <w:sz w:val="28"/>
                <w:szCs w:val="28"/>
                <w:rtl/>
              </w:rPr>
            </w:pPr>
          </w:p>
          <w:p w14:paraId="3A4F8658" w14:textId="77777777" w:rsidR="00863ECD" w:rsidRPr="00285948" w:rsidRDefault="00285948">
            <w:pPr>
              <w:spacing w:line="360" w:lineRule="auto"/>
              <w:rPr>
                <w:b/>
                <w:bCs/>
                <w:sz w:val="28"/>
                <w:szCs w:val="28"/>
              </w:rPr>
            </w:pPr>
            <w:r w:rsidRPr="00285948">
              <w:rPr>
                <w:rFonts w:hint="cs"/>
                <w:b/>
                <w:bCs/>
                <w:sz w:val="28"/>
                <w:szCs w:val="28"/>
                <w:rtl/>
              </w:rPr>
              <w:t>המאשימה</w:t>
            </w:r>
          </w:p>
        </w:tc>
      </w:tr>
      <w:bookmarkEnd w:id="2"/>
      <w:tr w:rsidR="00863ECD" w:rsidRPr="00285948" w14:paraId="3F6211E1" w14:textId="77777777">
        <w:trPr>
          <w:gridAfter w:val="1"/>
          <w:wAfter w:w="46" w:type="dxa"/>
        </w:trPr>
        <w:tc>
          <w:tcPr>
            <w:tcW w:w="8802" w:type="dxa"/>
            <w:gridSpan w:val="4"/>
          </w:tcPr>
          <w:p w14:paraId="4ADC4048" w14:textId="77777777" w:rsidR="00863ECD" w:rsidRPr="00285948" w:rsidRDefault="00863ECD">
            <w:pPr>
              <w:spacing w:line="360" w:lineRule="auto"/>
              <w:jc w:val="both"/>
              <w:rPr>
                <w:b/>
                <w:bCs/>
                <w:sz w:val="28"/>
                <w:szCs w:val="28"/>
                <w:rtl/>
              </w:rPr>
            </w:pPr>
          </w:p>
          <w:p w14:paraId="7E9AF287" w14:textId="77777777" w:rsidR="00863ECD" w:rsidRPr="00285948" w:rsidRDefault="00285948">
            <w:pPr>
              <w:spacing w:line="360" w:lineRule="auto"/>
              <w:jc w:val="center"/>
              <w:rPr>
                <w:b/>
                <w:bCs/>
                <w:sz w:val="28"/>
                <w:szCs w:val="28"/>
                <w:rtl/>
              </w:rPr>
            </w:pPr>
            <w:r w:rsidRPr="00285948">
              <w:rPr>
                <w:rFonts w:hint="cs"/>
                <w:b/>
                <w:bCs/>
                <w:sz w:val="28"/>
                <w:szCs w:val="28"/>
                <w:rtl/>
              </w:rPr>
              <w:t>נ ג ד</w:t>
            </w:r>
          </w:p>
          <w:p w14:paraId="19572639" w14:textId="77777777" w:rsidR="00863ECD" w:rsidRPr="00285948" w:rsidRDefault="00863ECD">
            <w:pPr>
              <w:spacing w:line="360" w:lineRule="auto"/>
              <w:jc w:val="center"/>
              <w:rPr>
                <w:b/>
                <w:bCs/>
                <w:sz w:val="28"/>
                <w:szCs w:val="28"/>
              </w:rPr>
            </w:pPr>
          </w:p>
        </w:tc>
      </w:tr>
      <w:tr w:rsidR="00863ECD" w:rsidRPr="00285948" w14:paraId="65915394" w14:textId="77777777">
        <w:trPr>
          <w:gridAfter w:val="1"/>
          <w:wAfter w:w="46" w:type="dxa"/>
        </w:trPr>
        <w:tc>
          <w:tcPr>
            <w:tcW w:w="945" w:type="dxa"/>
            <w:gridSpan w:val="2"/>
          </w:tcPr>
          <w:p w14:paraId="3054AEEB" w14:textId="77777777" w:rsidR="00863ECD" w:rsidRPr="00285948" w:rsidRDefault="00863ECD">
            <w:pPr>
              <w:spacing w:line="360" w:lineRule="auto"/>
              <w:rPr>
                <w:b/>
                <w:bCs/>
                <w:sz w:val="28"/>
                <w:szCs w:val="28"/>
              </w:rPr>
            </w:pPr>
            <w:bookmarkStart w:id="3" w:name="FirstLawyer"/>
          </w:p>
        </w:tc>
        <w:tc>
          <w:tcPr>
            <w:tcW w:w="4910" w:type="dxa"/>
          </w:tcPr>
          <w:p w14:paraId="3BC74078" w14:textId="77777777" w:rsidR="00863ECD" w:rsidRPr="00285948" w:rsidRDefault="00285948">
            <w:pPr>
              <w:spacing w:line="360" w:lineRule="auto"/>
              <w:rPr>
                <w:b/>
                <w:bCs/>
                <w:sz w:val="28"/>
                <w:szCs w:val="28"/>
                <w:rtl/>
              </w:rPr>
            </w:pPr>
            <w:r w:rsidRPr="00285948">
              <w:rPr>
                <w:rFonts w:hint="cs"/>
                <w:b/>
                <w:bCs/>
                <w:sz w:val="28"/>
                <w:szCs w:val="28"/>
                <w:rtl/>
              </w:rPr>
              <w:t xml:space="preserve">1. מנחם מני אדרי  </w:t>
            </w:r>
          </w:p>
          <w:p w14:paraId="6600FFED" w14:textId="77777777" w:rsidR="00863ECD" w:rsidRPr="00285948" w:rsidRDefault="00285948">
            <w:pPr>
              <w:spacing w:line="360" w:lineRule="auto"/>
              <w:rPr>
                <w:b/>
                <w:bCs/>
                <w:sz w:val="28"/>
                <w:szCs w:val="28"/>
                <w:rtl/>
              </w:rPr>
            </w:pPr>
            <w:r w:rsidRPr="00285948">
              <w:rPr>
                <w:rFonts w:hint="cs"/>
                <w:b/>
                <w:bCs/>
                <w:sz w:val="28"/>
                <w:szCs w:val="28"/>
                <w:rtl/>
              </w:rPr>
              <w:t>ע"י ב"כ עו"ד ירון גיגי</w:t>
            </w:r>
          </w:p>
          <w:p w14:paraId="4F671A1D" w14:textId="77777777" w:rsidR="00863ECD" w:rsidRPr="00285948" w:rsidRDefault="00285948">
            <w:pPr>
              <w:spacing w:line="360" w:lineRule="auto"/>
              <w:rPr>
                <w:b/>
                <w:bCs/>
                <w:sz w:val="28"/>
                <w:szCs w:val="28"/>
                <w:rtl/>
              </w:rPr>
            </w:pPr>
            <w:r w:rsidRPr="00285948">
              <w:rPr>
                <w:rFonts w:hint="cs"/>
                <w:b/>
                <w:bCs/>
                <w:sz w:val="28"/>
                <w:szCs w:val="28"/>
                <w:rtl/>
              </w:rPr>
              <w:t xml:space="preserve">2. יצחק זוהר  </w:t>
            </w:r>
          </w:p>
          <w:p w14:paraId="41619D68" w14:textId="77777777" w:rsidR="00863ECD" w:rsidRPr="00285948" w:rsidRDefault="00285948">
            <w:pPr>
              <w:spacing w:line="360" w:lineRule="auto"/>
              <w:rPr>
                <w:b/>
                <w:bCs/>
                <w:sz w:val="28"/>
                <w:szCs w:val="28"/>
              </w:rPr>
            </w:pPr>
            <w:r w:rsidRPr="00285948">
              <w:rPr>
                <w:rFonts w:hint="cs"/>
                <w:b/>
                <w:bCs/>
                <w:sz w:val="28"/>
                <w:szCs w:val="28"/>
                <w:rtl/>
              </w:rPr>
              <w:t>ע"י ב"כ עו"ד ירום הלוי</w:t>
            </w:r>
          </w:p>
        </w:tc>
        <w:tc>
          <w:tcPr>
            <w:tcW w:w="2947" w:type="dxa"/>
          </w:tcPr>
          <w:p w14:paraId="58E07493" w14:textId="77777777" w:rsidR="00863ECD" w:rsidRPr="00285948" w:rsidRDefault="00863ECD">
            <w:pPr>
              <w:spacing w:line="360" w:lineRule="auto"/>
              <w:rPr>
                <w:b/>
                <w:bCs/>
                <w:sz w:val="28"/>
                <w:szCs w:val="28"/>
                <w:rtl/>
              </w:rPr>
            </w:pPr>
          </w:p>
          <w:p w14:paraId="35E5046B" w14:textId="77777777" w:rsidR="00863ECD" w:rsidRPr="00285948" w:rsidRDefault="00863ECD">
            <w:pPr>
              <w:spacing w:line="360" w:lineRule="auto"/>
              <w:rPr>
                <w:b/>
                <w:bCs/>
                <w:sz w:val="28"/>
                <w:szCs w:val="28"/>
                <w:rtl/>
              </w:rPr>
            </w:pPr>
          </w:p>
          <w:p w14:paraId="2DE74E9F" w14:textId="77777777" w:rsidR="00863ECD" w:rsidRPr="00285948" w:rsidRDefault="00863ECD">
            <w:pPr>
              <w:spacing w:line="360" w:lineRule="auto"/>
              <w:rPr>
                <w:b/>
                <w:bCs/>
                <w:sz w:val="28"/>
                <w:szCs w:val="28"/>
                <w:rtl/>
              </w:rPr>
            </w:pPr>
          </w:p>
          <w:p w14:paraId="1DBFE3C2" w14:textId="77777777" w:rsidR="00863ECD" w:rsidRPr="00285948" w:rsidRDefault="00285948">
            <w:pPr>
              <w:spacing w:line="360" w:lineRule="auto"/>
              <w:rPr>
                <w:b/>
                <w:bCs/>
                <w:sz w:val="28"/>
                <w:szCs w:val="28"/>
              </w:rPr>
            </w:pPr>
            <w:r w:rsidRPr="00285948">
              <w:rPr>
                <w:rFonts w:hint="cs"/>
                <w:b/>
                <w:bCs/>
                <w:sz w:val="28"/>
                <w:szCs w:val="28"/>
                <w:rtl/>
              </w:rPr>
              <w:t>הנאשמים</w:t>
            </w:r>
          </w:p>
        </w:tc>
      </w:tr>
      <w:tr w:rsidR="00863ECD" w14:paraId="3D83E6C5" w14:textId="77777777">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tcPr>
          <w:p w14:paraId="13404742" w14:textId="77777777" w:rsidR="009A1B22" w:rsidRDefault="009A1B22" w:rsidP="00285948">
            <w:pPr>
              <w:jc w:val="center"/>
              <w:rPr>
                <w:rFonts w:ascii="Arial" w:hAnsi="Arial" w:cs="FrankRuehl"/>
                <w:sz w:val="56"/>
                <w:szCs w:val="56"/>
                <w:rtl/>
              </w:rPr>
            </w:pPr>
            <w:bookmarkStart w:id="4" w:name="PsakDin" w:colFirst="0" w:colLast="0"/>
            <w:bookmarkStart w:id="5" w:name="LawTable"/>
            <w:bookmarkEnd w:id="0"/>
            <w:bookmarkEnd w:id="3"/>
            <w:bookmarkEnd w:id="5"/>
          </w:p>
          <w:p w14:paraId="23FA776F" w14:textId="77777777" w:rsidR="009A1B22" w:rsidRPr="009A1B22" w:rsidRDefault="009A1B22" w:rsidP="009A1B22">
            <w:pPr>
              <w:spacing w:after="120" w:line="240" w:lineRule="exact"/>
              <w:ind w:left="283" w:hanging="283"/>
              <w:jc w:val="both"/>
              <w:rPr>
                <w:rFonts w:ascii="FrankRuehl" w:hAnsi="FrankRuehl" w:cs="FrankRuehl"/>
                <w:rtl/>
              </w:rPr>
            </w:pPr>
          </w:p>
          <w:p w14:paraId="5AC4A99A" w14:textId="77777777" w:rsidR="009A1B22" w:rsidRPr="009A1B22" w:rsidRDefault="009A1B22" w:rsidP="009A1B22">
            <w:pPr>
              <w:spacing w:after="120" w:line="240" w:lineRule="exact"/>
              <w:ind w:left="283" w:hanging="283"/>
              <w:jc w:val="both"/>
              <w:rPr>
                <w:rFonts w:ascii="FrankRuehl" w:hAnsi="FrankRuehl" w:cs="FrankRuehl"/>
                <w:rtl/>
              </w:rPr>
            </w:pPr>
            <w:r w:rsidRPr="009A1B22">
              <w:rPr>
                <w:rFonts w:ascii="FrankRuehl" w:hAnsi="FrankRuehl" w:cs="FrankRuehl"/>
                <w:rtl/>
              </w:rPr>
              <w:t xml:space="preserve">חקיקה שאוזכרה: </w:t>
            </w:r>
          </w:p>
          <w:p w14:paraId="45AB4F56" w14:textId="77777777" w:rsidR="009A1B22" w:rsidRPr="009A1B22" w:rsidRDefault="009A1B22" w:rsidP="009A1B22">
            <w:pPr>
              <w:spacing w:after="120" w:line="240" w:lineRule="exact"/>
              <w:ind w:left="283" w:hanging="283"/>
              <w:jc w:val="both"/>
              <w:rPr>
                <w:rFonts w:ascii="FrankRuehl" w:hAnsi="FrankRuehl" w:cs="FrankRuehl"/>
                <w:color w:val="0000FF"/>
                <w:u w:val="single"/>
                <w:rtl/>
              </w:rPr>
            </w:pPr>
            <w:hyperlink r:id="rId7" w:history="1">
              <w:r w:rsidRPr="009A1B22">
                <w:rPr>
                  <w:rStyle w:val="Hyperlink"/>
                  <w:rFonts w:ascii="FrankRuehl" w:hAnsi="FrankRuehl" w:cs="FrankRuehl"/>
                  <w:rtl/>
                </w:rPr>
                <w:t>חוק העונשין, תשל"ז-1977</w:t>
              </w:r>
            </w:hyperlink>
            <w:r w:rsidRPr="009A1B22">
              <w:rPr>
                <w:rFonts w:ascii="FrankRuehl" w:hAnsi="FrankRuehl" w:cs="FrankRuehl"/>
                <w:color w:val="0000FF"/>
                <w:u w:val="single"/>
                <w:rtl/>
              </w:rPr>
              <w:t xml:space="preserve">: סע'  </w:t>
            </w:r>
            <w:hyperlink r:id="rId8" w:history="1">
              <w:r w:rsidRPr="009A1B22">
                <w:rPr>
                  <w:rStyle w:val="Hyperlink"/>
                  <w:rFonts w:ascii="FrankRuehl" w:hAnsi="FrankRuehl" w:cs="FrankRuehl"/>
                </w:rPr>
                <w:t>40</w:t>
              </w:r>
              <w:r w:rsidRPr="009A1B22">
                <w:rPr>
                  <w:rStyle w:val="Hyperlink"/>
                  <w:rFonts w:ascii="FrankRuehl" w:hAnsi="FrankRuehl" w:cs="FrankRuehl"/>
                  <w:rtl/>
                </w:rPr>
                <w:t>ג(א)</w:t>
              </w:r>
            </w:hyperlink>
            <w:r w:rsidRPr="009A1B22">
              <w:rPr>
                <w:rFonts w:ascii="FrankRuehl" w:hAnsi="FrankRuehl" w:cs="FrankRuehl"/>
                <w:color w:val="0000FF"/>
                <w:u w:val="single"/>
                <w:rtl/>
              </w:rPr>
              <w:t xml:space="preserve">, </w:t>
            </w:r>
            <w:hyperlink r:id="rId9" w:history="1">
              <w:r w:rsidRPr="009A1B22">
                <w:rPr>
                  <w:rStyle w:val="Hyperlink"/>
                  <w:rFonts w:ascii="FrankRuehl" w:hAnsi="FrankRuehl" w:cs="FrankRuehl"/>
                </w:rPr>
                <w:t>40</w:t>
              </w:r>
              <w:r w:rsidRPr="009A1B22">
                <w:rPr>
                  <w:rStyle w:val="Hyperlink"/>
                  <w:rFonts w:ascii="FrankRuehl" w:hAnsi="FrankRuehl" w:cs="FrankRuehl"/>
                  <w:rtl/>
                </w:rPr>
                <w:t>ד</w:t>
              </w:r>
            </w:hyperlink>
            <w:r w:rsidRPr="009A1B22">
              <w:rPr>
                <w:rFonts w:ascii="FrankRuehl" w:hAnsi="FrankRuehl" w:cs="FrankRuehl"/>
                <w:color w:val="0000FF"/>
                <w:u w:val="single"/>
                <w:rtl/>
              </w:rPr>
              <w:t xml:space="preserve">, </w:t>
            </w:r>
            <w:hyperlink r:id="rId10" w:history="1">
              <w:r w:rsidRPr="009A1B22">
                <w:rPr>
                  <w:rStyle w:val="Hyperlink"/>
                  <w:rFonts w:ascii="FrankRuehl" w:hAnsi="FrankRuehl" w:cs="FrankRuehl"/>
                </w:rPr>
                <w:t>40</w:t>
              </w:r>
              <w:r w:rsidRPr="009A1B22">
                <w:rPr>
                  <w:rStyle w:val="Hyperlink"/>
                  <w:rFonts w:ascii="FrankRuehl" w:hAnsi="FrankRuehl" w:cs="FrankRuehl"/>
                  <w:rtl/>
                </w:rPr>
                <w:t>ה</w:t>
              </w:r>
            </w:hyperlink>
            <w:r w:rsidRPr="009A1B22">
              <w:rPr>
                <w:rFonts w:ascii="FrankRuehl" w:hAnsi="FrankRuehl" w:cs="FrankRuehl"/>
                <w:color w:val="0000FF"/>
                <w:u w:val="single"/>
                <w:rtl/>
              </w:rPr>
              <w:t xml:space="preserve">, </w:t>
            </w:r>
            <w:hyperlink r:id="rId11" w:history="1">
              <w:r w:rsidRPr="009A1B22">
                <w:rPr>
                  <w:rStyle w:val="Hyperlink"/>
                  <w:rFonts w:ascii="FrankRuehl" w:hAnsi="FrankRuehl" w:cs="FrankRuehl"/>
                </w:rPr>
                <w:t>40</w:t>
              </w:r>
              <w:r w:rsidRPr="009A1B22">
                <w:rPr>
                  <w:rStyle w:val="Hyperlink"/>
                  <w:rFonts w:ascii="FrankRuehl" w:hAnsi="FrankRuehl" w:cs="FrankRuehl"/>
                  <w:rtl/>
                </w:rPr>
                <w:t>ט</w:t>
              </w:r>
            </w:hyperlink>
            <w:r w:rsidRPr="009A1B22">
              <w:rPr>
                <w:rFonts w:ascii="FrankRuehl" w:hAnsi="FrankRuehl" w:cs="FrankRuehl"/>
                <w:color w:val="0000FF"/>
                <w:u w:val="single"/>
                <w:rtl/>
              </w:rPr>
              <w:t xml:space="preserve">, </w:t>
            </w:r>
            <w:hyperlink r:id="rId12" w:history="1">
              <w:r w:rsidRPr="009A1B22">
                <w:rPr>
                  <w:rStyle w:val="Hyperlink"/>
                  <w:rFonts w:ascii="FrankRuehl" w:hAnsi="FrankRuehl" w:cs="FrankRuehl"/>
                </w:rPr>
                <w:t>144(</w:t>
              </w:r>
              <w:r w:rsidRPr="009A1B22">
                <w:rPr>
                  <w:rStyle w:val="Hyperlink"/>
                  <w:rFonts w:ascii="FrankRuehl" w:hAnsi="FrankRuehl" w:cs="FrankRuehl"/>
                  <w:rtl/>
                </w:rPr>
                <w:t>ב</w:t>
              </w:r>
              <w:r w:rsidRPr="009A1B22">
                <w:rPr>
                  <w:rStyle w:val="Hyperlink"/>
                  <w:rFonts w:ascii="FrankRuehl" w:hAnsi="FrankRuehl" w:cs="FrankRuehl"/>
                </w:rPr>
                <w:t>)</w:t>
              </w:r>
            </w:hyperlink>
            <w:r w:rsidRPr="009A1B22">
              <w:rPr>
                <w:rFonts w:ascii="FrankRuehl" w:hAnsi="FrankRuehl" w:cs="FrankRuehl"/>
                <w:color w:val="0000FF"/>
                <w:u w:val="single"/>
                <w:rtl/>
              </w:rPr>
              <w:t xml:space="preserve">, </w:t>
            </w:r>
            <w:hyperlink r:id="rId13" w:history="1">
              <w:r w:rsidRPr="009A1B22">
                <w:rPr>
                  <w:rStyle w:val="Hyperlink"/>
                  <w:rFonts w:ascii="FrankRuehl" w:hAnsi="FrankRuehl" w:cs="FrankRuehl"/>
                </w:rPr>
                <w:t>192</w:t>
              </w:r>
            </w:hyperlink>
            <w:r w:rsidRPr="009A1B22">
              <w:rPr>
                <w:rFonts w:ascii="FrankRuehl" w:hAnsi="FrankRuehl" w:cs="FrankRuehl"/>
                <w:color w:val="0000FF"/>
                <w:u w:val="single"/>
                <w:rtl/>
              </w:rPr>
              <w:t xml:space="preserve">, </w:t>
            </w:r>
            <w:hyperlink r:id="rId14" w:history="1">
              <w:r w:rsidRPr="009A1B22">
                <w:rPr>
                  <w:rStyle w:val="Hyperlink"/>
                  <w:rFonts w:ascii="FrankRuehl" w:hAnsi="FrankRuehl" w:cs="FrankRuehl"/>
                </w:rPr>
                <w:t>245(</w:t>
              </w:r>
              <w:r w:rsidRPr="009A1B22">
                <w:rPr>
                  <w:rStyle w:val="Hyperlink"/>
                  <w:rFonts w:ascii="FrankRuehl" w:hAnsi="FrankRuehl" w:cs="FrankRuehl"/>
                  <w:rtl/>
                </w:rPr>
                <w:t>ב</w:t>
              </w:r>
              <w:r w:rsidRPr="009A1B22">
                <w:rPr>
                  <w:rStyle w:val="Hyperlink"/>
                  <w:rFonts w:ascii="FrankRuehl" w:hAnsi="FrankRuehl" w:cs="FrankRuehl"/>
                </w:rPr>
                <w:t>)</w:t>
              </w:r>
            </w:hyperlink>
            <w:r w:rsidRPr="009A1B22">
              <w:rPr>
                <w:rFonts w:ascii="FrankRuehl" w:hAnsi="FrankRuehl" w:cs="FrankRuehl"/>
                <w:color w:val="0000FF"/>
                <w:u w:val="single"/>
                <w:rtl/>
              </w:rPr>
              <w:t xml:space="preserve">, </w:t>
            </w:r>
            <w:hyperlink r:id="rId15" w:history="1">
              <w:r w:rsidRPr="009A1B22">
                <w:rPr>
                  <w:rStyle w:val="Hyperlink"/>
                  <w:rFonts w:ascii="FrankRuehl" w:hAnsi="FrankRuehl" w:cs="FrankRuehl"/>
                </w:rPr>
                <w:t>329(1)</w:t>
              </w:r>
            </w:hyperlink>
            <w:r w:rsidRPr="009A1B22">
              <w:rPr>
                <w:rFonts w:ascii="FrankRuehl" w:hAnsi="FrankRuehl" w:cs="FrankRuehl"/>
                <w:color w:val="0000FF"/>
                <w:u w:val="single"/>
                <w:rtl/>
              </w:rPr>
              <w:t xml:space="preserve">, </w:t>
            </w:r>
            <w:hyperlink r:id="rId16" w:history="1">
              <w:r w:rsidRPr="009A1B22">
                <w:rPr>
                  <w:rStyle w:val="Hyperlink"/>
                  <w:rFonts w:ascii="FrankRuehl" w:hAnsi="FrankRuehl" w:cs="FrankRuehl"/>
                </w:rPr>
                <w:t>340</w:t>
              </w:r>
              <w:r w:rsidRPr="009A1B22">
                <w:rPr>
                  <w:rStyle w:val="Hyperlink"/>
                  <w:rFonts w:ascii="FrankRuehl" w:hAnsi="FrankRuehl" w:cs="FrankRuehl"/>
                  <w:rtl/>
                </w:rPr>
                <w:t>א</w:t>
              </w:r>
            </w:hyperlink>
            <w:r w:rsidRPr="009A1B22">
              <w:rPr>
                <w:rFonts w:ascii="FrankRuehl" w:hAnsi="FrankRuehl" w:cs="FrankRuehl"/>
                <w:color w:val="0000FF"/>
                <w:u w:val="single"/>
                <w:rtl/>
              </w:rPr>
              <w:t xml:space="preserve">, </w:t>
            </w:r>
            <w:hyperlink r:id="rId17" w:history="1">
              <w:r w:rsidRPr="009A1B22">
                <w:rPr>
                  <w:rStyle w:val="Hyperlink"/>
                  <w:rFonts w:ascii="FrankRuehl" w:hAnsi="FrankRuehl" w:cs="FrankRuehl"/>
                </w:rPr>
                <w:t>452</w:t>
              </w:r>
            </w:hyperlink>
            <w:r w:rsidRPr="009A1B22">
              <w:rPr>
                <w:rFonts w:ascii="FrankRuehl" w:hAnsi="FrankRuehl" w:cs="FrankRuehl"/>
                <w:color w:val="0000FF"/>
                <w:u w:val="single"/>
                <w:rtl/>
              </w:rPr>
              <w:t xml:space="preserve">, </w:t>
            </w:r>
            <w:hyperlink r:id="rId18" w:history="1">
              <w:r w:rsidRPr="009A1B22">
                <w:rPr>
                  <w:rStyle w:val="Hyperlink"/>
                  <w:rFonts w:ascii="FrankRuehl" w:hAnsi="FrankRuehl" w:cs="FrankRuehl"/>
                </w:rPr>
                <w:t>499(</w:t>
              </w:r>
              <w:r w:rsidRPr="009A1B22">
                <w:rPr>
                  <w:rStyle w:val="Hyperlink"/>
                  <w:rFonts w:ascii="FrankRuehl" w:hAnsi="FrankRuehl" w:cs="FrankRuehl"/>
                  <w:rtl/>
                </w:rPr>
                <w:t>א)</w:t>
              </w:r>
              <w:r w:rsidRPr="009A1B22">
                <w:rPr>
                  <w:rStyle w:val="Hyperlink"/>
                  <w:rFonts w:ascii="FrankRuehl" w:hAnsi="FrankRuehl" w:cs="FrankRuehl"/>
                </w:rPr>
                <w:t>(1)</w:t>
              </w:r>
            </w:hyperlink>
          </w:p>
          <w:p w14:paraId="580F80A4" w14:textId="77777777" w:rsidR="009A1B22" w:rsidRPr="009A1B22" w:rsidRDefault="009A1B22" w:rsidP="009A1B22">
            <w:pPr>
              <w:spacing w:after="120" w:line="240" w:lineRule="exact"/>
              <w:ind w:left="283" w:hanging="283"/>
              <w:jc w:val="both"/>
              <w:rPr>
                <w:rFonts w:ascii="FrankRuehl" w:hAnsi="FrankRuehl" w:cs="FrankRuehl"/>
                <w:rtl/>
              </w:rPr>
            </w:pPr>
          </w:p>
          <w:p w14:paraId="65C6EAB8" w14:textId="77777777" w:rsidR="009A1B22" w:rsidRPr="009A1B22" w:rsidRDefault="009A1B22" w:rsidP="00285948">
            <w:pPr>
              <w:jc w:val="center"/>
              <w:rPr>
                <w:rFonts w:ascii="Arial" w:hAnsi="Arial" w:cs="FrankRuehl"/>
                <w:sz w:val="56"/>
                <w:szCs w:val="56"/>
                <w:rtl/>
              </w:rPr>
            </w:pPr>
            <w:bookmarkStart w:id="6" w:name="LawTable_End"/>
            <w:bookmarkEnd w:id="6"/>
          </w:p>
          <w:p w14:paraId="1B277834" w14:textId="77777777" w:rsidR="007F0ED2" w:rsidRPr="007F0ED2" w:rsidRDefault="007F0ED2" w:rsidP="00285948">
            <w:pPr>
              <w:jc w:val="center"/>
              <w:rPr>
                <w:rFonts w:ascii="Arial" w:hAnsi="Arial" w:cs="FrankRuehl"/>
                <w:sz w:val="56"/>
                <w:szCs w:val="56"/>
                <w:rtl/>
              </w:rPr>
            </w:pPr>
          </w:p>
          <w:p w14:paraId="543B10D2" w14:textId="77777777" w:rsidR="00B642E6" w:rsidRPr="00B642E6" w:rsidRDefault="00B642E6" w:rsidP="00285948">
            <w:pPr>
              <w:jc w:val="center"/>
              <w:rPr>
                <w:rFonts w:ascii="Arial" w:hAnsi="Arial" w:cs="FrankRuehl"/>
                <w:sz w:val="56"/>
                <w:szCs w:val="56"/>
                <w:rtl/>
              </w:rPr>
            </w:pPr>
          </w:p>
          <w:p w14:paraId="79012F63" w14:textId="77777777" w:rsidR="00863ECD" w:rsidRPr="00285948" w:rsidRDefault="00285948" w:rsidP="00285948">
            <w:pPr>
              <w:jc w:val="center"/>
              <w:rPr>
                <w:rFonts w:ascii="Arial" w:hAnsi="Arial" w:cs="FrankRuehl"/>
                <w:bCs/>
                <w:sz w:val="32"/>
                <w:szCs w:val="32"/>
                <w:u w:val="single"/>
              </w:rPr>
            </w:pPr>
            <w:r w:rsidRPr="00285948">
              <w:rPr>
                <w:rFonts w:ascii="Arial" w:hAnsi="Arial" w:cs="FrankRuehl"/>
                <w:b/>
                <w:bCs/>
                <w:sz w:val="56"/>
                <w:szCs w:val="56"/>
                <w:u w:val="single"/>
                <w:rtl/>
              </w:rPr>
              <w:t>גזר דין</w:t>
            </w:r>
          </w:p>
        </w:tc>
      </w:tr>
      <w:bookmarkEnd w:id="4"/>
    </w:tbl>
    <w:p w14:paraId="0838EC83" w14:textId="77777777" w:rsidR="00863ECD" w:rsidRDefault="00863ECD">
      <w:pPr>
        <w:spacing w:line="360" w:lineRule="auto"/>
        <w:rPr>
          <w:rFonts w:ascii="Arial" w:hAnsi="Arial" w:cs="FrankRuehl"/>
          <w:spacing w:val="24"/>
          <w:sz w:val="28"/>
          <w:szCs w:val="28"/>
          <w:rtl/>
        </w:rPr>
      </w:pPr>
    </w:p>
    <w:p w14:paraId="0AD60202" w14:textId="77777777" w:rsidR="00863ECD" w:rsidRDefault="00863ECD">
      <w:pPr>
        <w:spacing w:line="360" w:lineRule="auto"/>
        <w:jc w:val="center"/>
        <w:rPr>
          <w:rFonts w:ascii="Arial" w:hAnsi="Arial" w:cs="FrankRuehl"/>
          <w:b/>
          <w:bCs/>
          <w:spacing w:val="24"/>
          <w:sz w:val="40"/>
          <w:szCs w:val="40"/>
          <w:u w:val="single"/>
          <w:rtl/>
        </w:rPr>
      </w:pPr>
    </w:p>
    <w:p w14:paraId="4F17C4D7" w14:textId="77777777" w:rsidR="00863ECD" w:rsidRDefault="00285948">
      <w:pPr>
        <w:spacing w:line="360" w:lineRule="auto"/>
        <w:jc w:val="both"/>
        <w:rPr>
          <w:rFonts w:ascii="Arial" w:hAnsi="Arial" w:cs="FrankRuehl"/>
          <w:spacing w:val="24"/>
          <w:sz w:val="28"/>
          <w:szCs w:val="28"/>
          <w:rtl/>
        </w:rPr>
      </w:pPr>
      <w:r>
        <w:rPr>
          <w:rFonts w:ascii="Arial" w:hAnsi="Arial" w:cs="FrankRuehl" w:hint="cs"/>
          <w:spacing w:val="24"/>
          <w:sz w:val="28"/>
          <w:szCs w:val="28"/>
          <w:rtl/>
        </w:rPr>
        <w:t>1.</w:t>
      </w:r>
      <w:r>
        <w:rPr>
          <w:rFonts w:ascii="Arial" w:hAnsi="Arial" w:cs="FrankRuehl" w:hint="cs"/>
          <w:spacing w:val="24"/>
          <w:sz w:val="28"/>
          <w:szCs w:val="28"/>
          <w:rtl/>
        </w:rPr>
        <w:tab/>
      </w:r>
      <w:bookmarkStart w:id="7" w:name="ABSTRACT_START"/>
      <w:bookmarkEnd w:id="7"/>
      <w:r>
        <w:rPr>
          <w:rFonts w:ascii="Arial" w:hAnsi="Arial" w:cs="FrankRuehl" w:hint="cs"/>
          <w:spacing w:val="24"/>
          <w:sz w:val="28"/>
          <w:szCs w:val="28"/>
          <w:rtl/>
        </w:rPr>
        <w:t xml:space="preserve">הנאשמים הורשעו בעבירות הבאות: קשירת קשר לפי </w:t>
      </w:r>
      <w:r w:rsidR="0063544D" w:rsidRPr="00F9634A">
        <w:rPr>
          <w:rFonts w:ascii="Arial" w:hAnsi="Arial" w:cs="FrankRuehl" w:hint="eastAsia"/>
          <w:color w:val="000000"/>
          <w:spacing w:val="24"/>
          <w:sz w:val="28"/>
          <w:szCs w:val="28"/>
          <w:rtl/>
        </w:rPr>
        <w:t>סעיף</w:t>
      </w:r>
      <w:r w:rsidR="007F0ED2">
        <w:rPr>
          <w:rFonts w:ascii="Arial" w:hAnsi="Arial" w:cs="FrankRuehl"/>
          <w:color w:val="000000"/>
          <w:spacing w:val="24"/>
          <w:sz w:val="28"/>
          <w:szCs w:val="28"/>
          <w:rtl/>
        </w:rPr>
        <w:t xml:space="preserve"> </w:t>
      </w:r>
      <w:hyperlink r:id="rId19" w:history="1">
        <w:r w:rsidR="007F0ED2" w:rsidRPr="007F0ED2">
          <w:rPr>
            <w:rStyle w:val="Hyperlink"/>
            <w:rFonts w:ascii="Arial" w:hAnsi="Arial" w:cs="FrankRuehl"/>
            <w:spacing w:val="24"/>
            <w:sz w:val="28"/>
            <w:szCs w:val="28"/>
            <w:rtl/>
          </w:rPr>
          <w:t>499(א)(1)</w:t>
        </w:r>
      </w:hyperlink>
      <w:r>
        <w:rPr>
          <w:rFonts w:ascii="Arial" w:hAnsi="Arial" w:cs="FrankRuehl" w:hint="cs"/>
          <w:spacing w:val="24"/>
          <w:sz w:val="28"/>
          <w:szCs w:val="28"/>
          <w:rtl/>
        </w:rPr>
        <w:t xml:space="preserve"> ל</w:t>
      </w:r>
      <w:hyperlink r:id="rId20" w:history="1">
        <w:r w:rsidR="00B642E6" w:rsidRPr="00B642E6">
          <w:rPr>
            <w:rStyle w:val="Hyperlink"/>
            <w:rFonts w:ascii="Arial" w:hAnsi="Arial" w:cs="FrankRuehl"/>
            <w:spacing w:val="24"/>
            <w:sz w:val="28"/>
            <w:szCs w:val="28"/>
            <w:rtl/>
          </w:rPr>
          <w:t>חוק העונשין</w:t>
        </w:r>
      </w:hyperlink>
      <w:r>
        <w:rPr>
          <w:rFonts w:ascii="Arial" w:hAnsi="Arial" w:cs="FrankRuehl" w:hint="cs"/>
          <w:spacing w:val="24"/>
          <w:sz w:val="28"/>
          <w:szCs w:val="28"/>
          <w:rtl/>
        </w:rPr>
        <w:t xml:space="preserve">, חבלה בכוונה מחמירה לפי </w:t>
      </w:r>
      <w:r w:rsidR="0063544D" w:rsidRPr="00F9634A">
        <w:rPr>
          <w:rFonts w:ascii="Arial" w:hAnsi="Arial" w:cs="FrankRuehl" w:hint="eastAsia"/>
          <w:color w:val="000000"/>
          <w:spacing w:val="24"/>
          <w:sz w:val="28"/>
          <w:szCs w:val="28"/>
          <w:rtl/>
        </w:rPr>
        <w:t>סעיף</w:t>
      </w:r>
      <w:r w:rsidR="007F0ED2">
        <w:rPr>
          <w:rFonts w:ascii="Arial" w:hAnsi="Arial" w:cs="FrankRuehl"/>
          <w:color w:val="000000"/>
          <w:spacing w:val="24"/>
          <w:sz w:val="28"/>
          <w:szCs w:val="28"/>
          <w:rtl/>
        </w:rPr>
        <w:t xml:space="preserve"> </w:t>
      </w:r>
      <w:hyperlink r:id="rId21" w:history="1">
        <w:r w:rsidR="007F0ED2" w:rsidRPr="007F0ED2">
          <w:rPr>
            <w:rStyle w:val="Hyperlink"/>
            <w:rFonts w:ascii="Arial" w:hAnsi="Arial" w:cs="FrankRuehl"/>
            <w:spacing w:val="24"/>
            <w:sz w:val="28"/>
            <w:szCs w:val="28"/>
            <w:rtl/>
          </w:rPr>
          <w:t>329(1)</w:t>
        </w:r>
      </w:hyperlink>
      <w:r>
        <w:rPr>
          <w:rFonts w:ascii="Arial" w:hAnsi="Arial" w:cs="FrankRuehl" w:hint="cs"/>
          <w:spacing w:val="24"/>
          <w:sz w:val="28"/>
          <w:szCs w:val="28"/>
          <w:rtl/>
        </w:rPr>
        <w:t xml:space="preserve"> לחוק, נשיאת נשק לפי </w:t>
      </w:r>
      <w:hyperlink r:id="rId22" w:history="1">
        <w:r w:rsidR="007F0ED2" w:rsidRPr="007F0ED2">
          <w:rPr>
            <w:rStyle w:val="Hyperlink"/>
            <w:rFonts w:ascii="Arial" w:hAnsi="Arial" w:cs="FrankRuehl"/>
            <w:spacing w:val="24"/>
            <w:sz w:val="28"/>
            <w:szCs w:val="28"/>
            <w:rtl/>
          </w:rPr>
          <w:t>סעיף 144(ב)</w:t>
        </w:r>
      </w:hyperlink>
      <w:r>
        <w:rPr>
          <w:rFonts w:ascii="Arial" w:hAnsi="Arial" w:cs="FrankRuehl" w:hint="cs"/>
          <w:spacing w:val="24"/>
          <w:sz w:val="28"/>
          <w:szCs w:val="28"/>
          <w:rtl/>
        </w:rPr>
        <w:t xml:space="preserve"> רישא לחוק, ירי באזור מגורים לפי </w:t>
      </w:r>
      <w:r w:rsidR="0063544D" w:rsidRPr="00F9634A">
        <w:rPr>
          <w:rFonts w:ascii="Arial" w:hAnsi="Arial" w:cs="FrankRuehl"/>
          <w:color w:val="000000"/>
          <w:spacing w:val="24"/>
          <w:sz w:val="28"/>
          <w:szCs w:val="28"/>
          <w:rtl/>
        </w:rPr>
        <w:t xml:space="preserve">סעיף </w:t>
      </w:r>
      <w:hyperlink r:id="rId23" w:history="1">
        <w:r w:rsidR="007F0ED2" w:rsidRPr="007F0ED2">
          <w:rPr>
            <w:rStyle w:val="Hyperlink"/>
            <w:rFonts w:ascii="Arial" w:hAnsi="Arial" w:cs="FrankRuehl"/>
            <w:spacing w:val="24"/>
            <w:sz w:val="28"/>
            <w:szCs w:val="28"/>
            <w:rtl/>
          </w:rPr>
          <w:t>340א</w:t>
        </w:r>
      </w:hyperlink>
      <w:r w:rsidR="0063544D" w:rsidRPr="00F9634A">
        <w:rPr>
          <w:rFonts w:ascii="Arial" w:hAnsi="Arial" w:cs="FrankRuehl"/>
          <w:color w:val="000000"/>
          <w:spacing w:val="24"/>
          <w:sz w:val="28"/>
          <w:szCs w:val="28"/>
          <w:rtl/>
        </w:rPr>
        <w:t>'</w:t>
      </w:r>
      <w:r>
        <w:rPr>
          <w:rFonts w:ascii="Arial" w:hAnsi="Arial" w:cs="FrankRuehl" w:hint="cs"/>
          <w:spacing w:val="24"/>
          <w:sz w:val="28"/>
          <w:szCs w:val="28"/>
          <w:rtl/>
        </w:rPr>
        <w:t xml:space="preserve"> לחוק, והיזק בזדון לפי </w:t>
      </w:r>
      <w:hyperlink r:id="rId24" w:history="1">
        <w:r w:rsidR="007F0ED2" w:rsidRPr="007F0ED2">
          <w:rPr>
            <w:rStyle w:val="Hyperlink"/>
            <w:rFonts w:ascii="Arial" w:hAnsi="Arial" w:cs="FrankRuehl"/>
            <w:spacing w:val="24"/>
            <w:sz w:val="28"/>
            <w:szCs w:val="28"/>
            <w:rtl/>
          </w:rPr>
          <w:t>סעיף 452</w:t>
        </w:r>
      </w:hyperlink>
      <w:r>
        <w:rPr>
          <w:rFonts w:ascii="Arial" w:hAnsi="Arial" w:cs="FrankRuehl" w:hint="cs"/>
          <w:spacing w:val="24"/>
          <w:sz w:val="28"/>
          <w:szCs w:val="28"/>
          <w:rtl/>
        </w:rPr>
        <w:t xml:space="preserve"> לחוק. </w:t>
      </w:r>
      <w:bookmarkStart w:id="8" w:name="ABSTRACT_END"/>
      <w:bookmarkEnd w:id="8"/>
      <w:r>
        <w:rPr>
          <w:rFonts w:ascii="Arial" w:hAnsi="Arial" w:cs="FrankRuehl" w:hint="cs"/>
          <w:spacing w:val="24"/>
          <w:sz w:val="28"/>
          <w:szCs w:val="28"/>
          <w:rtl/>
        </w:rPr>
        <w:t xml:space="preserve">נאשם 1 הורשע, בנוסף, בעבירה של הדחה בחקירה </w:t>
      </w:r>
      <w:r>
        <w:rPr>
          <w:rFonts w:ascii="Arial" w:hAnsi="Arial" w:cs="FrankRuehl" w:hint="cs"/>
          <w:spacing w:val="24"/>
          <w:sz w:val="28"/>
          <w:szCs w:val="28"/>
          <w:rtl/>
        </w:rPr>
        <w:lastRenderedPageBreak/>
        <w:t xml:space="preserve">לפי </w:t>
      </w:r>
      <w:hyperlink r:id="rId25" w:history="1">
        <w:r w:rsidR="007F0ED2" w:rsidRPr="007F0ED2">
          <w:rPr>
            <w:rStyle w:val="Hyperlink"/>
            <w:rFonts w:ascii="Arial" w:hAnsi="Arial" w:cs="FrankRuehl"/>
            <w:spacing w:val="24"/>
            <w:sz w:val="28"/>
            <w:szCs w:val="28"/>
            <w:rtl/>
          </w:rPr>
          <w:t>סעיף 245(ב)</w:t>
        </w:r>
      </w:hyperlink>
      <w:r>
        <w:rPr>
          <w:rFonts w:ascii="Arial" w:hAnsi="Arial" w:cs="FrankRuehl" w:hint="cs"/>
          <w:spacing w:val="24"/>
          <w:sz w:val="28"/>
          <w:szCs w:val="28"/>
          <w:rtl/>
        </w:rPr>
        <w:t xml:space="preserve"> לחוק, ובעבירת איומים לפי </w:t>
      </w:r>
      <w:hyperlink r:id="rId26" w:history="1">
        <w:r w:rsidR="007F0ED2" w:rsidRPr="007F0ED2">
          <w:rPr>
            <w:rStyle w:val="Hyperlink"/>
            <w:rFonts w:ascii="Arial" w:hAnsi="Arial" w:cs="FrankRuehl"/>
            <w:spacing w:val="24"/>
            <w:sz w:val="28"/>
            <w:szCs w:val="28"/>
            <w:rtl/>
          </w:rPr>
          <w:t>סעיף 192</w:t>
        </w:r>
      </w:hyperlink>
      <w:r>
        <w:rPr>
          <w:rFonts w:ascii="Arial" w:hAnsi="Arial" w:cs="FrankRuehl" w:hint="cs"/>
          <w:spacing w:val="24"/>
          <w:sz w:val="28"/>
          <w:szCs w:val="28"/>
          <w:rtl/>
        </w:rPr>
        <w:t xml:space="preserve"> לחוק. מעשיהם של הנאשמים פורטו בהרחבה בהכרעת הדין ולהלן תמציתם: מדובר באירועים שהתרחשו ביום 9/1/10 בירושלים, במהלכם הגיעו הנאשמים, רכובים על קטנוע, אותו נהג נאשם 2,  למפגש עם המתלונן אליהו ליברטי. במסגרת אותו מפגש, נאשם 1 ירה באקדחו לעבר רגלו של ליברטי מספר פעמים. ליברטי נפגע ברגלו משניים מהקליעים. כן נפגע מקליע רכב שחנה במקום. הרקע לאירועים הנו כלהלן: נאשם 1 שימש כרב וכראש ישיבה בשם "איש חי" בירושלים. על תלמידי הישיבה נמנה אלי ליברטי. מספר ימים לפני מועד האירוע, פרצה תגרה קשה בין ליברטי לבין תלמיד אחר בישיבה. ליברטי הורחק מהישיבה על ידי נאשם 1. ושב לישיבה בליווי אנשים אחרים במטרה לפגוע בתלמיד עמו היה לו סכסוך. בעקבות כל אלה התקשר הנאשם 1 במוצאי שבת, יום 9/1/10, לליברטי, וביקש ממנו להגיע לישיבה. ליברטי הגיע לישיבה סמוך לשעה 21:00, מלווה בשני אנשים אחרים. הנאשמים המתינו לליברטי רכובים על קטנוע, בו נהג כאמור נאשם 2. נאשם 1 ירד מהקטנוע כשאקדח בידו, ליברטי החל להימלט, הנאשמים רדפו אחריו בנסיעה עם הקטנוע, וכאמור, נאשם 1 ירה מספר יריות לכיוונו של ליברטי, ושני קליעים פגעו ברגלו של ליברטי. </w:t>
      </w:r>
    </w:p>
    <w:p w14:paraId="5DE75C32" w14:textId="77777777" w:rsidR="00863ECD" w:rsidRDefault="00863ECD">
      <w:pPr>
        <w:rPr>
          <w:sz w:val="28"/>
          <w:rtl/>
        </w:rPr>
      </w:pPr>
    </w:p>
    <w:p w14:paraId="0FC8E02E" w14:textId="77777777" w:rsidR="00863ECD" w:rsidRDefault="00285948">
      <w:pPr>
        <w:spacing w:line="360" w:lineRule="auto"/>
        <w:jc w:val="both"/>
        <w:rPr>
          <w:rFonts w:ascii="Arial" w:hAnsi="Arial" w:cs="FrankRuehl"/>
          <w:spacing w:val="24"/>
          <w:sz w:val="28"/>
          <w:szCs w:val="28"/>
          <w:rtl/>
        </w:rPr>
      </w:pPr>
      <w:r>
        <w:rPr>
          <w:rFonts w:ascii="Arial" w:hAnsi="Arial" w:cs="FrankRuehl" w:hint="cs"/>
          <w:spacing w:val="24"/>
          <w:sz w:val="28"/>
          <w:szCs w:val="28"/>
          <w:rtl/>
        </w:rPr>
        <w:t>2.</w:t>
      </w:r>
      <w:r>
        <w:rPr>
          <w:rFonts w:ascii="Arial" w:hAnsi="Arial" w:cs="FrankRuehl" w:hint="cs"/>
          <w:spacing w:val="24"/>
          <w:sz w:val="28"/>
          <w:szCs w:val="28"/>
          <w:rtl/>
        </w:rPr>
        <w:tab/>
        <w:t xml:space="preserve">נאשם 1 הנו כבן 34 ונאשם 2 הנו כבן 33. לשני הנאשמים עבר פלילי, לנאשם 1 ארבע  הרשעות קודמות בעבירות אלימות ובעבירות רכוש, אם כי האחרונה מבניהן הנה משנת 2002 בשל אירועים שהתרחשו כארבע שנים קודם לכן, והנאשם 1 הנו בעל הרשעה משנת 2002 בעבירה של הפרעה לשוטר והעלבת עובד ציבור. </w:t>
      </w:r>
    </w:p>
    <w:p w14:paraId="284CFB69" w14:textId="77777777" w:rsidR="00863ECD" w:rsidRDefault="00863ECD">
      <w:pPr>
        <w:spacing w:line="360" w:lineRule="auto"/>
        <w:rPr>
          <w:rFonts w:ascii="Arial" w:hAnsi="Arial" w:cs="FrankRuehl"/>
          <w:spacing w:val="24"/>
          <w:sz w:val="28"/>
          <w:szCs w:val="28"/>
          <w:rtl/>
        </w:rPr>
      </w:pPr>
    </w:p>
    <w:p w14:paraId="2C55B58D" w14:textId="77777777" w:rsidR="00863ECD" w:rsidRDefault="00285948">
      <w:pPr>
        <w:spacing w:line="360" w:lineRule="auto"/>
        <w:jc w:val="both"/>
        <w:rPr>
          <w:rFonts w:ascii="Arial" w:hAnsi="Arial" w:cs="FrankRuehl"/>
          <w:spacing w:val="24"/>
          <w:sz w:val="28"/>
          <w:szCs w:val="28"/>
          <w:rtl/>
        </w:rPr>
      </w:pPr>
      <w:r>
        <w:rPr>
          <w:rFonts w:ascii="Arial" w:hAnsi="Arial" w:cs="FrankRuehl" w:hint="cs"/>
          <w:spacing w:val="24"/>
          <w:sz w:val="28"/>
          <w:szCs w:val="28"/>
          <w:rtl/>
        </w:rPr>
        <w:t>3.</w:t>
      </w:r>
      <w:r>
        <w:rPr>
          <w:rFonts w:ascii="Arial" w:hAnsi="Arial" w:cs="FrankRuehl" w:hint="cs"/>
          <w:spacing w:val="24"/>
          <w:sz w:val="28"/>
          <w:szCs w:val="28"/>
          <w:rtl/>
        </w:rPr>
        <w:tab/>
        <w:t xml:space="preserve">באת-כוח המאשימה, במסגרת טיעוניה לעונש, עתרה, לאור המעשים בהם הורשעו הנאשמים, לגזור עליהם עונש שיכלול מאסר לשנים רבות. נטען כי מעשיהם פגעו בערך השמירה על שלום האדם, נעשה שימוש בנשק חם במקום מגורים, מדיניות הענישה הנוהגת תומכת בענישה חמורה אשר תהלום את המעשים. באה הפנייה לפסיקה, במסגרתה הובעה ביקורת חריפה על עבירות הכוללת שימשו בנשק חם, ונקבע כי יש להילחם בתופעה זו של שימוש בנשק חם. נטען כי מדובר במעשה מתוכנן מראש, הנאשמים הצטיידו בקטנוע, </w:t>
      </w:r>
      <w:r>
        <w:rPr>
          <w:rFonts w:ascii="Arial" w:hAnsi="Arial" w:cs="FrankRuehl" w:hint="cs"/>
          <w:spacing w:val="24"/>
          <w:sz w:val="28"/>
          <w:szCs w:val="28"/>
          <w:rtl/>
        </w:rPr>
        <w:lastRenderedPageBreak/>
        <w:t xml:space="preserve">בקסדות ובאקדח, זימנו את ליברטי למקום, המעשים נעשו בשיתוף פעולה, וליברטי נפגע באופן חמור שהצריך אשפוזו ומתן טיפול רפואי. נטען עוד כי הסיבות שהביאות לביצוע העבירות, דהיינו התנהגותו של ליברטי, אינן מצדיקות התנהלות מסוג זה. באת-כוח המאשימה הדגישה כי אף שנאשם 1 ראה בישיבה מפעל חייו, מעשיו אינם מעידים על התנהלות ראויה של מי שמבקש להיות ראש ישיבה. כן נטען כי יש להרתיע את הנאשמים באופן אישי והן את הציבור בכלל. לשיטת המאשימה, מתחם הענישה הראוי, בנוגע עם נאשם 1, הנו בן שלוש לשמונה שנים, זאת בגין אירועי הירי ונוכח העובדה שנאשם 1 היה פעיל בירי. לכך יש לצרף עונש מצטבר שהמתחם לגביו ינוע בין שנה לשנתיים וחצי, בגין העבירות הנוספות בגינן הורשע הנאשם. לגבי נאשם 2 נטען כי המתחם הראוי אמור לנוע בין שתי שנות מאסר ועד שבע שנות מאסר, ולגבי שני הנאשמים יש לגזור עונשם ברף הגבוה. עוד נטען כי יש להטיל על הנאשמים מאסר על תנאי, פיצוי לליברטי, לבעל הרכב שנפגע ולחלט את הקטנוע אשר שימש את הנאשמים, אף שהנו רשום על שם אחותו של נאשם 2. </w:t>
      </w:r>
    </w:p>
    <w:p w14:paraId="6F22A3DB" w14:textId="77777777" w:rsidR="00863ECD" w:rsidRDefault="00863ECD">
      <w:pPr>
        <w:spacing w:line="360" w:lineRule="auto"/>
        <w:rPr>
          <w:rFonts w:ascii="Arial" w:hAnsi="Arial" w:cs="FrankRuehl"/>
          <w:spacing w:val="24"/>
          <w:sz w:val="28"/>
          <w:szCs w:val="28"/>
          <w:rtl/>
        </w:rPr>
      </w:pPr>
    </w:p>
    <w:p w14:paraId="1EF50D42" w14:textId="77777777" w:rsidR="00863ECD" w:rsidRDefault="00285948">
      <w:pPr>
        <w:spacing w:line="360" w:lineRule="auto"/>
        <w:jc w:val="both"/>
        <w:rPr>
          <w:rFonts w:ascii="Arial" w:hAnsi="Arial" w:cs="FrankRuehl"/>
          <w:spacing w:val="24"/>
          <w:sz w:val="28"/>
          <w:szCs w:val="28"/>
          <w:rtl/>
        </w:rPr>
      </w:pPr>
      <w:r>
        <w:rPr>
          <w:rFonts w:ascii="Arial" w:hAnsi="Arial" w:cs="FrankRuehl" w:hint="cs"/>
          <w:spacing w:val="24"/>
          <w:sz w:val="28"/>
          <w:szCs w:val="28"/>
          <w:rtl/>
        </w:rPr>
        <w:t>4.</w:t>
      </w:r>
      <w:r>
        <w:rPr>
          <w:rFonts w:ascii="Arial" w:hAnsi="Arial" w:cs="FrankRuehl" w:hint="cs"/>
          <w:spacing w:val="24"/>
          <w:sz w:val="28"/>
          <w:szCs w:val="28"/>
          <w:rtl/>
        </w:rPr>
        <w:tab/>
        <w:t>בקשר עם נאשם 1 נשמעו עדי אופי רבים (שלושה עשר במספר). שורת העדים דיברה בשבחו של הנאשם והיותו איש חסד, על כך שנקט בצעדים אשר שינו את חייהם לטובה, הן בכך שקרבם לדת והן בכך שהמסגרת שהעניק להם גאלה אותם מאורח חיים קשה. העדים הפנו לכך כי הנאשם חסך  מעצמו ומפיות בני משפחתו, והעניק לציבור, בין היתר בכך שחילק מזון לנזקקים. היכרותם של העדים את הנאשם התפרשה על פני תקופות שונות, בין מספר חודשים למספר שנים. אריה אלמלם ששימש כראש הישיבה, העיד, בין היתר, על ההתנהגות האלימה של ליברטי לפני קרות המעשים, על כך שהפנייה למשטרה לא הועילה, המשטרה לא סייעה להפיג את האיום שנשקף מליברטי ומקור האירוע בהגנה על החיים, לאחר שהמשטרה הפקירה את אנשי הישיבה. עוד העיד על כך כי העדרו של הנאשם מהישיבה גורם נזק עצום ונמנע מהישיבה לשמש כחלופת מעצר.</w:t>
      </w:r>
    </w:p>
    <w:p w14:paraId="3A0A6AD4" w14:textId="77777777" w:rsidR="00863ECD" w:rsidRDefault="00863ECD">
      <w:pPr>
        <w:spacing w:line="360" w:lineRule="auto"/>
        <w:rPr>
          <w:rFonts w:ascii="Arial" w:hAnsi="Arial" w:cs="FrankRuehl"/>
          <w:spacing w:val="24"/>
          <w:sz w:val="28"/>
          <w:szCs w:val="28"/>
          <w:rtl/>
        </w:rPr>
      </w:pPr>
    </w:p>
    <w:p w14:paraId="3CB1164A" w14:textId="77777777" w:rsidR="00863ECD" w:rsidRDefault="00285948">
      <w:pPr>
        <w:spacing w:line="360" w:lineRule="auto"/>
        <w:jc w:val="both"/>
        <w:rPr>
          <w:rFonts w:ascii="Arial" w:hAnsi="Arial" w:cs="FrankRuehl"/>
          <w:spacing w:val="24"/>
          <w:sz w:val="28"/>
          <w:szCs w:val="28"/>
          <w:rtl/>
        </w:rPr>
      </w:pPr>
      <w:r>
        <w:rPr>
          <w:rFonts w:ascii="Arial" w:hAnsi="Arial" w:cs="FrankRuehl" w:hint="cs"/>
          <w:spacing w:val="24"/>
          <w:sz w:val="28"/>
          <w:szCs w:val="28"/>
          <w:rtl/>
        </w:rPr>
        <w:t>5.</w:t>
      </w:r>
      <w:r>
        <w:rPr>
          <w:rFonts w:ascii="Arial" w:hAnsi="Arial" w:cs="FrankRuehl" w:hint="cs"/>
          <w:spacing w:val="24"/>
          <w:sz w:val="28"/>
          <w:szCs w:val="28"/>
          <w:rtl/>
        </w:rPr>
        <w:tab/>
        <w:t xml:space="preserve">בא-כוח נאשם 1, הפנה לנסיבותיו האישיות של הנאשם, לכך שמדובר באדם נשוי, אב לארבעה ילדים, שגדל במשפחה אומנת ובמצוקה כלכלית קשה. הנאשם עבר מהפך בחייו, הוא אינו אותו אדם כפי שהיה בשנת 1998, אז בוצעו על ידו העבירות האחרונות בהן הורשע בעבר. הנאשם שינה את דרכיו, ולאחר שנורה בשנת 2001 והקים את הישיבה המשמשת לו כמפעל חיים. הישיבה מתקיימת מתרומות ומהרצאות. מדובר במי שעזר ושיקם אנשים רבים מאוד, רובם משולי החברה, חלקם על רקע עברייני, חילק מזון יום יום, ומאז מעצרו הישיבה על סף פירוק. </w:t>
      </w:r>
    </w:p>
    <w:p w14:paraId="70B0F576" w14:textId="77777777" w:rsidR="00863ECD" w:rsidRDefault="00285948">
      <w:pPr>
        <w:spacing w:line="360" w:lineRule="auto"/>
        <w:ind w:firstLine="720"/>
        <w:jc w:val="both"/>
        <w:rPr>
          <w:rFonts w:ascii="Arial" w:hAnsi="Arial" w:cs="FrankRuehl"/>
          <w:spacing w:val="24"/>
          <w:sz w:val="28"/>
          <w:szCs w:val="28"/>
          <w:rtl/>
        </w:rPr>
      </w:pPr>
      <w:r>
        <w:rPr>
          <w:rFonts w:ascii="Arial" w:hAnsi="Arial" w:cs="FrankRuehl" w:hint="cs"/>
          <w:spacing w:val="24"/>
          <w:sz w:val="28"/>
          <w:szCs w:val="28"/>
          <w:rtl/>
        </w:rPr>
        <w:t xml:space="preserve">לעניין מתחם הענישה, נטען כי אף כי שמדובר במספר עבירות, עניין לנו באירוע אחד, אליו יש לצרף את עבירת ההדחה. ליברטי לא נפגע באופן חמור ולא נגרם לו נזק קבוע. לאור פסיקה אליה הפנה הסנגור, ולאור נסיבות ביצוע העבירה, נטען כי המתחם הראוי הנו בין שנתיים לארבע שנות מאסר. עוד נטען כי אף שקדם תכנון למעשים, לא מדובר בתכנון קפדני, המעשה קרוב יותר להתלקחות ספונטנית, מקור האירועים בליברטי, שהנו אדם אלים. באה הפנייה לכך שבהוראת הנאשם אף חוללה השבת, כאשר אנשי הישיבה התקשרו למשטרה, בעקבות סכנת החיים שהיה נתון בה תלמיד הישיבה מצדו של ליברטי, שהנו עבריין המרצה עונש מאסר כיום. הסנגור הדגיש כי עולה מהפסיקה אליה הפנה, כי ככל שתוצאת הפגיעה חמורה יותר, הענישה קשה וחמורה יותר, ואילו בענייננו לא מדובר בפגיעה קשה, ובכל מקרה, גם במקרים קשים אחרים, המתחם היה נמוך יותר מהמתחם לו טענה המאשימה. עוד באה הפנייה למעצר הבית הארוך בו היה נתון הנאשם לתקופה של שנתיים. </w:t>
      </w:r>
    </w:p>
    <w:p w14:paraId="4FC5B53D" w14:textId="77777777" w:rsidR="00863ECD" w:rsidRDefault="00285948">
      <w:pPr>
        <w:spacing w:line="360" w:lineRule="auto"/>
        <w:jc w:val="both"/>
        <w:rPr>
          <w:rFonts w:ascii="Arial" w:hAnsi="Arial" w:cs="FrankRuehl"/>
          <w:spacing w:val="24"/>
          <w:sz w:val="28"/>
          <w:szCs w:val="28"/>
          <w:rtl/>
        </w:rPr>
      </w:pPr>
      <w:r>
        <w:rPr>
          <w:rFonts w:ascii="Arial" w:hAnsi="Arial" w:cs="FrankRuehl" w:hint="cs"/>
          <w:spacing w:val="24"/>
          <w:sz w:val="28"/>
          <w:szCs w:val="28"/>
          <w:rtl/>
        </w:rPr>
        <w:tab/>
        <w:t xml:space="preserve">הנאשם עמד בדברו האחרון בהכחשתו, אך לצד זאת שאל מה ניתן היה לעשות נוכח התנהגותו של ליברטי שאיים על תלמיד ישיבה אופן ממשי, ואיים להרוג אותו. המשטרה התעלמה מהפניות אליה, והמדובר היה בהצלת חיים. </w:t>
      </w:r>
    </w:p>
    <w:p w14:paraId="6EC6CB49" w14:textId="77777777" w:rsidR="00863ECD" w:rsidRDefault="00863ECD">
      <w:pPr>
        <w:spacing w:line="360" w:lineRule="auto"/>
        <w:jc w:val="both"/>
        <w:rPr>
          <w:rFonts w:ascii="Arial" w:hAnsi="Arial" w:cs="FrankRuehl"/>
          <w:spacing w:val="24"/>
          <w:sz w:val="28"/>
          <w:szCs w:val="28"/>
          <w:rtl/>
        </w:rPr>
      </w:pPr>
    </w:p>
    <w:p w14:paraId="5B719F76" w14:textId="77777777" w:rsidR="00863ECD" w:rsidRDefault="00285948">
      <w:pPr>
        <w:spacing w:line="360" w:lineRule="auto"/>
        <w:jc w:val="both"/>
        <w:rPr>
          <w:rFonts w:ascii="Arial" w:hAnsi="Arial" w:cs="FrankRuehl"/>
          <w:spacing w:val="24"/>
          <w:sz w:val="28"/>
          <w:szCs w:val="28"/>
          <w:rtl/>
        </w:rPr>
      </w:pPr>
      <w:r>
        <w:rPr>
          <w:rFonts w:ascii="Arial" w:hAnsi="Arial" w:cs="FrankRuehl" w:hint="cs"/>
          <w:spacing w:val="24"/>
          <w:sz w:val="28"/>
          <w:szCs w:val="28"/>
          <w:rtl/>
        </w:rPr>
        <w:t>6.</w:t>
      </w:r>
      <w:r>
        <w:rPr>
          <w:rFonts w:ascii="Arial" w:hAnsi="Arial" w:cs="FrankRuehl" w:hint="cs"/>
          <w:spacing w:val="24"/>
          <w:sz w:val="28"/>
          <w:szCs w:val="28"/>
          <w:rtl/>
        </w:rPr>
        <w:tab/>
        <w:t>מטעם נאשם 2 העיד מר יעקב חזקיה, תלמיד כולל, המכיר את הנאשם מספר שנים במסגרת הלימודים, והעיד על כך שהנאשם למד והשקיע בלימודיו, ואף עזר לנזקקים. סנגורו של נאשם 2 הדגיש כי עברו הפלילי של נאשם 2 אינו משמעותי, הנו רחוק ובלתי חמור. נאשם 2 נשוי, אב לארבעה ילדים ואשתו בהריון. הסנגור הדגיש כי נאשם 2 היה הנהג ולא מי שלחץ על ההדק בפועל. באה הפניה לפסיקה, לרבות הסתמכות על פסקי דין עליהם נסמכה המאשימה, במסגרתה נדון מי שירה (להבדיל ממי שנהג) לעונשים קלים יותר מהעונשים להם עתרה המאשימה. הודגש כי בפסקי דין דומים, שנסיבותיהם, לשיטת הסנגור, קרובות ודומות, נדונו המבצעים לעונשים קלים בהרבה, כאמור, אף שמדובר ביורה עצמו. לשיטת סנגורו של נאשם 2, המתחם הראוי הנו בין שתי שנות מאסר לחמש שנות מאסר, ולאור פסקי הדין אליהם הפנה, ולאור היות נאשם 2 הנהג,  יש לגזור על נאשם 2 עונש של שתי שנות מאסר בלבד. לעניין חילוט הקטנוע, הצהיר סנגורו של נאשם 2 כי לצורך הדיון הוא מופיע גם בשמה של אחותו של נאשם 2, על שמה רשום הקטנוע, הביע הסכמה לחילוט באופן שהקטנוע יישאר במשמורת המשטרה עד היות פסק הדין חלוט או, לחלופין, הקטנוע יימכר ותמורתו תופקד.</w:t>
      </w:r>
    </w:p>
    <w:p w14:paraId="30FF5A18" w14:textId="77777777" w:rsidR="00863ECD" w:rsidRDefault="00863ECD">
      <w:pPr>
        <w:spacing w:line="360" w:lineRule="auto"/>
        <w:jc w:val="both"/>
        <w:rPr>
          <w:rFonts w:ascii="Arial" w:hAnsi="Arial" w:cs="FrankRuehl"/>
          <w:spacing w:val="24"/>
          <w:sz w:val="28"/>
          <w:szCs w:val="28"/>
          <w:rtl/>
        </w:rPr>
      </w:pPr>
    </w:p>
    <w:p w14:paraId="4F301798" w14:textId="77777777" w:rsidR="00863ECD" w:rsidRDefault="00285948">
      <w:pPr>
        <w:spacing w:line="360" w:lineRule="auto"/>
        <w:ind w:firstLine="720"/>
        <w:jc w:val="both"/>
        <w:rPr>
          <w:rFonts w:ascii="Arial" w:hAnsi="Arial" w:cs="Miriam"/>
          <w:spacing w:val="24"/>
          <w:sz w:val="22"/>
          <w:szCs w:val="22"/>
          <w:rtl/>
        </w:rPr>
      </w:pPr>
      <w:r>
        <w:rPr>
          <w:rFonts w:ascii="Arial" w:hAnsi="Arial" w:cs="Miriam" w:hint="cs"/>
          <w:spacing w:val="24"/>
          <w:sz w:val="22"/>
          <w:szCs w:val="22"/>
          <w:rtl/>
        </w:rPr>
        <w:t xml:space="preserve">דיון </w:t>
      </w:r>
    </w:p>
    <w:p w14:paraId="03060A00" w14:textId="77777777" w:rsidR="00863ECD" w:rsidRDefault="00285948">
      <w:pPr>
        <w:spacing w:line="360" w:lineRule="auto"/>
        <w:jc w:val="both"/>
        <w:rPr>
          <w:rFonts w:ascii="Arial" w:hAnsi="Arial" w:cs="FrankRuehl"/>
          <w:spacing w:val="24"/>
          <w:sz w:val="28"/>
          <w:szCs w:val="28"/>
          <w:rtl/>
        </w:rPr>
      </w:pPr>
      <w:r>
        <w:rPr>
          <w:rFonts w:ascii="Arial" w:hAnsi="Arial" w:cs="FrankRuehl" w:hint="cs"/>
          <w:spacing w:val="24"/>
          <w:sz w:val="28"/>
          <w:szCs w:val="28"/>
          <w:rtl/>
        </w:rPr>
        <w:t>7.</w:t>
      </w:r>
      <w:r>
        <w:rPr>
          <w:rFonts w:ascii="Arial" w:hAnsi="Arial" w:cs="FrankRuehl" w:hint="cs"/>
          <w:spacing w:val="24"/>
          <w:sz w:val="28"/>
          <w:szCs w:val="28"/>
          <w:rtl/>
        </w:rPr>
        <w:tab/>
        <w:t xml:space="preserve">ראשית, יש להבהיר כי מעמדם של שני הנאשמים, למעט התוספת בעניין העבירות הנוספות בהן הורשע הנאשם 1, הנו דומה ואף שווה, ובנסיבות העניין, אין מקום לאבחנה ממשית ביניהם רק עקב כך שנאשם 1 לחץ על ההדק ונאשם 2 נהג בקטנוע. מנסיבות האירועים ברור כי ללא הקטנוע, המזימה לא הייתה יוצאת אל הפועל. הקטנוע היה פריט חיוני בתכנון וביצוע המעשים, הקטנוע אפשר התקרבות מהירה לליברטי, ירי על אף מנוסתו של ליברטי, והימלטות מהירה של הנאשמים מהזירה. השניים פעלו בתכנון מוקדם, בתיאום מלא, בצוותא חדא, תוך מודעותו של נאשם 2 לאשר עומד להתבצע. נהיגתו בקטנוע אפשרה את הביצוע עצמו. על-כן, אין מקום לאבחנה ממשית בין השניים, למעט, כאמור, העבירות הנוספות בהן הורשע הנאשם 1. נקודה נוספת אליה יש להתייחס הנה הטענה אשר עלתה במסגרת הטיעונים לעונש, לפיה ליברטי היווה סיכון ממשי לחייו של תלמיד ישיבה, פנייה למשטרה לא הועילה, ועל כן המעשים שנעשו על ידי הנאשמים, אינם אלא, כהגדרתו וכמילותיו של נאשם 1 במסגרת הטיעונים לעונש, "מניעת רצח". טענה זו יש לדחות על הסף לא רק לאור כך שמדובר בטענה שלא הונחה לה תשתית עובדתית מתאימה, אלא בעיקר לאור כך שהדרך שננקטה הייתה פסולה מעיקרה, לא דובר כלל וכלל בסיטואציה של הגנה עצמית, תלמיד הישיבה עזב למקום רחוק, ולא היה מגע בינו לבין ליברטי. </w:t>
      </w:r>
    </w:p>
    <w:p w14:paraId="19BA4512" w14:textId="77777777" w:rsidR="00863ECD" w:rsidRDefault="00863ECD">
      <w:pPr>
        <w:spacing w:line="360" w:lineRule="auto"/>
        <w:jc w:val="both"/>
        <w:rPr>
          <w:rFonts w:ascii="Arial" w:hAnsi="Arial" w:cs="FrankRuehl"/>
          <w:spacing w:val="24"/>
          <w:sz w:val="28"/>
          <w:szCs w:val="28"/>
          <w:rtl/>
        </w:rPr>
      </w:pPr>
    </w:p>
    <w:p w14:paraId="19F87752" w14:textId="77777777" w:rsidR="00863ECD" w:rsidRDefault="00285948">
      <w:pPr>
        <w:spacing w:line="360" w:lineRule="auto"/>
        <w:jc w:val="both"/>
        <w:rPr>
          <w:rFonts w:cs="FrankRuehl"/>
          <w:spacing w:val="24"/>
          <w:sz w:val="28"/>
          <w:szCs w:val="28"/>
          <w:rtl/>
        </w:rPr>
      </w:pPr>
      <w:r>
        <w:rPr>
          <w:rFonts w:ascii="Arial" w:hAnsi="Arial" w:cs="FrankRuehl" w:hint="cs"/>
          <w:spacing w:val="24"/>
          <w:sz w:val="28"/>
          <w:szCs w:val="28"/>
          <w:rtl/>
        </w:rPr>
        <w:t xml:space="preserve">8.  </w:t>
      </w:r>
      <w:r>
        <w:rPr>
          <w:rFonts w:cs="FrankRuehl" w:hint="cs"/>
          <w:spacing w:val="24"/>
          <w:sz w:val="28"/>
          <w:szCs w:val="28"/>
          <w:rtl/>
        </w:rPr>
        <w:tab/>
      </w:r>
      <w:hyperlink r:id="rId27" w:history="1">
        <w:r w:rsidR="00B642E6" w:rsidRPr="00B642E6">
          <w:rPr>
            <w:rStyle w:val="Hyperlink"/>
            <w:rFonts w:cs="FrankRuehl"/>
            <w:spacing w:val="24"/>
            <w:sz w:val="28"/>
            <w:szCs w:val="28"/>
            <w:rtl/>
          </w:rPr>
          <w:t>חוק העונשין</w:t>
        </w:r>
      </w:hyperlink>
      <w:r>
        <w:rPr>
          <w:rFonts w:cs="FrankRuehl" w:hint="cs"/>
          <w:spacing w:val="24"/>
          <w:sz w:val="28"/>
          <w:szCs w:val="28"/>
          <w:rtl/>
        </w:rPr>
        <w:t xml:space="preserve"> (תיקון 113) קבע את עקרון ההלימה שמשמעו אימוץ עקרון הגמול כעקרון מנחה, אם כי אין מדובר בבלעדיות ומתקיימים בצדו יסודות הענישה האחרים (</w:t>
      </w:r>
      <w:hyperlink r:id="rId28" w:history="1">
        <w:r w:rsidR="00B642E6" w:rsidRPr="00B642E6">
          <w:rPr>
            <w:rStyle w:val="Hyperlink"/>
            <w:rFonts w:ascii="Arial" w:hAnsi="Arial" w:cs="Miriam"/>
            <w:spacing w:val="24"/>
            <w:sz w:val="22"/>
            <w:szCs w:val="22"/>
            <w:rtl/>
          </w:rPr>
          <w:t>ע"פ 8641/12</w:t>
        </w:r>
      </w:hyperlink>
      <w:r>
        <w:rPr>
          <w:rFonts w:ascii="Arial" w:hAnsi="Arial" w:cs="Miriam" w:hint="cs"/>
          <w:spacing w:val="24"/>
          <w:sz w:val="22"/>
          <w:szCs w:val="22"/>
          <w:rtl/>
        </w:rPr>
        <w:t xml:space="preserve"> סעד נ' מדינת ישראל</w:t>
      </w:r>
      <w:r>
        <w:rPr>
          <w:rFonts w:cs="FrankRuehl" w:hint="cs"/>
          <w:spacing w:val="24"/>
          <w:sz w:val="28"/>
          <w:szCs w:val="28"/>
          <w:rtl/>
        </w:rPr>
        <w:t xml:space="preserve">). יש לבדוק העבירה וכל העולה ממנה ולאחר מכן הנסיבות האישיות. בחינת העבירה ונסיבותיה מביאה לקביעת מתחם ענישה ולאחר מכן יש לבחון הנסיבות האישיות. דהיינו, העבירה מכתיבה את המתחם ושילוב הנסיבות האישיות במתחם מכתיבים את גזר הדין. </w:t>
      </w:r>
    </w:p>
    <w:p w14:paraId="6C063C9C" w14:textId="77777777" w:rsidR="00863ECD" w:rsidRDefault="00285948">
      <w:pPr>
        <w:spacing w:line="360" w:lineRule="auto"/>
        <w:jc w:val="both"/>
        <w:rPr>
          <w:rFonts w:cs="FrankRuehl"/>
          <w:spacing w:val="24"/>
          <w:sz w:val="28"/>
          <w:szCs w:val="28"/>
          <w:rtl/>
        </w:rPr>
      </w:pPr>
      <w:r>
        <w:rPr>
          <w:rFonts w:cs="FrankRuehl" w:hint="cs"/>
          <w:spacing w:val="24"/>
          <w:sz w:val="28"/>
          <w:szCs w:val="28"/>
          <w:rtl/>
        </w:rPr>
        <w:tab/>
        <w:t xml:space="preserve">נקבע כי התיקון לחוק יצר מנגנון תלת שלבי לגזירת העונש. </w:t>
      </w:r>
      <w:r>
        <w:rPr>
          <w:rFonts w:cs="FrankRuehl" w:hint="cs"/>
          <w:b/>
          <w:bCs/>
          <w:spacing w:val="24"/>
          <w:sz w:val="28"/>
          <w:szCs w:val="28"/>
          <w:rtl/>
        </w:rPr>
        <w:t>בשלב הראשון,</w:t>
      </w:r>
      <w:r>
        <w:rPr>
          <w:rFonts w:cs="FrankRuehl" w:hint="cs"/>
          <w:spacing w:val="24"/>
          <w:sz w:val="28"/>
          <w:szCs w:val="28"/>
          <w:rtl/>
        </w:rPr>
        <w:t xml:space="preserve"> יש לבדוק האם הנאשם הורשע בכמה עבירות, והאם אלו מהוות אירוע אחד או כמה אירועים נפרדים. כאשר מדובר בכמה אירועים, יש לקבוע עונש הולם לכל אירוע בנפרד ולבסוף ניתן לגזור עונש נפרד לכל אירוע או עונש כולל לכל האירועים. בענייננו, מדובר באירוע אחד. </w:t>
      </w:r>
      <w:r>
        <w:rPr>
          <w:rFonts w:cs="FrankRuehl" w:hint="cs"/>
          <w:b/>
          <w:bCs/>
          <w:spacing w:val="24"/>
          <w:sz w:val="28"/>
          <w:szCs w:val="28"/>
          <w:rtl/>
        </w:rPr>
        <w:t>בשלב השני</w:t>
      </w:r>
      <w:r>
        <w:rPr>
          <w:rFonts w:cs="FrankRuehl" w:hint="cs"/>
          <w:spacing w:val="24"/>
          <w:sz w:val="28"/>
          <w:szCs w:val="28"/>
          <w:rtl/>
        </w:rPr>
        <w:t xml:space="preserve">, יש לקבוע את מתחם הענישה הראוי כעולה </w:t>
      </w:r>
      <w:r w:rsidR="0063544D" w:rsidRPr="00F9634A">
        <w:rPr>
          <w:rFonts w:cs="FrankRuehl" w:hint="eastAsia"/>
          <w:color w:val="000000"/>
          <w:spacing w:val="24"/>
          <w:sz w:val="28"/>
          <w:szCs w:val="28"/>
          <w:rtl/>
        </w:rPr>
        <w:t>מסעיף</w:t>
      </w:r>
      <w:r w:rsidR="007F0ED2">
        <w:rPr>
          <w:rFonts w:cs="FrankRuehl"/>
          <w:color w:val="000000"/>
          <w:spacing w:val="24"/>
          <w:sz w:val="28"/>
          <w:szCs w:val="28"/>
          <w:rtl/>
        </w:rPr>
        <w:t xml:space="preserve"> </w:t>
      </w:r>
      <w:hyperlink r:id="rId29" w:history="1">
        <w:r w:rsidR="007F0ED2" w:rsidRPr="007F0ED2">
          <w:rPr>
            <w:rStyle w:val="Hyperlink"/>
            <w:rFonts w:cs="FrankRuehl"/>
            <w:spacing w:val="24"/>
            <w:sz w:val="28"/>
            <w:szCs w:val="28"/>
            <w:rtl/>
          </w:rPr>
          <w:t>40ג(א)</w:t>
        </w:r>
      </w:hyperlink>
      <w:r>
        <w:rPr>
          <w:rFonts w:cs="FrankRuehl" w:hint="cs"/>
          <w:spacing w:val="24"/>
          <w:sz w:val="28"/>
          <w:szCs w:val="28"/>
          <w:rtl/>
        </w:rPr>
        <w:t xml:space="preserve"> ל</w:t>
      </w:r>
      <w:hyperlink r:id="rId30" w:history="1">
        <w:r w:rsidR="00B642E6" w:rsidRPr="00B642E6">
          <w:rPr>
            <w:rStyle w:val="Hyperlink"/>
            <w:rFonts w:cs="FrankRuehl"/>
            <w:spacing w:val="24"/>
            <w:sz w:val="28"/>
            <w:szCs w:val="28"/>
            <w:rtl/>
          </w:rPr>
          <w:t>חוק העונשין</w:t>
        </w:r>
      </w:hyperlink>
      <w:r>
        <w:rPr>
          <w:rFonts w:cs="FrankRuehl" w:hint="cs"/>
          <w:spacing w:val="24"/>
          <w:sz w:val="28"/>
          <w:szCs w:val="28"/>
          <w:rtl/>
        </w:rPr>
        <w:t>. ביצירת המתחם מספר שיקולים: "</w:t>
      </w:r>
      <w:r>
        <w:rPr>
          <w:rFonts w:cs="FrankRuehl" w:hint="cs"/>
          <w:b/>
          <w:bCs/>
          <w:spacing w:val="24"/>
          <w:sz w:val="28"/>
          <w:szCs w:val="28"/>
          <w:rtl/>
        </w:rPr>
        <w:t>האחד,</w:t>
      </w:r>
      <w:r>
        <w:rPr>
          <w:rFonts w:cs="FrankRuehl" w:hint="cs"/>
          <w:spacing w:val="24"/>
          <w:sz w:val="28"/>
          <w:szCs w:val="28"/>
          <w:rtl/>
        </w:rPr>
        <w:t xml:space="preserve"> הערך החברתי שנפגע מביצוע העבירה ומידת הפגיעה בו. </w:t>
      </w:r>
      <w:r>
        <w:rPr>
          <w:rFonts w:cs="FrankRuehl" w:hint="cs"/>
          <w:b/>
          <w:bCs/>
          <w:spacing w:val="24"/>
          <w:sz w:val="28"/>
          <w:szCs w:val="28"/>
          <w:rtl/>
        </w:rPr>
        <w:t>השני,</w:t>
      </w:r>
      <w:r>
        <w:rPr>
          <w:rFonts w:cs="FrankRuehl" w:hint="cs"/>
          <w:spacing w:val="24"/>
          <w:sz w:val="28"/>
          <w:szCs w:val="28"/>
          <w:rtl/>
        </w:rPr>
        <w:t xml:space="preserve"> מדיניות הענישה הנוהגת. </w:t>
      </w:r>
      <w:r>
        <w:rPr>
          <w:rFonts w:cs="FrankRuehl" w:hint="cs"/>
          <w:b/>
          <w:bCs/>
          <w:spacing w:val="24"/>
          <w:sz w:val="28"/>
          <w:szCs w:val="28"/>
          <w:rtl/>
        </w:rPr>
        <w:t xml:space="preserve">השלישי, </w:t>
      </w:r>
      <w:r>
        <w:rPr>
          <w:rFonts w:cs="FrankRuehl" w:hint="cs"/>
          <w:spacing w:val="24"/>
          <w:sz w:val="28"/>
          <w:szCs w:val="28"/>
          <w:rtl/>
        </w:rPr>
        <w:t xml:space="preserve">נסיבות הקשורות בביצוע העבירה כמפורט </w:t>
      </w:r>
      <w:r w:rsidR="007B26BF" w:rsidRPr="00F9634A">
        <w:rPr>
          <w:rFonts w:cs="FrankRuehl"/>
          <w:color w:val="000000"/>
          <w:spacing w:val="24"/>
          <w:sz w:val="28"/>
          <w:szCs w:val="28"/>
          <w:rtl/>
        </w:rPr>
        <w:t xml:space="preserve">בסעיף </w:t>
      </w:r>
      <w:hyperlink r:id="rId31" w:history="1">
        <w:r w:rsidR="007F0ED2" w:rsidRPr="007F0ED2">
          <w:rPr>
            <w:rStyle w:val="Hyperlink"/>
            <w:rFonts w:cs="FrankRuehl"/>
            <w:spacing w:val="24"/>
            <w:sz w:val="28"/>
            <w:szCs w:val="28"/>
            <w:rtl/>
          </w:rPr>
          <w:t>40ט</w:t>
        </w:r>
      </w:hyperlink>
      <w:r w:rsidR="007B26BF" w:rsidRPr="00F9634A">
        <w:rPr>
          <w:rFonts w:cs="FrankRuehl"/>
          <w:color w:val="000000"/>
          <w:spacing w:val="24"/>
          <w:sz w:val="28"/>
          <w:szCs w:val="28"/>
          <w:rtl/>
        </w:rPr>
        <w:t>'</w:t>
      </w:r>
      <w:r>
        <w:rPr>
          <w:rFonts w:cs="FrankRuehl" w:hint="cs"/>
          <w:spacing w:val="24"/>
          <w:sz w:val="28"/>
          <w:szCs w:val="28"/>
          <w:rtl/>
        </w:rPr>
        <w:t xml:space="preserve"> והם: תכנון, חלקו של הנאשם, הנזק הצפוי וזה שנגרם, הסיבות לביצוע העבירה, הבנת הנאשם ויכולתו להימנע מעבירה, מצוקתו הנפשית, קרבה לסייג אחריות פלילית, מידת האכזריות כלפי נפגע העבירה, ניצול כוח ומעמד. </w:t>
      </w:r>
      <w:r>
        <w:rPr>
          <w:rFonts w:cs="FrankRuehl" w:hint="cs"/>
          <w:b/>
          <w:bCs/>
          <w:spacing w:val="24"/>
          <w:sz w:val="28"/>
          <w:szCs w:val="28"/>
          <w:rtl/>
        </w:rPr>
        <w:t xml:space="preserve">בשלב השלישי, </w:t>
      </w:r>
      <w:r>
        <w:rPr>
          <w:rFonts w:cs="FrankRuehl" w:hint="cs"/>
          <w:spacing w:val="24"/>
          <w:sz w:val="28"/>
          <w:szCs w:val="28"/>
          <w:rtl/>
        </w:rPr>
        <w:t>יש לגזור את העונש המתאים לנאשם בתוך המתחם ולהתחשב בנסיבות שאינן קשורות בביצוע העבירה: הפגיעה של העונש בנאשם, לרבות שיקולי גיל; פגיעה במשפחתו; הנזקים שנגרמו לנאשם מביצוע העבירה וההרשעה; מידת האחריות של הנאשם למעשיו; שיקומו או ניסיונות שיקום; מאמצי הנאשם לתיקון תוצאות העבירה ופיצוי על הנזק שנגרם בעטיה; שיתוף פעולה עם רשויות אכיפת החוק; התנהגות חיובית של הנאשם ותרומתו לחברה; נסיבות חיים קשות של הנאשם; התנהגות רשויות אכיפת החוק; חלוף הזמן מביצוע העבירה; עברו הפלילי של הנאשם או העדר עבר.</w:t>
      </w:r>
    </w:p>
    <w:p w14:paraId="465012E0" w14:textId="77777777" w:rsidR="00863ECD" w:rsidRDefault="00285948">
      <w:pPr>
        <w:spacing w:line="360" w:lineRule="auto"/>
        <w:jc w:val="both"/>
        <w:rPr>
          <w:rFonts w:cs="FrankRuehl"/>
          <w:spacing w:val="24"/>
          <w:sz w:val="28"/>
          <w:szCs w:val="28"/>
          <w:rtl/>
        </w:rPr>
      </w:pPr>
      <w:r>
        <w:rPr>
          <w:rFonts w:cs="FrankRuehl" w:hint="cs"/>
          <w:spacing w:val="24"/>
          <w:sz w:val="28"/>
          <w:szCs w:val="28"/>
          <w:rtl/>
        </w:rPr>
        <w:tab/>
        <w:t>ניתן לסטות מהמתחם כאשר מתקיים אחד משני חריגים: האחד לקולה אם הנאשם משתקם או קיים סיכויי של ממש שישתקם (</w:t>
      </w:r>
      <w:r w:rsidR="007B26BF" w:rsidRPr="00F9634A">
        <w:rPr>
          <w:rFonts w:cs="FrankRuehl"/>
          <w:color w:val="000000"/>
          <w:spacing w:val="24"/>
          <w:sz w:val="28"/>
          <w:szCs w:val="28"/>
          <w:rtl/>
        </w:rPr>
        <w:t xml:space="preserve">סעיף </w:t>
      </w:r>
      <w:hyperlink r:id="rId32" w:history="1">
        <w:r w:rsidR="007F0ED2" w:rsidRPr="007F0ED2">
          <w:rPr>
            <w:rStyle w:val="Hyperlink"/>
            <w:rFonts w:cs="FrankRuehl"/>
            <w:spacing w:val="24"/>
            <w:sz w:val="28"/>
            <w:szCs w:val="28"/>
            <w:rtl/>
          </w:rPr>
          <w:t>40ד</w:t>
        </w:r>
      </w:hyperlink>
      <w:r>
        <w:rPr>
          <w:rFonts w:cs="FrankRuehl" w:hint="cs"/>
          <w:spacing w:val="24"/>
          <w:sz w:val="28"/>
          <w:szCs w:val="28"/>
          <w:rtl/>
        </w:rPr>
        <w:t>'); והשני לחומרה, אם יש חשש ממשי שהנאשם ישוב ויבצע עבירות וכי החמרה בעונשו והרחקתו מהציבור נדרשות להגן על שלום הציבור (</w:t>
      </w:r>
      <w:r w:rsidR="007B26BF" w:rsidRPr="00F9634A">
        <w:rPr>
          <w:rFonts w:cs="FrankRuehl"/>
          <w:color w:val="000000"/>
          <w:spacing w:val="24"/>
          <w:sz w:val="28"/>
          <w:szCs w:val="28"/>
          <w:rtl/>
        </w:rPr>
        <w:t xml:space="preserve">סעיף </w:t>
      </w:r>
      <w:hyperlink r:id="rId33" w:history="1">
        <w:r w:rsidR="007F0ED2" w:rsidRPr="007F0ED2">
          <w:rPr>
            <w:rStyle w:val="Hyperlink"/>
            <w:rFonts w:cs="FrankRuehl"/>
            <w:spacing w:val="24"/>
            <w:sz w:val="28"/>
            <w:szCs w:val="28"/>
            <w:rtl/>
          </w:rPr>
          <w:t>40ה</w:t>
        </w:r>
      </w:hyperlink>
      <w:r>
        <w:rPr>
          <w:rFonts w:cs="FrankRuehl" w:hint="cs"/>
          <w:spacing w:val="24"/>
          <w:sz w:val="28"/>
          <w:szCs w:val="28"/>
          <w:rtl/>
        </w:rPr>
        <w:t>').</w:t>
      </w:r>
    </w:p>
    <w:p w14:paraId="08F0EBED" w14:textId="77777777" w:rsidR="00863ECD" w:rsidRDefault="00863ECD">
      <w:pPr>
        <w:rPr>
          <w:rFonts w:cs="Times New Roman"/>
          <w:rtl/>
        </w:rPr>
      </w:pPr>
    </w:p>
    <w:p w14:paraId="1D97A0B1" w14:textId="77777777" w:rsidR="00863ECD" w:rsidRDefault="00285948">
      <w:pPr>
        <w:spacing w:line="360" w:lineRule="auto"/>
        <w:jc w:val="both"/>
        <w:rPr>
          <w:rFonts w:ascii="Arial" w:hAnsi="Arial" w:cs="FrankRuehl"/>
          <w:spacing w:val="24"/>
          <w:sz w:val="28"/>
          <w:szCs w:val="28"/>
        </w:rPr>
      </w:pPr>
      <w:r>
        <w:rPr>
          <w:rFonts w:ascii="Arial" w:hAnsi="Arial" w:cs="FrankRuehl" w:hint="cs"/>
          <w:spacing w:val="24"/>
          <w:sz w:val="28"/>
          <w:szCs w:val="28"/>
          <w:rtl/>
        </w:rPr>
        <w:t>9.</w:t>
      </w:r>
      <w:r>
        <w:rPr>
          <w:rFonts w:ascii="Arial" w:hAnsi="Arial" w:cs="FrankRuehl" w:hint="cs"/>
          <w:spacing w:val="24"/>
          <w:sz w:val="28"/>
          <w:szCs w:val="28"/>
          <w:rtl/>
        </w:rPr>
        <w:tab/>
        <w:t xml:space="preserve">בענייננו, מדובר בשימוש בנשק חם: ירי מספר יריות כלפי גופו של אדם שנעשה בטבורה של עיר, בעקבות מעשה מתוכנן מראש. מעשים אלו היוו סכנה חמורה לשלום הציבור. העבירות מהוות, בעיקרן, אירוע אחד, וניתן לכלול את העבירות הנוספות בהן הורשע נאשם 1, תחת כנפי אותו אירוע. אמנם, בצדק הפנו הסנגורים לכך שבאירועים אחרים בהם נעשה שימוש בנשק חם, נדון היורה לעונש קל יותר מרמת העונש לו טענה המאשימה. אולם, חלוף הזמנים ועליית המדרגה בתעוזה העבריינית, ולאור העקרונות הגלומים בתיקון 113 לחוק, ולכך שעקרון ההלימה, הוא עקרון הגמול, נחשב לעקרון המנחה, יש מקום לעצב מתחם ענישה שיהלום את האמור לעיל ואת הכללים המובנים בתיקון 113 כמפורט לעיל. בענייננו נראה כי באשר לעבירות ולאירוע בהם הורשעו שני הנאשמים, מתחם העונש הראוי הנו בן שלוש שנות מאסר ועד שמונה שנות מאסר. בהתחשב בנסיבות האירוע ובתוצאותיו, העונש שיש לגזור על הנאשמים הנו כלהלן: </w:t>
      </w:r>
    </w:p>
    <w:p w14:paraId="5CFC659D" w14:textId="77777777" w:rsidR="00863ECD" w:rsidRDefault="00863ECD">
      <w:pPr>
        <w:spacing w:line="360" w:lineRule="auto"/>
        <w:jc w:val="both"/>
        <w:rPr>
          <w:rFonts w:ascii="Arial" w:hAnsi="Arial" w:cs="FrankRuehl"/>
          <w:spacing w:val="24"/>
          <w:sz w:val="28"/>
          <w:szCs w:val="28"/>
          <w:rtl/>
        </w:rPr>
      </w:pPr>
    </w:p>
    <w:p w14:paraId="59D32488" w14:textId="77777777" w:rsidR="00863ECD" w:rsidRDefault="00285948">
      <w:pPr>
        <w:spacing w:line="360" w:lineRule="auto"/>
        <w:ind w:left="1440" w:hanging="720"/>
        <w:jc w:val="both"/>
        <w:rPr>
          <w:rFonts w:ascii="Arial" w:hAnsi="Arial" w:cs="FrankRuehl"/>
          <w:spacing w:val="24"/>
          <w:sz w:val="28"/>
          <w:szCs w:val="28"/>
          <w:rtl/>
        </w:rPr>
      </w:pPr>
      <w:r>
        <w:rPr>
          <w:rFonts w:ascii="Arial" w:hAnsi="Arial" w:cs="FrankRuehl" w:hint="cs"/>
          <w:spacing w:val="24"/>
          <w:sz w:val="28"/>
          <w:szCs w:val="28"/>
          <w:rtl/>
        </w:rPr>
        <w:t>א.</w:t>
      </w:r>
      <w:r>
        <w:rPr>
          <w:rFonts w:ascii="Arial" w:hAnsi="Arial" w:cs="FrankRuehl" w:hint="cs"/>
          <w:spacing w:val="24"/>
          <w:sz w:val="28"/>
          <w:szCs w:val="28"/>
          <w:rtl/>
        </w:rPr>
        <w:tab/>
        <w:t xml:space="preserve">על נאשם 1 אני גוזר בגין כלל העבירות בהן הורשע עונש של חמש שנות מאסר בפועל, בניכוי ימי מעצרו (הנאשם היה עצור מיום 11/4/10 ועד יום 1/8/11. </w:t>
      </w:r>
    </w:p>
    <w:p w14:paraId="142D4FD9" w14:textId="77777777" w:rsidR="00863ECD" w:rsidRDefault="00863ECD">
      <w:pPr>
        <w:spacing w:line="360" w:lineRule="auto"/>
        <w:ind w:left="1440" w:hanging="720"/>
        <w:jc w:val="both"/>
        <w:rPr>
          <w:rFonts w:ascii="Arial" w:hAnsi="Arial" w:cs="FrankRuehl"/>
          <w:spacing w:val="24"/>
          <w:sz w:val="28"/>
          <w:szCs w:val="28"/>
          <w:rtl/>
        </w:rPr>
      </w:pPr>
    </w:p>
    <w:p w14:paraId="295CF487" w14:textId="77777777" w:rsidR="00863ECD" w:rsidRDefault="00285948">
      <w:pPr>
        <w:spacing w:line="360" w:lineRule="auto"/>
        <w:ind w:left="1440" w:hanging="720"/>
        <w:jc w:val="both"/>
        <w:rPr>
          <w:rFonts w:ascii="Arial" w:hAnsi="Arial" w:cs="FrankRuehl"/>
          <w:spacing w:val="24"/>
          <w:sz w:val="28"/>
          <w:szCs w:val="28"/>
          <w:rtl/>
        </w:rPr>
      </w:pPr>
      <w:r>
        <w:rPr>
          <w:rFonts w:ascii="Arial" w:hAnsi="Arial" w:cs="FrankRuehl" w:hint="cs"/>
          <w:spacing w:val="24"/>
          <w:sz w:val="28"/>
          <w:szCs w:val="28"/>
          <w:rtl/>
        </w:rPr>
        <w:t>ב.</w:t>
      </w:r>
      <w:r>
        <w:rPr>
          <w:rFonts w:ascii="Arial" w:hAnsi="Arial" w:cs="FrankRuehl" w:hint="cs"/>
          <w:spacing w:val="24"/>
          <w:sz w:val="28"/>
          <w:szCs w:val="28"/>
          <w:rtl/>
        </w:rPr>
        <w:tab/>
        <w:t xml:space="preserve">על נאשם 2 אני גוזר עונש של ארבע וחצי שנות מאסר, בניכוי ימי מעצרו (מיום 14/4/10 ועד יום 12/5/11), ומיום 30/5/13 ואילך). </w:t>
      </w:r>
    </w:p>
    <w:p w14:paraId="6E1D9776" w14:textId="77777777" w:rsidR="00863ECD" w:rsidRDefault="00863ECD">
      <w:pPr>
        <w:spacing w:line="360" w:lineRule="auto"/>
        <w:ind w:left="1440" w:hanging="720"/>
        <w:jc w:val="both"/>
        <w:rPr>
          <w:rFonts w:ascii="Arial" w:hAnsi="Arial" w:cs="FrankRuehl"/>
          <w:spacing w:val="24"/>
          <w:sz w:val="28"/>
          <w:szCs w:val="28"/>
          <w:rtl/>
        </w:rPr>
      </w:pPr>
    </w:p>
    <w:p w14:paraId="00488175" w14:textId="77777777" w:rsidR="00863ECD" w:rsidRDefault="00285948">
      <w:pPr>
        <w:spacing w:line="360" w:lineRule="auto"/>
        <w:ind w:left="1440" w:hanging="720"/>
        <w:jc w:val="both"/>
        <w:rPr>
          <w:rFonts w:ascii="Arial" w:hAnsi="Arial" w:cs="FrankRuehl"/>
          <w:spacing w:val="24"/>
          <w:sz w:val="28"/>
          <w:szCs w:val="28"/>
          <w:rtl/>
        </w:rPr>
      </w:pPr>
      <w:r>
        <w:rPr>
          <w:rFonts w:ascii="Arial" w:hAnsi="Arial" w:cs="FrankRuehl" w:hint="cs"/>
          <w:spacing w:val="24"/>
          <w:sz w:val="28"/>
          <w:szCs w:val="28"/>
          <w:rtl/>
        </w:rPr>
        <w:t>ג.</w:t>
      </w:r>
      <w:r>
        <w:rPr>
          <w:rFonts w:ascii="Arial" w:hAnsi="Arial" w:cs="FrankRuehl" w:hint="cs"/>
          <w:spacing w:val="24"/>
          <w:sz w:val="28"/>
          <w:szCs w:val="28"/>
          <w:rtl/>
        </w:rPr>
        <w:tab/>
        <w:t xml:space="preserve">אני גוזר על שני הנאשמים עונש מאסר על תנאי לתקופה של 10 חודשים והתנאי הוא שהנאשמים לא יעברו עבירה מסוג פשע בתוך שלוש שנים מיום שחרורם ממאסר. </w:t>
      </w:r>
    </w:p>
    <w:p w14:paraId="789B1515" w14:textId="77777777" w:rsidR="00863ECD" w:rsidRDefault="00863ECD">
      <w:pPr>
        <w:spacing w:line="360" w:lineRule="auto"/>
        <w:ind w:left="1440" w:hanging="720"/>
        <w:jc w:val="both"/>
        <w:rPr>
          <w:rFonts w:ascii="Arial" w:hAnsi="Arial" w:cs="FrankRuehl"/>
          <w:spacing w:val="24"/>
          <w:sz w:val="28"/>
          <w:szCs w:val="28"/>
          <w:rtl/>
        </w:rPr>
      </w:pPr>
    </w:p>
    <w:p w14:paraId="7084AD94" w14:textId="77777777" w:rsidR="00863ECD" w:rsidRDefault="00285948">
      <w:pPr>
        <w:numPr>
          <w:ilvl w:val="0"/>
          <w:numId w:val="1"/>
        </w:numPr>
        <w:spacing w:line="360" w:lineRule="auto"/>
        <w:jc w:val="both"/>
        <w:rPr>
          <w:rFonts w:ascii="Arial" w:hAnsi="Arial" w:cs="FrankRuehl"/>
          <w:spacing w:val="24"/>
          <w:sz w:val="28"/>
          <w:szCs w:val="28"/>
          <w:rtl/>
        </w:rPr>
      </w:pPr>
      <w:r>
        <w:rPr>
          <w:rFonts w:ascii="Arial" w:hAnsi="Arial" w:cs="FrankRuehl" w:hint="cs"/>
          <w:spacing w:val="24"/>
          <w:sz w:val="28"/>
          <w:szCs w:val="28"/>
          <w:rtl/>
        </w:rPr>
        <w:t xml:space="preserve">הקטנוע יחולט. </w:t>
      </w:r>
    </w:p>
    <w:p w14:paraId="2D040505" w14:textId="77777777" w:rsidR="00863ECD" w:rsidRDefault="00863ECD">
      <w:pPr>
        <w:spacing w:line="360" w:lineRule="auto"/>
        <w:ind w:left="720"/>
        <w:jc w:val="both"/>
        <w:rPr>
          <w:rFonts w:ascii="Arial" w:hAnsi="Arial" w:cs="FrankRuehl"/>
          <w:spacing w:val="24"/>
          <w:sz w:val="28"/>
          <w:szCs w:val="28"/>
          <w:rtl/>
        </w:rPr>
      </w:pPr>
    </w:p>
    <w:p w14:paraId="0E416D35" w14:textId="77777777" w:rsidR="00863ECD" w:rsidRDefault="00285948">
      <w:pPr>
        <w:spacing w:line="360" w:lineRule="auto"/>
        <w:rPr>
          <w:rFonts w:cs="FrankRuehl"/>
          <w:spacing w:val="24"/>
          <w:sz w:val="28"/>
          <w:szCs w:val="28"/>
          <w:rtl/>
        </w:rPr>
      </w:pPr>
      <w:r>
        <w:rPr>
          <w:rFonts w:cs="FrankRuehl" w:hint="cs"/>
          <w:spacing w:val="24"/>
          <w:sz w:val="28"/>
          <w:szCs w:val="28"/>
          <w:rtl/>
        </w:rPr>
        <w:tab/>
        <w:t>זכות ערעור לבית המשפט העליון בתוך 45 יום מהיום.</w:t>
      </w:r>
    </w:p>
    <w:p w14:paraId="7F073C4D" w14:textId="77777777" w:rsidR="00863ECD" w:rsidRDefault="00863ECD">
      <w:pPr>
        <w:rPr>
          <w:rFonts w:cs="FrankRuehl"/>
          <w:spacing w:val="24"/>
          <w:sz w:val="28"/>
          <w:szCs w:val="28"/>
          <w:rtl/>
        </w:rPr>
      </w:pPr>
    </w:p>
    <w:p w14:paraId="53A16310" w14:textId="77777777" w:rsidR="00863ECD" w:rsidRDefault="00863ECD">
      <w:pPr>
        <w:rPr>
          <w:rFonts w:cs="FrankRuehl"/>
          <w:spacing w:val="24"/>
          <w:sz w:val="28"/>
          <w:szCs w:val="28"/>
          <w:rtl/>
        </w:rPr>
      </w:pPr>
    </w:p>
    <w:p w14:paraId="716237D9" w14:textId="77777777" w:rsidR="00863ECD" w:rsidRDefault="00285948">
      <w:pPr>
        <w:spacing w:line="360" w:lineRule="auto"/>
        <w:ind w:firstLine="720"/>
        <w:jc w:val="both"/>
        <w:rPr>
          <w:rFonts w:ascii="Arial" w:hAnsi="Arial" w:cs="FrankRuehl"/>
          <w:spacing w:val="24"/>
          <w:sz w:val="28"/>
          <w:szCs w:val="28"/>
          <w:rtl/>
        </w:rPr>
      </w:pPr>
      <w:r>
        <w:rPr>
          <w:rFonts w:ascii="Arial" w:hAnsi="Arial" w:cs="FrankRuehl"/>
          <w:spacing w:val="24"/>
          <w:sz w:val="28"/>
          <w:szCs w:val="28"/>
          <w:rtl/>
        </w:rPr>
        <w:t xml:space="preserve">ניתן היום,  כ"ג טבת תשע"ד, 26 דצמבר 2013, במעמד ב"כ המאשימה, </w:t>
      </w:r>
      <w:r>
        <w:rPr>
          <w:rFonts w:ascii="Arial" w:hAnsi="Arial" w:cs="FrankRuehl" w:hint="cs"/>
          <w:spacing w:val="24"/>
          <w:sz w:val="28"/>
          <w:szCs w:val="28"/>
          <w:rtl/>
        </w:rPr>
        <w:t xml:space="preserve">באי כוח הנאשמים והנאשמים בעצמם. </w:t>
      </w:r>
    </w:p>
    <w:tbl>
      <w:tblPr>
        <w:tblpPr w:leftFromText="180" w:rightFromText="180" w:vertAnchor="text" w:horzAnchor="margin" w:tblpY="321"/>
        <w:bidiVisual/>
        <w:tblW w:w="0" w:type="auto"/>
        <w:tblLook w:val="01E0" w:firstRow="1" w:lastRow="1" w:firstColumn="1" w:lastColumn="1" w:noHBand="0" w:noVBand="0"/>
      </w:tblPr>
      <w:tblGrid>
        <w:gridCol w:w="2444"/>
      </w:tblGrid>
      <w:tr w:rsidR="00863ECD" w14:paraId="4C4A5F65" w14:textId="77777777">
        <w:tc>
          <w:tcPr>
            <w:tcW w:w="2444" w:type="dxa"/>
            <w:tcBorders>
              <w:top w:val="nil"/>
              <w:left w:val="nil"/>
              <w:bottom w:val="single" w:sz="4" w:space="0" w:color="auto"/>
              <w:right w:val="nil"/>
            </w:tcBorders>
            <w:vAlign w:val="center"/>
          </w:tcPr>
          <w:p w14:paraId="60057445" w14:textId="77777777" w:rsidR="00863ECD" w:rsidRDefault="00863ECD">
            <w:pPr>
              <w:jc w:val="center"/>
              <w:rPr>
                <w:rFonts w:ascii="Courier New" w:hAnsi="Courier New"/>
                <w:b/>
                <w:bCs/>
                <w:rtl/>
              </w:rPr>
            </w:pPr>
          </w:p>
        </w:tc>
      </w:tr>
      <w:tr w:rsidR="00863ECD" w14:paraId="4C7A67B9" w14:textId="77777777">
        <w:tc>
          <w:tcPr>
            <w:tcW w:w="2444" w:type="dxa"/>
            <w:tcBorders>
              <w:top w:val="single" w:sz="4" w:space="0" w:color="auto"/>
              <w:left w:val="nil"/>
              <w:bottom w:val="nil"/>
              <w:right w:val="nil"/>
            </w:tcBorders>
            <w:vAlign w:val="center"/>
          </w:tcPr>
          <w:p w14:paraId="5C3A87D9" w14:textId="77777777" w:rsidR="00863ECD" w:rsidRDefault="00285948">
            <w:pPr>
              <w:spacing w:line="360" w:lineRule="auto"/>
              <w:jc w:val="center"/>
              <w:rPr>
                <w:b/>
                <w:bCs/>
                <w:noProof/>
              </w:rPr>
            </w:pPr>
            <w:r>
              <w:rPr>
                <w:rFonts w:hint="cs"/>
                <w:b/>
                <w:bCs/>
                <w:rtl/>
              </w:rPr>
              <w:t>רפי כרמל, שופט</w:t>
            </w:r>
          </w:p>
        </w:tc>
      </w:tr>
    </w:tbl>
    <w:p w14:paraId="0EEA0086" w14:textId="77777777" w:rsidR="00863ECD" w:rsidRDefault="00863ECD">
      <w:pPr>
        <w:spacing w:line="360" w:lineRule="auto"/>
        <w:ind w:firstLine="720"/>
        <w:jc w:val="both"/>
        <w:rPr>
          <w:rFonts w:ascii="Arial" w:hAnsi="Arial" w:cs="FrankRuehl"/>
          <w:spacing w:val="24"/>
          <w:sz w:val="28"/>
          <w:szCs w:val="28"/>
          <w:rtl/>
        </w:rPr>
      </w:pPr>
    </w:p>
    <w:p w14:paraId="4222BFC3" w14:textId="77777777" w:rsidR="00863ECD" w:rsidRPr="00285948" w:rsidRDefault="00285948">
      <w:pPr>
        <w:rPr>
          <w:color w:val="FFFFFF"/>
          <w:sz w:val="2"/>
          <w:szCs w:val="2"/>
          <w:rtl/>
        </w:rPr>
      </w:pPr>
      <w:r w:rsidRPr="00285948">
        <w:rPr>
          <w:color w:val="FFFFFF"/>
          <w:sz w:val="2"/>
          <w:szCs w:val="2"/>
          <w:rtl/>
        </w:rPr>
        <w:t>5129371</w:t>
      </w:r>
    </w:p>
    <w:p w14:paraId="4A2386B0" w14:textId="77777777" w:rsidR="00863ECD" w:rsidRPr="00285948" w:rsidRDefault="00285948">
      <w:pPr>
        <w:rPr>
          <w:color w:val="FFFFFF"/>
          <w:sz w:val="2"/>
          <w:szCs w:val="2"/>
        </w:rPr>
      </w:pPr>
      <w:r w:rsidRPr="00285948">
        <w:rPr>
          <w:color w:val="FFFFFF"/>
          <w:sz w:val="2"/>
          <w:szCs w:val="2"/>
          <w:rtl/>
        </w:rPr>
        <w:t>54678313</w:t>
      </w:r>
    </w:p>
    <w:p w14:paraId="4FF2E886" w14:textId="77777777" w:rsidR="00863ECD" w:rsidRDefault="00863ECD">
      <w:pPr>
        <w:spacing w:line="360" w:lineRule="auto"/>
        <w:ind w:firstLine="720"/>
        <w:jc w:val="both"/>
        <w:rPr>
          <w:rFonts w:ascii="Arial" w:hAnsi="Arial" w:cs="FrankRuehl"/>
          <w:spacing w:val="24"/>
          <w:sz w:val="28"/>
          <w:szCs w:val="28"/>
          <w:rtl/>
        </w:rPr>
      </w:pPr>
    </w:p>
    <w:p w14:paraId="34CF4DAC" w14:textId="77777777" w:rsidR="00863ECD" w:rsidRDefault="00863ECD">
      <w:pPr>
        <w:spacing w:line="360" w:lineRule="auto"/>
        <w:ind w:firstLine="720"/>
        <w:jc w:val="both"/>
        <w:rPr>
          <w:rFonts w:ascii="Arial" w:hAnsi="Arial" w:cs="FrankRuehl"/>
          <w:spacing w:val="24"/>
          <w:sz w:val="28"/>
          <w:szCs w:val="28"/>
          <w:rtl/>
        </w:rPr>
      </w:pPr>
    </w:p>
    <w:p w14:paraId="0FE39608" w14:textId="77777777" w:rsidR="00863ECD" w:rsidRDefault="00863ECD">
      <w:pPr>
        <w:spacing w:line="360" w:lineRule="auto"/>
        <w:jc w:val="both"/>
        <w:rPr>
          <w:rFonts w:ascii="Arial" w:hAnsi="Arial" w:cs="FrankRuehl"/>
          <w:spacing w:val="24"/>
          <w:sz w:val="28"/>
          <w:szCs w:val="28"/>
          <w:rtl/>
        </w:rPr>
      </w:pPr>
    </w:p>
    <w:p w14:paraId="28FF5C84" w14:textId="77777777" w:rsidR="00863ECD" w:rsidRDefault="00863ECD">
      <w:pPr>
        <w:pStyle w:val="a3"/>
        <w:jc w:val="center"/>
        <w:rPr>
          <w:rtl/>
        </w:rPr>
      </w:pPr>
    </w:p>
    <w:p w14:paraId="678D02DA" w14:textId="77777777" w:rsidR="00285948" w:rsidRPr="00285948" w:rsidRDefault="00285948" w:rsidP="00285948">
      <w:pPr>
        <w:keepNext/>
        <w:rPr>
          <w:rFonts w:ascii="David" w:hAnsi="David"/>
          <w:color w:val="000000"/>
          <w:sz w:val="22"/>
          <w:szCs w:val="22"/>
          <w:rtl/>
        </w:rPr>
      </w:pPr>
    </w:p>
    <w:p w14:paraId="27B3494D" w14:textId="77777777" w:rsidR="00285948" w:rsidRPr="00285948" w:rsidRDefault="00285948" w:rsidP="00285948">
      <w:pPr>
        <w:keepNext/>
        <w:rPr>
          <w:rFonts w:ascii="David" w:hAnsi="David"/>
          <w:color w:val="000000"/>
          <w:sz w:val="22"/>
          <w:szCs w:val="22"/>
          <w:rtl/>
        </w:rPr>
      </w:pPr>
      <w:r w:rsidRPr="00285948">
        <w:rPr>
          <w:rFonts w:ascii="David" w:hAnsi="David"/>
          <w:color w:val="000000"/>
          <w:sz w:val="22"/>
          <w:szCs w:val="22"/>
          <w:rtl/>
        </w:rPr>
        <w:t>רפי כרמל 54678313</w:t>
      </w:r>
    </w:p>
    <w:p w14:paraId="240FDC3A" w14:textId="77777777" w:rsidR="00285948" w:rsidRDefault="00285948" w:rsidP="00285948">
      <w:r w:rsidRPr="00285948">
        <w:rPr>
          <w:color w:val="000000"/>
          <w:rtl/>
        </w:rPr>
        <w:t>נוסח מסמך זה כפוף לשינויי ניסוח ועריכה</w:t>
      </w:r>
    </w:p>
    <w:p w14:paraId="0F805AF7" w14:textId="77777777" w:rsidR="00285948" w:rsidRDefault="00285948" w:rsidP="00285948">
      <w:pPr>
        <w:rPr>
          <w:rtl/>
        </w:rPr>
      </w:pPr>
    </w:p>
    <w:p w14:paraId="4A2E6A8E" w14:textId="77777777" w:rsidR="00285948" w:rsidRDefault="00285948" w:rsidP="00285948">
      <w:pPr>
        <w:jc w:val="center"/>
        <w:rPr>
          <w:color w:val="0000FF"/>
          <w:u w:val="single"/>
        </w:rPr>
      </w:pPr>
      <w:r w:rsidRPr="00F9634A">
        <w:rPr>
          <w:color w:val="000000"/>
          <w:rtl/>
        </w:rPr>
        <w:t>בעניין עריכה ושינויים במסמכי פסיקה, חקיקה ועוד באתר נבו – הקש כאן</w:t>
      </w:r>
    </w:p>
    <w:p w14:paraId="71BAA598" w14:textId="77777777" w:rsidR="00863ECD" w:rsidRPr="00285948" w:rsidRDefault="00863ECD" w:rsidP="00285948">
      <w:pPr>
        <w:jc w:val="center"/>
        <w:rPr>
          <w:color w:val="0000FF"/>
          <w:u w:val="single"/>
        </w:rPr>
      </w:pPr>
    </w:p>
    <w:sectPr w:rsidR="00863ECD" w:rsidRPr="00285948" w:rsidSect="00285948">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DFD86" w14:textId="77777777" w:rsidR="00303A14" w:rsidRPr="00841B49" w:rsidRDefault="00303A14">
      <w:pPr>
        <w:rPr>
          <w:rFonts w:cs="Arial"/>
          <w:szCs w:val="20"/>
        </w:rPr>
      </w:pPr>
      <w:r>
        <w:separator/>
      </w:r>
    </w:p>
  </w:endnote>
  <w:endnote w:type="continuationSeparator" w:id="0">
    <w:p w14:paraId="3D10FB01" w14:textId="77777777" w:rsidR="00303A14" w:rsidRPr="00841B49" w:rsidRDefault="00303A1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6693F" w14:textId="77777777" w:rsidR="00DE4030" w:rsidRDefault="00DE4030" w:rsidP="002859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209B0A" w14:textId="77777777" w:rsidR="00DE4030" w:rsidRPr="00285948" w:rsidRDefault="00DE4030" w:rsidP="00285948">
    <w:pPr>
      <w:pStyle w:val="a4"/>
      <w:pBdr>
        <w:top w:val="single" w:sz="4" w:space="1" w:color="auto"/>
        <w:between w:val="single" w:sz="4" w:space="0" w:color="auto"/>
      </w:pBdr>
      <w:spacing w:after="60"/>
      <w:jc w:val="center"/>
      <w:rPr>
        <w:rFonts w:ascii="FrankRuehl" w:hAnsi="FrankRuehl" w:cs="FrankRuehl"/>
        <w:color w:val="000000"/>
      </w:rPr>
    </w:pPr>
    <w:r w:rsidRPr="0028594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8C97" w14:textId="77777777" w:rsidR="00DE4030" w:rsidRDefault="00DE4030" w:rsidP="0028594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5F8C">
      <w:rPr>
        <w:rFonts w:ascii="FrankRuehl" w:hAnsi="FrankRuehl" w:cs="FrankRuehl"/>
        <w:noProof/>
        <w:rtl/>
      </w:rPr>
      <w:t>1</w:t>
    </w:r>
    <w:r>
      <w:rPr>
        <w:rFonts w:ascii="FrankRuehl" w:hAnsi="FrankRuehl" w:cs="FrankRuehl"/>
        <w:rtl/>
      </w:rPr>
      <w:fldChar w:fldCharType="end"/>
    </w:r>
  </w:p>
  <w:p w14:paraId="61FA44C9" w14:textId="77777777" w:rsidR="00DE4030" w:rsidRPr="00285948" w:rsidRDefault="00DE4030" w:rsidP="00285948">
    <w:pPr>
      <w:pStyle w:val="a4"/>
      <w:pBdr>
        <w:top w:val="single" w:sz="4" w:space="1" w:color="auto"/>
        <w:between w:val="single" w:sz="4" w:space="0" w:color="auto"/>
      </w:pBdr>
      <w:spacing w:after="60"/>
      <w:jc w:val="center"/>
      <w:rPr>
        <w:rFonts w:ascii="FrankRuehl" w:hAnsi="FrankRuehl" w:cs="FrankRuehl"/>
        <w:color w:val="000000"/>
      </w:rPr>
    </w:pPr>
    <w:r w:rsidRPr="00285948">
      <w:rPr>
        <w:rFonts w:ascii="FrankRuehl" w:hAnsi="FrankRuehl" w:cs="FrankRuehl"/>
        <w:color w:val="000000"/>
      </w:rPr>
      <w:pict w14:anchorId="0C431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3555B" w14:textId="77777777" w:rsidR="00303A14" w:rsidRPr="00841B49" w:rsidRDefault="00303A14">
      <w:pPr>
        <w:rPr>
          <w:rFonts w:cs="Arial"/>
          <w:szCs w:val="20"/>
        </w:rPr>
      </w:pPr>
      <w:r>
        <w:separator/>
      </w:r>
    </w:p>
  </w:footnote>
  <w:footnote w:type="continuationSeparator" w:id="0">
    <w:p w14:paraId="1C13656E" w14:textId="77777777" w:rsidR="00303A14" w:rsidRPr="00841B49" w:rsidRDefault="00303A1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044D5" w14:textId="77777777" w:rsidR="00DE4030" w:rsidRPr="00285948" w:rsidRDefault="00DE4030" w:rsidP="002859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11982-05-10</w:t>
    </w:r>
    <w:r>
      <w:rPr>
        <w:rFonts w:ascii="David" w:hAnsi="David"/>
        <w:color w:val="000000"/>
        <w:sz w:val="22"/>
        <w:szCs w:val="22"/>
        <w:rtl/>
      </w:rPr>
      <w:tab/>
      <w:t xml:space="preserve"> מדינת ישראל נ' מנחם מני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AC872" w14:textId="77777777" w:rsidR="00DE4030" w:rsidRPr="00285948" w:rsidRDefault="00DE4030" w:rsidP="0028594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11982-05-10</w:t>
    </w:r>
    <w:r>
      <w:rPr>
        <w:rFonts w:ascii="David" w:hAnsi="David"/>
        <w:color w:val="000000"/>
        <w:sz w:val="22"/>
        <w:szCs w:val="22"/>
        <w:rtl/>
      </w:rPr>
      <w:tab/>
      <w:t xml:space="preserve"> מדינת ישראל נ' מנחם מני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AFB"/>
    <w:multiLevelType w:val="hybridMultilevel"/>
    <w:tmpl w:val="5276D786"/>
    <w:lvl w:ilvl="0" w:tplc="D2663276">
      <w:start w:val="4"/>
      <w:numFmt w:val="hebrew1"/>
      <w:lvlText w:val="%1."/>
      <w:lvlJc w:val="left"/>
      <w:pPr>
        <w:tabs>
          <w:tab w:val="num" w:pos="1440"/>
        </w:tabs>
        <w:ind w:left="1440" w:hanging="720"/>
      </w:pPr>
      <w:rPr>
        <w:rFonts w:cs="Times New Roman"/>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66955622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3ECD"/>
    <w:rsid w:val="002772FD"/>
    <w:rsid w:val="00285948"/>
    <w:rsid w:val="00303A14"/>
    <w:rsid w:val="0044326A"/>
    <w:rsid w:val="00542B16"/>
    <w:rsid w:val="00565F8C"/>
    <w:rsid w:val="0063544D"/>
    <w:rsid w:val="007B26BF"/>
    <w:rsid w:val="007F0ED2"/>
    <w:rsid w:val="00863ECD"/>
    <w:rsid w:val="00904292"/>
    <w:rsid w:val="009A1B22"/>
    <w:rsid w:val="00B642E6"/>
    <w:rsid w:val="00CD092A"/>
    <w:rsid w:val="00DA5CC4"/>
    <w:rsid w:val="00DE4030"/>
    <w:rsid w:val="00F9634A"/>
    <w:rsid w:val="00FC7A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4C7927"/>
  <w15:chartTrackingRefBased/>
  <w15:docId w15:val="{8474F06A-00C3-41ED-93C1-FDADBAA0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3EC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63ECD"/>
    <w:pPr>
      <w:tabs>
        <w:tab w:val="center" w:pos="4153"/>
        <w:tab w:val="right" w:pos="8306"/>
      </w:tabs>
    </w:pPr>
  </w:style>
  <w:style w:type="paragraph" w:styleId="a4">
    <w:name w:val="footer"/>
    <w:basedOn w:val="a"/>
    <w:rsid w:val="00863ECD"/>
    <w:pPr>
      <w:tabs>
        <w:tab w:val="center" w:pos="4153"/>
        <w:tab w:val="right" w:pos="8306"/>
      </w:tabs>
    </w:pPr>
  </w:style>
  <w:style w:type="character" w:styleId="a5">
    <w:name w:val="page number"/>
    <w:basedOn w:val="a0"/>
    <w:rsid w:val="00863ECD"/>
  </w:style>
  <w:style w:type="character" w:styleId="Hyperlink">
    <w:name w:val="Hyperlink"/>
    <w:rsid w:val="00285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192" TargetMode="External"/><Relationship Id="rId39" Type="http://schemas.openxmlformats.org/officeDocument/2006/relationships/theme" Target="theme/theme1.xml"/><Relationship Id="rId21" Type="http://schemas.openxmlformats.org/officeDocument/2006/relationships/hyperlink" Target="http://www.nevo.co.il/law/70301/329.1"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245.b" TargetMode="External"/><Relationship Id="rId33" Type="http://schemas.openxmlformats.org/officeDocument/2006/relationships/hyperlink" Target="http://www.nevo.co.il/law/70301/40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0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452" TargetMode="External"/><Relationship Id="rId32" Type="http://schemas.openxmlformats.org/officeDocument/2006/relationships/hyperlink" Target="http://www.nevo.co.il/law/70301/40d"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29.1" TargetMode="External"/><Relationship Id="rId23" Type="http://schemas.openxmlformats.org/officeDocument/2006/relationships/hyperlink" Target="http://www.nevo.co.il/law/70301/340a" TargetMode="External"/><Relationship Id="rId28" Type="http://schemas.openxmlformats.org/officeDocument/2006/relationships/hyperlink" Target="http://www.nevo.co.il/case/5573417" TargetMode="External"/><Relationship Id="rId36" Type="http://schemas.openxmlformats.org/officeDocument/2006/relationships/footer" Target="footer1.xml"/><Relationship Id="rId10" Type="http://schemas.openxmlformats.org/officeDocument/2006/relationships/hyperlink" Target="http://www.nevo.co.il/law/70301/40e"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245.b"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40c.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2100</Words>
  <Characters>10502</Characters>
  <Application>Microsoft Office Word</Application>
  <DocSecurity>0</DocSecurity>
  <Lines>87</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12577</CharactersWithSpaces>
  <SharedDoc>false</SharedDoc>
  <HLinks>
    <vt:vector size="162" baseType="variant">
      <vt:variant>
        <vt:i4>6619233</vt:i4>
      </vt:variant>
      <vt:variant>
        <vt:i4>78</vt:i4>
      </vt:variant>
      <vt:variant>
        <vt:i4>0</vt:i4>
      </vt:variant>
      <vt:variant>
        <vt:i4>5</vt:i4>
      </vt:variant>
      <vt:variant>
        <vt:lpwstr>http://www.nevo.co.il/law/70301/40e</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3211379</vt:i4>
      </vt:variant>
      <vt:variant>
        <vt:i4>63</vt:i4>
      </vt:variant>
      <vt:variant>
        <vt:i4>0</vt:i4>
      </vt:variant>
      <vt:variant>
        <vt:i4>5</vt:i4>
      </vt:variant>
      <vt:variant>
        <vt:lpwstr>http://www.nevo.co.il/case/5573417</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5177426</vt:i4>
      </vt:variant>
      <vt:variant>
        <vt:i4>54</vt:i4>
      </vt:variant>
      <vt:variant>
        <vt:i4>0</vt:i4>
      </vt:variant>
      <vt:variant>
        <vt:i4>5</vt:i4>
      </vt:variant>
      <vt:variant>
        <vt:lpwstr>http://www.nevo.co.il/law/70301/245.b</vt:lpwstr>
      </vt:variant>
      <vt:variant>
        <vt:lpwstr/>
      </vt:variant>
      <vt:variant>
        <vt:i4>6291553</vt:i4>
      </vt:variant>
      <vt:variant>
        <vt:i4>51</vt:i4>
      </vt:variant>
      <vt:variant>
        <vt:i4>0</vt:i4>
      </vt:variant>
      <vt:variant>
        <vt:i4>5</vt:i4>
      </vt:variant>
      <vt:variant>
        <vt:lpwstr>http://www.nevo.co.il/law/70301/452</vt:lpwstr>
      </vt:variant>
      <vt:variant>
        <vt:lpwstr/>
      </vt:variant>
      <vt:variant>
        <vt:i4>86</vt:i4>
      </vt:variant>
      <vt:variant>
        <vt:i4>48</vt:i4>
      </vt:variant>
      <vt:variant>
        <vt:i4>0</vt:i4>
      </vt:variant>
      <vt:variant>
        <vt:i4>5</vt:i4>
      </vt:variant>
      <vt:variant>
        <vt:lpwstr>http://www.nevo.co.il/law/70301/340a</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4784223</vt:i4>
      </vt:variant>
      <vt:variant>
        <vt:i4>42</vt:i4>
      </vt:variant>
      <vt:variant>
        <vt:i4>0</vt:i4>
      </vt:variant>
      <vt:variant>
        <vt:i4>5</vt:i4>
      </vt:variant>
      <vt:variant>
        <vt:lpwstr>http://www.nevo.co.il/law/70301/329.1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86</vt:i4>
      </vt:variant>
      <vt:variant>
        <vt:i4>27</vt:i4>
      </vt:variant>
      <vt:variant>
        <vt:i4>0</vt:i4>
      </vt:variant>
      <vt:variant>
        <vt:i4>5</vt:i4>
      </vt:variant>
      <vt:variant>
        <vt:lpwstr>http://www.nevo.co.il/law/70301/340a</vt:lpwstr>
      </vt:variant>
      <vt:variant>
        <vt:lpwstr/>
      </vt:variant>
      <vt:variant>
        <vt:i4>4784223</vt:i4>
      </vt:variant>
      <vt:variant>
        <vt:i4>24</vt:i4>
      </vt:variant>
      <vt:variant>
        <vt:i4>0</vt:i4>
      </vt:variant>
      <vt:variant>
        <vt:i4>5</vt:i4>
      </vt:variant>
      <vt:variant>
        <vt:lpwstr>http://www.nevo.co.il/law/70301/329.1</vt:lpwstr>
      </vt:variant>
      <vt:variant>
        <vt:lpwstr/>
      </vt:variant>
      <vt:variant>
        <vt:i4>5177426</vt:i4>
      </vt:variant>
      <vt:variant>
        <vt:i4>21</vt:i4>
      </vt:variant>
      <vt:variant>
        <vt:i4>0</vt:i4>
      </vt:variant>
      <vt:variant>
        <vt:i4>5</vt:i4>
      </vt:variant>
      <vt:variant>
        <vt:lpwstr>http://www.nevo.co.il/law/70301/245.b</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2025-04-25T10:24:00Z</dcterms:created>
  <dcterms:modified xsi:type="dcterms:W3CDTF">2025-04-25T10:24:00Z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11982</vt:lpwstr>
  </property>
  <property fmtid="{D5CDD505-2E9C-101B-9397-08002B2CF9AE}" pid="6" name="NEWPARTB">
    <vt:lpwstr>05</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מנחם מני אדרי;יצחק זוהר</vt:lpwstr>
  </property>
  <property fmtid="{D5CDD505-2E9C-101B-9397-08002B2CF9AE}" pid="10" name="LAWYER">
    <vt:lpwstr>ירון גיגי;ירום הלוי</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20131226</vt:lpwstr>
  </property>
  <property fmtid="{D5CDD505-2E9C-101B-9397-08002B2CF9AE}" pid="14" name="TYPE_N_DATE">
    <vt:lpwstr>39020131226</vt:lpwstr>
  </property>
  <property fmtid="{D5CDD505-2E9C-101B-9397-08002B2CF9AE}" pid="15" name="WORDNUMPAGES">
    <vt:lpwstr>8</vt:lpwstr>
  </property>
  <property fmtid="{D5CDD505-2E9C-101B-9397-08002B2CF9AE}" pid="16" name="TYPE_ABS_DATE">
    <vt:lpwstr>390020131226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vt:lpwstr>
  </property>
  <property fmtid="{D5CDD505-2E9C-101B-9397-08002B2CF9AE}" pid="36" name="LAWLISTTMP1">
    <vt:lpwstr>70301/499.a.1;329.1;144.b;340a;452;245.b;192;040c.a;040i;040d;040e</vt:lpwstr>
  </property>
</Properties>
</file>