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53"/>
        <w:gridCol w:w="3168"/>
      </w:tblGrid>
      <w:tr w:rsidR="00E44C48" w:rsidRPr="00513D12" w14:paraId="15EFCCD8" w14:textId="77777777">
        <w:trPr>
          <w:trHeight w:hRule="exact" w:val="418"/>
          <w:jc w:val="center"/>
        </w:trPr>
        <w:tc>
          <w:tcPr>
            <w:tcW w:w="8721" w:type="dxa"/>
            <w:gridSpan w:val="2"/>
          </w:tcPr>
          <w:p w14:paraId="29289BDA" w14:textId="77777777" w:rsidR="00E44C48" w:rsidRPr="00513D12" w:rsidRDefault="00513D12">
            <w:pPr>
              <w:pStyle w:val="a3"/>
              <w:jc w:val="center"/>
              <w:rPr>
                <w:rFonts w:ascii="Arial" w:hAnsi="Arial" w:cs="Arial"/>
                <w:color w:val="000080"/>
                <w:rtl/>
              </w:rPr>
            </w:pPr>
            <w:r w:rsidRPr="00513D12">
              <w:rPr>
                <w:rFonts w:ascii="Arial" w:hAnsi="Arial" w:cs="Arial"/>
                <w:b/>
                <w:bCs/>
                <w:color w:val="000080"/>
                <w:rtl/>
              </w:rPr>
              <w:t>בית המשפט המחוזי בבאר שבע</w:t>
            </w:r>
          </w:p>
        </w:tc>
      </w:tr>
      <w:tr w:rsidR="00E44C48" w:rsidRPr="00513D12" w14:paraId="14505450" w14:textId="77777777">
        <w:trPr>
          <w:trHeight w:val="337"/>
          <w:jc w:val="center"/>
        </w:trPr>
        <w:tc>
          <w:tcPr>
            <w:tcW w:w="5553" w:type="dxa"/>
          </w:tcPr>
          <w:p w14:paraId="2B923B5C" w14:textId="77777777" w:rsidR="00E44C48" w:rsidRPr="00513D12" w:rsidRDefault="00513D12">
            <w:pPr>
              <w:rPr>
                <w:rFonts w:ascii="Arial" w:hAnsi="Arial" w:cs="Arial"/>
                <w:rtl/>
              </w:rPr>
            </w:pPr>
            <w:r w:rsidRPr="00513D12">
              <w:rPr>
                <w:rFonts w:ascii="Arial" w:hAnsi="Arial" w:cs="Arial" w:hint="cs"/>
                <w:b/>
                <w:bCs/>
                <w:rtl/>
              </w:rPr>
              <w:t>בפני</w:t>
            </w:r>
            <w:r w:rsidRPr="00513D12">
              <w:rPr>
                <w:rFonts w:ascii="Arial" w:hAnsi="Arial" w:cs="Arial" w:hint="cs"/>
                <w:rtl/>
              </w:rPr>
              <w:t xml:space="preserve">: </w:t>
            </w:r>
            <w:r w:rsidRPr="00513D12">
              <w:rPr>
                <w:rFonts w:ascii="Arial" w:hAnsi="Arial" w:cs="Arial"/>
                <w:b/>
                <w:bCs/>
                <w:rtl/>
              </w:rPr>
              <w:t>כב' ס. הנשיא השופטת רויטל יפה-כ"ץ</w:t>
            </w:r>
          </w:p>
        </w:tc>
        <w:tc>
          <w:tcPr>
            <w:tcW w:w="3168" w:type="dxa"/>
          </w:tcPr>
          <w:p w14:paraId="23FBF770" w14:textId="77777777" w:rsidR="00E44C48" w:rsidRPr="00513D12" w:rsidRDefault="00513D12">
            <w:pPr>
              <w:pStyle w:val="a3"/>
              <w:rPr>
                <w:rFonts w:ascii="Arial" w:hAnsi="Arial" w:cs="Arial"/>
                <w:b/>
                <w:bCs/>
                <w:rtl/>
              </w:rPr>
            </w:pPr>
            <w:r w:rsidRPr="00513D12">
              <w:rPr>
                <w:rFonts w:ascii="Arial" w:hAnsi="Arial" w:cs="Arial" w:hint="cs"/>
                <w:b/>
                <w:bCs/>
                <w:rtl/>
              </w:rPr>
              <w:t xml:space="preserve">               </w:t>
            </w:r>
            <w:r w:rsidRPr="00513D12">
              <w:rPr>
                <w:rFonts w:ascii="Arial" w:hAnsi="Arial" w:cs="Arial"/>
                <w:b/>
                <w:bCs/>
                <w:rtl/>
              </w:rPr>
              <w:t>ת.פ 24817-06-10</w:t>
            </w:r>
          </w:p>
        </w:tc>
      </w:tr>
    </w:tbl>
    <w:p w14:paraId="68BF459F" w14:textId="77777777" w:rsidR="00E44C48" w:rsidRPr="00513D12" w:rsidRDefault="00E44C48">
      <w:pPr>
        <w:pStyle w:val="a3"/>
        <w:rPr>
          <w:rFonts w:ascii="Arial" w:hAnsi="Arial" w:cs="Aria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20"/>
        <w:gridCol w:w="1777"/>
      </w:tblGrid>
      <w:tr w:rsidR="00E44C48" w:rsidRPr="00513D12" w14:paraId="78AA8086" w14:textId="77777777">
        <w:trPr>
          <w:trHeight w:val="295"/>
          <w:jc w:val="center"/>
        </w:trPr>
        <w:tc>
          <w:tcPr>
            <w:tcW w:w="923" w:type="dxa"/>
            <w:tcBorders>
              <w:top w:val="nil"/>
              <w:left w:val="nil"/>
              <w:bottom w:val="nil"/>
              <w:right w:val="nil"/>
            </w:tcBorders>
          </w:tcPr>
          <w:p w14:paraId="0CDEC652" w14:textId="77777777" w:rsidR="00E44C48" w:rsidRPr="00513D12" w:rsidRDefault="00513D12">
            <w:pPr>
              <w:jc w:val="both"/>
              <w:rPr>
                <w:rFonts w:ascii="Arial" w:hAnsi="Arial" w:cs="Arial"/>
              </w:rPr>
            </w:pPr>
            <w:bookmarkStart w:id="1" w:name="FirstAppellant"/>
            <w:r w:rsidRPr="00513D12">
              <w:rPr>
                <w:rFonts w:ascii="Arial" w:hAnsi="Arial" w:cs="Arial"/>
                <w:b/>
                <w:bCs/>
                <w:rtl/>
              </w:rPr>
              <w:t>בעניין:</w:t>
            </w:r>
          </w:p>
        </w:tc>
        <w:tc>
          <w:tcPr>
            <w:tcW w:w="7897" w:type="dxa"/>
            <w:gridSpan w:val="2"/>
            <w:tcBorders>
              <w:top w:val="nil"/>
              <w:left w:val="nil"/>
              <w:bottom w:val="nil"/>
              <w:right w:val="nil"/>
            </w:tcBorders>
          </w:tcPr>
          <w:p w14:paraId="596AFE4C" w14:textId="77777777" w:rsidR="00E44C48" w:rsidRPr="00513D12" w:rsidRDefault="00513D12">
            <w:pPr>
              <w:jc w:val="both"/>
              <w:rPr>
                <w:rFonts w:ascii="Arial" w:hAnsi="Arial" w:cs="Arial"/>
              </w:rPr>
            </w:pPr>
            <w:r w:rsidRPr="00513D12">
              <w:rPr>
                <w:rFonts w:ascii="Arial" w:hAnsi="Arial" w:cs="Arial"/>
                <w:b/>
                <w:bCs/>
                <w:rtl/>
              </w:rPr>
              <w:t>מדינת ישראל</w:t>
            </w:r>
          </w:p>
        </w:tc>
      </w:tr>
      <w:tr w:rsidR="00E44C48" w:rsidRPr="00513D12" w14:paraId="13FDD807" w14:textId="77777777">
        <w:trPr>
          <w:trHeight w:val="355"/>
          <w:jc w:val="center"/>
        </w:trPr>
        <w:tc>
          <w:tcPr>
            <w:tcW w:w="923" w:type="dxa"/>
            <w:tcBorders>
              <w:top w:val="nil"/>
              <w:left w:val="nil"/>
              <w:bottom w:val="nil"/>
              <w:right w:val="nil"/>
            </w:tcBorders>
          </w:tcPr>
          <w:p w14:paraId="4011897E" w14:textId="77777777" w:rsidR="00E44C48" w:rsidRPr="00513D12" w:rsidRDefault="00E44C48">
            <w:pPr>
              <w:jc w:val="both"/>
              <w:rPr>
                <w:rFonts w:ascii="Arial" w:hAnsi="Arial" w:cs="Arial"/>
              </w:rPr>
            </w:pPr>
            <w:bookmarkStart w:id="2" w:name="FirstLawyer"/>
            <w:bookmarkEnd w:id="1"/>
          </w:p>
        </w:tc>
        <w:tc>
          <w:tcPr>
            <w:tcW w:w="6120" w:type="dxa"/>
            <w:tcBorders>
              <w:top w:val="nil"/>
              <w:left w:val="nil"/>
              <w:bottom w:val="nil"/>
              <w:right w:val="nil"/>
            </w:tcBorders>
          </w:tcPr>
          <w:p w14:paraId="7BD48781" w14:textId="77777777" w:rsidR="00E44C48" w:rsidRPr="00513D12" w:rsidRDefault="00E44C48">
            <w:pPr>
              <w:jc w:val="center"/>
              <w:rPr>
                <w:rFonts w:ascii="Arial" w:hAnsi="Arial" w:cs="Arial"/>
                <w:b/>
                <w:bCs/>
                <w:rtl/>
              </w:rPr>
            </w:pPr>
          </w:p>
          <w:p w14:paraId="235F4CD0" w14:textId="77777777" w:rsidR="00E44C48" w:rsidRPr="00513D12" w:rsidRDefault="00513D12">
            <w:pPr>
              <w:jc w:val="center"/>
              <w:rPr>
                <w:rFonts w:ascii="Arial" w:hAnsi="Arial" w:cs="Arial"/>
                <w:b/>
                <w:bCs/>
                <w:rtl/>
              </w:rPr>
            </w:pPr>
            <w:r w:rsidRPr="00513D12">
              <w:rPr>
                <w:rFonts w:ascii="Arial" w:hAnsi="Arial" w:cs="Arial"/>
                <w:b/>
                <w:bCs/>
                <w:rtl/>
              </w:rPr>
              <w:t>נגד</w:t>
            </w:r>
          </w:p>
          <w:p w14:paraId="1A127F3D" w14:textId="77777777" w:rsidR="00E44C48" w:rsidRPr="00513D12" w:rsidRDefault="00E44C48">
            <w:pPr>
              <w:jc w:val="center"/>
              <w:rPr>
                <w:rFonts w:ascii="Arial" w:hAnsi="Arial" w:cs="Arial"/>
                <w:b/>
                <w:bCs/>
                <w:rtl/>
              </w:rPr>
            </w:pPr>
          </w:p>
          <w:p w14:paraId="52A7F910" w14:textId="77777777" w:rsidR="00E44C48" w:rsidRPr="00513D12" w:rsidRDefault="00E44C48">
            <w:pPr>
              <w:jc w:val="center"/>
              <w:rPr>
                <w:rFonts w:ascii="Arial" w:hAnsi="Arial" w:cs="Arial"/>
                <w:b/>
                <w:bCs/>
                <w:rtl/>
              </w:rPr>
            </w:pPr>
          </w:p>
          <w:p w14:paraId="110AB39B" w14:textId="77777777" w:rsidR="00E44C48" w:rsidRPr="00513D12" w:rsidRDefault="00513D12">
            <w:pPr>
              <w:jc w:val="both"/>
              <w:rPr>
                <w:rFonts w:ascii="Arial" w:hAnsi="Arial" w:cs="Arial"/>
                <w:b/>
                <w:bCs/>
                <w:rtl/>
              </w:rPr>
            </w:pPr>
            <w:r w:rsidRPr="00513D12">
              <w:rPr>
                <w:rFonts w:ascii="Arial" w:hAnsi="Arial" w:cs="Arial"/>
                <w:b/>
                <w:bCs/>
                <w:rtl/>
              </w:rPr>
              <w:t xml:space="preserve">1. </w:t>
            </w:r>
            <w:r w:rsidRPr="00513D12">
              <w:rPr>
                <w:rFonts w:ascii="Arial" w:hAnsi="Arial" w:cs="Arial" w:hint="cs"/>
                <w:b/>
                <w:bCs/>
                <w:rtl/>
              </w:rPr>
              <w:t>סאלם אלטורי</w:t>
            </w:r>
            <w:r w:rsidRPr="00513D12">
              <w:rPr>
                <w:rFonts w:ascii="Arial" w:hAnsi="Arial" w:cs="Arial"/>
                <w:b/>
                <w:bCs/>
                <w:rtl/>
              </w:rPr>
              <w:t xml:space="preserve">, </w:t>
            </w:r>
            <w:r w:rsidRPr="00513D12">
              <w:rPr>
                <w:rFonts w:ascii="Arial" w:hAnsi="Arial" w:cs="Arial" w:hint="cs"/>
                <w:b/>
                <w:bCs/>
                <w:rtl/>
              </w:rPr>
              <w:t>ת.ז.</w:t>
            </w:r>
            <w:r w:rsidRPr="00513D12">
              <w:rPr>
                <w:rFonts w:ascii="Arial" w:hAnsi="Arial" w:cs="Arial"/>
                <w:b/>
                <w:bCs/>
                <w:rtl/>
              </w:rPr>
              <w:t xml:space="preserve"> </w:t>
            </w:r>
            <w:r w:rsidRPr="00513D12">
              <w:rPr>
                <w:rFonts w:ascii="Arial" w:hAnsi="Arial" w:cs="Arial" w:hint="cs"/>
                <w:b/>
                <w:bCs/>
                <w:rtl/>
              </w:rPr>
              <w:t>036001634</w:t>
            </w:r>
          </w:p>
          <w:p w14:paraId="6298FE26" w14:textId="77777777" w:rsidR="00E44C48" w:rsidRPr="00513D12" w:rsidRDefault="00513D12">
            <w:pPr>
              <w:jc w:val="both"/>
              <w:rPr>
                <w:rFonts w:ascii="Arial" w:hAnsi="Arial" w:cs="Arial"/>
                <w:b/>
                <w:bCs/>
              </w:rPr>
            </w:pPr>
            <w:r w:rsidRPr="00513D12">
              <w:rPr>
                <w:rFonts w:ascii="Arial" w:hAnsi="Arial" w:cs="Arial"/>
                <w:b/>
                <w:bCs/>
                <w:rtl/>
              </w:rPr>
              <w:t xml:space="preserve">        על ידי ב"כ עו"ד בן-יהודה</w:t>
            </w:r>
          </w:p>
        </w:tc>
        <w:tc>
          <w:tcPr>
            <w:tcW w:w="1777" w:type="dxa"/>
            <w:tcBorders>
              <w:top w:val="nil"/>
              <w:left w:val="nil"/>
              <w:bottom w:val="nil"/>
              <w:right w:val="nil"/>
            </w:tcBorders>
          </w:tcPr>
          <w:p w14:paraId="225AE487" w14:textId="77777777" w:rsidR="00E44C48" w:rsidRPr="00513D12" w:rsidRDefault="00513D12">
            <w:pPr>
              <w:jc w:val="both"/>
              <w:rPr>
                <w:rFonts w:ascii="Arial" w:hAnsi="Arial" w:cs="Arial"/>
                <w:b/>
                <w:bCs/>
              </w:rPr>
            </w:pPr>
            <w:r w:rsidRPr="00513D12">
              <w:rPr>
                <w:rFonts w:ascii="Arial" w:hAnsi="Arial" w:cs="Arial"/>
                <w:b/>
                <w:bCs/>
                <w:rtl/>
              </w:rPr>
              <w:t>המאשימה</w:t>
            </w:r>
          </w:p>
        </w:tc>
      </w:tr>
      <w:bookmarkEnd w:id="2"/>
      <w:tr w:rsidR="00E44C48" w:rsidRPr="00513D12" w14:paraId="02DB0A40" w14:textId="77777777">
        <w:trPr>
          <w:trHeight w:val="355"/>
          <w:jc w:val="center"/>
        </w:trPr>
        <w:tc>
          <w:tcPr>
            <w:tcW w:w="923" w:type="dxa"/>
            <w:tcBorders>
              <w:top w:val="nil"/>
              <w:left w:val="nil"/>
              <w:bottom w:val="nil"/>
              <w:right w:val="nil"/>
            </w:tcBorders>
          </w:tcPr>
          <w:p w14:paraId="0C5534E0" w14:textId="77777777" w:rsidR="00E44C48" w:rsidRPr="00513D12" w:rsidRDefault="00E44C48">
            <w:pPr>
              <w:jc w:val="both"/>
              <w:rPr>
                <w:rFonts w:ascii="Arial" w:hAnsi="Arial" w:cs="Arial"/>
              </w:rPr>
            </w:pPr>
          </w:p>
        </w:tc>
        <w:tc>
          <w:tcPr>
            <w:tcW w:w="6120" w:type="dxa"/>
            <w:tcBorders>
              <w:top w:val="nil"/>
              <w:left w:val="nil"/>
              <w:bottom w:val="nil"/>
              <w:right w:val="nil"/>
            </w:tcBorders>
          </w:tcPr>
          <w:p w14:paraId="3BDA2EEC" w14:textId="77777777" w:rsidR="00E44C48" w:rsidRPr="00513D12" w:rsidRDefault="00513D12">
            <w:pPr>
              <w:jc w:val="both"/>
              <w:rPr>
                <w:rFonts w:ascii="Arial" w:hAnsi="Arial" w:cs="Arial"/>
                <w:b/>
                <w:bCs/>
                <w:rtl/>
              </w:rPr>
            </w:pPr>
            <w:r w:rsidRPr="00513D12">
              <w:rPr>
                <w:rFonts w:ascii="Arial" w:hAnsi="Arial" w:cs="Arial" w:hint="cs"/>
                <w:b/>
                <w:bCs/>
                <w:rtl/>
              </w:rPr>
              <w:t>2</w:t>
            </w:r>
            <w:r w:rsidRPr="00513D12">
              <w:rPr>
                <w:rFonts w:ascii="Arial" w:hAnsi="Arial" w:cs="Arial"/>
                <w:b/>
                <w:bCs/>
                <w:rtl/>
              </w:rPr>
              <w:t xml:space="preserve">. </w:t>
            </w:r>
            <w:r w:rsidRPr="00513D12">
              <w:rPr>
                <w:rFonts w:ascii="Arial" w:hAnsi="Arial" w:cs="Arial" w:hint="cs"/>
                <w:b/>
                <w:bCs/>
                <w:rtl/>
              </w:rPr>
              <w:t>סלמאן אלטורי</w:t>
            </w:r>
            <w:r w:rsidRPr="00513D12">
              <w:rPr>
                <w:rFonts w:ascii="Arial" w:hAnsi="Arial" w:cs="Arial"/>
                <w:b/>
                <w:bCs/>
                <w:rtl/>
              </w:rPr>
              <w:t xml:space="preserve">, </w:t>
            </w:r>
            <w:r w:rsidRPr="00513D12">
              <w:rPr>
                <w:rFonts w:ascii="Arial" w:hAnsi="Arial" w:cs="Arial" w:hint="cs"/>
                <w:b/>
                <w:bCs/>
                <w:rtl/>
              </w:rPr>
              <w:t>ת.ז.</w:t>
            </w:r>
            <w:r w:rsidRPr="00513D12">
              <w:rPr>
                <w:rFonts w:ascii="Arial" w:hAnsi="Arial" w:cs="Arial"/>
                <w:b/>
                <w:bCs/>
                <w:rtl/>
              </w:rPr>
              <w:t xml:space="preserve"> </w:t>
            </w:r>
            <w:r w:rsidRPr="00513D12">
              <w:rPr>
                <w:rFonts w:ascii="Arial" w:hAnsi="Arial" w:cs="Arial" w:hint="cs"/>
                <w:b/>
                <w:bCs/>
                <w:rtl/>
              </w:rPr>
              <w:t>055763502</w:t>
            </w:r>
            <w:r w:rsidRPr="00513D12">
              <w:rPr>
                <w:rFonts w:ascii="Arial" w:hAnsi="Arial" w:cs="Arial"/>
                <w:b/>
                <w:bCs/>
                <w:rtl/>
              </w:rPr>
              <w:t xml:space="preserve"> - נדון</w:t>
            </w:r>
          </w:p>
          <w:p w14:paraId="3C46DA64" w14:textId="77777777" w:rsidR="00E44C48" w:rsidRPr="00513D12" w:rsidRDefault="00513D12">
            <w:pPr>
              <w:jc w:val="both"/>
              <w:rPr>
                <w:rFonts w:ascii="Arial" w:hAnsi="Arial" w:cs="Arial"/>
                <w:b/>
                <w:bCs/>
                <w:rtl/>
              </w:rPr>
            </w:pPr>
            <w:r w:rsidRPr="00513D12">
              <w:rPr>
                <w:rFonts w:ascii="Arial" w:hAnsi="Arial" w:cs="Arial" w:hint="cs"/>
                <w:b/>
                <w:bCs/>
                <w:rtl/>
              </w:rPr>
              <w:t>3</w:t>
            </w:r>
            <w:r w:rsidRPr="00513D12">
              <w:rPr>
                <w:rFonts w:ascii="Arial" w:hAnsi="Arial" w:cs="Arial"/>
                <w:b/>
                <w:bCs/>
                <w:rtl/>
              </w:rPr>
              <w:t xml:space="preserve">. </w:t>
            </w:r>
            <w:r w:rsidRPr="00513D12">
              <w:rPr>
                <w:rFonts w:ascii="Arial" w:hAnsi="Arial" w:cs="Arial" w:hint="cs"/>
                <w:b/>
                <w:bCs/>
                <w:rtl/>
              </w:rPr>
              <w:t>מורשי אלטורי</w:t>
            </w:r>
            <w:r w:rsidRPr="00513D12">
              <w:rPr>
                <w:rFonts w:ascii="Arial" w:hAnsi="Arial" w:cs="Arial"/>
                <w:b/>
                <w:bCs/>
                <w:rtl/>
              </w:rPr>
              <w:t xml:space="preserve">, </w:t>
            </w:r>
            <w:r w:rsidRPr="00513D12">
              <w:rPr>
                <w:rFonts w:ascii="Arial" w:hAnsi="Arial" w:cs="Arial" w:hint="cs"/>
                <w:b/>
                <w:bCs/>
                <w:rtl/>
              </w:rPr>
              <w:t>ת.ז.</w:t>
            </w:r>
            <w:r w:rsidRPr="00513D12">
              <w:rPr>
                <w:rFonts w:ascii="Arial" w:hAnsi="Arial" w:cs="Arial"/>
                <w:b/>
                <w:bCs/>
                <w:rtl/>
              </w:rPr>
              <w:t xml:space="preserve"> </w:t>
            </w:r>
            <w:r w:rsidRPr="00513D12">
              <w:rPr>
                <w:rFonts w:ascii="Arial" w:hAnsi="Arial" w:cs="Arial" w:hint="cs"/>
                <w:b/>
                <w:bCs/>
                <w:rtl/>
              </w:rPr>
              <w:t>032487217</w:t>
            </w:r>
            <w:r w:rsidRPr="00513D12">
              <w:rPr>
                <w:rFonts w:ascii="Arial" w:hAnsi="Arial" w:cs="Arial"/>
                <w:b/>
                <w:bCs/>
                <w:rtl/>
              </w:rPr>
              <w:t xml:space="preserve"> </w:t>
            </w:r>
            <w:r w:rsidRPr="00513D12">
              <w:rPr>
                <w:rFonts w:ascii="Arial" w:hAnsi="Arial" w:cs="Arial" w:hint="cs"/>
                <w:b/>
                <w:bCs/>
                <w:rtl/>
              </w:rPr>
              <w:t xml:space="preserve"> </w:t>
            </w:r>
            <w:r w:rsidRPr="00513D12">
              <w:rPr>
                <w:rFonts w:ascii="Arial" w:hAnsi="Arial" w:cs="Arial"/>
                <w:b/>
                <w:bCs/>
                <w:rtl/>
              </w:rPr>
              <w:t>- נדון</w:t>
            </w:r>
          </w:p>
          <w:p w14:paraId="0535132F" w14:textId="77777777" w:rsidR="00E44C48" w:rsidRPr="00513D12" w:rsidRDefault="00513D12">
            <w:pPr>
              <w:jc w:val="both"/>
              <w:rPr>
                <w:rFonts w:ascii="Arial" w:hAnsi="Arial" w:cs="Arial"/>
                <w:b/>
                <w:bCs/>
                <w:rtl/>
              </w:rPr>
            </w:pPr>
            <w:r w:rsidRPr="00513D12">
              <w:rPr>
                <w:rFonts w:ascii="Arial" w:hAnsi="Arial" w:cs="Arial" w:hint="cs"/>
                <w:b/>
                <w:bCs/>
                <w:rtl/>
              </w:rPr>
              <w:t>4</w:t>
            </w:r>
            <w:r w:rsidRPr="00513D12">
              <w:rPr>
                <w:rFonts w:ascii="Arial" w:hAnsi="Arial" w:cs="Arial"/>
                <w:b/>
                <w:bCs/>
                <w:rtl/>
              </w:rPr>
              <w:t xml:space="preserve">. </w:t>
            </w:r>
            <w:r w:rsidRPr="00513D12">
              <w:rPr>
                <w:rFonts w:ascii="Arial" w:hAnsi="Arial" w:cs="Arial" w:hint="cs"/>
                <w:b/>
                <w:bCs/>
                <w:rtl/>
              </w:rPr>
              <w:t>פריד אלטורי</w:t>
            </w:r>
            <w:r w:rsidRPr="00513D12">
              <w:rPr>
                <w:rFonts w:ascii="Arial" w:hAnsi="Arial" w:cs="Arial"/>
                <w:b/>
                <w:bCs/>
                <w:rtl/>
              </w:rPr>
              <w:t xml:space="preserve">, </w:t>
            </w:r>
            <w:r w:rsidRPr="00513D12">
              <w:rPr>
                <w:rFonts w:ascii="Arial" w:hAnsi="Arial" w:cs="Arial" w:hint="cs"/>
                <w:b/>
                <w:bCs/>
                <w:rtl/>
              </w:rPr>
              <w:t>ת.ז.</w:t>
            </w:r>
            <w:r w:rsidRPr="00513D12">
              <w:rPr>
                <w:rFonts w:ascii="Arial" w:hAnsi="Arial" w:cs="Arial"/>
                <w:b/>
                <w:bCs/>
                <w:rtl/>
              </w:rPr>
              <w:t xml:space="preserve"> </w:t>
            </w:r>
            <w:r w:rsidRPr="00513D12">
              <w:rPr>
                <w:rFonts w:ascii="Arial" w:hAnsi="Arial" w:cs="Arial" w:hint="cs"/>
                <w:b/>
                <w:bCs/>
                <w:rtl/>
              </w:rPr>
              <w:t>300127883</w:t>
            </w:r>
            <w:r w:rsidRPr="00513D12">
              <w:rPr>
                <w:rFonts w:ascii="Arial" w:hAnsi="Arial" w:cs="Arial"/>
                <w:b/>
                <w:bCs/>
                <w:rtl/>
              </w:rPr>
              <w:t xml:space="preserve"> </w:t>
            </w:r>
            <w:r w:rsidRPr="00513D12">
              <w:rPr>
                <w:rFonts w:ascii="Arial" w:hAnsi="Arial" w:cs="Arial" w:hint="cs"/>
                <w:b/>
                <w:bCs/>
                <w:rtl/>
              </w:rPr>
              <w:t xml:space="preserve">   </w:t>
            </w:r>
            <w:r w:rsidRPr="00513D12">
              <w:rPr>
                <w:rFonts w:ascii="Arial" w:hAnsi="Arial" w:cs="Arial"/>
                <w:b/>
                <w:bCs/>
                <w:rtl/>
              </w:rPr>
              <w:t>- נדון</w:t>
            </w:r>
          </w:p>
          <w:p w14:paraId="602DB848" w14:textId="77777777" w:rsidR="00E44C48" w:rsidRPr="00513D12" w:rsidRDefault="00E44C48">
            <w:pPr>
              <w:jc w:val="both"/>
              <w:rPr>
                <w:rFonts w:ascii="Arial" w:hAnsi="Arial" w:cs="Arial"/>
                <w:b/>
                <w:bCs/>
              </w:rPr>
            </w:pPr>
          </w:p>
        </w:tc>
        <w:tc>
          <w:tcPr>
            <w:tcW w:w="1777" w:type="dxa"/>
            <w:tcBorders>
              <w:top w:val="nil"/>
              <w:left w:val="nil"/>
              <w:bottom w:val="nil"/>
              <w:right w:val="nil"/>
            </w:tcBorders>
          </w:tcPr>
          <w:p w14:paraId="55038390" w14:textId="77777777" w:rsidR="00E44C48" w:rsidRPr="00513D12" w:rsidRDefault="00E44C48">
            <w:pPr>
              <w:rPr>
                <w:rFonts w:ascii="Arial" w:hAnsi="Arial" w:cs="Arial"/>
              </w:rPr>
            </w:pPr>
          </w:p>
        </w:tc>
      </w:tr>
      <w:tr w:rsidR="00E44C48" w:rsidRPr="00513D12" w14:paraId="3AC1E1ED" w14:textId="77777777">
        <w:trPr>
          <w:trHeight w:val="355"/>
          <w:jc w:val="center"/>
        </w:trPr>
        <w:tc>
          <w:tcPr>
            <w:tcW w:w="923" w:type="dxa"/>
            <w:tcBorders>
              <w:top w:val="nil"/>
              <w:left w:val="nil"/>
              <w:bottom w:val="nil"/>
              <w:right w:val="nil"/>
            </w:tcBorders>
          </w:tcPr>
          <w:p w14:paraId="2824F20C" w14:textId="77777777" w:rsidR="00E44C48" w:rsidRPr="00513D12" w:rsidRDefault="00E44C48">
            <w:pPr>
              <w:jc w:val="both"/>
              <w:rPr>
                <w:rFonts w:ascii="Arial" w:hAnsi="Arial" w:cs="Arial"/>
              </w:rPr>
            </w:pPr>
          </w:p>
        </w:tc>
        <w:tc>
          <w:tcPr>
            <w:tcW w:w="6120" w:type="dxa"/>
            <w:tcBorders>
              <w:top w:val="nil"/>
              <w:left w:val="nil"/>
              <w:bottom w:val="nil"/>
              <w:right w:val="nil"/>
            </w:tcBorders>
          </w:tcPr>
          <w:p w14:paraId="2C668410" w14:textId="77777777" w:rsidR="00E44C48" w:rsidRPr="00513D12" w:rsidRDefault="00E44C48">
            <w:pPr>
              <w:jc w:val="both"/>
              <w:rPr>
                <w:rFonts w:ascii="Arial" w:hAnsi="Arial" w:cs="Arial"/>
              </w:rPr>
            </w:pPr>
          </w:p>
        </w:tc>
        <w:tc>
          <w:tcPr>
            <w:tcW w:w="1777" w:type="dxa"/>
            <w:tcBorders>
              <w:top w:val="nil"/>
              <w:left w:val="nil"/>
              <w:bottom w:val="nil"/>
              <w:right w:val="nil"/>
            </w:tcBorders>
          </w:tcPr>
          <w:p w14:paraId="73E53226" w14:textId="77777777" w:rsidR="00E44C48" w:rsidRPr="00513D12" w:rsidRDefault="00513D12">
            <w:pPr>
              <w:rPr>
                <w:rFonts w:ascii="Arial" w:hAnsi="Arial" w:cs="Arial"/>
                <w:b/>
                <w:bCs/>
              </w:rPr>
            </w:pPr>
            <w:r w:rsidRPr="00513D12">
              <w:rPr>
                <w:rFonts w:ascii="Arial" w:hAnsi="Arial" w:cs="Arial"/>
                <w:b/>
                <w:bCs/>
                <w:rtl/>
              </w:rPr>
              <w:t>הנאשמים</w:t>
            </w:r>
          </w:p>
        </w:tc>
      </w:tr>
      <w:tr w:rsidR="00E44C48" w:rsidRPr="00513D12" w14:paraId="5B98D0E3" w14:textId="77777777">
        <w:trPr>
          <w:trHeight w:val="355"/>
          <w:jc w:val="center"/>
        </w:trPr>
        <w:tc>
          <w:tcPr>
            <w:tcW w:w="923" w:type="dxa"/>
            <w:tcBorders>
              <w:top w:val="nil"/>
              <w:left w:val="nil"/>
              <w:bottom w:val="nil"/>
              <w:right w:val="nil"/>
            </w:tcBorders>
          </w:tcPr>
          <w:p w14:paraId="3B052055" w14:textId="77777777" w:rsidR="00E44C48" w:rsidRPr="00513D12" w:rsidRDefault="00E44C48">
            <w:pPr>
              <w:bidi w:val="0"/>
              <w:rPr>
                <w:rFonts w:ascii="Arial" w:hAnsi="Arial" w:cs="Arial"/>
              </w:rPr>
            </w:pPr>
          </w:p>
        </w:tc>
        <w:tc>
          <w:tcPr>
            <w:tcW w:w="6120" w:type="dxa"/>
            <w:tcBorders>
              <w:top w:val="nil"/>
              <w:left w:val="nil"/>
              <w:bottom w:val="nil"/>
              <w:right w:val="nil"/>
            </w:tcBorders>
          </w:tcPr>
          <w:p w14:paraId="4EB6318C" w14:textId="77777777" w:rsidR="00E44C48" w:rsidRPr="00513D12" w:rsidRDefault="00E44C48">
            <w:pPr>
              <w:jc w:val="both"/>
              <w:rPr>
                <w:rFonts w:ascii="Arial" w:hAnsi="Arial" w:cs="Arial"/>
                <w:b/>
                <w:bCs/>
              </w:rPr>
            </w:pPr>
          </w:p>
        </w:tc>
        <w:tc>
          <w:tcPr>
            <w:tcW w:w="1777" w:type="dxa"/>
            <w:tcBorders>
              <w:top w:val="nil"/>
              <w:left w:val="nil"/>
              <w:bottom w:val="nil"/>
              <w:right w:val="nil"/>
            </w:tcBorders>
          </w:tcPr>
          <w:p w14:paraId="3E97AB71" w14:textId="77777777" w:rsidR="00E44C48" w:rsidRPr="00513D12" w:rsidRDefault="00E44C48">
            <w:pPr>
              <w:rPr>
                <w:rFonts w:ascii="Arial" w:hAnsi="Arial" w:cs="Arial"/>
              </w:rPr>
            </w:pPr>
          </w:p>
        </w:tc>
      </w:tr>
      <w:tr w:rsidR="00E44C48" w:rsidRPr="00513D12" w14:paraId="3C8E7E6F" w14:textId="77777777">
        <w:trPr>
          <w:trHeight w:val="355"/>
          <w:jc w:val="center"/>
        </w:trPr>
        <w:tc>
          <w:tcPr>
            <w:tcW w:w="8820" w:type="dxa"/>
            <w:gridSpan w:val="3"/>
            <w:tcBorders>
              <w:top w:val="nil"/>
              <w:left w:val="nil"/>
              <w:bottom w:val="nil"/>
              <w:right w:val="nil"/>
            </w:tcBorders>
          </w:tcPr>
          <w:p w14:paraId="10926F35" w14:textId="77777777" w:rsidR="00E03CBA" w:rsidRDefault="00E03CBA">
            <w:pPr>
              <w:jc w:val="center"/>
              <w:rPr>
                <w:rFonts w:ascii="Arial" w:hAnsi="Arial" w:cs="Arial"/>
                <w:sz w:val="28"/>
                <w:szCs w:val="28"/>
                <w:rtl/>
              </w:rPr>
            </w:pPr>
            <w:bookmarkStart w:id="3" w:name="PsakDin"/>
            <w:bookmarkStart w:id="4" w:name="LawTable"/>
            <w:bookmarkEnd w:id="4"/>
          </w:p>
          <w:p w14:paraId="5CC0F674" w14:textId="77777777" w:rsidR="00E03CBA" w:rsidRPr="00E03CBA" w:rsidRDefault="00E03CBA" w:rsidP="00E03CBA">
            <w:pPr>
              <w:spacing w:after="120" w:line="240" w:lineRule="exact"/>
              <w:ind w:left="283" w:hanging="283"/>
              <w:jc w:val="both"/>
              <w:rPr>
                <w:rFonts w:ascii="FrankRuehl" w:hAnsi="FrankRuehl" w:cs="FrankRuehl"/>
                <w:rtl/>
              </w:rPr>
            </w:pPr>
          </w:p>
          <w:p w14:paraId="71BBB4CD" w14:textId="77777777" w:rsidR="00E03CBA" w:rsidRPr="00E03CBA" w:rsidRDefault="00E03CBA" w:rsidP="00E03CBA">
            <w:pPr>
              <w:spacing w:after="120" w:line="240" w:lineRule="exact"/>
              <w:ind w:left="283" w:hanging="283"/>
              <w:jc w:val="both"/>
              <w:rPr>
                <w:rFonts w:ascii="FrankRuehl" w:hAnsi="FrankRuehl" w:cs="FrankRuehl"/>
                <w:rtl/>
              </w:rPr>
            </w:pPr>
            <w:r w:rsidRPr="00E03CBA">
              <w:rPr>
                <w:rFonts w:ascii="FrankRuehl" w:hAnsi="FrankRuehl" w:cs="FrankRuehl"/>
                <w:rtl/>
              </w:rPr>
              <w:t xml:space="preserve">חקיקה שאוזכרה: </w:t>
            </w:r>
          </w:p>
          <w:p w14:paraId="4914158E" w14:textId="77777777" w:rsidR="00E03CBA" w:rsidRPr="00E03CBA" w:rsidRDefault="00E03CBA" w:rsidP="00E03CBA">
            <w:pPr>
              <w:spacing w:after="120" w:line="240" w:lineRule="exact"/>
              <w:ind w:left="283" w:hanging="283"/>
              <w:jc w:val="both"/>
              <w:rPr>
                <w:rFonts w:ascii="FrankRuehl" w:hAnsi="FrankRuehl" w:cs="FrankRuehl"/>
                <w:color w:val="0000FF"/>
                <w:u w:val="single"/>
                <w:rtl/>
              </w:rPr>
            </w:pPr>
            <w:hyperlink r:id="rId6" w:history="1">
              <w:r w:rsidRPr="00E03CBA">
                <w:rPr>
                  <w:rStyle w:val="Hyperlink"/>
                  <w:rFonts w:ascii="FrankRuehl" w:hAnsi="FrankRuehl" w:cs="FrankRuehl"/>
                  <w:rtl/>
                </w:rPr>
                <w:t>חוק העונשין, תשל"ז-1977</w:t>
              </w:r>
            </w:hyperlink>
            <w:r w:rsidRPr="00E03CBA">
              <w:rPr>
                <w:rFonts w:ascii="FrankRuehl" w:hAnsi="FrankRuehl" w:cs="FrankRuehl"/>
                <w:color w:val="0000FF"/>
                <w:u w:val="single"/>
                <w:rtl/>
              </w:rPr>
              <w:t xml:space="preserve">: סע'  </w:t>
            </w:r>
            <w:hyperlink r:id="rId7" w:history="1">
              <w:r w:rsidRPr="00E03CBA">
                <w:rPr>
                  <w:rStyle w:val="Hyperlink"/>
                  <w:rFonts w:ascii="FrankRuehl" w:hAnsi="FrankRuehl" w:cs="FrankRuehl"/>
                </w:rPr>
                <w:t>40</w:t>
              </w:r>
              <w:r w:rsidRPr="00E03CBA">
                <w:rPr>
                  <w:rStyle w:val="Hyperlink"/>
                  <w:rFonts w:ascii="FrankRuehl" w:hAnsi="FrankRuehl" w:cs="FrankRuehl"/>
                  <w:rtl/>
                </w:rPr>
                <w:t>ב</w:t>
              </w:r>
            </w:hyperlink>
            <w:r w:rsidRPr="00E03CBA">
              <w:rPr>
                <w:rFonts w:ascii="FrankRuehl" w:hAnsi="FrankRuehl" w:cs="FrankRuehl"/>
                <w:color w:val="0000FF"/>
                <w:u w:val="single"/>
                <w:rtl/>
              </w:rPr>
              <w:t xml:space="preserve">, </w:t>
            </w:r>
            <w:hyperlink r:id="rId8" w:history="1">
              <w:r w:rsidRPr="00E03CBA">
                <w:rPr>
                  <w:rStyle w:val="Hyperlink"/>
                  <w:rFonts w:ascii="FrankRuehl" w:hAnsi="FrankRuehl" w:cs="FrankRuehl"/>
                </w:rPr>
                <w:t>144(</w:t>
              </w:r>
              <w:r w:rsidRPr="00E03CBA">
                <w:rPr>
                  <w:rStyle w:val="Hyperlink"/>
                  <w:rFonts w:ascii="FrankRuehl" w:hAnsi="FrankRuehl" w:cs="FrankRuehl"/>
                  <w:rtl/>
                </w:rPr>
                <w:t>ג</w:t>
              </w:r>
              <w:r w:rsidRPr="00E03CBA">
                <w:rPr>
                  <w:rStyle w:val="Hyperlink"/>
                  <w:rFonts w:ascii="FrankRuehl" w:hAnsi="FrankRuehl" w:cs="FrankRuehl"/>
                </w:rPr>
                <w:t>)</w:t>
              </w:r>
            </w:hyperlink>
            <w:r w:rsidRPr="00E03CBA">
              <w:rPr>
                <w:rFonts w:ascii="FrankRuehl" w:hAnsi="FrankRuehl" w:cs="FrankRuehl"/>
                <w:color w:val="0000FF"/>
                <w:u w:val="single"/>
                <w:rtl/>
              </w:rPr>
              <w:t xml:space="preserve">, </w:t>
            </w:r>
            <w:hyperlink r:id="rId9" w:history="1">
              <w:r w:rsidRPr="00E03CBA">
                <w:rPr>
                  <w:rStyle w:val="Hyperlink"/>
                  <w:rFonts w:ascii="FrankRuehl" w:hAnsi="FrankRuehl" w:cs="FrankRuehl"/>
                </w:rPr>
                <w:t>499(</w:t>
              </w:r>
              <w:r w:rsidRPr="00E03CBA">
                <w:rPr>
                  <w:rStyle w:val="Hyperlink"/>
                  <w:rFonts w:ascii="FrankRuehl" w:hAnsi="FrankRuehl" w:cs="FrankRuehl"/>
                  <w:rtl/>
                </w:rPr>
                <w:t>א)</w:t>
              </w:r>
              <w:r w:rsidRPr="00E03CBA">
                <w:rPr>
                  <w:rStyle w:val="Hyperlink"/>
                  <w:rFonts w:ascii="FrankRuehl" w:hAnsi="FrankRuehl" w:cs="FrankRuehl"/>
                </w:rPr>
                <w:t>(1)</w:t>
              </w:r>
            </w:hyperlink>
            <w:r w:rsidRPr="00E03CBA">
              <w:rPr>
                <w:rFonts w:ascii="FrankRuehl" w:hAnsi="FrankRuehl" w:cs="FrankRuehl"/>
                <w:color w:val="0000FF"/>
                <w:u w:val="single"/>
                <w:rtl/>
              </w:rPr>
              <w:t xml:space="preserve">, </w:t>
            </w:r>
            <w:hyperlink r:id="rId10" w:history="1">
              <w:r w:rsidRPr="00E03CBA">
                <w:rPr>
                  <w:rStyle w:val="Hyperlink"/>
                  <w:rFonts w:ascii="FrankRuehl" w:hAnsi="FrankRuehl" w:cs="FrankRuehl"/>
                  <w:rtl/>
                </w:rPr>
                <w:t>א1</w:t>
              </w:r>
            </w:hyperlink>
          </w:p>
          <w:p w14:paraId="228BD6CF" w14:textId="77777777" w:rsidR="00E03CBA" w:rsidRPr="00E03CBA" w:rsidRDefault="00E03CBA" w:rsidP="00E03CBA">
            <w:pPr>
              <w:spacing w:after="120" w:line="240" w:lineRule="exact"/>
              <w:ind w:left="283" w:hanging="283"/>
              <w:jc w:val="both"/>
              <w:rPr>
                <w:rFonts w:ascii="FrankRuehl" w:hAnsi="FrankRuehl" w:cs="FrankRuehl"/>
                <w:rtl/>
              </w:rPr>
            </w:pPr>
          </w:p>
          <w:p w14:paraId="69BC7E17" w14:textId="77777777" w:rsidR="00E03CBA" w:rsidRPr="00E03CBA" w:rsidRDefault="00E03CBA">
            <w:pPr>
              <w:jc w:val="center"/>
              <w:rPr>
                <w:rFonts w:ascii="Arial" w:hAnsi="Arial" w:cs="Arial"/>
                <w:sz w:val="28"/>
                <w:szCs w:val="28"/>
                <w:rtl/>
              </w:rPr>
            </w:pPr>
            <w:bookmarkStart w:id="5" w:name="LawTable_End"/>
            <w:bookmarkEnd w:id="5"/>
          </w:p>
          <w:p w14:paraId="7F3E2FB6" w14:textId="77777777" w:rsidR="00DD4A95" w:rsidRPr="00DD4A95" w:rsidRDefault="00DD4A95">
            <w:pPr>
              <w:jc w:val="center"/>
              <w:rPr>
                <w:rFonts w:ascii="Arial" w:hAnsi="Arial" w:cs="Arial"/>
                <w:sz w:val="28"/>
                <w:szCs w:val="28"/>
                <w:rtl/>
              </w:rPr>
            </w:pPr>
          </w:p>
          <w:p w14:paraId="0FB966E3" w14:textId="77777777" w:rsidR="00685C3E" w:rsidRPr="00685C3E" w:rsidRDefault="00685C3E">
            <w:pPr>
              <w:jc w:val="center"/>
              <w:rPr>
                <w:rFonts w:ascii="Arial" w:hAnsi="Arial" w:cs="Arial"/>
                <w:sz w:val="28"/>
                <w:szCs w:val="28"/>
                <w:rtl/>
              </w:rPr>
            </w:pPr>
          </w:p>
          <w:p w14:paraId="56ACB90D" w14:textId="77777777" w:rsidR="00E44C48" w:rsidRPr="00513D12" w:rsidRDefault="00513D12">
            <w:pPr>
              <w:jc w:val="center"/>
              <w:rPr>
                <w:rFonts w:ascii="Arial" w:hAnsi="Arial" w:cs="Arial"/>
                <w:b/>
                <w:bCs/>
                <w:sz w:val="28"/>
                <w:szCs w:val="28"/>
                <w:rtl/>
              </w:rPr>
            </w:pPr>
            <w:r w:rsidRPr="00513D12">
              <w:rPr>
                <w:rFonts w:ascii="Arial" w:hAnsi="Arial" w:cs="Arial"/>
                <w:b/>
                <w:bCs/>
                <w:sz w:val="28"/>
                <w:szCs w:val="28"/>
                <w:rtl/>
              </w:rPr>
              <w:t xml:space="preserve">ג ז ר -  ד י </w:t>
            </w:r>
            <w:bookmarkEnd w:id="3"/>
            <w:r w:rsidRPr="00513D12">
              <w:rPr>
                <w:rFonts w:ascii="Arial" w:hAnsi="Arial" w:cs="Arial"/>
                <w:b/>
                <w:bCs/>
                <w:sz w:val="28"/>
                <w:szCs w:val="28"/>
                <w:rtl/>
              </w:rPr>
              <w:t xml:space="preserve">ן </w:t>
            </w:r>
          </w:p>
          <w:p w14:paraId="3B441678" w14:textId="77777777" w:rsidR="00E44C48" w:rsidRPr="00513D12" w:rsidRDefault="00513D12">
            <w:pPr>
              <w:jc w:val="center"/>
              <w:rPr>
                <w:rFonts w:ascii="Arial" w:hAnsi="Arial" w:cs="Arial"/>
                <w:b/>
                <w:bCs/>
                <w:sz w:val="28"/>
                <w:szCs w:val="28"/>
                <w:rtl/>
              </w:rPr>
            </w:pPr>
            <w:r w:rsidRPr="00513D12">
              <w:rPr>
                <w:rFonts w:ascii="Arial" w:hAnsi="Arial" w:cs="Arial"/>
                <w:b/>
                <w:bCs/>
                <w:sz w:val="28"/>
                <w:szCs w:val="28"/>
                <w:rtl/>
              </w:rPr>
              <w:t>בעניינו של הנאשם 1</w:t>
            </w:r>
          </w:p>
          <w:p w14:paraId="3E1EBEE7" w14:textId="77777777" w:rsidR="00E44C48" w:rsidRPr="00513D12" w:rsidRDefault="00E44C48">
            <w:pPr>
              <w:jc w:val="center"/>
              <w:rPr>
                <w:rFonts w:ascii="Arial" w:hAnsi="Arial" w:cs="Arial"/>
                <w:b/>
                <w:bCs/>
                <w:sz w:val="28"/>
                <w:szCs w:val="28"/>
              </w:rPr>
            </w:pPr>
          </w:p>
        </w:tc>
      </w:tr>
    </w:tbl>
    <w:p w14:paraId="41952BFC" w14:textId="77777777" w:rsidR="00E44C48" w:rsidRPr="00513D12" w:rsidRDefault="00E44C48">
      <w:pPr>
        <w:rPr>
          <w:rFonts w:ascii="Arial" w:hAnsi="Arial" w:cs="Arial"/>
        </w:rPr>
      </w:pPr>
    </w:p>
    <w:p w14:paraId="12C53D37" w14:textId="77777777" w:rsidR="00E44C48" w:rsidRPr="00513D12" w:rsidRDefault="00513D12">
      <w:pPr>
        <w:spacing w:line="360" w:lineRule="auto"/>
        <w:ind w:left="720" w:hanging="720"/>
        <w:jc w:val="both"/>
        <w:rPr>
          <w:rFonts w:ascii="Arial" w:hAnsi="Arial" w:cs="Arial"/>
          <w:rtl/>
        </w:rPr>
      </w:pPr>
      <w:r w:rsidRPr="00513D12">
        <w:rPr>
          <w:rFonts w:ascii="Arial" w:hAnsi="Arial" w:cs="Arial"/>
          <w:rtl/>
        </w:rPr>
        <w:t>1.</w:t>
      </w:r>
      <w:r w:rsidRPr="00513D12">
        <w:rPr>
          <w:rFonts w:ascii="Arial" w:hAnsi="Arial" w:cs="Arial"/>
          <w:rtl/>
        </w:rPr>
        <w:tab/>
        <w:t xml:space="preserve">במסגרת הסדר טיעון שנערך בין הצדדים, תוקן כתב האישום המקורי שהוגש כנגד הנאשמים, הם הודו בעובדות שבכתב האישום המתוקן והורשעו בהתאם. הסדר הטיעון כלל גם הסכמה עונשית לגבי הנאשמים 2 עד 4, ועניינם הופרד ונגזר דינם. בעניינו של הנאשם 1 </w:t>
      </w:r>
      <w:r w:rsidRPr="00513D12">
        <w:rPr>
          <w:rFonts w:ascii="Arial" w:hAnsi="Arial" w:cs="Arial"/>
          <w:sz w:val="20"/>
          <w:szCs w:val="20"/>
          <w:rtl/>
        </w:rPr>
        <w:t>(להלן: "הנאשם")</w:t>
      </w:r>
      <w:r w:rsidRPr="00513D12">
        <w:rPr>
          <w:rFonts w:ascii="Arial" w:hAnsi="Arial" w:cs="Arial"/>
          <w:rtl/>
        </w:rPr>
        <w:t>, שגזר דין זה מתייחס אליו, הייתה אך הסכמה לקבלת תסקיר מטעם שירות המבחן בעניינו</w:t>
      </w:r>
      <w:r w:rsidRPr="00513D12">
        <w:rPr>
          <w:rFonts w:ascii="Arial" w:hAnsi="Arial" w:cs="Arial" w:hint="cs"/>
          <w:rtl/>
        </w:rPr>
        <w:t>,</w:t>
      </w:r>
      <w:r w:rsidRPr="00513D12">
        <w:rPr>
          <w:rFonts w:ascii="Arial" w:hAnsi="Arial" w:cs="Arial"/>
          <w:rtl/>
        </w:rPr>
        <w:t xml:space="preserve"> כשכל צד יוכל לטעון באופן חופשי לעונש הראוי בעיניו.</w:t>
      </w:r>
    </w:p>
    <w:p w14:paraId="33CA1237" w14:textId="77777777" w:rsidR="00E44C48" w:rsidRPr="00513D12" w:rsidRDefault="00E44C48">
      <w:pPr>
        <w:spacing w:line="360" w:lineRule="auto"/>
        <w:jc w:val="both"/>
        <w:rPr>
          <w:rFonts w:ascii="Arial" w:hAnsi="Arial" w:cs="Arial"/>
          <w:rtl/>
        </w:rPr>
      </w:pPr>
    </w:p>
    <w:p w14:paraId="6A299A66" w14:textId="77777777" w:rsidR="00E44C48" w:rsidRPr="00513D12" w:rsidRDefault="00513D12">
      <w:pPr>
        <w:spacing w:line="360" w:lineRule="auto"/>
        <w:ind w:left="720" w:hanging="720"/>
        <w:jc w:val="both"/>
        <w:rPr>
          <w:rFonts w:ascii="Arial" w:hAnsi="Arial" w:cs="Arial"/>
          <w:rtl/>
        </w:rPr>
      </w:pPr>
      <w:r w:rsidRPr="00513D12">
        <w:rPr>
          <w:rFonts w:ascii="Arial" w:hAnsi="Arial" w:cs="Arial"/>
          <w:rtl/>
        </w:rPr>
        <w:t>2.</w:t>
      </w:r>
      <w:r w:rsidRPr="00513D12">
        <w:rPr>
          <w:rFonts w:ascii="Arial" w:hAnsi="Arial" w:cs="Arial"/>
          <w:rtl/>
        </w:rPr>
        <w:tab/>
      </w:r>
      <w:bookmarkStart w:id="6" w:name="ABSTRACT_START"/>
      <w:bookmarkEnd w:id="6"/>
      <w:r w:rsidRPr="00513D12">
        <w:rPr>
          <w:rFonts w:ascii="Arial" w:hAnsi="Arial" w:cs="Arial"/>
          <w:rtl/>
        </w:rPr>
        <w:t xml:space="preserve">מעובדות האישום הראשון שבכתב האישום המתוקן בו הודו הנאשם ושותפיו, ושעניינו הנאשמים כולם, עולה, כי בין משפחת הנאשמים לבין משפחתו של אשרף אלטללקה (להלן: "המתלונן") המתגוררת ברהט, יש סכסוך. </w:t>
      </w:r>
    </w:p>
    <w:p w14:paraId="591533C3" w14:textId="77777777" w:rsidR="00E44C48" w:rsidRPr="00513D12" w:rsidRDefault="00513D12">
      <w:pPr>
        <w:spacing w:line="360" w:lineRule="auto"/>
        <w:ind w:left="720"/>
        <w:jc w:val="both"/>
        <w:rPr>
          <w:rFonts w:ascii="Arial" w:hAnsi="Arial" w:cs="Arial"/>
          <w:rtl/>
        </w:rPr>
      </w:pPr>
      <w:r w:rsidRPr="00513D12">
        <w:rPr>
          <w:rFonts w:ascii="Arial" w:hAnsi="Arial" w:cs="Arial"/>
          <w:rtl/>
        </w:rPr>
        <w:t xml:space="preserve">במועד שאינו ידוע במדוייק למאשימה, אך לפני האירועים נשוא כתב האישום, קשרו הנאשמים קשר עם אדם נוסף, שזהותו </w:t>
      </w:r>
      <w:r w:rsidRPr="00513D12">
        <w:rPr>
          <w:rFonts w:ascii="Arial" w:hAnsi="Arial" w:cs="Arial" w:hint="cs"/>
          <w:rtl/>
        </w:rPr>
        <w:t>אי</w:t>
      </w:r>
      <w:r w:rsidRPr="00513D12">
        <w:rPr>
          <w:rFonts w:ascii="Arial" w:hAnsi="Arial" w:cs="Arial"/>
          <w:rtl/>
        </w:rPr>
        <w:t xml:space="preserve">נה ידועה למאשימה </w:t>
      </w:r>
      <w:r w:rsidRPr="00513D12">
        <w:rPr>
          <w:rFonts w:ascii="Arial" w:hAnsi="Arial" w:cs="Arial"/>
          <w:sz w:val="20"/>
          <w:szCs w:val="20"/>
          <w:rtl/>
        </w:rPr>
        <w:t>(להלן: "האחר")</w:t>
      </w:r>
      <w:r w:rsidRPr="00513D12">
        <w:rPr>
          <w:rFonts w:ascii="Arial" w:hAnsi="Arial" w:cs="Arial"/>
          <w:rtl/>
        </w:rPr>
        <w:t>, לעשות פשע, היינו – לירות במתלונן בכוונה להטיל בו מום או נכות או לגרום לו חבלה חמורה</w:t>
      </w:r>
      <w:bookmarkStart w:id="7" w:name="ABSTRACT_END"/>
      <w:bookmarkEnd w:id="7"/>
      <w:r w:rsidRPr="00513D12">
        <w:rPr>
          <w:rFonts w:ascii="Arial" w:hAnsi="Arial" w:cs="Arial"/>
          <w:rtl/>
        </w:rPr>
        <w:t>.</w:t>
      </w:r>
    </w:p>
    <w:p w14:paraId="1D6FB195" w14:textId="77777777" w:rsidR="00E44C48" w:rsidRPr="00513D12" w:rsidRDefault="00513D12">
      <w:pPr>
        <w:spacing w:line="360" w:lineRule="auto"/>
        <w:ind w:left="720"/>
        <w:jc w:val="both"/>
        <w:rPr>
          <w:rFonts w:ascii="Arial" w:hAnsi="Arial" w:cs="Arial"/>
          <w:rtl/>
        </w:rPr>
      </w:pPr>
      <w:r w:rsidRPr="00513D12">
        <w:rPr>
          <w:rFonts w:ascii="Arial" w:hAnsi="Arial" w:cs="Arial"/>
          <w:rtl/>
        </w:rPr>
        <w:lastRenderedPageBreak/>
        <w:t xml:space="preserve">הנאשמים הודו, כי בצוותא חדא קשרו קשר לבצע פשע וכי הנאשם 3 הפריע לשוטרים במילוי תפקידם כשסירב להיענות לקריאתם, ועל כן הורשעו בעבירה של קשירת קשר לביצוע פשע לפי </w:t>
      </w:r>
      <w:hyperlink r:id="rId11" w:history="1">
        <w:r w:rsidR="00DD4A95" w:rsidRPr="00DD4A95">
          <w:rPr>
            <w:rStyle w:val="Hyperlink"/>
            <w:rFonts w:ascii="Arial" w:hAnsi="Arial" w:cs="Arial"/>
            <w:rtl/>
          </w:rPr>
          <w:t>סעיף 499(א)(1)</w:t>
        </w:r>
      </w:hyperlink>
      <w:r w:rsidRPr="00513D12">
        <w:rPr>
          <w:rFonts w:ascii="Arial" w:hAnsi="Arial" w:cs="Arial"/>
          <w:rtl/>
        </w:rPr>
        <w:t xml:space="preserve"> ל</w:t>
      </w:r>
      <w:hyperlink r:id="rId12" w:history="1">
        <w:r w:rsidR="00685C3E" w:rsidRPr="00685C3E">
          <w:rPr>
            <w:rStyle w:val="Hyperlink"/>
            <w:rFonts w:ascii="Arial" w:hAnsi="Arial" w:cs="Arial"/>
            <w:rtl/>
          </w:rPr>
          <w:t>חוק העונשין</w:t>
        </w:r>
      </w:hyperlink>
      <w:r w:rsidRPr="00513D12">
        <w:rPr>
          <w:rFonts w:ascii="Arial" w:hAnsi="Arial" w:cs="Arial"/>
          <w:rtl/>
        </w:rPr>
        <w:t>, תשל"ז-1977.</w:t>
      </w:r>
    </w:p>
    <w:p w14:paraId="60FC70A0" w14:textId="77777777" w:rsidR="00E44C48" w:rsidRPr="00513D12" w:rsidRDefault="00513D12">
      <w:pPr>
        <w:spacing w:line="360" w:lineRule="auto"/>
        <w:ind w:left="720"/>
        <w:jc w:val="both"/>
        <w:rPr>
          <w:rFonts w:ascii="Arial" w:hAnsi="Arial" w:cs="Arial"/>
          <w:rtl/>
        </w:rPr>
      </w:pPr>
      <w:r w:rsidRPr="00513D12">
        <w:rPr>
          <w:rFonts w:ascii="Arial" w:hAnsi="Arial" w:cs="Arial"/>
          <w:rtl/>
        </w:rPr>
        <w:t>יצויין, כי בעקבות הסדר הטיעון נדונו הנאשמים 2 ו-3 בגין מעשיהם נשוא אישום זה למאסר מותנה של 3 חודשים ולקנס בסך 3,000 ₪. הנאשם 4 נדון למאסר בפועל בן חודש ימים שירוצה בדרך של עבודות שירות ולקנס בשיעור 3,000 ₪.</w:t>
      </w:r>
    </w:p>
    <w:p w14:paraId="4F799F9D" w14:textId="77777777" w:rsidR="00E44C48" w:rsidRPr="00513D12" w:rsidRDefault="00E44C48">
      <w:pPr>
        <w:spacing w:line="360" w:lineRule="auto"/>
        <w:ind w:left="720"/>
        <w:jc w:val="both"/>
        <w:rPr>
          <w:rFonts w:ascii="Arial" w:hAnsi="Arial" w:cs="Arial"/>
          <w:rtl/>
        </w:rPr>
      </w:pPr>
    </w:p>
    <w:p w14:paraId="07ED1CAF" w14:textId="77777777" w:rsidR="00E44C48" w:rsidRPr="00513D12" w:rsidRDefault="00E44C48">
      <w:pPr>
        <w:spacing w:line="360" w:lineRule="auto"/>
        <w:ind w:left="720"/>
        <w:jc w:val="both"/>
        <w:rPr>
          <w:rFonts w:ascii="Arial" w:hAnsi="Arial" w:cs="Arial"/>
          <w:rtl/>
        </w:rPr>
      </w:pPr>
    </w:p>
    <w:p w14:paraId="2E722677" w14:textId="77777777" w:rsidR="00E44C48" w:rsidRPr="00513D12" w:rsidRDefault="00E44C48">
      <w:pPr>
        <w:spacing w:line="360" w:lineRule="auto"/>
        <w:ind w:left="720"/>
        <w:jc w:val="both"/>
        <w:rPr>
          <w:rFonts w:ascii="Arial" w:hAnsi="Arial" w:cs="Arial"/>
          <w:rtl/>
        </w:rPr>
      </w:pPr>
    </w:p>
    <w:p w14:paraId="6C3A623E" w14:textId="77777777" w:rsidR="00E44C48" w:rsidRPr="00513D12" w:rsidRDefault="00513D12">
      <w:pPr>
        <w:spacing w:line="360" w:lineRule="auto"/>
        <w:ind w:left="720"/>
        <w:jc w:val="both"/>
        <w:rPr>
          <w:rFonts w:ascii="Arial" w:hAnsi="Arial" w:cs="Arial"/>
          <w:rtl/>
        </w:rPr>
      </w:pPr>
      <w:r w:rsidRPr="00513D12">
        <w:rPr>
          <w:rFonts w:ascii="Arial" w:hAnsi="Arial" w:cs="Arial"/>
          <w:rtl/>
        </w:rPr>
        <w:t xml:space="preserve">הנאשם </w:t>
      </w:r>
      <w:r w:rsidRPr="00513D12">
        <w:rPr>
          <w:rFonts w:ascii="Arial" w:hAnsi="Arial" w:cs="Arial" w:hint="cs"/>
          <w:rtl/>
        </w:rPr>
        <w:t>נשוא גז"ד זה</w:t>
      </w:r>
      <w:r w:rsidRPr="00513D12">
        <w:rPr>
          <w:rFonts w:ascii="Arial" w:hAnsi="Arial" w:cs="Arial"/>
          <w:rtl/>
        </w:rPr>
        <w:t xml:space="preserve"> הורשע</w:t>
      </w:r>
      <w:r w:rsidRPr="00513D12">
        <w:rPr>
          <w:rFonts w:ascii="Arial" w:hAnsi="Arial" w:cs="Arial" w:hint="cs"/>
          <w:rtl/>
        </w:rPr>
        <w:t xml:space="preserve"> עוד</w:t>
      </w:r>
      <w:r w:rsidRPr="00513D12">
        <w:rPr>
          <w:rFonts w:ascii="Arial" w:hAnsi="Arial" w:cs="Arial"/>
          <w:rtl/>
        </w:rPr>
        <w:t>, במסגרת האישום השני של כתב האישום המתוקן,</w:t>
      </w:r>
      <w:r w:rsidRPr="00513D12">
        <w:rPr>
          <w:rFonts w:ascii="Arial" w:hAnsi="Arial" w:cs="Arial" w:hint="cs"/>
          <w:rtl/>
        </w:rPr>
        <w:t xml:space="preserve"> המיוחס אך לו,</w:t>
      </w:r>
      <w:r w:rsidRPr="00513D12">
        <w:rPr>
          <w:rFonts w:ascii="Arial" w:hAnsi="Arial" w:cs="Arial"/>
          <w:rtl/>
        </w:rPr>
        <w:t xml:space="preserve"> גם בעבירה של החזקת נשק לפי </w:t>
      </w:r>
      <w:hyperlink r:id="rId13" w:history="1">
        <w:r w:rsidR="00DD4A95" w:rsidRPr="00DD4A95">
          <w:rPr>
            <w:rStyle w:val="Hyperlink"/>
            <w:rFonts w:ascii="Arial" w:hAnsi="Arial" w:cs="Arial"/>
            <w:rtl/>
          </w:rPr>
          <w:t>סעיף 144(ג)</w:t>
        </w:r>
      </w:hyperlink>
      <w:r w:rsidRPr="00513D12">
        <w:rPr>
          <w:rFonts w:ascii="Arial" w:hAnsi="Arial" w:cs="Arial"/>
          <w:rtl/>
        </w:rPr>
        <w:t xml:space="preserve"> ל</w:t>
      </w:r>
      <w:hyperlink r:id="rId14" w:history="1">
        <w:r w:rsidR="00685C3E" w:rsidRPr="00685C3E">
          <w:rPr>
            <w:rStyle w:val="Hyperlink"/>
            <w:rFonts w:ascii="Arial" w:hAnsi="Arial" w:cs="Arial"/>
            <w:rtl/>
          </w:rPr>
          <w:t>חוק העונשין</w:t>
        </w:r>
      </w:hyperlink>
      <w:r w:rsidRPr="00513D12">
        <w:rPr>
          <w:rFonts w:ascii="Arial" w:hAnsi="Arial" w:cs="Arial"/>
          <w:rtl/>
        </w:rPr>
        <w:t>, לאחר שהודה, כי בתאריך 03/06/10, בסמוך לשעה 13:30, הגיע לביתו של הנאשם 2 שברהט</w:t>
      </w:r>
      <w:r w:rsidRPr="00513D12">
        <w:rPr>
          <w:rFonts w:ascii="Arial" w:hAnsi="Arial" w:cs="Arial" w:hint="cs"/>
          <w:rtl/>
        </w:rPr>
        <w:t>,</w:t>
      </w:r>
      <w:r w:rsidRPr="00513D12">
        <w:rPr>
          <w:rFonts w:ascii="Arial" w:hAnsi="Arial" w:cs="Arial"/>
          <w:rtl/>
        </w:rPr>
        <w:t xml:space="preserve"> ומסר </w:t>
      </w:r>
      <w:r w:rsidRPr="00513D12">
        <w:rPr>
          <w:rFonts w:ascii="Arial" w:hAnsi="Arial" w:cs="Arial" w:hint="cs"/>
          <w:rtl/>
        </w:rPr>
        <w:t>ל</w:t>
      </w:r>
      <w:r w:rsidRPr="00513D12">
        <w:rPr>
          <w:rFonts w:ascii="Arial" w:hAnsi="Arial" w:cs="Arial"/>
          <w:rtl/>
        </w:rPr>
        <w:t xml:space="preserve">ידי רעייתו אקדח </w:t>
      </w:r>
      <w:r w:rsidRPr="00513D12">
        <w:rPr>
          <w:rFonts w:ascii="Arial" w:hAnsi="Arial" w:cs="Arial"/>
        </w:rPr>
        <w:t>FN</w:t>
      </w:r>
      <w:r w:rsidRPr="00513D12">
        <w:rPr>
          <w:rFonts w:ascii="Arial" w:hAnsi="Arial" w:cs="Arial"/>
          <w:rtl/>
        </w:rPr>
        <w:t xml:space="preserve"> שמספרו </w:t>
      </w:r>
      <w:r w:rsidRPr="00513D12">
        <w:rPr>
          <w:rFonts w:ascii="Arial" w:hAnsi="Arial" w:cs="Arial"/>
        </w:rPr>
        <w:t>c88699</w:t>
      </w:r>
      <w:r w:rsidRPr="00513D12">
        <w:rPr>
          <w:rFonts w:ascii="Arial" w:hAnsi="Arial" w:cs="Arial"/>
          <w:rtl/>
        </w:rPr>
        <w:t xml:space="preserve"> וכן 2 מחסניות לאקדח ובהן כדורים 9 מ"מ, וביקש ממנה לאחסן את הנשק בביתה. הנאשם הודה, כי במעשיו אלה החזיק בנשק מבלי ש</w:t>
      </w:r>
      <w:r w:rsidRPr="00513D12">
        <w:rPr>
          <w:rFonts w:ascii="Arial" w:hAnsi="Arial" w:cs="Arial" w:hint="cs"/>
          <w:rtl/>
        </w:rPr>
        <w:t>היית</w:t>
      </w:r>
      <w:r w:rsidRPr="00513D12">
        <w:rPr>
          <w:rFonts w:ascii="Arial" w:hAnsi="Arial" w:cs="Arial"/>
          <w:rtl/>
        </w:rPr>
        <w:t>ה לו רשות על פי דין לעשות כן.</w:t>
      </w:r>
    </w:p>
    <w:p w14:paraId="16D7DB83" w14:textId="77777777" w:rsidR="00E44C48" w:rsidRPr="00513D12" w:rsidRDefault="00E44C48">
      <w:pPr>
        <w:spacing w:line="360" w:lineRule="auto"/>
        <w:jc w:val="both"/>
        <w:rPr>
          <w:rFonts w:ascii="Arial" w:hAnsi="Arial" w:cs="Arial"/>
          <w:rtl/>
        </w:rPr>
      </w:pPr>
    </w:p>
    <w:p w14:paraId="720CF526" w14:textId="77777777" w:rsidR="00E44C48" w:rsidRPr="00513D12" w:rsidRDefault="00513D12">
      <w:pPr>
        <w:spacing w:line="360" w:lineRule="auto"/>
        <w:ind w:left="720" w:hanging="720"/>
        <w:jc w:val="both"/>
        <w:rPr>
          <w:rFonts w:ascii="Arial" w:hAnsi="Arial" w:cs="Arial"/>
          <w:rtl/>
        </w:rPr>
      </w:pPr>
      <w:r w:rsidRPr="00513D12">
        <w:rPr>
          <w:rFonts w:ascii="Arial" w:hAnsi="Arial" w:cs="Arial"/>
          <w:rtl/>
        </w:rPr>
        <w:t>3.</w:t>
      </w:r>
      <w:r w:rsidRPr="00513D12">
        <w:rPr>
          <w:rFonts w:ascii="Arial" w:hAnsi="Arial" w:cs="Arial"/>
          <w:rtl/>
        </w:rPr>
        <w:tab/>
      </w:r>
      <w:r w:rsidRPr="00513D12">
        <w:rPr>
          <w:rFonts w:ascii="Arial" w:hAnsi="Arial" w:cs="Arial" w:hint="cs"/>
          <w:rtl/>
        </w:rPr>
        <w:t>בהתאם להסדר הטיעון, הוגשו תסקירים מטעם שירות המבחן על הנאשם. מתסקירים אלה עולה, כי הנאשם כבן 33, נשוי ואב לשלושה ילדים. הוא מתגורר ברהט, נמצא כעת בתנאים מגבילים ועובד בעבודות שונות. הוא תומך באמו, המרותקת לכסא גלגלים מאז אירוע מוחי שחוותה לפני כ-14 שנים, ובדודתו החולנית והסובלת מעיוורון. אביו נפטר לפני כארבע שנים ממחלת ריאות.</w:t>
      </w:r>
    </w:p>
    <w:p w14:paraId="7625945C" w14:textId="77777777" w:rsidR="00E44C48" w:rsidRPr="00513D12" w:rsidRDefault="00513D12">
      <w:pPr>
        <w:spacing w:line="360" w:lineRule="auto"/>
        <w:ind w:left="720" w:hanging="720"/>
        <w:jc w:val="both"/>
        <w:rPr>
          <w:rFonts w:ascii="Arial" w:hAnsi="Arial" w:cs="Arial"/>
          <w:rtl/>
        </w:rPr>
      </w:pPr>
      <w:r w:rsidRPr="00513D12">
        <w:rPr>
          <w:rFonts w:ascii="Arial" w:hAnsi="Arial" w:cs="Arial" w:hint="cs"/>
          <w:rtl/>
        </w:rPr>
        <w:tab/>
        <w:t xml:space="preserve">תחילה כפר הנאשם בפני שירות המבחן במיוחס לו באישום הראשון, דבר שהוסבר על ידי הסנגור כאי הבנה, ואף הנאשם חזר בו מדבריו אלה בתסקיר הנוסף שהוגש עליו. הפעם הודה, כי קשר קשר עם אחרים לפגוע במתלונן בשל סכסוך בין המשפחות, אם כי התקשה לבחון את הדינמיקה המקדימה לקשירת הקשר, ונמנע מלבחון לעומק את אופי וטיב קשריו עם האחרים, את התכנון והיוזמה, ואת עצם קשירת הקשר. ובאשר לעבירת החזקת הנשק נשוא האישום השני, טען הנאשם, כי מדובר בנשק אשר היה שייך לאביו, ללא היתר, אך התקשה להסביר את נסיבות החזקת הנשק ברשותו. הוא טען, כי במועד המצויין באישום השני, לקח את הנשק למקום עבודתו וכן לביתו, ולאחר מכן העביר אותו לאשת בן דודו על מנת שתשגיח עליו, ואז נתפס על ידי השוטרים, אשר הגיעו לביתם. שירות המבחן ציין, כי </w:t>
      </w:r>
      <w:r w:rsidRPr="00513D12">
        <w:rPr>
          <w:rFonts w:ascii="Arial" w:hAnsi="Arial" w:cs="Arial" w:hint="cs"/>
          <w:b/>
          <w:bCs/>
          <w:rtl/>
        </w:rPr>
        <w:t>"</w:t>
      </w:r>
      <w:r w:rsidRPr="00513D12">
        <w:rPr>
          <w:rFonts w:ascii="Arial" w:hAnsi="Arial" w:cs="Miriam" w:hint="cs"/>
          <w:b/>
          <w:bCs/>
          <w:rtl/>
        </w:rPr>
        <w:t>בתיאורו את העבירות התקשה לבחון את התנהגותו במסגרתן במונחים של אחריות אישית. נטה לנקוט בעמדה קורבנית באשר להליך המשפטי הנוכחי וכן לתאר באופן מטשטש וחלקי את התנהגותו במסגרת העבירה</w:t>
      </w:r>
      <w:r w:rsidRPr="00513D12">
        <w:rPr>
          <w:rFonts w:ascii="Arial" w:hAnsi="Arial" w:cs="Arial" w:hint="cs"/>
          <w:b/>
          <w:bCs/>
          <w:rtl/>
        </w:rPr>
        <w:t>"</w:t>
      </w:r>
      <w:r w:rsidRPr="00513D12">
        <w:rPr>
          <w:rFonts w:ascii="Arial" w:hAnsi="Arial" w:cs="Arial" w:hint="cs"/>
          <w:rtl/>
        </w:rPr>
        <w:t xml:space="preserve">. עוד התרשם </w:t>
      </w:r>
      <w:r w:rsidRPr="00513D12">
        <w:rPr>
          <w:rFonts w:ascii="Arial" w:hAnsi="Arial" w:cs="Arial" w:hint="cs"/>
          <w:rtl/>
        </w:rPr>
        <w:tab/>
        <w:t xml:space="preserve">שירות המבחן, כי הנאשם משתמש במנגנוני הגנה של טשטוש </w:t>
      </w:r>
      <w:r w:rsidRPr="00513D12">
        <w:rPr>
          <w:rFonts w:ascii="Arial" w:hAnsi="Arial" w:cs="Arial" w:hint="cs"/>
          <w:rtl/>
        </w:rPr>
        <w:lastRenderedPageBreak/>
        <w:t>והימנעות, והוא בעל קושי משמעותי בבחינה עצמית בהקשר להתנהגותו פורצת הגבולות; וכן מתקשה להסביר את הפער בין מעורבותו הפלילית לבין הצגתו כאדם בעל מערכת ערכים נורמטיבית ותפיסה מחייבת כלפי מערכת החוק. הוא גם התקשה להביע אמפתיה כלפי המתלונן.</w:t>
      </w:r>
    </w:p>
    <w:p w14:paraId="1AB97A72" w14:textId="77777777" w:rsidR="00E44C48" w:rsidRPr="00513D12" w:rsidRDefault="00513D12">
      <w:pPr>
        <w:spacing w:line="360" w:lineRule="auto"/>
        <w:ind w:left="720" w:hanging="720"/>
        <w:jc w:val="both"/>
        <w:rPr>
          <w:rFonts w:ascii="Arial" w:hAnsi="Arial" w:cs="Arial"/>
          <w:rtl/>
        </w:rPr>
      </w:pPr>
      <w:r w:rsidRPr="00513D12">
        <w:rPr>
          <w:rFonts w:ascii="Arial" w:hAnsi="Arial" w:cs="Arial" w:hint="cs"/>
          <w:rtl/>
        </w:rPr>
        <w:tab/>
        <w:t>בסופם של דברים ציין שירות המבחן:</w:t>
      </w:r>
    </w:p>
    <w:p w14:paraId="589B25FA" w14:textId="77777777" w:rsidR="00E44C48" w:rsidRPr="00513D12" w:rsidRDefault="00513D12">
      <w:pPr>
        <w:ind w:left="1275" w:right="567" w:hanging="720"/>
        <w:jc w:val="both"/>
        <w:rPr>
          <w:rFonts w:ascii="Arial" w:hAnsi="Arial" w:cs="Arial"/>
          <w:rtl/>
        </w:rPr>
      </w:pPr>
      <w:r w:rsidRPr="00513D12">
        <w:rPr>
          <w:rFonts w:ascii="Arial" w:hAnsi="Arial" w:cs="Arial" w:hint="cs"/>
          <w:rtl/>
        </w:rPr>
        <w:tab/>
        <w:t>"</w:t>
      </w:r>
      <w:r w:rsidRPr="00513D12">
        <w:rPr>
          <w:rFonts w:ascii="Arial" w:hAnsi="Arial" w:cs="Miriam" w:hint="cs"/>
          <w:b/>
          <w:bCs/>
          <w:rtl/>
        </w:rPr>
        <w:t>לאור התרשמותנו כאמור וקשייו לערוך בדיקה פנימית ביחס למשמעות התנהגותו והפגיעה באחר, אנו שבים על המלצתנו בנוגע לענישה מוחשית בדמות של מאסר בדרך של עבודות שירות... וכן על ענישה הרתעתית אשר תהווה מסר חד משמעי באשר למשמעות מעשיו. כמו כן, אנו ממליצים על ענישה של פיצוי לקורבן</w:t>
      </w:r>
      <w:r w:rsidRPr="00513D12">
        <w:rPr>
          <w:rFonts w:ascii="Arial" w:hAnsi="Arial" w:cs="Arial" w:hint="cs"/>
          <w:b/>
          <w:bCs/>
          <w:rtl/>
        </w:rPr>
        <w:t>"</w:t>
      </w:r>
      <w:r w:rsidRPr="00513D12">
        <w:rPr>
          <w:rFonts w:ascii="Arial" w:hAnsi="Arial" w:cs="Arial" w:hint="cs"/>
          <w:rtl/>
        </w:rPr>
        <w:t>.</w:t>
      </w:r>
    </w:p>
    <w:p w14:paraId="530CDB5C" w14:textId="77777777" w:rsidR="00E44C48" w:rsidRPr="00513D12" w:rsidRDefault="00E44C48">
      <w:pPr>
        <w:spacing w:line="360" w:lineRule="auto"/>
        <w:ind w:left="720" w:hanging="720"/>
        <w:jc w:val="both"/>
        <w:rPr>
          <w:rFonts w:ascii="Arial" w:hAnsi="Arial" w:cs="Arial"/>
          <w:rtl/>
        </w:rPr>
      </w:pPr>
    </w:p>
    <w:p w14:paraId="2F4835B5" w14:textId="77777777" w:rsidR="00E44C48" w:rsidRPr="00513D12" w:rsidRDefault="00E44C48">
      <w:pPr>
        <w:spacing w:line="360" w:lineRule="auto"/>
        <w:ind w:left="555" w:hanging="555"/>
        <w:jc w:val="both"/>
        <w:rPr>
          <w:rFonts w:ascii="Arial" w:hAnsi="Arial" w:cs="Arial"/>
          <w:rtl/>
        </w:rPr>
      </w:pPr>
    </w:p>
    <w:p w14:paraId="00414011" w14:textId="77777777" w:rsidR="00513D12" w:rsidRPr="00513D12" w:rsidRDefault="00513D12">
      <w:pPr>
        <w:spacing w:line="360" w:lineRule="auto"/>
        <w:ind w:left="555" w:hanging="555"/>
        <w:jc w:val="both"/>
        <w:rPr>
          <w:rFonts w:ascii="Arial" w:hAnsi="Arial" w:cs="Arial"/>
          <w:rtl/>
        </w:rPr>
      </w:pPr>
      <w:r w:rsidRPr="00513D12">
        <w:rPr>
          <w:rFonts w:ascii="Arial" w:hAnsi="Arial" w:cs="Arial"/>
          <w:rtl/>
        </w:rPr>
        <w:t>4.</w:t>
      </w:r>
      <w:r w:rsidRPr="00513D12">
        <w:rPr>
          <w:rFonts w:ascii="Arial" w:hAnsi="Arial" w:cs="Arial"/>
          <w:rtl/>
        </w:rPr>
        <w:tab/>
      </w:r>
      <w:r w:rsidRPr="00513D12">
        <w:rPr>
          <w:rFonts w:ascii="Arial" w:hAnsi="Arial" w:cs="Arial" w:hint="cs"/>
          <w:rtl/>
        </w:rPr>
        <w:t xml:space="preserve">בטיעוניה לעונש עמדה התובעת המלומדה, עו"ד סיגל דהן-הירש, על חומרת העבירות שביצע הנאשם ועל הפסיקה המחייבת ענישה מחמירה בגין עבירות אלה. לעמדתה, מתחם העונש ההולם לעבירות אלה, בהתבסס על הפסיקה הנוהגת, הפגיעה בערך </w:t>
      </w:r>
    </w:p>
    <w:p w14:paraId="62438173" w14:textId="77777777" w:rsidR="00513D12" w:rsidRPr="00513D12" w:rsidRDefault="00513D12" w:rsidP="00513D12">
      <w:pPr>
        <w:spacing w:line="360" w:lineRule="auto"/>
        <w:ind w:left="555" w:hanging="555"/>
        <w:jc w:val="center"/>
        <w:rPr>
          <w:rFonts w:ascii="Arial" w:hAnsi="Arial" w:cs="Arial"/>
          <w:bCs/>
          <w:rtl/>
        </w:rPr>
      </w:pPr>
      <w:r w:rsidRPr="00513D12">
        <w:rPr>
          <w:rFonts w:ascii="Arial" w:hAnsi="Arial" w:cs="Arial"/>
          <w:bCs/>
          <w:rtl/>
        </w:rPr>
        <w:t>החברתי המוגן ונסיבות ביצוע העבירות, נע בין 18 ל-36 חודשי מאסר בפועל, בנוסף</w:t>
      </w:r>
    </w:p>
    <w:p w14:paraId="52C9F83D" w14:textId="77777777" w:rsidR="00E44C48" w:rsidRDefault="00513D12">
      <w:pPr>
        <w:spacing w:line="360" w:lineRule="auto"/>
        <w:ind w:left="555" w:hanging="555"/>
        <w:jc w:val="both"/>
        <w:rPr>
          <w:rFonts w:ascii="Arial" w:hAnsi="Arial" w:cs="Arial"/>
          <w:rtl/>
        </w:rPr>
      </w:pPr>
      <w:r>
        <w:rPr>
          <w:rFonts w:ascii="Arial" w:hAnsi="Arial" w:cs="Arial" w:hint="cs"/>
          <w:rtl/>
        </w:rPr>
        <w:t xml:space="preserve">לעונש מאסר מותנה וקנס. היא הוסיפה, כי נוכח השימוש התכוף של עבריינים בנשק חם, על ביהמ"ש להגן, באמצעות ענישה מחמירה, על ביטחון הציבור בישראל, כאשר מידת הפגיעה בערך מוגן זה, במקרה שבפנינו, רב, בעיקר נוכח העברת הנשק לידי אחר מבלי שניתן לצפות לאן יתגלגל בסופו של דבר. </w:t>
      </w:r>
    </w:p>
    <w:p w14:paraId="29450DC2" w14:textId="77777777" w:rsidR="00E44C48" w:rsidRDefault="00E44C48">
      <w:pPr>
        <w:spacing w:line="360" w:lineRule="auto"/>
        <w:ind w:left="555" w:hanging="555"/>
        <w:jc w:val="both"/>
        <w:rPr>
          <w:rFonts w:ascii="Arial" w:hAnsi="Arial" w:cs="Arial"/>
          <w:rtl/>
        </w:rPr>
      </w:pPr>
    </w:p>
    <w:p w14:paraId="592D9DE5" w14:textId="77777777" w:rsidR="00E44C48" w:rsidRDefault="00513D12">
      <w:pPr>
        <w:spacing w:line="360" w:lineRule="auto"/>
        <w:ind w:left="555" w:hanging="555"/>
        <w:jc w:val="both"/>
        <w:rPr>
          <w:rFonts w:ascii="Arial" w:hAnsi="Arial" w:cs="Arial"/>
          <w:rtl/>
        </w:rPr>
      </w:pPr>
      <w:r>
        <w:rPr>
          <w:rFonts w:ascii="Arial" w:hAnsi="Arial" w:cs="Arial" w:hint="cs"/>
          <w:rtl/>
        </w:rPr>
        <w:tab/>
        <w:t>לעומתה סבר הסנגור המלומד, עו"ד בן יהודה, כי ניתן להסתפק בענישה המוצעת על ידי שירות המבחן, היינו מאסר בדרך של עבודות שירות. הוא הדגיש את עובדת היות הנאשם חסר הרשעות קודמות; את העובדה שהנשק המדובר אך היה בחזקתו של הנאשם, בעוד היה בבעלות אביו טרם נפטר, והעברתו לידי אשת בן דודו לא נעשתה למטרות עברייניות כל שהן; וגם את העובדה שעל אותה אישה, שבידיה נתפס הנשק בסופו של דבר, הוטל רק עונש מאסר מותנה לצד קנס. הסנגור גם השווה את העונש המבוקש על ידי המאשימה לעונשים שהוטלו על הנאשמים האחרים, וטען, כי לא יהיה זה נכון להחמיר עם מרשו אך בשל האישום השני, דבר החורג וסוטה מכלל האחידות בענישה.</w:t>
      </w:r>
    </w:p>
    <w:p w14:paraId="460F52E7" w14:textId="77777777" w:rsidR="00E44C48" w:rsidRDefault="00513D12">
      <w:pPr>
        <w:spacing w:line="360" w:lineRule="auto"/>
        <w:ind w:left="555"/>
        <w:jc w:val="both"/>
        <w:rPr>
          <w:rFonts w:ascii="Arial" w:hAnsi="Arial" w:cs="Arial"/>
          <w:rtl/>
        </w:rPr>
      </w:pPr>
      <w:r>
        <w:rPr>
          <w:rFonts w:ascii="Arial" w:hAnsi="Arial" w:cs="Arial" w:hint="cs"/>
          <w:rtl/>
        </w:rPr>
        <w:t xml:space="preserve">אשר לנשק נשוא כתב האישום ציין הסנגור, כי טענת הנאשם, שמדובר בנשק ש"ירש" מאביו, לא נסתרה, כמו שגם אין כל ראיה שהנאשם התכוון לבצע מעשה פלילי כלשהו באמצעותו. </w:t>
      </w:r>
    </w:p>
    <w:p w14:paraId="54EC334B" w14:textId="77777777" w:rsidR="00E44C48" w:rsidRDefault="00513D12">
      <w:pPr>
        <w:spacing w:line="360" w:lineRule="auto"/>
        <w:ind w:left="555"/>
        <w:jc w:val="both"/>
        <w:rPr>
          <w:rFonts w:ascii="Arial" w:hAnsi="Arial" w:cs="Arial"/>
          <w:rtl/>
        </w:rPr>
      </w:pPr>
      <w:r>
        <w:rPr>
          <w:rFonts w:ascii="Arial" w:hAnsi="Arial" w:cs="Arial" w:hint="cs"/>
          <w:rtl/>
        </w:rPr>
        <w:t xml:space="preserve">עוד הדגיש הסנגור את חלוף הזמן מאז ביצוע העבירה, כאשר אך צירוף שני האישומים הוא שגרם להתמשכות ההליכים, דבר שאינו באחריות הנאשם ואף גרם לו לעינוי דין. </w:t>
      </w:r>
    </w:p>
    <w:p w14:paraId="0478BA1D" w14:textId="77777777" w:rsidR="00E44C48" w:rsidRDefault="00513D12">
      <w:pPr>
        <w:spacing w:line="360" w:lineRule="auto"/>
        <w:ind w:left="555" w:hanging="555"/>
        <w:jc w:val="both"/>
        <w:rPr>
          <w:rFonts w:ascii="Arial" w:hAnsi="Arial" w:cs="Arial"/>
          <w:rtl/>
        </w:rPr>
      </w:pPr>
      <w:r>
        <w:rPr>
          <w:rFonts w:ascii="Arial" w:hAnsi="Arial" w:cs="Arial" w:hint="cs"/>
          <w:rtl/>
        </w:rPr>
        <w:tab/>
        <w:t xml:space="preserve">הסנגור ביקש להתחשב גם בהודיית הנאשם; בהמלצות החיוביות של שירות המבחן ובנסיבות חייו, כאשר הדגיש את תמיכת הנאשם במשפחתו הגרעינית אך גם באמו ודודתו, שהוא היחיד המטפל בנשים נכות אלה </w:t>
      </w:r>
      <w:r>
        <w:rPr>
          <w:rFonts w:ascii="Arial" w:hAnsi="Arial" w:cs="Arial" w:hint="cs"/>
          <w:sz w:val="20"/>
          <w:szCs w:val="20"/>
          <w:rtl/>
        </w:rPr>
        <w:t>(על מצבן הרפואי הגיש הסנגור מסמכים רפואיים)</w:t>
      </w:r>
      <w:r>
        <w:rPr>
          <w:rFonts w:ascii="Arial" w:hAnsi="Arial" w:cs="Arial" w:hint="cs"/>
          <w:rtl/>
        </w:rPr>
        <w:t xml:space="preserve">. </w:t>
      </w:r>
    </w:p>
    <w:p w14:paraId="2688934C" w14:textId="77777777" w:rsidR="00E44C48" w:rsidRDefault="00E44C48">
      <w:pPr>
        <w:spacing w:line="360" w:lineRule="auto"/>
        <w:ind w:left="555" w:hanging="555"/>
        <w:jc w:val="both"/>
        <w:rPr>
          <w:rFonts w:ascii="Arial" w:hAnsi="Arial" w:cs="Arial"/>
          <w:rtl/>
        </w:rPr>
      </w:pPr>
    </w:p>
    <w:p w14:paraId="60879D41" w14:textId="77777777" w:rsidR="00E44C48" w:rsidRDefault="00513D12">
      <w:pPr>
        <w:spacing w:line="360" w:lineRule="auto"/>
        <w:ind w:left="555" w:hanging="555"/>
        <w:jc w:val="both"/>
        <w:rPr>
          <w:rFonts w:ascii="Arial" w:hAnsi="Arial" w:cs="Arial"/>
          <w:rtl/>
        </w:rPr>
      </w:pPr>
      <w:r>
        <w:rPr>
          <w:rFonts w:ascii="Arial" w:hAnsi="Arial" w:cs="Arial" w:hint="cs"/>
          <w:rtl/>
        </w:rPr>
        <w:tab/>
        <w:t>שני הצדדים הפנו לפסיקה ענפה, כל אחד מהם לפסיקה התואמת את הרמה העונשית שביקש שאאמץ.</w:t>
      </w:r>
    </w:p>
    <w:p w14:paraId="4DA8ADDD" w14:textId="77777777" w:rsidR="00E44C48" w:rsidRDefault="00E44C48">
      <w:pPr>
        <w:spacing w:line="360" w:lineRule="auto"/>
        <w:jc w:val="both"/>
        <w:rPr>
          <w:rFonts w:ascii="Arial" w:hAnsi="Arial" w:cs="Arial"/>
          <w:rtl/>
        </w:rPr>
      </w:pPr>
    </w:p>
    <w:p w14:paraId="5B22DCA9" w14:textId="77777777" w:rsidR="00E44C48" w:rsidRDefault="00513D12">
      <w:pPr>
        <w:spacing w:line="360" w:lineRule="auto"/>
        <w:ind w:left="555" w:hanging="555"/>
        <w:jc w:val="both"/>
        <w:rPr>
          <w:rFonts w:ascii="Arial" w:hAnsi="Arial" w:cs="Arial"/>
          <w:rtl/>
        </w:rPr>
      </w:pPr>
      <w:r>
        <w:rPr>
          <w:rFonts w:ascii="Arial" w:hAnsi="Arial" w:cs="Arial"/>
          <w:rtl/>
        </w:rPr>
        <w:t>5.</w:t>
      </w:r>
      <w:r>
        <w:rPr>
          <w:rFonts w:ascii="Arial" w:hAnsi="Arial" w:cs="Arial"/>
          <w:rtl/>
        </w:rPr>
        <w:tab/>
      </w:r>
      <w:r>
        <w:rPr>
          <w:rFonts w:ascii="Arial" w:hAnsi="Arial" w:cs="Arial" w:hint="cs"/>
          <w:rtl/>
        </w:rPr>
        <w:t xml:space="preserve">הנאשם פנה לביהמ"ש וביקש להתחשב במשפחתו. לדבריו </w:t>
      </w:r>
      <w:r>
        <w:rPr>
          <w:rFonts w:ascii="Arial" w:hAnsi="Arial" w:cs="Arial"/>
          <w:rtl/>
        </w:rPr>
        <w:t>–</w:t>
      </w:r>
      <w:r>
        <w:rPr>
          <w:rFonts w:ascii="Arial" w:hAnsi="Arial" w:cs="Arial" w:hint="cs"/>
          <w:rtl/>
        </w:rPr>
        <w:t xml:space="preserve"> טעה, והוא מצטער על טעותו, והבטיח שלא יחזור </w:t>
      </w:r>
      <w:r>
        <w:rPr>
          <w:rFonts w:ascii="Arial" w:hAnsi="Arial" w:cs="Arial" w:hint="cs"/>
          <w:b/>
          <w:bCs/>
          <w:rtl/>
        </w:rPr>
        <w:t>"</w:t>
      </w:r>
      <w:r>
        <w:rPr>
          <w:rFonts w:ascii="Arial" w:hAnsi="Arial" w:cs="Miriam" w:hint="cs"/>
          <w:b/>
          <w:bCs/>
          <w:rtl/>
        </w:rPr>
        <w:t>על העבירות האלה, אני לא בשביל זה בכלל</w:t>
      </w:r>
      <w:r>
        <w:rPr>
          <w:rFonts w:ascii="Arial" w:hAnsi="Arial" w:cs="Arial" w:hint="cs"/>
          <w:b/>
          <w:bCs/>
          <w:rtl/>
        </w:rPr>
        <w:t>"</w:t>
      </w:r>
      <w:r>
        <w:rPr>
          <w:rFonts w:ascii="Arial" w:hAnsi="Arial" w:cs="Arial" w:hint="cs"/>
          <w:rtl/>
        </w:rPr>
        <w:t>.</w:t>
      </w:r>
    </w:p>
    <w:p w14:paraId="63783661" w14:textId="77777777" w:rsidR="00E44C48" w:rsidRDefault="00513D12" w:rsidP="00DD4A95">
      <w:pPr>
        <w:spacing w:line="360" w:lineRule="auto"/>
        <w:ind w:left="555" w:hanging="555"/>
        <w:jc w:val="both"/>
        <w:rPr>
          <w:rFonts w:ascii="Arial" w:hAnsi="Arial" w:cs="Arial"/>
        </w:rPr>
      </w:pPr>
      <w:r>
        <w:rPr>
          <w:rFonts w:ascii="Arial" w:hAnsi="Arial" w:cs="Arial" w:hint="cs"/>
          <w:rtl/>
        </w:rPr>
        <w:t>6.</w:t>
      </w:r>
      <w:r>
        <w:rPr>
          <w:rFonts w:ascii="Arial" w:hAnsi="Arial" w:cs="Arial" w:hint="cs"/>
          <w:rtl/>
        </w:rPr>
        <w:tab/>
      </w:r>
      <w:r>
        <w:rPr>
          <w:rFonts w:cs="Arial"/>
          <w:noProof w:val="0"/>
          <w:rtl/>
        </w:rPr>
        <w:t>לפני כשנה נכנס לתוקף תיקון מספר 113 ל</w:t>
      </w:r>
      <w:hyperlink r:id="rId15" w:history="1">
        <w:r w:rsidR="00685C3E" w:rsidRPr="00685C3E">
          <w:rPr>
            <w:rStyle w:val="Hyperlink"/>
            <w:rFonts w:cs="Arial"/>
            <w:noProof w:val="0"/>
            <w:rtl/>
          </w:rPr>
          <w:t>חוק העונשין</w:t>
        </w:r>
      </w:hyperlink>
      <w:r>
        <w:rPr>
          <w:rFonts w:cs="Arial"/>
          <w:noProof w:val="0"/>
          <w:rtl/>
        </w:rPr>
        <w:t xml:space="preserve">, אשר מטרתו היא להבנות את שיקול-דעתו של בית המשפט במלאכת גזירת הדין בהתאם לעקרונות ושיקולים מנחים, המפורטים בסעיפיו של </w:t>
      </w:r>
      <w:r>
        <w:rPr>
          <w:rFonts w:cs="Arial"/>
          <w:noProof w:val="0"/>
          <w:sz w:val="22"/>
          <w:rtl/>
        </w:rPr>
        <w:t xml:space="preserve">סימן </w:t>
      </w:r>
      <w:hyperlink r:id="rId16" w:history="1">
        <w:r w:rsidR="00DD4A95" w:rsidRPr="00DD4A95">
          <w:rPr>
            <w:rStyle w:val="Hyperlink"/>
            <w:rFonts w:cs="Arial"/>
            <w:noProof w:val="0"/>
            <w:sz w:val="22"/>
            <w:rtl/>
          </w:rPr>
          <w:t>א1</w:t>
        </w:r>
      </w:hyperlink>
      <w:r>
        <w:rPr>
          <w:rFonts w:cs="Arial"/>
          <w:noProof w:val="0"/>
          <w:sz w:val="22"/>
          <w:rtl/>
        </w:rPr>
        <w:t xml:space="preserve"> בפרק ו'</w:t>
      </w:r>
      <w:r>
        <w:rPr>
          <w:rFonts w:cs="Arial"/>
          <w:noProof w:val="0"/>
          <w:rtl/>
        </w:rPr>
        <w:t xml:space="preserve"> לחוק זה. בגדרו של התיקון לחוק, ניתנה הבכורה לעקרון ההלימה, אשר נועד להבטיח, כי טיב ומידת העונש שיושת על הנאשם, יהלמו את חומרת מעשה העבירה בנסיבותיו ואת מידת אשמו של הנאשם </w:t>
      </w:r>
      <w:r>
        <w:rPr>
          <w:rFonts w:cs="Arial"/>
          <w:noProof w:val="0"/>
          <w:sz w:val="20"/>
          <w:szCs w:val="20"/>
          <w:rtl/>
        </w:rPr>
        <w:t xml:space="preserve">(סעיף </w:t>
      </w:r>
      <w:hyperlink r:id="rId17" w:history="1">
        <w:r w:rsidR="00DD4A95" w:rsidRPr="00DD4A95">
          <w:rPr>
            <w:rStyle w:val="Hyperlink"/>
            <w:rFonts w:cs="Arial"/>
            <w:noProof w:val="0"/>
            <w:sz w:val="20"/>
            <w:szCs w:val="20"/>
            <w:rtl/>
          </w:rPr>
          <w:t>40ב</w:t>
        </w:r>
      </w:hyperlink>
      <w:r>
        <w:rPr>
          <w:rFonts w:cs="Arial"/>
          <w:noProof w:val="0"/>
          <w:sz w:val="20"/>
          <w:szCs w:val="20"/>
          <w:rtl/>
        </w:rPr>
        <w:t>)</w:t>
      </w:r>
      <w:r>
        <w:rPr>
          <w:rFonts w:cs="Arial"/>
          <w:noProof w:val="0"/>
          <w:rtl/>
        </w:rPr>
        <w:t xml:space="preserve">. לשם הגשמת עיקרון זה, קובע החוק מנגנון תלת-שלבי שראשיתו בקביעת מתחם העונש ההולם וסופו בקביעת העונש המתאים לנאשם בתוך המתחם שנקבע, תוך אפשרות לחרוג מהמתחם משיקולי שיקום </w:t>
      </w:r>
      <w:r>
        <w:rPr>
          <w:rFonts w:cs="Arial"/>
          <w:noProof w:val="0"/>
          <w:sz w:val="20"/>
          <w:szCs w:val="20"/>
          <w:rtl/>
        </w:rPr>
        <w:t>(לקולה)</w:t>
      </w:r>
      <w:r>
        <w:rPr>
          <w:rFonts w:cs="Arial"/>
          <w:noProof w:val="0"/>
          <w:rtl/>
        </w:rPr>
        <w:t xml:space="preserve"> או הגנה על שלום הציבור </w:t>
      </w:r>
      <w:r>
        <w:rPr>
          <w:rFonts w:cs="Arial"/>
          <w:noProof w:val="0"/>
          <w:sz w:val="20"/>
          <w:szCs w:val="20"/>
          <w:rtl/>
        </w:rPr>
        <w:t>(לחומרה)</w:t>
      </w:r>
      <w:r>
        <w:rPr>
          <w:rFonts w:cs="Arial"/>
          <w:noProof w:val="0"/>
          <w:rtl/>
        </w:rPr>
        <w:t xml:space="preserve">. </w:t>
      </w:r>
    </w:p>
    <w:p w14:paraId="15CB122A" w14:textId="77777777" w:rsidR="00E44C48" w:rsidRDefault="00513D12">
      <w:pPr>
        <w:spacing w:line="360" w:lineRule="auto"/>
        <w:ind w:left="555"/>
        <w:jc w:val="both"/>
        <w:rPr>
          <w:rFonts w:cs="Arial"/>
          <w:b/>
          <w:bCs/>
          <w:noProof w:val="0"/>
          <w:rtl/>
        </w:rPr>
      </w:pPr>
      <w:r>
        <w:rPr>
          <w:rFonts w:cs="Arial"/>
          <w:noProof w:val="0"/>
          <w:rtl/>
        </w:rPr>
        <w:t>נקבע ב</w:t>
      </w:r>
      <w:hyperlink r:id="rId18" w:history="1">
        <w:r w:rsidR="00685C3E" w:rsidRPr="00685C3E">
          <w:rPr>
            <w:rStyle w:val="Hyperlink"/>
            <w:rFonts w:cs="Arial"/>
            <w:noProof w:val="0"/>
            <w:rtl/>
          </w:rPr>
          <w:t>ע"פ 1323/13</w:t>
        </w:r>
      </w:hyperlink>
      <w:r>
        <w:rPr>
          <w:rFonts w:cs="Arial"/>
          <w:noProof w:val="0"/>
          <w:rtl/>
        </w:rPr>
        <w:t xml:space="preserve"> </w:t>
      </w:r>
      <w:r>
        <w:rPr>
          <w:rFonts w:cs="Arial"/>
          <w:b/>
          <w:bCs/>
          <w:noProof w:val="0"/>
          <w:rtl/>
        </w:rPr>
        <w:t>רך חסן ואח</w:t>
      </w:r>
      <w:r>
        <w:rPr>
          <w:rFonts w:cs="Arial" w:hint="cs"/>
          <w:b/>
          <w:bCs/>
          <w:noProof w:val="0"/>
          <w:rtl/>
        </w:rPr>
        <w:t>'</w:t>
      </w:r>
      <w:r>
        <w:rPr>
          <w:rFonts w:cs="Arial"/>
          <w:b/>
          <w:bCs/>
          <w:noProof w:val="0"/>
          <w:rtl/>
        </w:rPr>
        <w:t xml:space="preserve"> נ' מדינת ישראל </w:t>
      </w:r>
      <w:r>
        <w:rPr>
          <w:rFonts w:cs="Arial"/>
          <w:noProof w:val="0"/>
          <w:sz w:val="20"/>
          <w:szCs w:val="20"/>
          <w:rtl/>
        </w:rPr>
        <w:t>(חוות דעתה של כב' השופטת ארבל מיום 05/06/13)</w:t>
      </w:r>
      <w:r>
        <w:rPr>
          <w:rFonts w:cs="Arial"/>
          <w:noProof w:val="0"/>
          <w:rtl/>
        </w:rPr>
        <w:t>, פס"ד שעניינו הענישה הראויה בעבירות הקשורות בנשק, כדלהלן:</w:t>
      </w:r>
      <w:r>
        <w:rPr>
          <w:rFonts w:cs="Arial"/>
          <w:b/>
          <w:bCs/>
          <w:noProof w:val="0"/>
          <w:rtl/>
        </w:rPr>
        <w:t xml:space="preserve"> </w:t>
      </w:r>
    </w:p>
    <w:p w14:paraId="2A849074" w14:textId="77777777" w:rsidR="00E44C48" w:rsidRDefault="00513D12">
      <w:pPr>
        <w:tabs>
          <w:tab w:val="left" w:pos="7766"/>
        </w:tabs>
        <w:ind w:left="1440" w:right="360"/>
        <w:jc w:val="both"/>
        <w:rPr>
          <w:rFonts w:cs="Arial"/>
          <w:noProof w:val="0"/>
          <w:sz w:val="20"/>
          <w:szCs w:val="20"/>
          <w:rtl/>
        </w:rPr>
      </w:pPr>
      <w:r>
        <w:rPr>
          <w:rFonts w:cs="Arial"/>
          <w:b/>
          <w:bCs/>
          <w:noProof w:val="0"/>
          <w:rtl/>
        </w:rPr>
        <w:t>"</w:t>
      </w:r>
      <w:r>
        <w:rPr>
          <w:rFonts w:cs="Miriam"/>
          <w:b/>
          <w:bCs/>
          <w:noProof w:val="0"/>
          <w:rtl/>
        </w:rPr>
        <w:t xml:space="preserve">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w:t>
      </w:r>
      <w:r>
        <w:rPr>
          <w:rFonts w:cs="Miriam"/>
          <w:b/>
          <w:bCs/>
          <w:noProof w:val="0"/>
          <w:sz w:val="22"/>
          <w:rtl/>
        </w:rPr>
        <w:t>שבהן היא בוצעה (למשל: קיומו של תכנון מוקדם, נזק בכוח ובפועל, מידת אכזריות כלפי ה</w:t>
      </w:r>
      <w:r>
        <w:rPr>
          <w:rFonts w:cs="Miriam"/>
          <w:b/>
          <w:bCs/>
          <w:noProof w:val="0"/>
          <w:rtl/>
        </w:rPr>
        <w:t>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w:t>
      </w:r>
      <w:r>
        <w:rPr>
          <w:rFonts w:cs="Arial"/>
          <w:noProof w:val="0"/>
          <w:rtl/>
        </w:rPr>
        <w:t>"</w:t>
      </w:r>
      <w:r>
        <w:rPr>
          <w:rFonts w:cs="Arial"/>
          <w:noProof w:val="0"/>
          <w:sz w:val="20"/>
          <w:szCs w:val="20"/>
          <w:rtl/>
        </w:rPr>
        <w:t xml:space="preserve"> (סעיף 7 לפסה"ד). </w:t>
      </w:r>
    </w:p>
    <w:p w14:paraId="3AA678A6" w14:textId="77777777" w:rsidR="00E44C48" w:rsidRDefault="00E44C48">
      <w:pPr>
        <w:spacing w:line="360" w:lineRule="auto"/>
        <w:jc w:val="both"/>
        <w:rPr>
          <w:rFonts w:cs="Arial"/>
          <w:noProof w:val="0"/>
          <w:rtl/>
        </w:rPr>
      </w:pPr>
    </w:p>
    <w:p w14:paraId="1F6F4F39" w14:textId="77777777" w:rsidR="00E44C48" w:rsidRDefault="00513D12">
      <w:pPr>
        <w:spacing w:line="360" w:lineRule="auto"/>
        <w:ind w:left="720"/>
        <w:jc w:val="both"/>
        <w:rPr>
          <w:rFonts w:cs="Arial"/>
          <w:noProof w:val="0"/>
          <w:sz w:val="22"/>
          <w:rtl/>
        </w:rPr>
      </w:pPr>
      <w:r>
        <w:rPr>
          <w:rFonts w:cs="Arial"/>
          <w:noProof w:val="0"/>
          <w:sz w:val="22"/>
          <w:rtl/>
        </w:rPr>
        <w:t xml:space="preserve">עוד נקבע בעניין </w:t>
      </w:r>
      <w:r>
        <w:rPr>
          <w:rFonts w:cs="Arial"/>
          <w:b/>
          <w:bCs/>
          <w:noProof w:val="0"/>
          <w:sz w:val="22"/>
          <w:rtl/>
        </w:rPr>
        <w:t xml:space="preserve">חסן </w:t>
      </w:r>
      <w:r>
        <w:rPr>
          <w:rFonts w:cs="Arial"/>
          <w:noProof w:val="0"/>
          <w:sz w:val="22"/>
          <w:rtl/>
        </w:rPr>
        <w:t xml:space="preserve">הנ"ל, כי אין לטעות ולזהות בין מתחם העונש ההולם לבין טווח הענישה הנהוג. מתחם העונש ההולם מגלם </w:t>
      </w:r>
      <w:r>
        <w:rPr>
          <w:rFonts w:cs="Arial"/>
          <w:noProof w:val="0"/>
          <w:rtl/>
        </w:rPr>
        <w:t>הכרעה ערכית</w:t>
      </w:r>
      <w:r>
        <w:rPr>
          <w:rFonts w:cs="Arial"/>
          <w:noProof w:val="0"/>
          <w:sz w:val="22"/>
          <w:rtl/>
        </w:rPr>
        <w:t xml:space="preserve"> המבוססת על שיקולים שונים, כאשר מדיניות הענישה הנהוגה בעבירה הנדונה הוא רק אחד מהם. טווח הענישה הנהוג בפסיקה, לעומת זאת, הוא נתון </w:t>
      </w:r>
      <w:r>
        <w:rPr>
          <w:rFonts w:cs="Arial"/>
          <w:noProof w:val="0"/>
          <w:rtl/>
        </w:rPr>
        <w:t>אמפירי-עובדתי</w:t>
      </w:r>
      <w:r>
        <w:rPr>
          <w:rFonts w:cs="Arial"/>
          <w:noProof w:val="0"/>
          <w:sz w:val="22"/>
          <w:rtl/>
        </w:rPr>
        <w:t xml:space="preserve">, המורכב מהעונשים המקובלים בגין עבירה מסוימת בדין הנוהג, והוא כולל בתוכו גם שיקולים שאינם קשורים בביצוע העבירה </w:t>
      </w:r>
      <w:r>
        <w:rPr>
          <w:rFonts w:cs="Arial"/>
          <w:noProof w:val="0"/>
          <w:sz w:val="20"/>
          <w:szCs w:val="20"/>
          <w:rtl/>
        </w:rPr>
        <w:t>(כמו נסיבות אישיות של נאשם)</w:t>
      </w:r>
      <w:r>
        <w:rPr>
          <w:rFonts w:cs="Arial"/>
          <w:noProof w:val="0"/>
          <w:sz w:val="22"/>
          <w:rtl/>
        </w:rPr>
        <w:t xml:space="preserve">, נסיבות שאין לשלבן בבחינת השלב הראשון של קביעת מתחם העונש. </w:t>
      </w:r>
    </w:p>
    <w:p w14:paraId="0C3F0C29" w14:textId="77777777" w:rsidR="00E44C48" w:rsidRDefault="00E44C48">
      <w:pPr>
        <w:spacing w:line="360" w:lineRule="auto"/>
        <w:jc w:val="both"/>
        <w:rPr>
          <w:rFonts w:ascii="Arial" w:hAnsi="Arial" w:cs="Arial"/>
          <w:rtl/>
        </w:rPr>
      </w:pPr>
    </w:p>
    <w:p w14:paraId="69C23B30" w14:textId="77777777" w:rsidR="00E44C48" w:rsidRDefault="00513D12">
      <w:pPr>
        <w:spacing w:line="360" w:lineRule="auto"/>
        <w:ind w:left="555" w:hanging="555"/>
        <w:jc w:val="both"/>
        <w:rPr>
          <w:rFonts w:ascii="Arial" w:hAnsi="Arial" w:cs="Arial"/>
          <w:rtl/>
        </w:rPr>
      </w:pPr>
      <w:r>
        <w:rPr>
          <w:rFonts w:ascii="Arial" w:hAnsi="Arial" w:cs="Arial" w:hint="cs"/>
          <w:rtl/>
        </w:rPr>
        <w:t>7.</w:t>
      </w:r>
      <w:r>
        <w:rPr>
          <w:rFonts w:ascii="Arial" w:hAnsi="Arial" w:cs="Arial" w:hint="cs"/>
          <w:rtl/>
        </w:rPr>
        <w:tab/>
        <w:t>ומן הכלל אל העבירות שעניינן החזקת נשק.</w:t>
      </w:r>
    </w:p>
    <w:p w14:paraId="5B65866A" w14:textId="77777777" w:rsidR="00E44C48" w:rsidRDefault="00E44C48">
      <w:pPr>
        <w:spacing w:line="360" w:lineRule="auto"/>
        <w:ind w:left="555" w:hanging="555"/>
        <w:jc w:val="both"/>
        <w:rPr>
          <w:rFonts w:ascii="Arial" w:hAnsi="Arial" w:cs="Arial"/>
          <w:rtl/>
        </w:rPr>
      </w:pPr>
    </w:p>
    <w:p w14:paraId="60E27283" w14:textId="77777777" w:rsidR="00E44C48" w:rsidRDefault="00513D12">
      <w:pPr>
        <w:spacing w:line="360" w:lineRule="auto"/>
        <w:ind w:left="555"/>
        <w:jc w:val="both"/>
        <w:rPr>
          <w:rFonts w:cs="Arial"/>
          <w:noProof w:val="0"/>
          <w:sz w:val="20"/>
          <w:szCs w:val="20"/>
          <w:rtl/>
        </w:rPr>
      </w:pPr>
      <w:r>
        <w:rPr>
          <w:rFonts w:ascii="Arial" w:hAnsi="Arial" w:cs="Arial" w:hint="cs"/>
          <w:rtl/>
        </w:rPr>
        <w:t>על חומרת העבירות שעניינן נשק, עמד ביהמ"ש העליון בהזדמנויות רבות. בשנים האחרונות אף ניכרת מגמת החמרה בעבירות אלה, תוך שנקבע, כי מדרג הענישה תלוי גם, ואולי אף במידה ניכרת, בסוג הנשק המדובר</w:t>
      </w:r>
      <w:r>
        <w:rPr>
          <w:rFonts w:cs="Arial"/>
          <w:sz w:val="22"/>
          <w:rtl/>
        </w:rPr>
        <w:t xml:space="preserve"> </w:t>
      </w:r>
      <w:r>
        <w:rPr>
          <w:rFonts w:cs="Arial"/>
          <w:sz w:val="20"/>
          <w:szCs w:val="20"/>
          <w:rtl/>
        </w:rPr>
        <w:t xml:space="preserve">(לעניין המגמה של החמרה בענישה בעבירות נשק, המיושמת בפסיקה בשנים האחרונות, ר' למשל: </w:t>
      </w:r>
      <w:hyperlink r:id="rId19" w:history="1">
        <w:r w:rsidR="00685C3E" w:rsidRPr="00685C3E">
          <w:rPr>
            <w:rStyle w:val="Hyperlink"/>
            <w:rFonts w:cs="Arial"/>
            <w:sz w:val="20"/>
            <w:szCs w:val="20"/>
            <w:rtl/>
          </w:rPr>
          <w:t>ע"פ 2251/11</w:t>
        </w:r>
      </w:hyperlink>
      <w:r>
        <w:rPr>
          <w:rFonts w:cs="Arial"/>
          <w:sz w:val="20"/>
          <w:szCs w:val="20"/>
          <w:rtl/>
        </w:rPr>
        <w:t xml:space="preserve"> </w:t>
      </w:r>
      <w:r>
        <w:rPr>
          <w:rFonts w:cs="Arial"/>
          <w:b/>
          <w:bCs/>
          <w:sz w:val="20"/>
          <w:szCs w:val="20"/>
          <w:rtl/>
        </w:rPr>
        <w:t>נפאע נ' מדינת ישראל</w:t>
      </w:r>
      <w:r>
        <w:rPr>
          <w:rFonts w:cs="Arial"/>
          <w:sz w:val="20"/>
          <w:szCs w:val="20"/>
          <w:rtl/>
        </w:rPr>
        <w:t xml:space="preserve"> מיום 4.12.11; </w:t>
      </w:r>
      <w:hyperlink r:id="rId20" w:history="1">
        <w:r w:rsidR="00685C3E" w:rsidRPr="00685C3E">
          <w:rPr>
            <w:rStyle w:val="Hyperlink"/>
            <w:rFonts w:cs="Arial"/>
            <w:sz w:val="20"/>
            <w:szCs w:val="20"/>
            <w:rtl/>
          </w:rPr>
          <w:t>ע"פ 4450/11</w:t>
        </w:r>
      </w:hyperlink>
      <w:r>
        <w:rPr>
          <w:rFonts w:cs="Arial"/>
          <w:sz w:val="20"/>
          <w:szCs w:val="20"/>
          <w:rtl/>
        </w:rPr>
        <w:t xml:space="preserve"> </w:t>
      </w:r>
      <w:r>
        <w:rPr>
          <w:rFonts w:cs="Arial"/>
          <w:b/>
          <w:bCs/>
          <w:sz w:val="20"/>
          <w:szCs w:val="20"/>
          <w:rtl/>
        </w:rPr>
        <w:t>עספור נ' מדינת ישראל</w:t>
      </w:r>
      <w:r>
        <w:rPr>
          <w:rFonts w:cs="Arial"/>
          <w:sz w:val="20"/>
          <w:szCs w:val="20"/>
          <w:rtl/>
        </w:rPr>
        <w:t xml:space="preserve"> מיום 8.2.12 ועוד)</w:t>
      </w:r>
      <w:r>
        <w:rPr>
          <w:rFonts w:ascii="Arial" w:hAnsi="Arial" w:cs="Arial" w:hint="cs"/>
          <w:sz w:val="20"/>
          <w:szCs w:val="20"/>
          <w:rtl/>
        </w:rPr>
        <w:t xml:space="preserve"> .</w:t>
      </w:r>
      <w:r>
        <w:rPr>
          <w:rFonts w:ascii="Arial" w:hAnsi="Arial" w:cs="Arial" w:hint="cs"/>
          <w:sz w:val="20"/>
          <w:szCs w:val="20"/>
          <w:rtl/>
        </w:rPr>
        <w:tab/>
      </w:r>
    </w:p>
    <w:p w14:paraId="6A4FFBE8" w14:textId="77777777" w:rsidR="00E44C48" w:rsidRDefault="00E44C48">
      <w:pPr>
        <w:spacing w:line="360" w:lineRule="auto"/>
        <w:ind w:left="555"/>
        <w:jc w:val="both"/>
        <w:rPr>
          <w:rFonts w:cs="Arial"/>
          <w:noProof w:val="0"/>
          <w:rtl/>
        </w:rPr>
      </w:pPr>
    </w:p>
    <w:p w14:paraId="197FD7D6" w14:textId="77777777" w:rsidR="00E44C48" w:rsidRDefault="00513D12">
      <w:pPr>
        <w:spacing w:line="360" w:lineRule="auto"/>
        <w:ind w:left="555"/>
        <w:jc w:val="both"/>
        <w:rPr>
          <w:rFonts w:cs="Arial"/>
          <w:noProof w:val="0"/>
          <w:rtl/>
        </w:rPr>
      </w:pPr>
      <w:r>
        <w:rPr>
          <w:rFonts w:cs="Arial"/>
          <w:noProof w:val="0"/>
          <w:rtl/>
        </w:rPr>
        <w:t xml:space="preserve">נקבע בעניין </w:t>
      </w:r>
      <w:r>
        <w:rPr>
          <w:rFonts w:cs="Arial"/>
          <w:b/>
          <w:bCs/>
          <w:noProof w:val="0"/>
          <w:rtl/>
        </w:rPr>
        <w:t>חסן</w:t>
      </w:r>
      <w:r>
        <w:rPr>
          <w:rFonts w:cs="Arial"/>
          <w:noProof w:val="0"/>
          <w:rtl/>
        </w:rPr>
        <w:t xml:space="preserve"> המוזכר לעיל, כי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w:t>
      </w:r>
      <w:r>
        <w:rPr>
          <w:rFonts w:cs="Arial" w:hint="cs"/>
          <w:noProof w:val="0"/>
          <w:rtl/>
        </w:rPr>
        <w:t xml:space="preserve">כך, ישנה גם חשיבות לשאלה מה נעשה באותו הנשק, האם הוחזק או נסחר, ומה מטרת ההחזקה או הסחר האמורים. </w:t>
      </w:r>
    </w:p>
    <w:p w14:paraId="5887FD70" w14:textId="77777777" w:rsidR="00E44C48" w:rsidRDefault="00E44C48">
      <w:pPr>
        <w:spacing w:line="360" w:lineRule="auto"/>
        <w:ind w:left="555"/>
        <w:jc w:val="both"/>
        <w:rPr>
          <w:rFonts w:cs="Arial"/>
          <w:noProof w:val="0"/>
          <w:rtl/>
        </w:rPr>
      </w:pPr>
    </w:p>
    <w:p w14:paraId="7412A393" w14:textId="77777777" w:rsidR="00E44C48" w:rsidRDefault="00513D12">
      <w:pPr>
        <w:spacing w:line="360" w:lineRule="auto"/>
        <w:ind w:left="555"/>
        <w:jc w:val="both"/>
        <w:rPr>
          <w:rFonts w:cs="Arial"/>
          <w:noProof w:val="0"/>
          <w:rtl/>
        </w:rPr>
      </w:pPr>
      <w:r>
        <w:rPr>
          <w:rFonts w:cs="Arial"/>
          <w:noProof w:val="0"/>
          <w:rtl/>
        </w:rPr>
        <w:t xml:space="preserve">למעשה, אין כל חידוש בקביעה, כי קיים מדרג ענישה בעבירות המבוצעות בנשק, הנקבע, בין השאר, על-פי סוג, איכות וכמות הנשק שנעשה בו שימוש, </w:t>
      </w:r>
      <w:r>
        <w:rPr>
          <w:rFonts w:cs="Arial" w:hint="cs"/>
          <w:noProof w:val="0"/>
          <w:rtl/>
        </w:rPr>
        <w:t xml:space="preserve">אם נעשה בו שימוש, </w:t>
      </w:r>
      <w:r>
        <w:rPr>
          <w:rFonts w:cs="Arial"/>
          <w:noProof w:val="0"/>
          <w:rtl/>
        </w:rPr>
        <w:t>כפי ש</w:t>
      </w:r>
      <w:r>
        <w:rPr>
          <w:rFonts w:cs="Arial" w:hint="cs"/>
          <w:noProof w:val="0"/>
          <w:rtl/>
        </w:rPr>
        <w:t xml:space="preserve">כבר </w:t>
      </w:r>
      <w:r>
        <w:rPr>
          <w:rFonts w:cs="Arial"/>
          <w:noProof w:val="0"/>
          <w:rtl/>
        </w:rPr>
        <w:t>נפסק ב</w:t>
      </w:r>
      <w:r w:rsidRPr="001442C3">
        <w:rPr>
          <w:rFonts w:cs="Arial"/>
          <w:noProof w:val="0"/>
          <w:color w:val="000000"/>
          <w:rtl/>
        </w:rPr>
        <w:t xml:space="preserve">ע"פ </w:t>
      </w:r>
      <w:hyperlink r:id="rId21" w:history="1">
        <w:r w:rsidR="00E03CBA" w:rsidRPr="00E03CBA">
          <w:rPr>
            <w:rStyle w:val="Hyperlink"/>
            <w:rFonts w:cs="Arial"/>
            <w:noProof w:val="0"/>
            <w:rtl/>
          </w:rPr>
          <w:t xml:space="preserve">1332/04 </w:t>
        </w:r>
      </w:hyperlink>
      <w:r w:rsidRPr="001442C3">
        <w:rPr>
          <w:rFonts w:cs="Arial"/>
          <w:noProof w:val="0"/>
          <w:color w:val="000000"/>
          <w:rtl/>
        </w:rPr>
        <w:t xml:space="preserve"> פס נ' מדינת ישראל (פ"ד נח</w:t>
      </w:r>
      <w:r>
        <w:rPr>
          <w:rFonts w:cs="Arial"/>
          <w:noProof w:val="0"/>
          <w:sz w:val="20"/>
          <w:szCs w:val="20"/>
          <w:rtl/>
        </w:rPr>
        <w:t>(5) 541, 544, 2004)</w:t>
      </w:r>
      <w:r>
        <w:rPr>
          <w:rFonts w:cs="Arial"/>
          <w:noProof w:val="0"/>
          <w:rtl/>
        </w:rPr>
        <w:t>:</w:t>
      </w:r>
    </w:p>
    <w:p w14:paraId="0A1A4234" w14:textId="77777777" w:rsidR="00E44C48" w:rsidRDefault="00513D12">
      <w:pPr>
        <w:ind w:left="1440" w:right="567"/>
        <w:jc w:val="both"/>
        <w:rPr>
          <w:rFonts w:cs="Miriam"/>
          <w:b/>
          <w:bCs/>
          <w:noProof w:val="0"/>
          <w:sz w:val="22"/>
          <w:rtl/>
        </w:rPr>
      </w:pPr>
      <w:r>
        <w:rPr>
          <w:rFonts w:cs="Arial"/>
          <w:noProof w:val="0"/>
          <w:sz w:val="22"/>
          <w:rtl/>
        </w:rPr>
        <w:t>"</w:t>
      </w:r>
      <w:r>
        <w:rPr>
          <w:rFonts w:cs="Miriam"/>
          <w:b/>
          <w:bCs/>
          <w:noProof w:val="0"/>
          <w:sz w:val="22"/>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w:t>
      </w:r>
      <w:r>
        <w:rPr>
          <w:rFonts w:cs="Miriam" w:hint="cs"/>
          <w:b/>
          <w:bCs/>
          <w:noProof w:val="0"/>
          <w:sz w:val="22"/>
          <w:rtl/>
        </w:rPr>
        <w:t>..</w:t>
      </w:r>
      <w:r>
        <w:rPr>
          <w:rFonts w:cs="Miriam"/>
          <w:b/>
          <w:bCs/>
          <w:noProof w:val="0"/>
          <w:sz w:val="22"/>
          <w:rtl/>
        </w:rPr>
        <w:t xml:space="preserve">. </w:t>
      </w:r>
    </w:p>
    <w:p w14:paraId="2C6A8BD9" w14:textId="77777777" w:rsidR="00E44C48" w:rsidRDefault="00513D12">
      <w:pPr>
        <w:ind w:left="1440" w:right="567"/>
        <w:jc w:val="both"/>
        <w:rPr>
          <w:rFonts w:cs="Arial"/>
          <w:noProof w:val="0"/>
          <w:sz w:val="22"/>
          <w:rtl/>
        </w:rPr>
      </w:pPr>
      <w:r>
        <w:rPr>
          <w:rFonts w:cs="Miriam"/>
          <w:b/>
          <w:bCs/>
          <w:noProof w:val="0"/>
          <w:sz w:val="22"/>
          <w:rtl/>
        </w:rPr>
        <w:t>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cs="Arial"/>
          <w:noProof w:val="0"/>
          <w:sz w:val="22"/>
          <w:rtl/>
        </w:rPr>
        <w:t xml:space="preserve">." </w:t>
      </w:r>
    </w:p>
    <w:p w14:paraId="0E83DE33" w14:textId="77777777" w:rsidR="00E44C48" w:rsidRDefault="00E44C48">
      <w:pPr>
        <w:spacing w:line="360" w:lineRule="auto"/>
        <w:ind w:left="555"/>
        <w:jc w:val="both"/>
        <w:rPr>
          <w:rFonts w:cs="Arial"/>
          <w:noProof w:val="0"/>
          <w:rtl/>
        </w:rPr>
      </w:pPr>
    </w:p>
    <w:p w14:paraId="73F00040" w14:textId="77777777" w:rsidR="00E44C48" w:rsidRDefault="00513D12">
      <w:pPr>
        <w:spacing w:line="360" w:lineRule="auto"/>
        <w:ind w:left="720"/>
        <w:jc w:val="both"/>
        <w:rPr>
          <w:rFonts w:cs="Arial"/>
          <w:sz w:val="22"/>
          <w:rtl/>
        </w:rPr>
      </w:pPr>
      <w:r>
        <w:rPr>
          <w:rFonts w:cs="Arial"/>
          <w:sz w:val="22"/>
          <w:rtl/>
        </w:rPr>
        <w:t>הסכנה הטמונה ב</w:t>
      </w:r>
      <w:r>
        <w:rPr>
          <w:rFonts w:cs="Arial" w:hint="cs"/>
          <w:sz w:val="22"/>
          <w:rtl/>
        </w:rPr>
        <w:t xml:space="preserve">החזקת אקדח, כמו במקרה שבפנינו, אולי </w:t>
      </w:r>
      <w:r>
        <w:rPr>
          <w:rFonts w:cs="Arial"/>
          <w:sz w:val="22"/>
          <w:rtl/>
        </w:rPr>
        <w:t>אינה משתווה לזו של</w:t>
      </w:r>
      <w:r>
        <w:rPr>
          <w:rFonts w:cs="Arial" w:hint="cs"/>
          <w:sz w:val="22"/>
          <w:rtl/>
        </w:rPr>
        <w:t xml:space="preserve"> החזקת</w:t>
      </w:r>
      <w:r>
        <w:rPr>
          <w:rFonts w:cs="Arial"/>
          <w:sz w:val="22"/>
          <w:rtl/>
        </w:rPr>
        <w:t xml:space="preserve"> כלי נשק אחרים</w:t>
      </w:r>
      <w:r>
        <w:rPr>
          <w:rFonts w:cs="Arial" w:hint="cs"/>
          <w:sz w:val="22"/>
          <w:rtl/>
        </w:rPr>
        <w:t xml:space="preserve"> בעלי עוצמת הרג רבה יותר</w:t>
      </w:r>
      <w:r>
        <w:rPr>
          <w:rFonts w:cs="Arial"/>
          <w:sz w:val="22"/>
          <w:rtl/>
        </w:rPr>
        <w:t xml:space="preserve">, אולם עדיין מדובר בנשק </w:t>
      </w:r>
      <w:r>
        <w:rPr>
          <w:rFonts w:cs="Arial" w:hint="cs"/>
          <w:sz w:val="22"/>
          <w:rtl/>
        </w:rPr>
        <w:t xml:space="preserve">קטלני </w:t>
      </w:r>
      <w:r>
        <w:rPr>
          <w:rFonts w:cs="Arial"/>
          <w:sz w:val="22"/>
          <w:rtl/>
        </w:rPr>
        <w:t xml:space="preserve">שבכוחו לגרום </w:t>
      </w:r>
      <w:r>
        <w:rPr>
          <w:rFonts w:cs="Arial" w:hint="cs"/>
          <w:sz w:val="22"/>
          <w:rtl/>
        </w:rPr>
        <w:t>להרג של בני אדם, בוודאי לפציעתם. קל וחומר, כשהנשק מוחזק בידיים לא אמונות ולא מיומנות לכך. אמנם נכון, כי בענייננו לא הוכחה מטרת החזקת הנשק, ולא הוכח הקשר בין האישומים בהם הורשע הנאשם, אולם, כפי שגם צויין לעיל, כאשר מדובר בהחזקת נשק, העבירה, על פי טיבה, היא בעלת חומרה יתרה ופוטנציאל סיכון רב.</w:t>
      </w:r>
    </w:p>
    <w:p w14:paraId="59467A27" w14:textId="77777777" w:rsidR="00E44C48" w:rsidRDefault="00513D12">
      <w:pPr>
        <w:spacing w:line="360" w:lineRule="auto"/>
        <w:ind w:left="720"/>
        <w:jc w:val="both"/>
        <w:rPr>
          <w:rFonts w:cs="Arial"/>
          <w:noProof w:val="0"/>
          <w:sz w:val="22"/>
          <w:rtl/>
        </w:rPr>
      </w:pPr>
      <w:r>
        <w:rPr>
          <w:rFonts w:cs="Arial" w:hint="cs"/>
          <w:noProof w:val="0"/>
          <w:sz w:val="22"/>
          <w:rtl/>
        </w:rPr>
        <w:t xml:space="preserve">ועוד. </w:t>
      </w:r>
      <w:r>
        <w:rPr>
          <w:rFonts w:cs="Arial"/>
          <w:noProof w:val="0"/>
          <w:sz w:val="22"/>
          <w:rtl/>
        </w:rPr>
        <w:t>נוכח היקפן המתרחב של עבירות המבוצעות בנשק, וזמינותו המדאיגה של נשק בלתי חוקי במחוזותינו, יש צורך להחמיר בעונשים המוטלים בעבירות אלה. נקבע</w:t>
      </w:r>
      <w:r>
        <w:rPr>
          <w:rFonts w:cs="Arial" w:hint="cs"/>
          <w:noProof w:val="0"/>
          <w:sz w:val="22"/>
          <w:rtl/>
        </w:rPr>
        <w:t xml:space="preserve"> בפסיקה</w:t>
      </w:r>
      <w:r>
        <w:rPr>
          <w:rFonts w:cs="Arial"/>
          <w:noProof w:val="0"/>
          <w:sz w:val="22"/>
          <w:rtl/>
        </w:rPr>
        <w:t xml:space="preserve">, כי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p>
    <w:p w14:paraId="7FC92160" w14:textId="77777777" w:rsidR="00E44C48" w:rsidRDefault="00E44C48">
      <w:pPr>
        <w:spacing w:line="360" w:lineRule="auto"/>
        <w:ind w:left="720"/>
        <w:jc w:val="both"/>
        <w:rPr>
          <w:rFonts w:cs="Arial"/>
          <w:noProof w:val="0"/>
          <w:sz w:val="22"/>
          <w:rtl/>
        </w:rPr>
      </w:pPr>
    </w:p>
    <w:p w14:paraId="62125FB3" w14:textId="77777777" w:rsidR="00E44C48" w:rsidRDefault="00E44C48">
      <w:pPr>
        <w:spacing w:line="360" w:lineRule="auto"/>
        <w:ind w:left="720"/>
        <w:jc w:val="both"/>
        <w:rPr>
          <w:rFonts w:cs="Arial"/>
          <w:noProof w:val="0"/>
          <w:sz w:val="22"/>
          <w:rtl/>
        </w:rPr>
      </w:pPr>
    </w:p>
    <w:p w14:paraId="75EE51BB" w14:textId="77777777" w:rsidR="00E44C48" w:rsidRDefault="00513D12">
      <w:pPr>
        <w:spacing w:line="360" w:lineRule="auto"/>
        <w:ind w:left="720"/>
        <w:jc w:val="both"/>
        <w:rPr>
          <w:rFonts w:cs="Arial"/>
          <w:noProof w:val="0"/>
          <w:sz w:val="22"/>
          <w:rtl/>
        </w:rPr>
      </w:pPr>
      <w:r>
        <w:rPr>
          <w:rFonts w:cs="Arial"/>
          <w:noProof w:val="0"/>
          <w:sz w:val="22"/>
          <w:rtl/>
        </w:rPr>
        <w:t xml:space="preserve">הסכנה הנשקפת לציבור כתוצאה מעבירות </w:t>
      </w:r>
      <w:r>
        <w:rPr>
          <w:rFonts w:cs="Arial" w:hint="cs"/>
          <w:noProof w:val="0"/>
          <w:sz w:val="22"/>
          <w:rtl/>
        </w:rPr>
        <w:t>הקשורות בהחזקת נשק</w:t>
      </w:r>
      <w:r>
        <w:rPr>
          <w:rFonts w:cs="Arial"/>
          <w:noProof w:val="0"/>
          <w:sz w:val="22"/>
          <w:rtl/>
        </w:rPr>
        <w:t>,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w:t>
      </w:r>
      <w:r>
        <w:rPr>
          <w:rFonts w:cs="Arial" w:hint="cs"/>
          <w:noProof w:val="0"/>
          <w:sz w:val="22"/>
          <w:rtl/>
        </w:rPr>
        <w:t>.</w:t>
      </w:r>
      <w:r>
        <w:rPr>
          <w:rFonts w:cs="Arial"/>
          <w:noProof w:val="0"/>
          <w:sz w:val="22"/>
          <w:rtl/>
        </w:rPr>
        <w:t xml:space="preserve"> </w:t>
      </w:r>
      <w:r>
        <w:rPr>
          <w:rFonts w:cs="Arial" w:hint="cs"/>
          <w:noProof w:val="0"/>
          <w:sz w:val="22"/>
          <w:rtl/>
        </w:rPr>
        <w:t xml:space="preserve">אם כי, יש לעשות כן </w:t>
      </w:r>
      <w:r>
        <w:rPr>
          <w:rFonts w:cs="Arial"/>
          <w:noProof w:val="0"/>
          <w:sz w:val="22"/>
          <w:rtl/>
        </w:rPr>
        <w:t xml:space="preserve">בהדרגה </w:t>
      </w:r>
      <w:r>
        <w:rPr>
          <w:rFonts w:cs="Arial"/>
          <w:noProof w:val="0"/>
          <w:sz w:val="20"/>
          <w:szCs w:val="20"/>
          <w:rtl/>
        </w:rPr>
        <w:t xml:space="preserve">(ר' בעניין </w:t>
      </w:r>
      <w:r>
        <w:rPr>
          <w:rFonts w:cs="Arial"/>
          <w:b/>
          <w:bCs/>
          <w:noProof w:val="0"/>
          <w:sz w:val="20"/>
          <w:szCs w:val="20"/>
          <w:rtl/>
        </w:rPr>
        <w:t>חסן</w:t>
      </w:r>
      <w:r>
        <w:rPr>
          <w:rFonts w:cs="Arial"/>
          <w:noProof w:val="0"/>
          <w:sz w:val="20"/>
          <w:szCs w:val="20"/>
          <w:rtl/>
        </w:rPr>
        <w:t xml:space="preserve"> הנ"ל)</w:t>
      </w:r>
      <w:r>
        <w:rPr>
          <w:rFonts w:cs="Arial"/>
          <w:noProof w:val="0"/>
          <w:sz w:val="22"/>
          <w:rtl/>
        </w:rPr>
        <w:t>.</w:t>
      </w:r>
    </w:p>
    <w:p w14:paraId="52C26EDD" w14:textId="77777777" w:rsidR="00E44C48" w:rsidRDefault="00E44C48">
      <w:pPr>
        <w:spacing w:line="360" w:lineRule="auto"/>
        <w:ind w:left="720"/>
        <w:jc w:val="both"/>
        <w:rPr>
          <w:rFonts w:cs="Arial"/>
          <w:sz w:val="22"/>
          <w:rtl/>
        </w:rPr>
      </w:pPr>
    </w:p>
    <w:p w14:paraId="0823FEE9" w14:textId="77777777" w:rsidR="00E44C48" w:rsidRDefault="00513D12">
      <w:pPr>
        <w:spacing w:line="360" w:lineRule="auto"/>
        <w:ind w:left="720"/>
        <w:jc w:val="both"/>
        <w:rPr>
          <w:rFonts w:cs="Arial"/>
          <w:sz w:val="22"/>
          <w:rtl/>
        </w:rPr>
      </w:pPr>
      <w:r>
        <w:rPr>
          <w:rFonts w:cs="Arial" w:hint="cs"/>
          <w:sz w:val="22"/>
          <w:rtl/>
        </w:rPr>
        <w:t>ואין לשכוח גם את האישום הראשון, במסגרתו הורשע הנאשם בביצוע עבירה של קשירת קשר. אלא, שנוכח העונשים שנגזרו על שותפיו של הנאשם לאישום זה, נדמה, כי ניתן לשלב את מתחם העונש הראוי בגינו עם המתחם הראוי בגין עבירת החזקת הנשק, כפי שאף נעשה על ידי הצדדים בטיעוניהם.</w:t>
      </w:r>
    </w:p>
    <w:p w14:paraId="67F6F653" w14:textId="77777777" w:rsidR="00E44C48" w:rsidRDefault="00E44C48">
      <w:pPr>
        <w:spacing w:line="360" w:lineRule="auto"/>
        <w:ind w:left="720"/>
        <w:jc w:val="both"/>
        <w:rPr>
          <w:rFonts w:cs="Arial"/>
          <w:sz w:val="22"/>
          <w:rtl/>
        </w:rPr>
      </w:pPr>
    </w:p>
    <w:p w14:paraId="0854CB83" w14:textId="77777777" w:rsidR="00E44C48" w:rsidRDefault="00513D12">
      <w:pPr>
        <w:spacing w:line="360" w:lineRule="auto"/>
        <w:ind w:left="720"/>
        <w:jc w:val="both"/>
        <w:rPr>
          <w:rFonts w:ascii="Arial" w:hAnsi="Arial" w:cs="Arial"/>
          <w:rtl/>
        </w:rPr>
      </w:pPr>
      <w:r>
        <w:rPr>
          <w:rFonts w:cs="Arial" w:hint="cs"/>
          <w:sz w:val="22"/>
          <w:rtl/>
        </w:rPr>
        <w:t xml:space="preserve">לפיכך, ועל מנת להגן על הערך של שלום הציבור ובריאותו, ותוך שקילת המדיניות העונשית הנהוגה, תוך שימת הדגש לכך שאין המדובר בעבירות סחר בנשק אלא בהחזקת נשק "בלבד" וכן ליתר הנסיבות המפורטות בכתב האישום; לכך, שלא ידוע על תכנון מוקדם </w:t>
      </w:r>
      <w:r>
        <w:rPr>
          <w:rFonts w:cs="Arial" w:hint="cs"/>
          <w:sz w:val="20"/>
          <w:szCs w:val="20"/>
          <w:rtl/>
        </w:rPr>
        <w:t>(שכן כתב האישום אינו קושר, עובדתית, בין שני האישומים שהוגשו כנגד הנאשם)</w:t>
      </w:r>
      <w:r>
        <w:rPr>
          <w:rFonts w:cs="Arial" w:hint="cs"/>
          <w:sz w:val="22"/>
          <w:rtl/>
        </w:rPr>
        <w:t xml:space="preserve">; ולנזק שצפוי היה להיגרם לו הגיע האקדח לידיים עברייניות, </w:t>
      </w:r>
      <w:r>
        <w:rPr>
          <w:rFonts w:ascii="Arial" w:hAnsi="Arial" w:cs="Arial" w:hint="cs"/>
          <w:rtl/>
        </w:rPr>
        <w:t>ניתן לקבוע, כי מתחם העונש ההולם, לגבי כל מעשי הנאשם, נע בין 12 ל-36 חודשי מאסר.</w:t>
      </w:r>
    </w:p>
    <w:p w14:paraId="38100FA5" w14:textId="77777777" w:rsidR="00E44C48" w:rsidRDefault="00E44C48">
      <w:pPr>
        <w:spacing w:line="360" w:lineRule="auto"/>
        <w:jc w:val="both"/>
        <w:rPr>
          <w:rFonts w:ascii="Arial" w:hAnsi="Arial" w:cs="Arial"/>
          <w:rtl/>
        </w:rPr>
      </w:pPr>
    </w:p>
    <w:p w14:paraId="5B35097A" w14:textId="77777777" w:rsidR="00E44C48" w:rsidRDefault="00513D12">
      <w:pPr>
        <w:spacing w:line="360" w:lineRule="auto"/>
        <w:ind w:left="720" w:hanging="720"/>
        <w:jc w:val="both"/>
        <w:rPr>
          <w:rFonts w:ascii="Arial" w:hAnsi="Arial" w:cs="Arial"/>
          <w:rtl/>
        </w:rPr>
      </w:pPr>
      <w:r>
        <w:rPr>
          <w:rFonts w:ascii="Arial" w:hAnsi="Arial" w:cs="Arial" w:hint="cs"/>
          <w:rtl/>
        </w:rPr>
        <w:t>8.</w:t>
      </w:r>
      <w:r>
        <w:rPr>
          <w:rFonts w:ascii="Arial" w:hAnsi="Arial" w:cs="Arial" w:hint="cs"/>
          <w:rtl/>
        </w:rPr>
        <w:tab/>
        <w:t>בתוך המתחם האמור, ולאור נסיבותיו האישיות של הנאשם; שלושת ילדיו הסמוכים על שולחנו; הטיפול המסור שהוא נותן לאמו ולדודתו הנכות הומתגוררות בביתו; היעדר עבר פלילי; חלוף הזמן מאז ביצוע העבירה; העובדה, כי נסיבות החזקת הנשק לא התבררו במלואן ובכל מקרה גרסת הנאשם בעניין זה לא נסתרה; אני דנה את הנאשם לעונשים הבאים:</w:t>
      </w:r>
    </w:p>
    <w:p w14:paraId="1CB973AD" w14:textId="77777777" w:rsidR="00E44C48" w:rsidRDefault="00E44C48">
      <w:pPr>
        <w:spacing w:line="360" w:lineRule="auto"/>
        <w:ind w:left="720" w:hanging="720"/>
        <w:jc w:val="both"/>
        <w:rPr>
          <w:rFonts w:ascii="Arial" w:hAnsi="Arial" w:cs="Arial"/>
          <w:rtl/>
        </w:rPr>
      </w:pPr>
    </w:p>
    <w:p w14:paraId="11976BF9" w14:textId="77777777" w:rsidR="00E44C48" w:rsidRDefault="00513D12">
      <w:pPr>
        <w:spacing w:line="360" w:lineRule="auto"/>
        <w:jc w:val="both"/>
        <w:rPr>
          <w:rFonts w:ascii="Arial" w:hAnsi="Arial" w:cs="Arial"/>
          <w:rtl/>
        </w:rPr>
      </w:pPr>
      <w:r>
        <w:rPr>
          <w:rFonts w:ascii="Arial" w:hAnsi="Arial" w:cs="Arial" w:hint="cs"/>
          <w:rtl/>
        </w:rPr>
        <w:tab/>
        <w:t>א.</w:t>
      </w:r>
      <w:r>
        <w:rPr>
          <w:rFonts w:ascii="Arial" w:hAnsi="Arial" w:cs="Arial" w:hint="cs"/>
          <w:rtl/>
        </w:rPr>
        <w:tab/>
        <w:t>מאסר בפועל למשך 15 חודשים בניכוי הימים בהם היה במעצר בתיק זה.</w:t>
      </w:r>
    </w:p>
    <w:p w14:paraId="7915E4CE" w14:textId="77777777" w:rsidR="00E44C48" w:rsidRDefault="00E44C48">
      <w:pPr>
        <w:spacing w:line="360" w:lineRule="auto"/>
        <w:jc w:val="both"/>
        <w:rPr>
          <w:rFonts w:ascii="Arial" w:hAnsi="Arial" w:cs="Arial"/>
          <w:rtl/>
        </w:rPr>
      </w:pPr>
    </w:p>
    <w:p w14:paraId="57F79943" w14:textId="77777777" w:rsidR="00E44C48" w:rsidRDefault="00513D12">
      <w:pPr>
        <w:spacing w:line="360" w:lineRule="auto"/>
        <w:ind w:left="720" w:hanging="720"/>
        <w:jc w:val="both"/>
        <w:rPr>
          <w:rFonts w:ascii="Arial" w:hAnsi="Arial" w:cs="Arial"/>
          <w:rtl/>
        </w:rPr>
      </w:pPr>
      <w:r>
        <w:rPr>
          <w:rFonts w:ascii="Arial" w:hAnsi="Arial" w:cs="Arial" w:hint="cs"/>
          <w:rtl/>
        </w:rPr>
        <w:tab/>
        <w:t>ב.</w:t>
      </w:r>
      <w:r>
        <w:rPr>
          <w:rFonts w:ascii="Arial" w:hAnsi="Arial" w:cs="Arial" w:hint="cs"/>
          <w:rtl/>
        </w:rPr>
        <w:tab/>
        <w:t xml:space="preserve">מאסר על תנאי למשך 10 חודשים, והתנאי שהנאשם לא יעבור כל עבירה מסוג </w:t>
      </w:r>
      <w:r>
        <w:rPr>
          <w:rFonts w:ascii="Arial" w:hAnsi="Arial" w:cs="Arial"/>
          <w:rtl/>
        </w:rPr>
        <w:tab/>
      </w:r>
      <w:r>
        <w:rPr>
          <w:rFonts w:ascii="Arial" w:hAnsi="Arial" w:cs="Arial" w:hint="cs"/>
          <w:rtl/>
        </w:rPr>
        <w:t>פשע או את העבירות בהן הורשע, תוך 3 שנים מיום שחרורו.</w:t>
      </w:r>
    </w:p>
    <w:p w14:paraId="50BF84DE" w14:textId="77777777" w:rsidR="00E44C48" w:rsidRDefault="00E44C48">
      <w:pPr>
        <w:spacing w:line="360" w:lineRule="auto"/>
        <w:ind w:left="720" w:hanging="720"/>
        <w:jc w:val="both"/>
        <w:rPr>
          <w:rFonts w:ascii="Arial" w:hAnsi="Arial" w:cs="Arial"/>
          <w:rtl/>
        </w:rPr>
      </w:pPr>
    </w:p>
    <w:p w14:paraId="5E591735" w14:textId="77777777" w:rsidR="00E44C48" w:rsidRDefault="00E44C48">
      <w:pPr>
        <w:rPr>
          <w:rFonts w:ascii="Arial" w:hAnsi="Arial" w:cs="Arial"/>
          <w:rtl/>
        </w:rPr>
      </w:pPr>
    </w:p>
    <w:p w14:paraId="1ADC2EF0" w14:textId="77777777" w:rsidR="00E44C48" w:rsidRDefault="00513D12">
      <w:pPr>
        <w:spacing w:line="360" w:lineRule="auto"/>
        <w:ind w:left="720"/>
        <w:jc w:val="both"/>
        <w:rPr>
          <w:rFonts w:ascii="Arial" w:hAnsi="Arial" w:cs="Arial"/>
          <w:rtl/>
        </w:rPr>
      </w:pPr>
      <w:r>
        <w:rPr>
          <w:rFonts w:ascii="Arial" w:hAnsi="Arial" w:cs="Arial" w:hint="cs"/>
          <w:rtl/>
        </w:rPr>
        <w:t>הנאשם יתייצב לתחילת ריצוי עונשו בתאריך 04/08/13 עד השעה 08:00 בכלא דקל שבמתחם כלא באר-שבע. מוצע לנאשם להיות בקשר עם מנהלת הכלא עוד טרם המועד האמור, על מנת להסדיר את קליטתו בכלא במועד שנקבע.</w:t>
      </w:r>
    </w:p>
    <w:p w14:paraId="0C016922" w14:textId="77777777" w:rsidR="00E44C48" w:rsidRDefault="00E44C48">
      <w:pPr>
        <w:spacing w:line="360" w:lineRule="auto"/>
        <w:ind w:left="720"/>
        <w:jc w:val="both"/>
        <w:rPr>
          <w:rFonts w:ascii="Arial" w:hAnsi="Arial" w:cs="Arial"/>
          <w:rtl/>
        </w:rPr>
      </w:pPr>
    </w:p>
    <w:p w14:paraId="2D2AFCD1" w14:textId="77777777" w:rsidR="00E44C48" w:rsidRDefault="00E44C48">
      <w:pPr>
        <w:spacing w:line="360" w:lineRule="auto"/>
        <w:ind w:left="720"/>
        <w:jc w:val="both"/>
        <w:rPr>
          <w:rFonts w:ascii="Arial" w:hAnsi="Arial" w:cs="Arial"/>
          <w:rtl/>
        </w:rPr>
      </w:pPr>
    </w:p>
    <w:p w14:paraId="6531B1FE" w14:textId="77777777" w:rsidR="00E44C48" w:rsidRDefault="00E44C48">
      <w:pPr>
        <w:spacing w:line="360" w:lineRule="auto"/>
        <w:ind w:left="720"/>
        <w:jc w:val="both"/>
        <w:rPr>
          <w:rFonts w:ascii="Arial" w:hAnsi="Arial" w:cs="Arial"/>
          <w:rtl/>
        </w:rPr>
      </w:pPr>
    </w:p>
    <w:p w14:paraId="3E8655D5" w14:textId="77777777" w:rsidR="00E44C48" w:rsidRDefault="00513D12">
      <w:pPr>
        <w:spacing w:line="360" w:lineRule="auto"/>
        <w:ind w:left="720"/>
        <w:jc w:val="both"/>
        <w:rPr>
          <w:rFonts w:ascii="Arial" w:hAnsi="Arial" w:cs="Arial"/>
          <w:rtl/>
        </w:rPr>
      </w:pPr>
      <w:r>
        <w:rPr>
          <w:rFonts w:ascii="Arial" w:hAnsi="Arial" w:cs="Arial" w:hint="cs"/>
          <w:rtl/>
        </w:rPr>
        <w:t xml:space="preserve">באם הנאשם נמצא בתנאי שחרור </w:t>
      </w:r>
      <w:r>
        <w:rPr>
          <w:rFonts w:ascii="Arial" w:hAnsi="Arial" w:cs="Arial"/>
          <w:rtl/>
        </w:rPr>
        <w:t>–</w:t>
      </w:r>
      <w:r>
        <w:rPr>
          <w:rFonts w:ascii="Arial" w:hAnsi="Arial" w:cs="Arial" w:hint="cs"/>
          <w:rtl/>
        </w:rPr>
        <w:t xml:space="preserve"> אלה ימשיכו לחול עד להתייצבותו לתחילת ריצוי עונשו.</w:t>
      </w:r>
    </w:p>
    <w:p w14:paraId="4297B02F" w14:textId="77777777" w:rsidR="00E44C48" w:rsidRDefault="00513D12">
      <w:pPr>
        <w:spacing w:line="360" w:lineRule="auto"/>
        <w:ind w:left="720"/>
        <w:jc w:val="both"/>
        <w:rPr>
          <w:rFonts w:ascii="Arial" w:hAnsi="Arial" w:cs="Arial"/>
          <w:rtl/>
        </w:rPr>
      </w:pPr>
      <w:r>
        <w:rPr>
          <w:rFonts w:ascii="Arial" w:hAnsi="Arial" w:cs="Arial" w:hint="cs"/>
          <w:rtl/>
        </w:rPr>
        <w:t>מוצא בזאת צו עיכוב יציאה מן הארץ כנגד הנאשם, עד להתייצבותו לתחילת ריצוי עונשו.</w:t>
      </w:r>
    </w:p>
    <w:p w14:paraId="504ED2D1" w14:textId="77777777" w:rsidR="00E44C48" w:rsidRDefault="00E44C48">
      <w:pPr>
        <w:spacing w:line="360" w:lineRule="auto"/>
        <w:ind w:left="720"/>
        <w:jc w:val="both"/>
        <w:rPr>
          <w:rFonts w:ascii="Arial" w:hAnsi="Arial" w:cs="Arial"/>
          <w:rtl/>
        </w:rPr>
      </w:pPr>
    </w:p>
    <w:p w14:paraId="7AFA6A4C" w14:textId="77777777" w:rsidR="00E44C48" w:rsidRDefault="00E44C48">
      <w:pPr>
        <w:spacing w:line="360" w:lineRule="auto"/>
        <w:jc w:val="both"/>
        <w:rPr>
          <w:rFonts w:ascii="Arial" w:hAnsi="Arial" w:cs="Arial"/>
          <w:rtl/>
        </w:rPr>
      </w:pPr>
    </w:p>
    <w:p w14:paraId="73CCE5A9" w14:textId="77777777" w:rsidR="00E44C48" w:rsidRDefault="00E44C48">
      <w:pPr>
        <w:spacing w:line="360" w:lineRule="auto"/>
        <w:jc w:val="both"/>
        <w:rPr>
          <w:rFonts w:ascii="Arial" w:hAnsi="Arial" w:cs="Arial"/>
          <w:rtl/>
        </w:rPr>
      </w:pPr>
    </w:p>
    <w:p w14:paraId="16936E92" w14:textId="77777777" w:rsidR="00E44C48" w:rsidRDefault="00513D12">
      <w:pPr>
        <w:rPr>
          <w:rFonts w:ascii="Arial" w:hAnsi="Arial" w:cs="Arial"/>
          <w:b/>
          <w:bCs/>
          <w:rtl/>
        </w:rPr>
      </w:pPr>
      <w:r>
        <w:rPr>
          <w:rFonts w:ascii="Arial" w:hAnsi="Arial" w:cs="Arial" w:hint="cs"/>
          <w:b/>
          <w:bCs/>
          <w:rtl/>
        </w:rPr>
        <w:t>זכות ערעור תוך 45 יום לביהמ"ש העליון.</w:t>
      </w:r>
    </w:p>
    <w:p w14:paraId="3105995A" w14:textId="77777777" w:rsidR="00E44C48" w:rsidRDefault="00E44C48">
      <w:pPr>
        <w:rPr>
          <w:rFonts w:ascii="Arial" w:hAnsi="Arial" w:cs="Arial"/>
          <w:b/>
          <w:bCs/>
          <w:rtl/>
        </w:rPr>
      </w:pPr>
    </w:p>
    <w:p w14:paraId="3ED8E205" w14:textId="77777777" w:rsidR="00E44C48" w:rsidRDefault="00E44C48">
      <w:pPr>
        <w:rPr>
          <w:rFonts w:ascii="Arial" w:hAnsi="Arial" w:cs="Arial"/>
          <w:b/>
          <w:bCs/>
          <w:rtl/>
        </w:rPr>
      </w:pPr>
    </w:p>
    <w:p w14:paraId="2163A8DE" w14:textId="77777777" w:rsidR="00E44C48" w:rsidRDefault="00E44C48">
      <w:pPr>
        <w:rPr>
          <w:rFonts w:ascii="Arial" w:hAnsi="Arial" w:cs="Arial"/>
          <w:b/>
          <w:bCs/>
          <w:rtl/>
        </w:rPr>
      </w:pPr>
    </w:p>
    <w:p w14:paraId="07521854" w14:textId="77777777" w:rsidR="00E44C48" w:rsidRDefault="00E44C48">
      <w:pPr>
        <w:rPr>
          <w:rFonts w:ascii="Arial" w:hAnsi="Arial" w:cs="Arial"/>
          <w:rtl/>
        </w:rPr>
      </w:pPr>
    </w:p>
    <w:p w14:paraId="737C1386" w14:textId="77777777" w:rsidR="00E44C48" w:rsidRDefault="00E44C48">
      <w:pPr>
        <w:rPr>
          <w:rFonts w:ascii="Arial" w:hAnsi="Arial" w:cs="Arial"/>
          <w:rtl/>
        </w:rPr>
      </w:pPr>
    </w:p>
    <w:p w14:paraId="7A05E0AE" w14:textId="77777777" w:rsidR="00E44C48" w:rsidRDefault="00513D12">
      <w:pPr>
        <w:spacing w:line="360" w:lineRule="auto"/>
        <w:jc w:val="both"/>
        <w:rPr>
          <w:rFonts w:ascii="Arial" w:hAnsi="Arial" w:cs="Arial"/>
          <w:b/>
          <w:bCs/>
          <w:rtl/>
        </w:rPr>
      </w:pPr>
      <w:r>
        <w:rPr>
          <w:rFonts w:ascii="Arial" w:hAnsi="Arial" w:cs="Arial"/>
          <w:b/>
          <w:bCs/>
          <w:rtl/>
        </w:rPr>
        <w:t xml:space="preserve">ניתן היום,  ב' אב תשע"ג, 09 יולי 2013, במעמד הצדדים. </w:t>
      </w:r>
    </w:p>
    <w:p w14:paraId="4E896DB8" w14:textId="77777777" w:rsidR="00E44C48" w:rsidRDefault="00E44C48">
      <w:pPr>
        <w:spacing w:line="360" w:lineRule="auto"/>
        <w:jc w:val="both"/>
        <w:rPr>
          <w:rFonts w:ascii="Arial" w:hAnsi="Arial" w:cs="Arial"/>
          <w:b/>
          <w:bCs/>
        </w:rPr>
      </w:pPr>
      <w:bookmarkStart w:id="8" w:name="_GoBack"/>
      <w:bookmarkEnd w:id="8"/>
    </w:p>
    <w:p w14:paraId="09430516" w14:textId="77777777" w:rsidR="00E44C48" w:rsidRDefault="00E44C48">
      <w:pPr>
        <w:rPr>
          <w:rFonts w:ascii="Arial" w:hAnsi="Arial" w:cs="Arial"/>
          <w:rtl/>
        </w:rPr>
      </w:pPr>
    </w:p>
    <w:p w14:paraId="6B26DD47" w14:textId="77777777" w:rsidR="00513D12" w:rsidRPr="00513D12" w:rsidRDefault="00513D12" w:rsidP="00513D12">
      <w:pPr>
        <w:keepNext/>
        <w:rPr>
          <w:rFonts w:ascii="David" w:hAnsi="David"/>
          <w:color w:val="000000"/>
          <w:sz w:val="22"/>
          <w:szCs w:val="22"/>
          <w:rtl/>
        </w:rPr>
      </w:pPr>
    </w:p>
    <w:p w14:paraId="4D03E727" w14:textId="77777777" w:rsidR="00216A9D" w:rsidRPr="00216A9D" w:rsidRDefault="00216A9D" w:rsidP="00216A9D">
      <w:pPr>
        <w:keepNext/>
        <w:rPr>
          <w:rFonts w:ascii="David" w:hAnsi="David" w:hint="cs"/>
          <w:color w:val="000000"/>
          <w:sz w:val="22"/>
          <w:szCs w:val="22"/>
          <w:rtl/>
        </w:rPr>
      </w:pPr>
    </w:p>
    <w:p w14:paraId="29C78E79" w14:textId="77777777" w:rsidR="00216A9D" w:rsidRPr="00216A9D" w:rsidRDefault="00216A9D" w:rsidP="00216A9D">
      <w:pPr>
        <w:keepNext/>
        <w:rPr>
          <w:rFonts w:ascii="David" w:hAnsi="David"/>
          <w:color w:val="000000"/>
          <w:sz w:val="22"/>
          <w:szCs w:val="22"/>
          <w:rtl/>
        </w:rPr>
      </w:pPr>
      <w:r w:rsidRPr="00216A9D">
        <w:rPr>
          <w:rFonts w:ascii="David" w:hAnsi="David"/>
          <w:color w:val="000000"/>
          <w:sz w:val="22"/>
          <w:szCs w:val="22"/>
          <w:rtl/>
        </w:rPr>
        <w:t>ס. רויטל יפה כ#ץ 54678313-/</w:t>
      </w:r>
    </w:p>
    <w:p w14:paraId="67B1807C" w14:textId="77777777" w:rsidR="00E44C48" w:rsidRPr="00513D12" w:rsidRDefault="00216A9D">
      <w:pPr>
        <w:rPr>
          <w:rFonts w:ascii="Arial" w:hAnsi="Arial" w:cs="Arial"/>
          <w:color w:val="FFFFFF"/>
          <w:sz w:val="2"/>
          <w:szCs w:val="2"/>
          <w:rtl/>
        </w:rPr>
      </w:pPr>
      <w:r w:rsidRPr="00216A9D">
        <w:rPr>
          <w:rFonts w:ascii="Arial" w:hAnsi="Arial" w:cs="Arial"/>
          <w:color w:val="FFFFFF"/>
          <w:sz w:val="2"/>
          <w:szCs w:val="2"/>
          <w:rtl/>
        </w:rPr>
        <w:t>5129371</w:t>
      </w:r>
      <w:r w:rsidR="00513D12" w:rsidRPr="00513D12">
        <w:rPr>
          <w:rFonts w:ascii="Arial" w:hAnsi="Arial" w:cs="Arial"/>
          <w:color w:val="FFFFFF"/>
          <w:sz w:val="2"/>
          <w:szCs w:val="2"/>
          <w:rtl/>
        </w:rPr>
        <w:t>5129371</w:t>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r w:rsidR="00513D12" w:rsidRPr="00513D12">
        <w:rPr>
          <w:rFonts w:ascii="Arial" w:hAnsi="Arial" w:cs="Arial" w:hint="cs"/>
          <w:color w:val="FFFFFF"/>
          <w:sz w:val="2"/>
          <w:szCs w:val="2"/>
          <w:rtl/>
        </w:rPr>
        <w:tab/>
      </w:r>
    </w:p>
    <w:tbl>
      <w:tblPr>
        <w:tblpPr w:leftFromText="180" w:rightFromText="180" w:vertAnchor="text" w:horzAnchor="margin" w:tblpY="1"/>
        <w:bidiVisual/>
        <w:tblW w:w="0" w:type="auto"/>
        <w:tblLook w:val="01E0" w:firstRow="1" w:lastRow="1" w:firstColumn="1" w:lastColumn="1" w:noHBand="0" w:noVBand="0"/>
      </w:tblPr>
      <w:tblGrid>
        <w:gridCol w:w="2766"/>
      </w:tblGrid>
      <w:tr w:rsidR="00E44C48" w14:paraId="1A8E154E" w14:textId="77777777">
        <w:trPr>
          <w:trHeight w:val="1069"/>
        </w:trPr>
        <w:tc>
          <w:tcPr>
            <w:tcW w:w="2766" w:type="dxa"/>
            <w:tcBorders>
              <w:top w:val="nil"/>
              <w:left w:val="nil"/>
              <w:bottom w:val="single" w:sz="4" w:space="0" w:color="auto"/>
              <w:right w:val="nil"/>
            </w:tcBorders>
            <w:vAlign w:val="center"/>
          </w:tcPr>
          <w:p w14:paraId="1F9B0EA8" w14:textId="77777777" w:rsidR="00E44C48" w:rsidRPr="00513D12" w:rsidRDefault="00216A9D">
            <w:pPr>
              <w:jc w:val="center"/>
              <w:rPr>
                <w:rFonts w:ascii="Courier New" w:hAnsi="Courier New"/>
                <w:b/>
                <w:bCs/>
                <w:color w:val="FFFFFF"/>
                <w:sz w:val="2"/>
                <w:szCs w:val="2"/>
                <w:lang w:eastAsia="he-IL"/>
              </w:rPr>
            </w:pPr>
            <w:r w:rsidRPr="00216A9D">
              <w:rPr>
                <w:rFonts w:ascii="Courier New" w:hAnsi="Courier New"/>
                <w:b/>
                <w:bCs/>
                <w:color w:val="FFFFFF"/>
                <w:sz w:val="2"/>
                <w:szCs w:val="2"/>
                <w:rtl/>
                <w:lang w:eastAsia="he-IL"/>
              </w:rPr>
              <w:t>54678313</w:t>
            </w:r>
            <w:r w:rsidR="00513D12" w:rsidRPr="00513D12">
              <w:rPr>
                <w:rFonts w:ascii="Courier New" w:hAnsi="Courier New"/>
                <w:b/>
                <w:bCs/>
                <w:color w:val="FFFFFF"/>
                <w:sz w:val="2"/>
                <w:szCs w:val="2"/>
                <w:rtl/>
                <w:lang w:eastAsia="he-IL"/>
              </w:rPr>
              <w:t>54678313</w:t>
            </w:r>
          </w:p>
        </w:tc>
      </w:tr>
      <w:tr w:rsidR="00E44C48" w14:paraId="51E2A190" w14:textId="77777777">
        <w:trPr>
          <w:trHeight w:val="744"/>
        </w:trPr>
        <w:tc>
          <w:tcPr>
            <w:tcW w:w="2766" w:type="dxa"/>
            <w:tcBorders>
              <w:top w:val="single" w:sz="4" w:space="0" w:color="auto"/>
              <w:left w:val="nil"/>
              <w:bottom w:val="nil"/>
              <w:right w:val="nil"/>
            </w:tcBorders>
          </w:tcPr>
          <w:p w14:paraId="57D415BF" w14:textId="77777777" w:rsidR="00E44C48" w:rsidRDefault="00513D12">
            <w:pPr>
              <w:jc w:val="center"/>
              <w:rPr>
                <w:rtl/>
              </w:rPr>
            </w:pPr>
            <w:r>
              <w:rPr>
                <w:rFonts w:ascii="Arial" w:hAnsi="Arial" w:cs="Arial"/>
                <w:b/>
                <w:bCs/>
                <w:rtl/>
              </w:rPr>
              <w:t>השופטת רויטל יפה-כ"ץ</w:t>
            </w:r>
          </w:p>
          <w:p w14:paraId="7E531401" w14:textId="77777777" w:rsidR="00E44C48" w:rsidRDefault="00513D12">
            <w:pPr>
              <w:jc w:val="center"/>
            </w:pPr>
            <w:r>
              <w:rPr>
                <w:rFonts w:ascii="Arial" w:hAnsi="Arial" w:cs="Arial"/>
                <w:b/>
                <w:bCs/>
                <w:rtl/>
              </w:rPr>
              <w:t>ס.</w:t>
            </w:r>
            <w:r>
              <w:rPr>
                <w:rFonts w:ascii="Arial" w:hAnsi="Arial" w:cs="Arial" w:hint="cs"/>
                <w:b/>
                <w:bCs/>
                <w:rtl/>
              </w:rPr>
              <w:t xml:space="preserve"> </w:t>
            </w:r>
            <w:r>
              <w:rPr>
                <w:rFonts w:ascii="Arial" w:hAnsi="Arial" w:cs="Arial"/>
                <w:b/>
                <w:bCs/>
                <w:rtl/>
              </w:rPr>
              <w:t>נשיא</w:t>
            </w:r>
          </w:p>
          <w:p w14:paraId="54335F7A" w14:textId="77777777" w:rsidR="00E44C48" w:rsidRDefault="00E44C48">
            <w:pPr>
              <w:jc w:val="center"/>
              <w:rPr>
                <w:rFonts w:ascii="Courier New" w:hAnsi="Courier New"/>
                <w:b/>
                <w:bCs/>
                <w:lang w:eastAsia="he-IL"/>
              </w:rPr>
            </w:pPr>
          </w:p>
        </w:tc>
      </w:tr>
    </w:tbl>
    <w:p w14:paraId="7E5CEDC5" w14:textId="77777777" w:rsidR="00513D12" w:rsidRDefault="00513D12" w:rsidP="00513D12">
      <w:r w:rsidRPr="00513D12">
        <w:rPr>
          <w:color w:val="000000"/>
          <w:rtl/>
        </w:rPr>
        <w:t>נוסח מסמך זה כפוף לשינויי ניסוח ועריכה</w:t>
      </w:r>
    </w:p>
    <w:p w14:paraId="4E1AA450" w14:textId="77777777" w:rsidR="00513D12" w:rsidRDefault="00513D12" w:rsidP="00513D12">
      <w:pPr>
        <w:rPr>
          <w:rtl/>
        </w:rPr>
      </w:pPr>
    </w:p>
    <w:p w14:paraId="6F1E73BE" w14:textId="77777777" w:rsidR="00513D12" w:rsidRDefault="00513D12" w:rsidP="00513D12">
      <w:pPr>
        <w:jc w:val="center"/>
        <w:rPr>
          <w:color w:val="0000FF"/>
          <w:u w:val="single"/>
        </w:rPr>
      </w:pPr>
      <w:r w:rsidRPr="001442C3">
        <w:rPr>
          <w:color w:val="000000"/>
          <w:rtl/>
        </w:rPr>
        <w:t>בעניין עריכה ושינויים במסמכי פסיקה, חקיקה ועוד באתר נבו – הקש כאן</w:t>
      </w:r>
    </w:p>
    <w:sectPr w:rsidR="00513D12" w:rsidSect="00216A9D">
      <w:headerReference w:type="even" r:id="rId22"/>
      <w:headerReference w:type="default" r:id="rId23"/>
      <w:footerReference w:type="even" r:id="rId24"/>
      <w:footerReference w:type="default" r:id="rId25"/>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70B3C" w14:textId="77777777" w:rsidR="00295C22" w:rsidRPr="00AC1F60" w:rsidRDefault="00295C22">
      <w:pPr>
        <w:rPr>
          <w:rFonts w:cs="Arial"/>
          <w:szCs w:val="20"/>
        </w:rPr>
      </w:pPr>
      <w:r>
        <w:separator/>
      </w:r>
    </w:p>
  </w:endnote>
  <w:endnote w:type="continuationSeparator" w:id="0">
    <w:p w14:paraId="20E616C1" w14:textId="77777777" w:rsidR="00295C22" w:rsidRPr="00AC1F60" w:rsidRDefault="00295C2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2F7" w14:textId="77777777" w:rsidR="00B17279" w:rsidRDefault="00B17279" w:rsidP="00216A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57241AD" w14:textId="77777777" w:rsidR="00B17279" w:rsidRPr="00216A9D" w:rsidRDefault="00B17279" w:rsidP="00216A9D">
    <w:pPr>
      <w:pStyle w:val="a4"/>
      <w:pBdr>
        <w:top w:val="single" w:sz="4" w:space="1" w:color="auto"/>
        <w:between w:val="single" w:sz="4" w:space="0" w:color="auto"/>
      </w:pBdr>
      <w:spacing w:after="60"/>
      <w:jc w:val="center"/>
      <w:rPr>
        <w:rFonts w:ascii="FrankRuehl" w:hAnsi="FrankRuehl" w:cs="FrankRuehl"/>
        <w:color w:val="000000"/>
      </w:rPr>
    </w:pPr>
    <w:r w:rsidRPr="00216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2EEE" w14:textId="77777777" w:rsidR="00B17279" w:rsidRDefault="00B17279" w:rsidP="00216A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052B">
      <w:rPr>
        <w:rFonts w:ascii="FrankRuehl" w:hAnsi="FrankRuehl" w:cs="FrankRuehl"/>
        <w:rtl/>
      </w:rPr>
      <w:t>1</w:t>
    </w:r>
    <w:r>
      <w:rPr>
        <w:rFonts w:ascii="FrankRuehl" w:hAnsi="FrankRuehl" w:cs="FrankRuehl"/>
        <w:rtl/>
      </w:rPr>
      <w:fldChar w:fldCharType="end"/>
    </w:r>
  </w:p>
  <w:p w14:paraId="64F63D4C" w14:textId="77777777" w:rsidR="00B17279" w:rsidRPr="00216A9D" w:rsidRDefault="00B17279" w:rsidP="00216A9D">
    <w:pPr>
      <w:pStyle w:val="a4"/>
      <w:pBdr>
        <w:top w:val="single" w:sz="4" w:space="1" w:color="auto"/>
        <w:between w:val="single" w:sz="4" w:space="0" w:color="auto"/>
      </w:pBdr>
      <w:spacing w:after="60"/>
      <w:jc w:val="center"/>
      <w:rPr>
        <w:rFonts w:ascii="FrankRuehl" w:hAnsi="FrankRuehl" w:cs="FrankRuehl"/>
        <w:color w:val="000000"/>
      </w:rPr>
    </w:pPr>
    <w:r w:rsidRPr="00216A9D">
      <w:rPr>
        <w:rFonts w:ascii="FrankRuehl" w:hAnsi="FrankRuehl" w:cs="FrankRuehl"/>
        <w:color w:val="000000"/>
      </w:rPr>
      <w:pict w14:anchorId="59EC0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0D658" w14:textId="77777777" w:rsidR="00295C22" w:rsidRPr="00AC1F60" w:rsidRDefault="00295C22">
      <w:pPr>
        <w:rPr>
          <w:rFonts w:cs="Arial"/>
          <w:szCs w:val="20"/>
        </w:rPr>
      </w:pPr>
      <w:r>
        <w:separator/>
      </w:r>
    </w:p>
  </w:footnote>
  <w:footnote w:type="continuationSeparator" w:id="0">
    <w:p w14:paraId="1BB2ABB4" w14:textId="77777777" w:rsidR="00295C22" w:rsidRPr="00AC1F60" w:rsidRDefault="00295C2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DBF9" w14:textId="77777777" w:rsidR="00B17279" w:rsidRPr="00216A9D" w:rsidRDefault="00B17279" w:rsidP="00216A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24817-06-10</w:t>
    </w:r>
    <w:r>
      <w:rPr>
        <w:rFonts w:ascii="David" w:hAnsi="David"/>
        <w:color w:val="000000"/>
        <w:sz w:val="22"/>
        <w:szCs w:val="22"/>
        <w:rtl/>
      </w:rPr>
      <w:tab/>
      <w:t xml:space="preserve"> מדינת ישראל נ' סאלם אלטורי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EB906" w14:textId="77777777" w:rsidR="00B17279" w:rsidRPr="00216A9D" w:rsidRDefault="00B17279" w:rsidP="00216A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24817-06-10</w:t>
    </w:r>
    <w:r>
      <w:rPr>
        <w:rFonts w:ascii="David" w:hAnsi="David"/>
        <w:color w:val="000000"/>
        <w:sz w:val="22"/>
        <w:szCs w:val="22"/>
        <w:rtl/>
      </w:rPr>
      <w:tab/>
      <w:t xml:space="preserve"> מדינת ישראל נ' סאלם אלטורי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C48"/>
    <w:rsid w:val="001442C3"/>
    <w:rsid w:val="0016052B"/>
    <w:rsid w:val="00216A9D"/>
    <w:rsid w:val="00295C22"/>
    <w:rsid w:val="0034345C"/>
    <w:rsid w:val="00433568"/>
    <w:rsid w:val="004B0536"/>
    <w:rsid w:val="00513D12"/>
    <w:rsid w:val="00685C3E"/>
    <w:rsid w:val="009E5923"/>
    <w:rsid w:val="00A65ADE"/>
    <w:rsid w:val="00B17279"/>
    <w:rsid w:val="00CA6128"/>
    <w:rsid w:val="00DD4A95"/>
    <w:rsid w:val="00E03CBA"/>
    <w:rsid w:val="00E44C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70EE8D"/>
  <w15:chartTrackingRefBased/>
  <w15:docId w15:val="{B14EB75E-12D0-4F88-8E93-239B1947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C4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44C48"/>
    <w:pPr>
      <w:tabs>
        <w:tab w:val="center" w:pos="4153"/>
        <w:tab w:val="right" w:pos="8306"/>
      </w:tabs>
    </w:pPr>
  </w:style>
  <w:style w:type="paragraph" w:styleId="a4">
    <w:name w:val="footer"/>
    <w:basedOn w:val="a"/>
    <w:rsid w:val="00E44C48"/>
    <w:pPr>
      <w:tabs>
        <w:tab w:val="center" w:pos="4153"/>
        <w:tab w:val="right" w:pos="8306"/>
      </w:tabs>
    </w:pPr>
  </w:style>
  <w:style w:type="character" w:styleId="a5">
    <w:name w:val="page number"/>
    <w:basedOn w:val="a0"/>
    <w:rsid w:val="00513D12"/>
  </w:style>
  <w:style w:type="character" w:styleId="Hyperlink">
    <w:name w:val="Hyperlink"/>
    <w:rsid w:val="00513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c" TargetMode="External"/><Relationship Id="rId13" Type="http://schemas.openxmlformats.org/officeDocument/2006/relationships/hyperlink" Target="http://www.nevo.co.il/law/70301/144.c" TargetMode="External"/><Relationship Id="rId18" Type="http://schemas.openxmlformats.org/officeDocument/2006/relationships/hyperlink" Target="http://www.nevo.co.il/case/647303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case/5762686"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b"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fCa1S" TargetMode="External"/><Relationship Id="rId20" Type="http://schemas.openxmlformats.org/officeDocument/2006/relationships/hyperlink" Target="http://www.nevo.co.il/case/570373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fCa1S" TargetMode="External"/><Relationship Id="rId19" Type="http://schemas.openxmlformats.org/officeDocument/2006/relationships/hyperlink" Target="http://www.nevo.co.il/case/5821327" TargetMode="Externa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2214</Words>
  <Characters>11075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13263</CharactersWithSpaces>
  <SharedDoc>false</SharedDoc>
  <HLinks>
    <vt:vector size="96" baseType="variant">
      <vt:variant>
        <vt:i4>3342457</vt:i4>
      </vt:variant>
      <vt:variant>
        <vt:i4>45</vt:i4>
      </vt:variant>
      <vt:variant>
        <vt:i4>0</vt:i4>
      </vt:variant>
      <vt:variant>
        <vt:i4>5</vt:i4>
      </vt:variant>
      <vt:variant>
        <vt:lpwstr>http://www.nevo.co.il/case/5762686</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458834</vt:i4>
      </vt:variant>
      <vt:variant>
        <vt:i4>30</vt:i4>
      </vt:variant>
      <vt:variant>
        <vt:i4>0</vt:i4>
      </vt:variant>
      <vt:variant>
        <vt:i4>5</vt:i4>
      </vt:variant>
      <vt:variant>
        <vt:lpwstr>http://www.nevo.co.il/law/70301/fCa1S</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458834</vt:i4>
      </vt:variant>
      <vt:variant>
        <vt:i4>12</vt:i4>
      </vt:variant>
      <vt:variant>
        <vt:i4>0</vt:i4>
      </vt:variant>
      <vt:variant>
        <vt:i4>5</vt:i4>
      </vt:variant>
      <vt:variant>
        <vt:lpwstr>http://www.nevo.co.il/law/70301/fCa1S</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24817</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סאלם אלטורי;סלמאן אלטורי;מורשי אלטורי;פריד אלטורי</vt:lpwstr>
  </property>
  <property fmtid="{D5CDD505-2E9C-101B-9397-08002B2CF9AE}" pid="10" name="LAWYER">
    <vt:lpwstr>בן יהודה</vt:lpwstr>
  </property>
  <property fmtid="{D5CDD505-2E9C-101B-9397-08002B2CF9AE}" pid="11" name="JUDGE">
    <vt:lpwstr>ס. רויטל יפה כ#ץ</vt:lpwstr>
  </property>
  <property fmtid="{D5CDD505-2E9C-101B-9397-08002B2CF9AE}" pid="12" name="CITY">
    <vt:lpwstr>ב"ש</vt:lpwstr>
  </property>
  <property fmtid="{D5CDD505-2E9C-101B-9397-08002B2CF9AE}" pid="13" name="DATE">
    <vt:lpwstr>20130709</vt:lpwstr>
  </property>
  <property fmtid="{D5CDD505-2E9C-101B-9397-08002B2CF9AE}" pid="14" name="TYPE_N_DATE">
    <vt:lpwstr>39020130709</vt:lpwstr>
  </property>
  <property fmtid="{D5CDD505-2E9C-101B-9397-08002B2CF9AE}" pid="15" name="WORDNUMPAGES">
    <vt:lpwstr>7</vt:lpwstr>
  </property>
  <property fmtid="{D5CDD505-2E9C-101B-9397-08002B2CF9AE}" pid="16" name="TYPE_ABS_DATE">
    <vt:lpwstr>390020130709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6473037;5821327;5703734;5762686</vt:lpwstr>
  </property>
  <property fmtid="{D5CDD505-2E9C-101B-9397-08002B2CF9AE}" pid="36" name="LAWLISTTMP1">
    <vt:lpwstr>70301/499.a.1;144.c;fCa1S;040b</vt:lpwstr>
  </property>
</Properties>
</file>