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721"/>
      </w:tblGrid>
      <w:tr w:rsidR="001E4211" w:rsidRPr="002D6ECF" w14:paraId="38B0A304" w14:textId="77777777">
        <w:trPr>
          <w:trHeight w:hRule="exact" w:val="418"/>
          <w:jc w:val="center"/>
        </w:trPr>
        <w:tc>
          <w:tcPr>
            <w:tcW w:w="8721" w:type="dxa"/>
          </w:tcPr>
          <w:p w14:paraId="3AC87EAE" w14:textId="77777777" w:rsidR="001E4211" w:rsidRPr="002D6ECF" w:rsidRDefault="002D6ECF">
            <w:pPr>
              <w:pStyle w:val="a3"/>
              <w:jc w:val="center"/>
              <w:rPr>
                <w:rFonts w:ascii="Tahoma" w:hAnsi="Tahoma" w:cs="Tahoma"/>
                <w:color w:val="000080"/>
                <w:rtl/>
              </w:rPr>
            </w:pPr>
            <w:r w:rsidRPr="002D6ECF">
              <w:rPr>
                <w:rFonts w:ascii="Tahoma" w:hAnsi="Tahoma" w:cs="Tahoma"/>
                <w:b/>
                <w:bCs/>
                <w:color w:val="000080"/>
                <w:rtl/>
              </w:rPr>
              <w:t>בית המשפט המחוזי בבאר שבע</w:t>
            </w:r>
          </w:p>
        </w:tc>
      </w:tr>
    </w:tbl>
    <w:p w14:paraId="6B6AA711" w14:textId="77777777" w:rsidR="001E4211" w:rsidRPr="002D6ECF" w:rsidRDefault="002D6ECF">
      <w:pPr>
        <w:pStyle w:val="a3"/>
        <w:rPr>
          <w:rtl/>
        </w:rPr>
      </w:pPr>
      <w:r w:rsidRPr="002D6ECF">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4041"/>
        <w:gridCol w:w="3771"/>
      </w:tblGrid>
      <w:tr w:rsidR="001E4211" w:rsidRPr="002D6ECF" w14:paraId="5C48E464" w14:textId="77777777">
        <w:trPr>
          <w:trHeight w:val="295"/>
          <w:jc w:val="center"/>
        </w:trPr>
        <w:tc>
          <w:tcPr>
            <w:tcW w:w="1008" w:type="dxa"/>
            <w:tcBorders>
              <w:top w:val="nil"/>
              <w:left w:val="nil"/>
              <w:bottom w:val="nil"/>
              <w:right w:val="nil"/>
            </w:tcBorders>
          </w:tcPr>
          <w:p w14:paraId="7598367A" w14:textId="77777777" w:rsidR="001E4211" w:rsidRPr="006771CF" w:rsidRDefault="002D6ECF">
            <w:pPr>
              <w:rPr>
                <w:rFonts w:ascii="Arial" w:hAnsi="Arial" w:cs="Arial"/>
                <w:b/>
                <w:bCs/>
              </w:rPr>
            </w:pPr>
            <w:r w:rsidRPr="006771CF">
              <w:rPr>
                <w:rFonts w:ascii="Arial" w:hAnsi="Arial" w:cs="Arial" w:hint="cs"/>
                <w:b/>
                <w:bCs/>
                <w:rtl/>
              </w:rPr>
              <w:t>בפני:</w:t>
            </w:r>
          </w:p>
        </w:tc>
        <w:tc>
          <w:tcPr>
            <w:tcW w:w="7812" w:type="dxa"/>
            <w:gridSpan w:val="2"/>
            <w:tcBorders>
              <w:top w:val="nil"/>
              <w:left w:val="nil"/>
              <w:bottom w:val="nil"/>
              <w:right w:val="nil"/>
            </w:tcBorders>
          </w:tcPr>
          <w:p w14:paraId="6B6ED789" w14:textId="77777777" w:rsidR="001E4211" w:rsidRPr="006771CF" w:rsidRDefault="002D6ECF">
            <w:pPr>
              <w:rPr>
                <w:rFonts w:ascii="Arial" w:hAnsi="Arial" w:cs="Arial"/>
                <w:b/>
                <w:bCs/>
                <w:rtl/>
              </w:rPr>
            </w:pPr>
            <w:r w:rsidRPr="006771CF">
              <w:rPr>
                <w:rFonts w:ascii="Arial" w:hAnsi="Arial" w:cs="Arial"/>
                <w:b/>
                <w:bCs/>
                <w:rtl/>
              </w:rPr>
              <w:t xml:space="preserve">כב' </w:t>
            </w:r>
            <w:r w:rsidRPr="006771CF">
              <w:rPr>
                <w:rFonts w:ascii="Arial" w:hAnsi="Arial" w:cs="Arial" w:hint="cs"/>
                <w:b/>
                <w:bCs/>
                <w:rtl/>
              </w:rPr>
              <w:t>ס. הנשיא השופטת ר'</w:t>
            </w:r>
            <w:r w:rsidRPr="006771CF">
              <w:rPr>
                <w:rFonts w:ascii="Arial" w:hAnsi="Arial" w:cs="Arial"/>
                <w:b/>
                <w:bCs/>
                <w:rtl/>
              </w:rPr>
              <w:t xml:space="preserve"> </w:t>
            </w:r>
            <w:r w:rsidRPr="006771CF">
              <w:rPr>
                <w:rFonts w:ascii="Arial" w:hAnsi="Arial" w:cs="Arial" w:hint="cs"/>
                <w:b/>
                <w:bCs/>
                <w:rtl/>
              </w:rPr>
              <w:t>יפה- כ"ץ, אב"ד                         תפח 12302-11-10</w:t>
            </w:r>
          </w:p>
          <w:p w14:paraId="164F8E4B" w14:textId="77777777" w:rsidR="001E4211" w:rsidRPr="006771CF" w:rsidRDefault="002D6ECF">
            <w:pPr>
              <w:rPr>
                <w:rFonts w:ascii="Arial" w:hAnsi="Arial" w:cs="Arial"/>
                <w:b/>
                <w:bCs/>
                <w:rtl/>
              </w:rPr>
            </w:pPr>
            <w:r w:rsidRPr="006771CF">
              <w:rPr>
                <w:rFonts w:ascii="Arial" w:hAnsi="Arial" w:cs="Arial"/>
                <w:b/>
                <w:bCs/>
                <w:rtl/>
              </w:rPr>
              <w:t>כב' ה</w:t>
            </w:r>
            <w:r w:rsidRPr="006771CF">
              <w:rPr>
                <w:rFonts w:ascii="Arial" w:hAnsi="Arial" w:cs="Arial" w:hint="cs"/>
                <w:b/>
                <w:bCs/>
                <w:rtl/>
              </w:rPr>
              <w:t>שופט</w:t>
            </w:r>
            <w:r w:rsidRPr="006771CF">
              <w:rPr>
                <w:rFonts w:ascii="Arial" w:hAnsi="Arial" w:cs="Arial"/>
                <w:b/>
                <w:bCs/>
                <w:rtl/>
              </w:rPr>
              <w:t xml:space="preserve"> </w:t>
            </w:r>
            <w:r w:rsidRPr="006771CF">
              <w:rPr>
                <w:rFonts w:ascii="Arial" w:hAnsi="Arial" w:cs="Arial" w:hint="cs"/>
                <w:b/>
                <w:bCs/>
                <w:rtl/>
              </w:rPr>
              <w:t>א'</w:t>
            </w:r>
            <w:r w:rsidRPr="006771CF">
              <w:rPr>
                <w:rFonts w:ascii="Arial" w:hAnsi="Arial" w:cs="Arial"/>
                <w:b/>
                <w:bCs/>
                <w:rtl/>
              </w:rPr>
              <w:t xml:space="preserve"> </w:t>
            </w:r>
            <w:r w:rsidRPr="006771CF">
              <w:rPr>
                <w:rFonts w:ascii="Arial" w:hAnsi="Arial" w:cs="Arial" w:hint="cs"/>
                <w:b/>
                <w:bCs/>
                <w:rtl/>
              </w:rPr>
              <w:t>ואגו</w:t>
            </w:r>
          </w:p>
          <w:p w14:paraId="05129FE7" w14:textId="77777777" w:rsidR="001E4211" w:rsidRPr="006771CF" w:rsidRDefault="002D6ECF">
            <w:pPr>
              <w:rPr>
                <w:rFonts w:ascii="Arial" w:hAnsi="Arial" w:cs="Arial"/>
                <w:b/>
                <w:bCs/>
                <w:rtl/>
              </w:rPr>
            </w:pPr>
            <w:r w:rsidRPr="006771CF">
              <w:rPr>
                <w:rFonts w:ascii="Arial" w:hAnsi="Arial" w:cs="Arial"/>
                <w:b/>
                <w:bCs/>
                <w:rtl/>
              </w:rPr>
              <w:t>כב' ה</w:t>
            </w:r>
            <w:r w:rsidRPr="006771CF">
              <w:rPr>
                <w:rFonts w:ascii="Arial" w:hAnsi="Arial" w:cs="Arial" w:hint="cs"/>
                <w:b/>
                <w:bCs/>
                <w:rtl/>
              </w:rPr>
              <w:t>שופט</w:t>
            </w:r>
            <w:r w:rsidRPr="006771CF">
              <w:rPr>
                <w:rFonts w:ascii="Arial" w:hAnsi="Arial" w:cs="Arial"/>
                <w:b/>
                <w:bCs/>
                <w:rtl/>
              </w:rPr>
              <w:t xml:space="preserve"> </w:t>
            </w:r>
            <w:r w:rsidRPr="006771CF">
              <w:rPr>
                <w:rFonts w:ascii="Arial" w:hAnsi="Arial" w:cs="Arial" w:hint="cs"/>
                <w:b/>
                <w:bCs/>
                <w:rtl/>
              </w:rPr>
              <w:t>י'</w:t>
            </w:r>
            <w:r w:rsidRPr="006771CF">
              <w:rPr>
                <w:rFonts w:ascii="Arial" w:hAnsi="Arial" w:cs="Arial"/>
                <w:b/>
                <w:bCs/>
                <w:rtl/>
              </w:rPr>
              <w:t xml:space="preserve"> </w:t>
            </w:r>
            <w:r w:rsidRPr="006771CF">
              <w:rPr>
                <w:rFonts w:ascii="Arial" w:hAnsi="Arial" w:cs="Arial" w:hint="cs"/>
                <w:b/>
                <w:bCs/>
                <w:rtl/>
              </w:rPr>
              <w:t>צלקובניק</w:t>
            </w:r>
          </w:p>
          <w:p w14:paraId="368D0D6D" w14:textId="77777777" w:rsidR="001E4211" w:rsidRPr="006771CF" w:rsidRDefault="001E4211">
            <w:pPr>
              <w:rPr>
                <w:rFonts w:ascii="Arial" w:hAnsi="Arial" w:cs="Arial"/>
                <w:b/>
                <w:bCs/>
                <w:rtl/>
              </w:rPr>
            </w:pPr>
          </w:p>
        </w:tc>
      </w:tr>
      <w:tr w:rsidR="001E4211" w:rsidRPr="002D6ECF" w14:paraId="692EECEF" w14:textId="77777777">
        <w:trPr>
          <w:trHeight w:val="355"/>
          <w:jc w:val="center"/>
        </w:trPr>
        <w:tc>
          <w:tcPr>
            <w:tcW w:w="1008" w:type="dxa"/>
            <w:tcBorders>
              <w:top w:val="nil"/>
              <w:left w:val="nil"/>
              <w:bottom w:val="nil"/>
              <w:right w:val="nil"/>
            </w:tcBorders>
          </w:tcPr>
          <w:p w14:paraId="736EA957" w14:textId="77777777" w:rsidR="001E4211" w:rsidRPr="002D6ECF" w:rsidRDefault="001E4211">
            <w:pPr>
              <w:jc w:val="both"/>
              <w:rPr>
                <w:rFonts w:ascii="Arial" w:hAnsi="Arial" w:cs="Arial"/>
                <w:sz w:val="28"/>
                <w:szCs w:val="28"/>
                <w:rtl/>
              </w:rPr>
            </w:pPr>
            <w:bookmarkStart w:id="0" w:name="FirstAppellant"/>
            <w:bookmarkStart w:id="1" w:name="FirstLawyer"/>
            <w:bookmarkStart w:id="2" w:name="LastJudge"/>
            <w:bookmarkEnd w:id="2"/>
          </w:p>
          <w:p w14:paraId="776366B6" w14:textId="77777777" w:rsidR="001E4211" w:rsidRPr="002D6ECF" w:rsidRDefault="002D6ECF">
            <w:pPr>
              <w:jc w:val="both"/>
              <w:rPr>
                <w:rFonts w:ascii="Arial" w:hAnsi="Arial" w:cs="Arial"/>
                <w:b/>
                <w:bCs/>
                <w:rtl/>
              </w:rPr>
            </w:pPr>
            <w:r w:rsidRPr="002D6ECF">
              <w:rPr>
                <w:rFonts w:ascii="Arial" w:hAnsi="Arial" w:cs="Arial" w:hint="cs"/>
                <w:b/>
                <w:bCs/>
                <w:rtl/>
              </w:rPr>
              <w:t xml:space="preserve">בעניין:  </w:t>
            </w:r>
          </w:p>
        </w:tc>
        <w:tc>
          <w:tcPr>
            <w:tcW w:w="4041" w:type="dxa"/>
            <w:tcBorders>
              <w:top w:val="nil"/>
              <w:left w:val="nil"/>
              <w:bottom w:val="nil"/>
              <w:right w:val="nil"/>
            </w:tcBorders>
          </w:tcPr>
          <w:p w14:paraId="3B685AEA" w14:textId="77777777" w:rsidR="001E4211" w:rsidRPr="002D6ECF" w:rsidRDefault="002D6ECF">
            <w:pPr>
              <w:rPr>
                <w:rFonts w:ascii="Arial" w:hAnsi="Arial" w:cs="Arial"/>
                <w:rtl/>
              </w:rPr>
            </w:pPr>
            <w:r w:rsidRPr="002D6ECF">
              <w:rPr>
                <w:rFonts w:ascii="Arial" w:hAnsi="Arial" w:cs="Arial" w:hint="cs"/>
                <w:rtl/>
              </w:rPr>
              <w:br/>
            </w:r>
            <w:r w:rsidRPr="002D6ECF">
              <w:rPr>
                <w:rFonts w:ascii="Arial" w:hAnsi="Arial" w:cs="Arial" w:hint="cs"/>
                <w:b/>
                <w:bCs/>
                <w:rtl/>
              </w:rPr>
              <w:t>מדינת ישראל</w:t>
            </w:r>
          </w:p>
          <w:p w14:paraId="2D749428" w14:textId="77777777" w:rsidR="001E4211" w:rsidRPr="002D6ECF" w:rsidRDefault="002D6ECF">
            <w:pPr>
              <w:rPr>
                <w:rFonts w:ascii="Arial" w:hAnsi="Arial" w:cs="Arial"/>
                <w:b/>
                <w:bCs/>
              </w:rPr>
            </w:pPr>
            <w:r w:rsidRPr="002D6ECF">
              <w:rPr>
                <w:rFonts w:ascii="Arial" w:hAnsi="Arial" w:cs="Arial" w:hint="cs"/>
                <w:b/>
                <w:bCs/>
                <w:rtl/>
              </w:rPr>
              <w:t>ע"י ב"כ עו"ד רוית מרום</w:t>
            </w:r>
          </w:p>
        </w:tc>
        <w:tc>
          <w:tcPr>
            <w:tcW w:w="3771" w:type="dxa"/>
            <w:tcBorders>
              <w:top w:val="nil"/>
              <w:left w:val="nil"/>
              <w:bottom w:val="nil"/>
              <w:right w:val="nil"/>
            </w:tcBorders>
          </w:tcPr>
          <w:p w14:paraId="6C649181" w14:textId="77777777" w:rsidR="001E4211" w:rsidRPr="002D6ECF" w:rsidRDefault="001E4211">
            <w:pPr>
              <w:jc w:val="both"/>
              <w:rPr>
                <w:rFonts w:ascii="Arial" w:hAnsi="Arial" w:cs="Arial"/>
                <w:sz w:val="28"/>
                <w:szCs w:val="28"/>
              </w:rPr>
            </w:pPr>
          </w:p>
        </w:tc>
      </w:tr>
      <w:bookmarkEnd w:id="0"/>
      <w:bookmarkEnd w:id="1"/>
      <w:tr w:rsidR="001E4211" w:rsidRPr="002D6ECF" w14:paraId="0248E7BA" w14:textId="77777777">
        <w:trPr>
          <w:trHeight w:val="355"/>
          <w:jc w:val="center"/>
        </w:trPr>
        <w:tc>
          <w:tcPr>
            <w:tcW w:w="1008" w:type="dxa"/>
            <w:tcBorders>
              <w:top w:val="nil"/>
              <w:left w:val="nil"/>
              <w:bottom w:val="nil"/>
              <w:right w:val="nil"/>
            </w:tcBorders>
          </w:tcPr>
          <w:p w14:paraId="48447C64" w14:textId="77777777" w:rsidR="001E4211" w:rsidRPr="002D6ECF" w:rsidRDefault="001E4211">
            <w:pPr>
              <w:jc w:val="both"/>
              <w:rPr>
                <w:rFonts w:ascii="Arial" w:hAnsi="Arial" w:cs="Arial"/>
                <w:sz w:val="28"/>
                <w:szCs w:val="28"/>
                <w:rtl/>
              </w:rPr>
            </w:pPr>
          </w:p>
        </w:tc>
        <w:tc>
          <w:tcPr>
            <w:tcW w:w="4041" w:type="dxa"/>
            <w:tcBorders>
              <w:top w:val="nil"/>
              <w:left w:val="nil"/>
              <w:bottom w:val="nil"/>
              <w:right w:val="nil"/>
            </w:tcBorders>
          </w:tcPr>
          <w:p w14:paraId="0664F3EE" w14:textId="77777777" w:rsidR="001E4211" w:rsidRPr="002D6ECF" w:rsidRDefault="001E4211">
            <w:pPr>
              <w:jc w:val="both"/>
              <w:rPr>
                <w:rFonts w:ascii="Arial" w:hAnsi="Arial" w:cs="Arial"/>
                <w:rtl/>
              </w:rPr>
            </w:pPr>
          </w:p>
        </w:tc>
        <w:tc>
          <w:tcPr>
            <w:tcW w:w="3771" w:type="dxa"/>
            <w:tcBorders>
              <w:top w:val="nil"/>
              <w:left w:val="nil"/>
              <w:bottom w:val="nil"/>
              <w:right w:val="nil"/>
            </w:tcBorders>
          </w:tcPr>
          <w:p w14:paraId="69EE9EA4" w14:textId="77777777" w:rsidR="001E4211" w:rsidRPr="002D6ECF" w:rsidRDefault="002D6ECF">
            <w:pPr>
              <w:jc w:val="right"/>
              <w:rPr>
                <w:rFonts w:ascii="Arial" w:hAnsi="Arial" w:cs="Arial"/>
                <w:b/>
                <w:bCs/>
                <w:rtl/>
              </w:rPr>
            </w:pPr>
            <w:r w:rsidRPr="002D6ECF">
              <w:rPr>
                <w:rFonts w:ascii="Arial" w:hAnsi="Arial" w:cs="Arial"/>
                <w:b/>
                <w:bCs/>
                <w:rtl/>
              </w:rPr>
              <w:t>ה</w:t>
            </w:r>
            <w:r w:rsidRPr="002D6ECF">
              <w:rPr>
                <w:rFonts w:ascii="Arial" w:hAnsi="Arial" w:cs="Arial" w:hint="cs"/>
                <w:b/>
                <w:bCs/>
                <w:rtl/>
              </w:rPr>
              <w:t>מאשימה</w:t>
            </w:r>
          </w:p>
        </w:tc>
      </w:tr>
      <w:tr w:rsidR="001E4211" w:rsidRPr="002D6ECF" w14:paraId="367BD2E2" w14:textId="77777777">
        <w:trPr>
          <w:trHeight w:val="355"/>
          <w:jc w:val="center"/>
        </w:trPr>
        <w:tc>
          <w:tcPr>
            <w:tcW w:w="1008" w:type="dxa"/>
            <w:tcBorders>
              <w:top w:val="nil"/>
              <w:left w:val="nil"/>
              <w:bottom w:val="nil"/>
              <w:right w:val="nil"/>
            </w:tcBorders>
          </w:tcPr>
          <w:p w14:paraId="41EE7E7F" w14:textId="77777777" w:rsidR="001E4211" w:rsidRPr="002D6ECF" w:rsidRDefault="001E4211">
            <w:pPr>
              <w:jc w:val="both"/>
              <w:rPr>
                <w:rFonts w:ascii="Arial" w:hAnsi="Arial" w:cs="Arial"/>
                <w:sz w:val="28"/>
                <w:szCs w:val="28"/>
                <w:rtl/>
              </w:rPr>
            </w:pPr>
          </w:p>
        </w:tc>
        <w:tc>
          <w:tcPr>
            <w:tcW w:w="7812" w:type="dxa"/>
            <w:gridSpan w:val="2"/>
            <w:tcBorders>
              <w:top w:val="nil"/>
              <w:left w:val="nil"/>
              <w:bottom w:val="nil"/>
              <w:right w:val="nil"/>
            </w:tcBorders>
          </w:tcPr>
          <w:p w14:paraId="7577A341" w14:textId="77777777" w:rsidR="001E4211" w:rsidRPr="002D6ECF" w:rsidRDefault="001E4211">
            <w:pPr>
              <w:jc w:val="center"/>
              <w:rPr>
                <w:rFonts w:ascii="Arial" w:hAnsi="Arial" w:cs="Arial"/>
                <w:b/>
                <w:bCs/>
                <w:sz w:val="28"/>
                <w:szCs w:val="28"/>
                <w:rtl/>
              </w:rPr>
            </w:pPr>
          </w:p>
          <w:p w14:paraId="09BEF2A5" w14:textId="77777777" w:rsidR="001E4211" w:rsidRPr="002D6ECF" w:rsidRDefault="002D6ECF">
            <w:pPr>
              <w:jc w:val="center"/>
              <w:rPr>
                <w:rFonts w:ascii="Arial" w:hAnsi="Arial" w:cs="Arial"/>
                <w:b/>
                <w:bCs/>
                <w:sz w:val="28"/>
                <w:szCs w:val="28"/>
                <w:rtl/>
              </w:rPr>
            </w:pPr>
            <w:r w:rsidRPr="002D6ECF">
              <w:rPr>
                <w:rFonts w:ascii="Arial" w:hAnsi="Arial" w:cs="Arial"/>
                <w:b/>
                <w:bCs/>
                <w:sz w:val="28"/>
                <w:szCs w:val="28"/>
                <w:rtl/>
              </w:rPr>
              <w:t>נגד</w:t>
            </w:r>
          </w:p>
          <w:p w14:paraId="7D6F6B7F" w14:textId="77777777" w:rsidR="001E4211" w:rsidRPr="002D6ECF" w:rsidRDefault="001E4211">
            <w:pPr>
              <w:jc w:val="both"/>
              <w:rPr>
                <w:rFonts w:ascii="Arial" w:hAnsi="Arial" w:cs="Arial"/>
                <w:sz w:val="28"/>
                <w:szCs w:val="28"/>
              </w:rPr>
            </w:pPr>
          </w:p>
        </w:tc>
      </w:tr>
      <w:tr w:rsidR="001E4211" w:rsidRPr="002D6ECF" w14:paraId="29032266" w14:textId="77777777">
        <w:trPr>
          <w:trHeight w:val="355"/>
          <w:jc w:val="center"/>
        </w:trPr>
        <w:tc>
          <w:tcPr>
            <w:tcW w:w="1008" w:type="dxa"/>
            <w:tcBorders>
              <w:top w:val="nil"/>
              <w:left w:val="nil"/>
              <w:bottom w:val="nil"/>
              <w:right w:val="nil"/>
            </w:tcBorders>
          </w:tcPr>
          <w:p w14:paraId="475609BC" w14:textId="77777777" w:rsidR="001E4211" w:rsidRPr="002D6ECF" w:rsidRDefault="001E4211">
            <w:pPr>
              <w:rPr>
                <w:rFonts w:ascii="Arial" w:hAnsi="Arial" w:cs="Arial"/>
                <w:sz w:val="28"/>
                <w:szCs w:val="28"/>
                <w:rtl/>
              </w:rPr>
            </w:pPr>
          </w:p>
        </w:tc>
        <w:tc>
          <w:tcPr>
            <w:tcW w:w="4041" w:type="dxa"/>
            <w:tcBorders>
              <w:top w:val="nil"/>
              <w:left w:val="nil"/>
              <w:bottom w:val="nil"/>
              <w:right w:val="nil"/>
            </w:tcBorders>
          </w:tcPr>
          <w:p w14:paraId="4AC03EC6" w14:textId="77777777" w:rsidR="001E4211" w:rsidRPr="002D6ECF" w:rsidRDefault="002D6ECF">
            <w:pPr>
              <w:rPr>
                <w:rFonts w:ascii="Arial" w:hAnsi="Arial" w:cs="Arial"/>
                <w:rtl/>
              </w:rPr>
            </w:pPr>
            <w:r w:rsidRPr="002D6ECF">
              <w:rPr>
                <w:rFonts w:ascii="Arial" w:hAnsi="Arial" w:cs="Arial" w:hint="cs"/>
                <w:b/>
                <w:bCs/>
                <w:rtl/>
              </w:rPr>
              <w:t xml:space="preserve">איאד אבו אלגדיאן </w:t>
            </w:r>
            <w:r w:rsidRPr="002D6ECF">
              <w:rPr>
                <w:rFonts w:ascii="Arial" w:hAnsi="Arial" w:cs="Arial" w:hint="cs"/>
                <w:b/>
                <w:bCs/>
                <w:rtl/>
              </w:rPr>
              <w:br/>
              <w:t>ע"י ב"כ עו"ד מחמד ג'אברין</w:t>
            </w:r>
          </w:p>
        </w:tc>
        <w:tc>
          <w:tcPr>
            <w:tcW w:w="3771" w:type="dxa"/>
            <w:tcBorders>
              <w:top w:val="nil"/>
              <w:left w:val="nil"/>
              <w:bottom w:val="nil"/>
              <w:right w:val="nil"/>
            </w:tcBorders>
          </w:tcPr>
          <w:p w14:paraId="4C3504BA" w14:textId="77777777" w:rsidR="001E4211" w:rsidRPr="002D6ECF" w:rsidRDefault="001E4211">
            <w:pPr>
              <w:jc w:val="right"/>
              <w:rPr>
                <w:rFonts w:ascii="Arial" w:hAnsi="Arial" w:cs="Arial"/>
                <w:sz w:val="28"/>
                <w:szCs w:val="28"/>
              </w:rPr>
            </w:pPr>
          </w:p>
        </w:tc>
      </w:tr>
      <w:tr w:rsidR="001E4211" w:rsidRPr="002D6ECF" w14:paraId="4E7BB4FE" w14:textId="77777777">
        <w:trPr>
          <w:trHeight w:val="355"/>
          <w:jc w:val="center"/>
        </w:trPr>
        <w:tc>
          <w:tcPr>
            <w:tcW w:w="1008" w:type="dxa"/>
            <w:tcBorders>
              <w:top w:val="nil"/>
              <w:left w:val="nil"/>
              <w:bottom w:val="nil"/>
              <w:right w:val="nil"/>
            </w:tcBorders>
          </w:tcPr>
          <w:p w14:paraId="784B59D3" w14:textId="77777777" w:rsidR="001E4211" w:rsidRPr="002D6ECF" w:rsidRDefault="001E4211">
            <w:pPr>
              <w:jc w:val="both"/>
              <w:rPr>
                <w:rFonts w:ascii="Arial" w:hAnsi="Arial" w:cs="Arial"/>
                <w:sz w:val="28"/>
                <w:szCs w:val="28"/>
                <w:rtl/>
              </w:rPr>
            </w:pPr>
          </w:p>
        </w:tc>
        <w:tc>
          <w:tcPr>
            <w:tcW w:w="4041" w:type="dxa"/>
            <w:tcBorders>
              <w:top w:val="nil"/>
              <w:left w:val="nil"/>
              <w:bottom w:val="nil"/>
              <w:right w:val="nil"/>
            </w:tcBorders>
          </w:tcPr>
          <w:p w14:paraId="7DC1EB62" w14:textId="77777777" w:rsidR="001E4211" w:rsidRPr="002D6ECF" w:rsidRDefault="001E4211">
            <w:pPr>
              <w:jc w:val="both"/>
              <w:rPr>
                <w:rFonts w:ascii="Arial" w:hAnsi="Arial" w:cs="Arial"/>
                <w:rtl/>
              </w:rPr>
            </w:pPr>
          </w:p>
        </w:tc>
        <w:tc>
          <w:tcPr>
            <w:tcW w:w="3771" w:type="dxa"/>
            <w:tcBorders>
              <w:top w:val="nil"/>
              <w:left w:val="nil"/>
              <w:bottom w:val="nil"/>
              <w:right w:val="nil"/>
            </w:tcBorders>
          </w:tcPr>
          <w:p w14:paraId="137018FF" w14:textId="77777777" w:rsidR="001E4211" w:rsidRPr="002D6ECF" w:rsidRDefault="002D6ECF">
            <w:pPr>
              <w:jc w:val="right"/>
              <w:rPr>
                <w:rFonts w:ascii="Arial" w:hAnsi="Arial" w:cs="Arial"/>
                <w:b/>
                <w:bCs/>
              </w:rPr>
            </w:pPr>
            <w:r w:rsidRPr="002D6ECF">
              <w:rPr>
                <w:rFonts w:ascii="Arial" w:hAnsi="Arial" w:cs="Arial"/>
                <w:b/>
                <w:bCs/>
                <w:rtl/>
              </w:rPr>
              <w:t>ה</w:t>
            </w:r>
            <w:r w:rsidRPr="002D6ECF">
              <w:rPr>
                <w:rFonts w:ascii="Arial" w:hAnsi="Arial" w:cs="Arial" w:hint="cs"/>
                <w:b/>
                <w:bCs/>
                <w:rtl/>
              </w:rPr>
              <w:t>נאשם</w:t>
            </w:r>
          </w:p>
        </w:tc>
      </w:tr>
    </w:tbl>
    <w:p w14:paraId="7ADB639D" w14:textId="77777777" w:rsidR="00753204" w:rsidRDefault="00753204" w:rsidP="006771CF">
      <w:pPr>
        <w:pStyle w:val="a6"/>
        <w:pBdr>
          <w:top w:val="single" w:sz="4" w:space="1" w:color="auto"/>
          <w:bottom w:val="single" w:sz="4" w:space="1" w:color="auto"/>
        </w:pBdr>
        <w:spacing w:after="120" w:line="320" w:lineRule="exact"/>
        <w:ind w:left="0"/>
        <w:jc w:val="both"/>
        <w:rPr>
          <w:rFonts w:ascii="Times New Roman" w:hAnsi="Times New Roman" w:cs="FrankRuehl"/>
          <w:sz w:val="24"/>
          <w:szCs w:val="26"/>
          <w:rtl/>
        </w:rPr>
      </w:pPr>
      <w:bookmarkStart w:id="3" w:name="ABSTRACT_START"/>
      <w:bookmarkStart w:id="4" w:name="LawTable"/>
      <w:bookmarkEnd w:id="3"/>
      <w:bookmarkEnd w:id="4"/>
    </w:p>
    <w:p w14:paraId="4D897B17" w14:textId="77777777" w:rsidR="00753204" w:rsidRPr="00753204" w:rsidRDefault="00753204" w:rsidP="00753204">
      <w:pPr>
        <w:pStyle w:val="a6"/>
        <w:pBdr>
          <w:top w:val="single" w:sz="4" w:space="1" w:color="auto"/>
          <w:bottom w:val="single" w:sz="4" w:space="1" w:color="auto"/>
        </w:pBdr>
        <w:spacing w:after="120" w:line="240" w:lineRule="exact"/>
        <w:ind w:left="283" w:hanging="283"/>
        <w:jc w:val="both"/>
        <w:rPr>
          <w:rFonts w:ascii="FrankRuehl" w:hAnsi="FrankRuehl" w:cs="FrankRuehl"/>
          <w:sz w:val="24"/>
          <w:szCs w:val="24"/>
          <w:rtl/>
        </w:rPr>
      </w:pPr>
    </w:p>
    <w:p w14:paraId="2E440157" w14:textId="77777777" w:rsidR="00753204" w:rsidRPr="00753204" w:rsidRDefault="00753204" w:rsidP="00753204">
      <w:pPr>
        <w:pStyle w:val="a6"/>
        <w:pBdr>
          <w:top w:val="single" w:sz="4" w:space="1" w:color="auto"/>
          <w:bottom w:val="single" w:sz="4" w:space="1" w:color="auto"/>
        </w:pBdr>
        <w:spacing w:after="120" w:line="240" w:lineRule="exact"/>
        <w:ind w:left="283" w:hanging="283"/>
        <w:jc w:val="both"/>
        <w:rPr>
          <w:rFonts w:ascii="FrankRuehl" w:hAnsi="FrankRuehl" w:cs="FrankRuehl"/>
          <w:sz w:val="24"/>
          <w:szCs w:val="24"/>
          <w:rtl/>
        </w:rPr>
      </w:pPr>
      <w:r w:rsidRPr="00753204">
        <w:rPr>
          <w:rFonts w:ascii="FrankRuehl" w:hAnsi="FrankRuehl" w:cs="FrankRuehl"/>
          <w:sz w:val="24"/>
          <w:szCs w:val="24"/>
          <w:rtl/>
        </w:rPr>
        <w:t xml:space="preserve">חקיקה שאוזכרה: </w:t>
      </w:r>
    </w:p>
    <w:p w14:paraId="01F4343C" w14:textId="77777777" w:rsidR="00753204" w:rsidRPr="00753204" w:rsidRDefault="00753204" w:rsidP="00753204">
      <w:pPr>
        <w:pStyle w:val="a6"/>
        <w:pBdr>
          <w:top w:val="single" w:sz="4" w:space="1" w:color="auto"/>
          <w:bottom w:val="single" w:sz="4" w:space="1" w:color="auto"/>
        </w:pBdr>
        <w:spacing w:after="120" w:line="240" w:lineRule="exact"/>
        <w:ind w:left="283" w:hanging="283"/>
        <w:jc w:val="both"/>
        <w:rPr>
          <w:rFonts w:ascii="FrankRuehl" w:hAnsi="FrankRuehl" w:cs="FrankRuehl"/>
          <w:sz w:val="24"/>
          <w:szCs w:val="24"/>
          <w:rtl/>
        </w:rPr>
      </w:pPr>
      <w:hyperlink r:id="rId7" w:history="1">
        <w:r w:rsidRPr="00753204">
          <w:rPr>
            <w:rFonts w:ascii="FrankRuehl" w:hAnsi="FrankRuehl" w:cs="FrankRuehl"/>
            <w:color w:val="0000FF"/>
            <w:sz w:val="24"/>
            <w:szCs w:val="24"/>
            <w:u w:val="single"/>
            <w:rtl/>
          </w:rPr>
          <w:t>פקודת מניעת טרור</w:t>
        </w:r>
      </w:hyperlink>
      <w:r w:rsidRPr="00753204">
        <w:rPr>
          <w:rFonts w:ascii="FrankRuehl" w:hAnsi="FrankRuehl" w:cs="FrankRuehl"/>
          <w:sz w:val="24"/>
          <w:szCs w:val="24"/>
          <w:rtl/>
        </w:rPr>
        <w:t xml:space="preserve">: סע'  </w:t>
      </w:r>
      <w:hyperlink r:id="rId8" w:history="1">
        <w:r w:rsidRPr="00753204">
          <w:rPr>
            <w:rFonts w:ascii="FrankRuehl" w:hAnsi="FrankRuehl" w:cs="FrankRuehl"/>
            <w:color w:val="0000FF"/>
            <w:sz w:val="24"/>
            <w:szCs w:val="24"/>
            <w:u w:val="single"/>
            <w:rtl/>
          </w:rPr>
          <w:t>3</w:t>
        </w:r>
      </w:hyperlink>
    </w:p>
    <w:p w14:paraId="10849C2B" w14:textId="77777777" w:rsidR="00753204" w:rsidRPr="00753204" w:rsidRDefault="00753204" w:rsidP="00753204">
      <w:pPr>
        <w:pStyle w:val="a6"/>
        <w:pBdr>
          <w:top w:val="single" w:sz="4" w:space="1" w:color="auto"/>
          <w:bottom w:val="single" w:sz="4" w:space="1" w:color="auto"/>
        </w:pBdr>
        <w:spacing w:after="120" w:line="240" w:lineRule="exact"/>
        <w:ind w:left="283" w:hanging="283"/>
        <w:jc w:val="both"/>
        <w:rPr>
          <w:rFonts w:ascii="FrankRuehl" w:hAnsi="FrankRuehl" w:cs="FrankRuehl"/>
          <w:sz w:val="24"/>
          <w:szCs w:val="24"/>
          <w:rtl/>
        </w:rPr>
      </w:pPr>
      <w:hyperlink r:id="rId9" w:history="1">
        <w:r w:rsidRPr="00753204">
          <w:rPr>
            <w:rFonts w:ascii="FrankRuehl" w:hAnsi="FrankRuehl" w:cs="FrankRuehl"/>
            <w:color w:val="0000FF"/>
            <w:sz w:val="24"/>
            <w:szCs w:val="24"/>
            <w:u w:val="single"/>
            <w:rtl/>
          </w:rPr>
          <w:t>חוק העונשין, תשל"ז-1977</w:t>
        </w:r>
      </w:hyperlink>
      <w:r w:rsidRPr="00753204">
        <w:rPr>
          <w:rFonts w:ascii="FrankRuehl" w:hAnsi="FrankRuehl" w:cs="FrankRuehl"/>
          <w:sz w:val="24"/>
          <w:szCs w:val="24"/>
          <w:rtl/>
        </w:rPr>
        <w:t xml:space="preserve">: סע'  </w:t>
      </w:r>
      <w:hyperlink r:id="rId10" w:history="1">
        <w:r w:rsidRPr="00753204">
          <w:rPr>
            <w:rFonts w:ascii="FrankRuehl" w:hAnsi="FrankRuehl" w:cs="FrankRuehl"/>
            <w:color w:val="0000FF"/>
            <w:sz w:val="24"/>
            <w:szCs w:val="24"/>
            <w:u w:val="single"/>
            <w:rtl/>
          </w:rPr>
          <w:t>31</w:t>
        </w:r>
      </w:hyperlink>
      <w:r w:rsidRPr="00753204">
        <w:rPr>
          <w:rFonts w:ascii="FrankRuehl" w:hAnsi="FrankRuehl" w:cs="FrankRuehl"/>
          <w:sz w:val="24"/>
          <w:szCs w:val="24"/>
          <w:rtl/>
        </w:rPr>
        <w:t xml:space="preserve">, </w:t>
      </w:r>
      <w:hyperlink r:id="rId11" w:history="1">
        <w:r w:rsidRPr="00753204">
          <w:rPr>
            <w:rFonts w:ascii="FrankRuehl" w:hAnsi="FrankRuehl" w:cs="FrankRuehl"/>
            <w:color w:val="0000FF"/>
            <w:sz w:val="24"/>
            <w:szCs w:val="24"/>
            <w:u w:val="single"/>
            <w:rtl/>
          </w:rPr>
          <w:t>144(ב)</w:t>
        </w:r>
      </w:hyperlink>
      <w:r w:rsidRPr="00753204">
        <w:rPr>
          <w:rFonts w:ascii="FrankRuehl" w:hAnsi="FrankRuehl" w:cs="FrankRuehl"/>
          <w:sz w:val="24"/>
          <w:szCs w:val="24"/>
          <w:rtl/>
        </w:rPr>
        <w:t xml:space="preserve">, </w:t>
      </w:r>
      <w:hyperlink r:id="rId12" w:history="1">
        <w:r w:rsidRPr="00753204">
          <w:rPr>
            <w:rFonts w:ascii="FrankRuehl" w:hAnsi="FrankRuehl" w:cs="FrankRuehl"/>
            <w:color w:val="0000FF"/>
            <w:sz w:val="24"/>
            <w:szCs w:val="24"/>
            <w:u w:val="single"/>
            <w:rtl/>
          </w:rPr>
          <w:t>305(1)</w:t>
        </w:r>
      </w:hyperlink>
    </w:p>
    <w:p w14:paraId="4A67E435" w14:textId="77777777" w:rsidR="00753204" w:rsidRPr="00753204" w:rsidRDefault="00753204" w:rsidP="00753204">
      <w:pPr>
        <w:pStyle w:val="a6"/>
        <w:pBdr>
          <w:top w:val="single" w:sz="4" w:space="1" w:color="auto"/>
          <w:bottom w:val="single" w:sz="4" w:space="1" w:color="auto"/>
        </w:pBdr>
        <w:spacing w:after="120" w:line="240" w:lineRule="exact"/>
        <w:ind w:left="283" w:hanging="283"/>
        <w:jc w:val="both"/>
        <w:rPr>
          <w:rFonts w:ascii="FrankRuehl" w:hAnsi="FrankRuehl" w:cs="FrankRuehl"/>
          <w:sz w:val="24"/>
          <w:szCs w:val="24"/>
          <w:rtl/>
        </w:rPr>
      </w:pPr>
      <w:hyperlink r:id="rId13" w:history="1">
        <w:r w:rsidRPr="00753204">
          <w:rPr>
            <w:rFonts w:ascii="FrankRuehl" w:hAnsi="FrankRuehl" w:cs="FrankRuehl"/>
            <w:color w:val="0000FF"/>
            <w:sz w:val="24"/>
            <w:szCs w:val="24"/>
            <w:u w:val="single"/>
            <w:rtl/>
          </w:rPr>
          <w:t>תקנות ההגנה (שעת-חירום), 1945</w:t>
        </w:r>
      </w:hyperlink>
      <w:r w:rsidRPr="00753204">
        <w:rPr>
          <w:rFonts w:ascii="FrankRuehl" w:hAnsi="FrankRuehl" w:cs="FrankRuehl"/>
          <w:sz w:val="24"/>
          <w:szCs w:val="24"/>
          <w:rtl/>
        </w:rPr>
        <w:t xml:space="preserve">: סע'  </w:t>
      </w:r>
      <w:hyperlink r:id="rId14" w:history="1">
        <w:r w:rsidRPr="00753204">
          <w:rPr>
            <w:rFonts w:ascii="FrankRuehl" w:hAnsi="FrankRuehl" w:cs="FrankRuehl"/>
            <w:color w:val="0000FF"/>
            <w:sz w:val="24"/>
            <w:szCs w:val="24"/>
            <w:u w:val="single"/>
            <w:rtl/>
          </w:rPr>
          <w:t>85(1)(ג)</w:t>
        </w:r>
      </w:hyperlink>
    </w:p>
    <w:p w14:paraId="0EAA93C8" w14:textId="77777777" w:rsidR="00753204" w:rsidRPr="00753204" w:rsidRDefault="00753204" w:rsidP="00753204">
      <w:pPr>
        <w:pStyle w:val="a6"/>
        <w:pBdr>
          <w:top w:val="single" w:sz="4" w:space="1" w:color="auto"/>
          <w:bottom w:val="single" w:sz="4" w:space="1" w:color="auto"/>
        </w:pBdr>
        <w:spacing w:after="120" w:line="240" w:lineRule="exact"/>
        <w:ind w:left="283" w:hanging="283"/>
        <w:jc w:val="both"/>
        <w:rPr>
          <w:rFonts w:ascii="FrankRuehl" w:hAnsi="FrankRuehl" w:cs="FrankRuehl"/>
          <w:sz w:val="24"/>
          <w:szCs w:val="24"/>
          <w:rtl/>
        </w:rPr>
      </w:pPr>
    </w:p>
    <w:p w14:paraId="40F420EB" w14:textId="77777777" w:rsidR="00753204" w:rsidRPr="00753204" w:rsidRDefault="00753204" w:rsidP="006771CF">
      <w:pPr>
        <w:pStyle w:val="a6"/>
        <w:pBdr>
          <w:top w:val="single" w:sz="4" w:space="1" w:color="auto"/>
          <w:bottom w:val="single" w:sz="4" w:space="1" w:color="auto"/>
        </w:pBdr>
        <w:spacing w:after="120" w:line="320" w:lineRule="exact"/>
        <w:ind w:left="0"/>
        <w:jc w:val="both"/>
        <w:rPr>
          <w:rFonts w:ascii="Times New Roman" w:hAnsi="Times New Roman" w:cs="FrankRuehl"/>
          <w:sz w:val="24"/>
          <w:szCs w:val="26"/>
          <w:rtl/>
        </w:rPr>
      </w:pPr>
      <w:bookmarkStart w:id="5" w:name="LawTable_End"/>
      <w:bookmarkEnd w:id="5"/>
    </w:p>
    <w:p w14:paraId="709FB93A" w14:textId="77777777" w:rsidR="006771CF" w:rsidRDefault="006771CF" w:rsidP="006771CF">
      <w:pPr>
        <w:pStyle w:val="a6"/>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sz w:val="24"/>
          <w:szCs w:val="26"/>
          <w:rtl/>
        </w:rPr>
        <w:t>מיני-רציו:</w:t>
      </w:r>
    </w:p>
    <w:p w14:paraId="3A91C874" w14:textId="77777777" w:rsidR="006771CF" w:rsidRPr="006771CF" w:rsidRDefault="006771CF" w:rsidP="006771CF">
      <w:pPr>
        <w:pStyle w:val="a6"/>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hint="cs"/>
          <w:sz w:val="24"/>
          <w:szCs w:val="26"/>
          <w:rtl/>
        </w:rPr>
        <w:t xml:space="preserve">* </w:t>
      </w:r>
      <w:r w:rsidRPr="006771CF">
        <w:rPr>
          <w:rFonts w:ascii="Times New Roman" w:hAnsi="Times New Roman" w:cs="FrankRuehl" w:hint="cs"/>
          <w:sz w:val="24"/>
          <w:szCs w:val="26"/>
          <w:rtl/>
        </w:rPr>
        <w:t>יש להטיל עונשים כבדים על אנשי ארגוני הטרור הפועלים מתוככי רצועת עזה והענישה המחמירה נדרשת גם שעה שהמעשים לא נשאו פרי, נוכח "פוטנציאל הפגיעה" הגלום בהם.</w:t>
      </w:r>
    </w:p>
    <w:p w14:paraId="05C3D0A7" w14:textId="77777777" w:rsidR="006771CF" w:rsidRDefault="006771CF" w:rsidP="006771CF">
      <w:pPr>
        <w:pStyle w:val="a6"/>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sz w:val="24"/>
          <w:szCs w:val="26"/>
          <w:rtl/>
        </w:rPr>
        <w:t>* עונשין – ענישה – מדיניות ענישה: עבירות ביטחון</w:t>
      </w:r>
    </w:p>
    <w:p w14:paraId="44284739" w14:textId="77777777" w:rsidR="006771CF" w:rsidRDefault="006771CF" w:rsidP="006771CF">
      <w:pPr>
        <w:pStyle w:val="a6"/>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hint="cs"/>
          <w:sz w:val="24"/>
          <w:szCs w:val="26"/>
          <w:rtl/>
        </w:rPr>
        <w:t>.</w:t>
      </w:r>
    </w:p>
    <w:p w14:paraId="58412428" w14:textId="77777777" w:rsidR="00035A49" w:rsidRPr="006771CF" w:rsidRDefault="00035A49" w:rsidP="006771CF">
      <w:pPr>
        <w:pBdr>
          <w:top w:val="single" w:sz="4" w:space="1" w:color="auto"/>
          <w:bottom w:val="single" w:sz="4" w:space="1" w:color="auto"/>
        </w:pBdr>
        <w:spacing w:after="120" w:line="320" w:lineRule="exact"/>
        <w:jc w:val="both"/>
        <w:rPr>
          <w:rFonts w:cs="FrankRuehl"/>
          <w:szCs w:val="26"/>
        </w:rPr>
      </w:pPr>
      <w:r w:rsidRPr="006771CF">
        <w:rPr>
          <w:rFonts w:cs="FrankRuehl" w:hint="cs"/>
          <w:szCs w:val="26"/>
          <w:rtl/>
        </w:rPr>
        <w:t>הנאשם, תושב עזה, הורשע ע"פ הודאתו בעבירות כנגד ביטחון המדינה, הכלולות בשלושה אישומים.</w:t>
      </w:r>
    </w:p>
    <w:p w14:paraId="5614F330" w14:textId="77777777" w:rsidR="006771CF" w:rsidRDefault="006771CF" w:rsidP="006771C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CC25E69" w14:textId="77777777" w:rsidR="00035A49" w:rsidRPr="006771CF" w:rsidRDefault="00035A49" w:rsidP="006771CF">
      <w:pPr>
        <w:pBdr>
          <w:top w:val="single" w:sz="4" w:space="1" w:color="auto"/>
          <w:bottom w:val="single" w:sz="4" w:space="1" w:color="auto"/>
        </w:pBdr>
        <w:spacing w:after="120" w:line="320" w:lineRule="exact"/>
        <w:jc w:val="both"/>
        <w:rPr>
          <w:rFonts w:cs="FrankRuehl" w:hint="cs"/>
          <w:szCs w:val="26"/>
          <w:rtl/>
        </w:rPr>
      </w:pPr>
      <w:r w:rsidRPr="006771CF">
        <w:rPr>
          <w:rFonts w:cs="FrankRuehl" w:hint="cs"/>
          <w:szCs w:val="26"/>
          <w:rtl/>
        </w:rPr>
        <w:t>בית המשפט המחוזי פסק כדלהלן:</w:t>
      </w:r>
    </w:p>
    <w:p w14:paraId="47ACEA84" w14:textId="77777777" w:rsidR="00035A49" w:rsidRPr="006771CF" w:rsidRDefault="00035A49" w:rsidP="006771CF">
      <w:pPr>
        <w:pBdr>
          <w:top w:val="single" w:sz="4" w:space="1" w:color="auto"/>
          <w:bottom w:val="single" w:sz="4" w:space="1" w:color="auto"/>
        </w:pBdr>
        <w:spacing w:after="120" w:line="320" w:lineRule="exact"/>
        <w:jc w:val="both"/>
        <w:rPr>
          <w:rFonts w:cs="FrankRuehl" w:hint="cs"/>
          <w:szCs w:val="26"/>
          <w:rtl/>
        </w:rPr>
      </w:pPr>
      <w:bookmarkStart w:id="6" w:name="OLE_LINK14"/>
      <w:bookmarkStart w:id="7" w:name="OLE_LINK13"/>
      <w:r w:rsidRPr="006771CF">
        <w:rPr>
          <w:rFonts w:cs="FrankRuehl" w:hint="cs"/>
          <w:szCs w:val="26"/>
          <w:rtl/>
        </w:rPr>
        <w:t xml:space="preserve">יש להטיל עונשים כבדים ומשמעותיים על אנשי ארגוני הטרור הפועלים מתוככי רצועת עזה, </w:t>
      </w:r>
      <w:bookmarkEnd w:id="6"/>
      <w:bookmarkEnd w:id="7"/>
      <w:r w:rsidRPr="006771CF">
        <w:rPr>
          <w:rFonts w:cs="FrankRuehl" w:hint="cs"/>
          <w:szCs w:val="26"/>
          <w:rtl/>
        </w:rPr>
        <w:t xml:space="preserve">במטרה להמיט הרס וקטל על תושבי ישראל. ככלל, בעת גזירת העונש יש לתת את הדעת לחלקם היחסי של עושי העבירה במעשה העבירה, אולם בעבירות כנגד הביטחון לא ניתן לעבור לסדר היום בדרך של הטלת ענישה מתחשבת או מקלה על הנותנים ידם לפעולות טרור. צרכי הענישה בעבירות מסוג זה אינם מותנים "בהצלחת המעשים בפועל" </w:t>
      </w:r>
      <w:bookmarkStart w:id="8" w:name="OLE_LINK16"/>
      <w:bookmarkStart w:id="9" w:name="OLE_LINK15"/>
      <w:r w:rsidRPr="006771CF">
        <w:rPr>
          <w:rFonts w:cs="FrankRuehl" w:hint="cs"/>
          <w:szCs w:val="26"/>
          <w:rtl/>
        </w:rPr>
        <w:t>והענישה המחמירה נדרשת "גם שעה שהמעשים לא נשאו פרי", נוכח "פוטנציאל הפגיעה" הגלום בהם.</w:t>
      </w:r>
    </w:p>
    <w:bookmarkEnd w:id="8"/>
    <w:bookmarkEnd w:id="9"/>
    <w:p w14:paraId="4FAD93E8" w14:textId="77777777" w:rsidR="00035A49" w:rsidRPr="006771CF" w:rsidRDefault="00035A49" w:rsidP="006771CF">
      <w:pPr>
        <w:pBdr>
          <w:top w:val="single" w:sz="4" w:space="1" w:color="auto"/>
          <w:bottom w:val="single" w:sz="4" w:space="1" w:color="auto"/>
        </w:pBdr>
        <w:spacing w:after="120" w:line="320" w:lineRule="exact"/>
        <w:jc w:val="both"/>
        <w:rPr>
          <w:rFonts w:cs="FrankRuehl"/>
          <w:szCs w:val="26"/>
        </w:rPr>
      </w:pPr>
      <w:r w:rsidRPr="006771CF">
        <w:rPr>
          <w:rFonts w:cs="FrankRuehl" w:hint="cs"/>
          <w:szCs w:val="26"/>
          <w:rtl/>
        </w:rPr>
        <w:lastRenderedPageBreak/>
        <w:t xml:space="preserve">בנסיבות העניין, ביהמ"ש לא חרג ממתחמי הענישה המוצעים ע"י המאשימה ולאחר שקילת השיקולים לחומרה ולקולא, הוטלו על הנאשם 19 שנות מאסר ו-18 חודשי מאסר על תנאי.  </w:t>
      </w:r>
    </w:p>
    <w:p w14:paraId="51100FD6" w14:textId="77777777" w:rsidR="00035A49" w:rsidRPr="00035A49" w:rsidRDefault="00035A49">
      <w:pPr>
        <w:rPr>
          <w:rFonts w:ascii="Arial" w:hAnsi="Arial" w:cs="Arial" w:hint="cs"/>
          <w:rtl/>
        </w:rPr>
      </w:pPr>
      <w:bookmarkStart w:id="10" w:name="ABSTRACT_END"/>
      <w:bookmarkEnd w:id="10"/>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E4211" w14:paraId="55A69B94" w14:textId="77777777">
        <w:trPr>
          <w:trHeight w:val="355"/>
          <w:jc w:val="center"/>
        </w:trPr>
        <w:tc>
          <w:tcPr>
            <w:tcW w:w="8820" w:type="dxa"/>
            <w:tcBorders>
              <w:top w:val="nil"/>
              <w:left w:val="nil"/>
              <w:bottom w:val="nil"/>
              <w:right w:val="nil"/>
            </w:tcBorders>
          </w:tcPr>
          <w:p w14:paraId="703C5570" w14:textId="77777777" w:rsidR="001E4211" w:rsidRPr="002D6ECF" w:rsidRDefault="002D6ECF" w:rsidP="002D6ECF">
            <w:pPr>
              <w:jc w:val="center"/>
              <w:rPr>
                <w:rFonts w:ascii="Arial" w:hAnsi="Arial" w:cs="Arial"/>
                <w:bCs/>
                <w:sz w:val="32"/>
                <w:szCs w:val="32"/>
                <w:u w:val="single"/>
                <w:rtl/>
              </w:rPr>
            </w:pPr>
            <w:bookmarkStart w:id="11" w:name="PsakDin" w:colFirst="0" w:colLast="0"/>
            <w:r w:rsidRPr="002D6ECF">
              <w:rPr>
                <w:rFonts w:ascii="Arial" w:hAnsi="Arial" w:cs="Arial"/>
                <w:b/>
                <w:bCs/>
                <w:sz w:val="32"/>
                <w:szCs w:val="32"/>
                <w:u w:val="single"/>
                <w:rtl/>
              </w:rPr>
              <w:t>גזר דין</w:t>
            </w:r>
          </w:p>
        </w:tc>
      </w:tr>
      <w:bookmarkEnd w:id="11"/>
    </w:tbl>
    <w:p w14:paraId="73AB5A33" w14:textId="77777777" w:rsidR="001E4211" w:rsidRDefault="001E4211">
      <w:pPr>
        <w:rPr>
          <w:rFonts w:ascii="Arial" w:hAnsi="Arial" w:cs="Arial"/>
          <w:rtl/>
        </w:rPr>
      </w:pPr>
    </w:p>
    <w:p w14:paraId="0FB043C7" w14:textId="77777777" w:rsidR="001E4211" w:rsidRDefault="001E4211">
      <w:pPr>
        <w:rPr>
          <w:rFonts w:ascii="Arial" w:hAnsi="Arial" w:cs="Arial"/>
          <w:rtl/>
        </w:rPr>
      </w:pPr>
    </w:p>
    <w:p w14:paraId="7824D679" w14:textId="77777777" w:rsidR="001E4211" w:rsidRDefault="002D6ECF">
      <w:pPr>
        <w:spacing w:line="360" w:lineRule="auto"/>
        <w:jc w:val="both"/>
        <w:rPr>
          <w:rFonts w:ascii="Arial" w:hAnsi="Arial" w:cs="Arial"/>
          <w:u w:val="single"/>
          <w:rtl/>
        </w:rPr>
      </w:pPr>
      <w:r>
        <w:rPr>
          <w:rFonts w:ascii="Arial" w:hAnsi="Arial" w:cs="Arial" w:hint="cs"/>
          <w:u w:val="single"/>
          <w:rtl/>
        </w:rPr>
        <w:t>השופט י' צלקובניק:</w:t>
      </w:r>
    </w:p>
    <w:p w14:paraId="3844CE1A" w14:textId="77777777" w:rsidR="001E4211" w:rsidRDefault="001E4211">
      <w:pPr>
        <w:spacing w:line="360" w:lineRule="auto"/>
        <w:jc w:val="both"/>
        <w:rPr>
          <w:rFonts w:ascii="Arial" w:hAnsi="Arial" w:cs="Arial"/>
          <w:b/>
          <w:bCs/>
          <w:u w:val="single"/>
          <w:rtl/>
        </w:rPr>
      </w:pPr>
    </w:p>
    <w:p w14:paraId="42A395E2" w14:textId="77777777" w:rsidR="001E4211" w:rsidRDefault="002D6ECF">
      <w:pPr>
        <w:spacing w:line="360" w:lineRule="auto"/>
        <w:jc w:val="both"/>
        <w:rPr>
          <w:rFonts w:ascii="Arial" w:hAnsi="Arial" w:cs="Arial"/>
          <w:rtl/>
        </w:rPr>
      </w:pPr>
      <w:r>
        <w:rPr>
          <w:rFonts w:ascii="Arial" w:hAnsi="Arial" w:cs="Arial"/>
          <w:rtl/>
        </w:rPr>
        <w:t>הנאשם, יליד 1973, תושב עזה, הורשע על פי הודאתו, בעבירות כנגד ביטחון המדינה, הכלולות בשלושה אישומים, במסגרת כתב אישום מתוקן, כלהלן:</w:t>
      </w:r>
    </w:p>
    <w:p w14:paraId="18B9E229" w14:textId="77777777" w:rsidR="001E4211" w:rsidRDefault="001E4211">
      <w:pPr>
        <w:spacing w:line="360" w:lineRule="auto"/>
        <w:jc w:val="both"/>
        <w:rPr>
          <w:rFonts w:ascii="Arial" w:hAnsi="Arial" w:cs="Arial"/>
          <w:rtl/>
        </w:rPr>
      </w:pPr>
    </w:p>
    <w:p w14:paraId="2E25F751" w14:textId="77777777" w:rsidR="001E4211" w:rsidRDefault="002D6ECF">
      <w:pPr>
        <w:spacing w:line="360" w:lineRule="auto"/>
        <w:jc w:val="both"/>
        <w:rPr>
          <w:rFonts w:ascii="Arial" w:hAnsi="Arial" w:cs="Arial"/>
          <w:rtl/>
        </w:rPr>
      </w:pPr>
      <w:r>
        <w:rPr>
          <w:rFonts w:ascii="Arial" w:hAnsi="Arial" w:cs="Arial"/>
          <w:rtl/>
        </w:rPr>
        <w:t xml:space="preserve">על פי </w:t>
      </w:r>
      <w:r>
        <w:rPr>
          <w:rFonts w:ascii="Arial" w:hAnsi="Arial" w:cs="Arial"/>
          <w:b/>
          <w:bCs/>
          <w:rtl/>
        </w:rPr>
        <w:t>האישום הראשון</w:t>
      </w:r>
      <w:r>
        <w:rPr>
          <w:rFonts w:ascii="Arial" w:hAnsi="Arial" w:cs="Arial"/>
          <w:rtl/>
        </w:rPr>
        <w:t>, במהלך שנת 2002, בעזה,</w:t>
      </w:r>
      <w:r>
        <w:rPr>
          <w:rFonts w:ascii="Arial" w:hAnsi="Arial" w:cs="Arial" w:hint="cs"/>
          <w:rtl/>
        </w:rPr>
        <w:t xml:space="preserve"> </w:t>
      </w:r>
      <w:r>
        <w:rPr>
          <w:rFonts w:ascii="Arial" w:hAnsi="Arial" w:cs="Arial"/>
          <w:rtl/>
        </w:rPr>
        <w:t>בעקבות פניית זיאד עבד רבו אבו אלג'דיאן (המכונה "אבו וסים")</w:t>
      </w:r>
      <w:r>
        <w:rPr>
          <w:rFonts w:ascii="Arial" w:hAnsi="Arial" w:cs="Arial" w:hint="cs"/>
          <w:rtl/>
        </w:rPr>
        <w:t xml:space="preserve">, בכיר בארגון </w:t>
      </w:r>
      <w:r>
        <w:rPr>
          <w:rFonts w:ascii="Arial" w:hAnsi="Arial" w:cs="Arial"/>
          <w:rtl/>
        </w:rPr>
        <w:t xml:space="preserve">גדודי חללי אלאקצא </w:t>
      </w:r>
      <w:r>
        <w:rPr>
          <w:rFonts w:ascii="Arial" w:hAnsi="Arial" w:cs="Arial"/>
          <w:sz w:val="22"/>
          <w:szCs w:val="22"/>
          <w:rtl/>
        </w:rPr>
        <w:t xml:space="preserve">(שהוכרז כהתאחדות בלתי מותרת על ידי שר הביטחון ביום 28.11.2002, ואשר היה ארגון טרוריסטי שעסק בפעולות טרור גם קודם להכרזה), </w:t>
      </w:r>
      <w:r>
        <w:rPr>
          <w:rFonts w:ascii="Arial" w:hAnsi="Arial" w:cs="Arial" w:hint="cs"/>
          <w:rtl/>
        </w:rPr>
        <w:t>התגייס הנאשם לארגון, ו</w:t>
      </w:r>
      <w:r>
        <w:rPr>
          <w:rFonts w:ascii="Arial" w:hAnsi="Arial" w:cs="Arial"/>
          <w:rtl/>
        </w:rPr>
        <w:t xml:space="preserve">ליווה את אבו וסים במסגרת הפעילות בארגון. </w:t>
      </w:r>
    </w:p>
    <w:p w14:paraId="018DAFA7" w14:textId="77777777" w:rsidR="001E4211" w:rsidRDefault="002D6ECF">
      <w:pPr>
        <w:spacing w:line="360" w:lineRule="auto"/>
        <w:jc w:val="both"/>
        <w:rPr>
          <w:rFonts w:ascii="Arial" w:hAnsi="Arial" w:cs="Arial"/>
          <w:rtl/>
        </w:rPr>
      </w:pPr>
      <w:r>
        <w:rPr>
          <w:rFonts w:ascii="Arial" w:hAnsi="Arial" w:cs="Arial"/>
          <w:rtl/>
        </w:rPr>
        <w:t xml:space="preserve">סמוך לאחר גיוסו, במהלך שנת 2002, הוקמה חוליה צבאית בבית להייה על ידי פעיל הארגון, סמיח אלמדהון, האחראי מטעם הארגון על איזור בית להייה, שבה היו חברים הנאשם ואחיו, נאאל אבו אלג'דיאן, וכן פעילים נוספים. הנאשם וחברי החוליה, ביצעו בשנת 2002, בבית להייה, שמירות, כשהם מצויידים בכלי נשק ("ריבאט") כנגד כניסת כוחות צה"ל לעזה, במטרה להדוף את כניסת כוחות צה"ל, ולפגוע בביטחון המדינה. </w:t>
      </w:r>
    </w:p>
    <w:p w14:paraId="33984940" w14:textId="77777777" w:rsidR="001E4211" w:rsidRDefault="002D6ECF">
      <w:pPr>
        <w:spacing w:line="360" w:lineRule="auto"/>
        <w:jc w:val="both"/>
        <w:rPr>
          <w:rFonts w:ascii="Arial" w:hAnsi="Arial" w:cs="Arial"/>
          <w:rtl/>
        </w:rPr>
      </w:pPr>
      <w:r>
        <w:rPr>
          <w:rFonts w:ascii="Arial" w:hAnsi="Arial" w:cs="Arial"/>
          <w:rtl/>
        </w:rPr>
        <w:t xml:space="preserve">נוכח האמור, הורשע הנאשם בעבירה של </w:t>
      </w:r>
      <w:r>
        <w:rPr>
          <w:rFonts w:ascii="Arial" w:hAnsi="Arial" w:cs="Miriam"/>
          <w:b/>
          <w:bCs/>
          <w:rtl/>
        </w:rPr>
        <w:t>חברות ופעילות בארגון טרוריסטי</w:t>
      </w:r>
      <w:r>
        <w:rPr>
          <w:rFonts w:ascii="Arial" w:hAnsi="Arial" w:cs="Arial"/>
          <w:b/>
          <w:bCs/>
          <w:rtl/>
        </w:rPr>
        <w:t>,</w:t>
      </w:r>
      <w:r>
        <w:rPr>
          <w:rFonts w:ascii="Arial" w:hAnsi="Arial" w:cs="Arial"/>
          <w:rtl/>
        </w:rPr>
        <w:t xml:space="preserve"> לפי </w:t>
      </w:r>
      <w:hyperlink r:id="rId15" w:history="1">
        <w:r w:rsidR="006B4FB2" w:rsidRPr="006B4FB2">
          <w:rPr>
            <w:rFonts w:ascii="Arial" w:hAnsi="Arial" w:cs="Arial"/>
            <w:color w:val="0000FF"/>
            <w:u w:val="single"/>
            <w:rtl/>
          </w:rPr>
          <w:t>סעיף 3</w:t>
        </w:r>
      </w:hyperlink>
      <w:r>
        <w:rPr>
          <w:rFonts w:ascii="Arial" w:hAnsi="Arial" w:cs="Arial"/>
          <w:rtl/>
        </w:rPr>
        <w:t xml:space="preserve"> ל</w:t>
      </w:r>
      <w:hyperlink r:id="rId16" w:history="1">
        <w:r w:rsidR="000E5C7D" w:rsidRPr="000E5C7D">
          <w:rPr>
            <w:rStyle w:val="Hyperlink"/>
            <w:rFonts w:ascii="Arial" w:hAnsi="Arial" w:cs="Arial"/>
            <w:rtl/>
          </w:rPr>
          <w:t>פקודה למניעת טרור</w:t>
        </w:r>
      </w:hyperlink>
      <w:r>
        <w:rPr>
          <w:rFonts w:ascii="Arial" w:hAnsi="Arial" w:cs="Arial"/>
          <w:rtl/>
        </w:rPr>
        <w:t>, תש"ח- 1948, וב</w:t>
      </w:r>
      <w:r>
        <w:rPr>
          <w:rFonts w:ascii="Arial" w:hAnsi="Arial" w:cs="Miriam"/>
          <w:b/>
          <w:bCs/>
          <w:rtl/>
        </w:rPr>
        <w:t>עבירות בנשק</w:t>
      </w:r>
      <w:r>
        <w:rPr>
          <w:rFonts w:ascii="Arial" w:hAnsi="Arial" w:cs="Miriam"/>
          <w:rtl/>
        </w:rPr>
        <w:t xml:space="preserve"> </w:t>
      </w:r>
      <w:r>
        <w:rPr>
          <w:rFonts w:ascii="Arial" w:hAnsi="Arial" w:cs="Arial"/>
          <w:rtl/>
        </w:rPr>
        <w:t>(</w:t>
      </w:r>
      <w:r>
        <w:rPr>
          <w:rFonts w:ascii="Arial" w:hAnsi="Arial" w:cs="Miriam"/>
          <w:rtl/>
        </w:rPr>
        <w:t>נשיאת נשק</w:t>
      </w:r>
      <w:r>
        <w:rPr>
          <w:rFonts w:ascii="Arial" w:hAnsi="Arial" w:cs="Arial"/>
          <w:rtl/>
        </w:rPr>
        <w:t xml:space="preserve">; מספר רב של עבירות), לפי </w:t>
      </w:r>
      <w:hyperlink r:id="rId17" w:history="1">
        <w:r w:rsidR="006B4FB2" w:rsidRPr="006B4FB2">
          <w:rPr>
            <w:rFonts w:ascii="Arial" w:hAnsi="Arial" w:cs="Arial"/>
            <w:color w:val="0000FF"/>
            <w:u w:val="single"/>
            <w:rtl/>
          </w:rPr>
          <w:t>סעיף 144(ב)</w:t>
        </w:r>
      </w:hyperlink>
      <w:r>
        <w:rPr>
          <w:rFonts w:ascii="Arial" w:hAnsi="Arial" w:cs="Arial"/>
          <w:rtl/>
        </w:rPr>
        <w:t xml:space="preserve"> ל</w:t>
      </w:r>
      <w:hyperlink r:id="rId18" w:history="1">
        <w:r w:rsidR="000E5C7D" w:rsidRPr="000E5C7D">
          <w:rPr>
            <w:rStyle w:val="Hyperlink"/>
            <w:rFonts w:ascii="Arial" w:hAnsi="Arial" w:cs="Arial"/>
            <w:rtl/>
          </w:rPr>
          <w:t>חוק העונשין</w:t>
        </w:r>
      </w:hyperlink>
      <w:r>
        <w:rPr>
          <w:rFonts w:ascii="Arial" w:hAnsi="Arial" w:cs="Arial"/>
          <w:rtl/>
        </w:rPr>
        <w:t>, תשל"ז- 1977 (להלן -  "החוק").</w:t>
      </w:r>
    </w:p>
    <w:p w14:paraId="743EDCD6" w14:textId="77777777" w:rsidR="001E4211" w:rsidRDefault="001E4211">
      <w:pPr>
        <w:spacing w:line="360" w:lineRule="auto"/>
        <w:jc w:val="both"/>
        <w:rPr>
          <w:rFonts w:ascii="Arial" w:hAnsi="Arial" w:cs="Arial"/>
          <w:rtl/>
        </w:rPr>
      </w:pPr>
    </w:p>
    <w:p w14:paraId="2AAAF91D" w14:textId="77777777" w:rsidR="001E4211" w:rsidRDefault="002D6ECF">
      <w:pPr>
        <w:spacing w:line="360" w:lineRule="auto"/>
        <w:jc w:val="both"/>
        <w:rPr>
          <w:rFonts w:ascii="Arial" w:hAnsi="Arial" w:cs="Arial"/>
          <w:rtl/>
        </w:rPr>
      </w:pPr>
      <w:r>
        <w:rPr>
          <w:rFonts w:ascii="Arial" w:hAnsi="Arial" w:cs="Arial"/>
          <w:rtl/>
        </w:rPr>
        <w:t xml:space="preserve">על פי </w:t>
      </w:r>
      <w:r>
        <w:rPr>
          <w:rFonts w:ascii="Arial" w:hAnsi="Arial" w:cs="Arial"/>
          <w:b/>
          <w:bCs/>
          <w:rtl/>
        </w:rPr>
        <w:t>האישום השני</w:t>
      </w:r>
      <w:r>
        <w:rPr>
          <w:rFonts w:ascii="Arial" w:hAnsi="Arial" w:cs="Arial"/>
          <w:rtl/>
        </w:rPr>
        <w:t xml:space="preserve">, במועד לא ידוע, סמוך לסוף שנת 2003, בעזה, בעקבות פנייתו של אבו וסים, הקים הנאשם חוליה צבאית במסגרת הארגון, לצורך ביצוע פעילות נגד כוחות ישראלים. הנאשם גייס חמישה פעילים מג'באליה, שעברו אימון צבאי בנשק במשך חמישה ימים, בהנחיית אבו וסים ובנוכחות הנאשם. הנאשם פיקד על חברי החוליה בשעה שאלה ביצעו שמירות חמושות באיזור בית להייה, והמתינו להגעת כוחות צה"ל, כדי להתעמת עמם ולגרום למותם של חיילי צה"ל, ובכך לפגוע בביטחון המדינה. </w:t>
      </w:r>
    </w:p>
    <w:p w14:paraId="7C239709" w14:textId="77777777" w:rsidR="001E4211" w:rsidRDefault="002D6ECF">
      <w:pPr>
        <w:spacing w:line="360" w:lineRule="auto"/>
        <w:jc w:val="both"/>
        <w:rPr>
          <w:rFonts w:ascii="Arial" w:hAnsi="Arial" w:cs="Arial"/>
          <w:rtl/>
        </w:rPr>
      </w:pPr>
      <w:r>
        <w:rPr>
          <w:rFonts w:ascii="Arial" w:hAnsi="Arial" w:cs="Arial"/>
          <w:rtl/>
        </w:rPr>
        <w:lastRenderedPageBreak/>
        <w:t>במסגרת פעילות החוליה, במועד שאינו ידוע, במהלך שנת 2004, בעת כניסת כוחות צה"ל לאזור בית להייה, התעמתו הנאשם וחברי החוליה עם חיילי צה"ל, והנאשם ירה עשרה כדורים לעבר טנק צה"לי, בכדי לגרום למותם של החיילים; ואולם איש מהחיילים לא נפגע במהלך עימות זה.</w:t>
      </w:r>
    </w:p>
    <w:p w14:paraId="7C663BBD" w14:textId="77777777" w:rsidR="001E4211" w:rsidRDefault="002D6ECF">
      <w:pPr>
        <w:spacing w:line="360" w:lineRule="auto"/>
        <w:jc w:val="both"/>
        <w:rPr>
          <w:rFonts w:ascii="Arial" w:hAnsi="Arial" w:cs="Arial"/>
          <w:rtl/>
        </w:rPr>
      </w:pPr>
      <w:r>
        <w:rPr>
          <w:rFonts w:ascii="Arial" w:hAnsi="Arial" w:cs="Arial"/>
          <w:rtl/>
        </w:rPr>
        <w:t xml:space="preserve">נוכח האמור, הורשע הנאשם בעבירות של </w:t>
      </w:r>
      <w:r>
        <w:rPr>
          <w:rFonts w:ascii="Arial" w:hAnsi="Arial" w:cs="Miriam"/>
          <w:b/>
          <w:bCs/>
          <w:rtl/>
        </w:rPr>
        <w:t>פעילות בהתאחדות בלתי מותרת</w:t>
      </w:r>
      <w:r>
        <w:rPr>
          <w:rFonts w:ascii="Arial" w:hAnsi="Arial" w:cs="Arial"/>
          <w:rtl/>
        </w:rPr>
        <w:t xml:space="preserve">, לפי </w:t>
      </w:r>
      <w:hyperlink r:id="rId19" w:history="1">
        <w:r w:rsidR="00AE5CB4" w:rsidRPr="00AE5CB4">
          <w:rPr>
            <w:rFonts w:ascii="Arial" w:hAnsi="Arial" w:cs="Arial"/>
            <w:color w:val="0000FF"/>
            <w:u w:val="single"/>
            <w:rtl/>
          </w:rPr>
          <w:t>סעיף 85(1)(ג)</w:t>
        </w:r>
      </w:hyperlink>
      <w:r>
        <w:rPr>
          <w:rFonts w:ascii="Arial" w:hAnsi="Arial" w:cs="Arial"/>
          <w:rtl/>
        </w:rPr>
        <w:t xml:space="preserve"> ל</w:t>
      </w:r>
      <w:hyperlink r:id="rId20" w:history="1">
        <w:r w:rsidR="000E5C7D" w:rsidRPr="000E5C7D">
          <w:rPr>
            <w:rStyle w:val="Hyperlink"/>
            <w:rFonts w:ascii="Arial" w:hAnsi="Arial" w:cs="Arial"/>
            <w:rtl/>
          </w:rPr>
          <w:t>תקנות ההגנה (שעת חירום)</w:t>
        </w:r>
      </w:hyperlink>
      <w:r>
        <w:rPr>
          <w:rFonts w:ascii="Arial" w:hAnsi="Arial" w:cs="Arial"/>
          <w:rtl/>
        </w:rPr>
        <w:t xml:space="preserve"> 1945; </w:t>
      </w:r>
      <w:r>
        <w:rPr>
          <w:rFonts w:ascii="Arial" w:hAnsi="Arial" w:cs="Miriam"/>
          <w:b/>
          <w:bCs/>
          <w:rtl/>
        </w:rPr>
        <w:t>עבירות בנשק</w:t>
      </w:r>
      <w:r>
        <w:rPr>
          <w:rFonts w:ascii="Arial" w:hAnsi="Arial" w:cs="Arial"/>
          <w:rtl/>
        </w:rPr>
        <w:t xml:space="preserve"> (</w:t>
      </w:r>
      <w:r>
        <w:rPr>
          <w:rFonts w:ascii="Arial" w:hAnsi="Arial" w:cs="Miriam"/>
          <w:rtl/>
        </w:rPr>
        <w:t>נשיאה והובלה</w:t>
      </w:r>
      <w:r>
        <w:rPr>
          <w:rFonts w:ascii="Arial" w:hAnsi="Arial" w:cs="Arial"/>
          <w:rtl/>
        </w:rPr>
        <w:t xml:space="preserve">; מספר רב של עבירות), לפי </w:t>
      </w:r>
      <w:hyperlink r:id="rId21" w:history="1">
        <w:r w:rsidR="00AE5CB4" w:rsidRPr="00AE5CB4">
          <w:rPr>
            <w:rFonts w:ascii="Arial" w:hAnsi="Arial" w:cs="Arial"/>
            <w:color w:val="0000FF"/>
            <w:u w:val="single"/>
            <w:rtl/>
          </w:rPr>
          <w:t>סעיף 144(ב)</w:t>
        </w:r>
      </w:hyperlink>
      <w:r>
        <w:rPr>
          <w:rFonts w:ascii="Arial" w:hAnsi="Arial" w:cs="Arial"/>
          <w:rtl/>
        </w:rPr>
        <w:t xml:space="preserve"> לחוק; </w:t>
      </w:r>
      <w:r>
        <w:rPr>
          <w:rFonts w:ascii="Arial" w:hAnsi="Arial" w:cs="Miriam"/>
          <w:b/>
          <w:bCs/>
          <w:rtl/>
        </w:rPr>
        <w:t>ניסיון לרצח</w:t>
      </w:r>
      <w:r>
        <w:rPr>
          <w:rFonts w:ascii="Arial" w:hAnsi="Arial" w:cs="Arial"/>
          <w:b/>
          <w:bCs/>
          <w:rtl/>
        </w:rPr>
        <w:t>,</w:t>
      </w:r>
      <w:r>
        <w:rPr>
          <w:rFonts w:ascii="Arial" w:hAnsi="Arial" w:cs="Arial"/>
          <w:rtl/>
        </w:rPr>
        <w:t xml:space="preserve"> לפי </w:t>
      </w:r>
      <w:hyperlink r:id="rId22" w:history="1">
        <w:r w:rsidR="00AE5CB4" w:rsidRPr="00AE5CB4">
          <w:rPr>
            <w:rFonts w:ascii="Arial" w:hAnsi="Arial" w:cs="Arial"/>
            <w:color w:val="0000FF"/>
            <w:u w:val="single"/>
            <w:rtl/>
          </w:rPr>
          <w:t>סעיף 305(1)</w:t>
        </w:r>
      </w:hyperlink>
      <w:r>
        <w:rPr>
          <w:rFonts w:ascii="Arial" w:hAnsi="Arial" w:cs="Arial"/>
          <w:rtl/>
        </w:rPr>
        <w:t xml:space="preserve"> לחוק. </w:t>
      </w:r>
    </w:p>
    <w:p w14:paraId="790EAB15" w14:textId="77777777" w:rsidR="001E4211" w:rsidRDefault="001E4211">
      <w:pPr>
        <w:spacing w:line="360" w:lineRule="auto"/>
        <w:jc w:val="both"/>
        <w:rPr>
          <w:rFonts w:ascii="Arial" w:hAnsi="Arial" w:cs="Arial"/>
          <w:rtl/>
        </w:rPr>
      </w:pPr>
    </w:p>
    <w:p w14:paraId="42C63459" w14:textId="77777777" w:rsidR="001E4211" w:rsidRDefault="002D6ECF">
      <w:pPr>
        <w:spacing w:line="360" w:lineRule="auto"/>
        <w:jc w:val="both"/>
        <w:rPr>
          <w:rFonts w:ascii="Arial" w:hAnsi="Arial" w:cs="Arial"/>
          <w:rtl/>
        </w:rPr>
      </w:pPr>
      <w:r>
        <w:rPr>
          <w:rFonts w:ascii="Arial" w:hAnsi="Arial" w:cs="Arial"/>
          <w:rtl/>
        </w:rPr>
        <w:t xml:space="preserve">על פי </w:t>
      </w:r>
      <w:r>
        <w:rPr>
          <w:rFonts w:ascii="Arial" w:hAnsi="Arial" w:cs="Arial"/>
          <w:b/>
          <w:bCs/>
          <w:rtl/>
        </w:rPr>
        <w:t>האישום השלישי</w:t>
      </w:r>
      <w:r>
        <w:rPr>
          <w:rFonts w:ascii="Arial" w:hAnsi="Arial" w:cs="Arial"/>
          <w:rtl/>
        </w:rPr>
        <w:t>, במועד לא ידוע, במהלך שנת 2004, בעזה, סיכמו הנאשם ועאדל שרף, פעיל חללי אלאקצא, לייצר טילים וסוגי אמל"ח נוספים, לצורך שיגורם ושימוש בהם כנגד חיילים ואזרחים ישראליים, וכן למכרם לצורך מימון ייצור אמל"ח נוסף.</w:t>
      </w:r>
    </w:p>
    <w:p w14:paraId="48D30D94" w14:textId="77777777" w:rsidR="001E4211" w:rsidRDefault="002D6ECF">
      <w:pPr>
        <w:spacing w:line="360" w:lineRule="auto"/>
        <w:jc w:val="both"/>
        <w:rPr>
          <w:rFonts w:ascii="Arial" w:hAnsi="Arial" w:cs="Arial"/>
          <w:rtl/>
        </w:rPr>
      </w:pPr>
      <w:r>
        <w:rPr>
          <w:rFonts w:ascii="Arial" w:hAnsi="Arial" w:cs="Arial"/>
          <w:rtl/>
        </w:rPr>
        <w:t xml:space="preserve">בעקבות כך, ייצרו השניים בביתו של עאדל, עבור הארגון, טילים, רימוני יד מאולתרים רבים מסוג "אנרג'י", מטעני צינור העשויים צינורות קצרים הממולאים בחומר נפץ עם פתיל הפעלה; בנוסף, הכינו השניים חומרים לייצור הטילים, ולצורך כך טחנו פחם, ועירבבו את הפחם עם אבקת שריפה וניטראט פוטאציום; הנאשם מילא את הטילים בחומר המעורבב, ועאדל הלחים את חלקי הטיל, לאחר שרכש ראש טיל </w:t>
      </w:r>
      <w:r>
        <w:rPr>
          <w:rFonts w:ascii="Arial" w:hAnsi="Arial" w:cs="Arial" w:hint="cs"/>
          <w:rtl/>
        </w:rPr>
        <w:t>מאחרים.</w:t>
      </w:r>
    </w:p>
    <w:p w14:paraId="63BCB909" w14:textId="77777777" w:rsidR="001E4211" w:rsidRDefault="002D6ECF">
      <w:pPr>
        <w:spacing w:line="360" w:lineRule="auto"/>
        <w:jc w:val="both"/>
        <w:rPr>
          <w:rFonts w:ascii="Arial" w:hAnsi="Arial" w:cs="Arial"/>
          <w:rtl/>
        </w:rPr>
      </w:pPr>
      <w:r>
        <w:rPr>
          <w:rFonts w:ascii="Arial" w:hAnsi="Arial" w:cs="Arial"/>
          <w:rtl/>
        </w:rPr>
        <w:t xml:space="preserve">במועד לא ידוע, במהלך שנת 2004, לאחר ייצור הטילים כמתואר, יצאו הנאשם, עאדל, והפעילים סמיח, מחמד רדואן וסוהיל אלהרש, למקום שיועד לשיגור טילים בשיח' זאיד, כשהם נושאים עמם שלושה טילים שהובאו על ידי סמיח. סמיח שיגר את הטילים לעבר העיר שדרות, כשהנאשם וחלק מהפעילים, איבטחו את האזור, מצויידים בנשק, כדי לאפשר את שיגור הטילים, ולמנוע מאחרים להגיע למקום השיגור. </w:t>
      </w:r>
    </w:p>
    <w:p w14:paraId="5A13790B" w14:textId="77777777" w:rsidR="001E4211" w:rsidRDefault="002D6ECF">
      <w:pPr>
        <w:spacing w:line="360" w:lineRule="auto"/>
        <w:jc w:val="both"/>
        <w:rPr>
          <w:rFonts w:ascii="Arial" w:hAnsi="Arial" w:cs="Arial"/>
          <w:rtl/>
        </w:rPr>
      </w:pPr>
      <w:r>
        <w:rPr>
          <w:rFonts w:ascii="Arial" w:hAnsi="Arial" w:cs="Arial"/>
          <w:rtl/>
        </w:rPr>
        <w:t>בסמוך לכך, באיזור מועדון בבית להייה, נפגשו הנאשם, שרף, סמיח, נאאל, ואחרים, כשעימם שני טילים מסוג לא ידוע. הטילים שוגרו לעבר ישראל על ידי חלק מהפעילים, כדי לגרום למות</w:t>
      </w:r>
      <w:r>
        <w:rPr>
          <w:rFonts w:ascii="Arial" w:hAnsi="Arial" w:cs="Arial" w:hint="cs"/>
          <w:rtl/>
        </w:rPr>
        <w:t>ם של</w:t>
      </w:r>
      <w:r>
        <w:rPr>
          <w:rFonts w:ascii="Arial" w:hAnsi="Arial" w:cs="Arial"/>
          <w:rtl/>
        </w:rPr>
        <w:t xml:space="preserve"> אזרחים ישראליים ולפגוע בביטחון המדינה; הנאשם ונאאל, שנשאו כלי נשק, איבטחו את המשגרים, אפשרו את שיגור הטילים ומנעו מאחרים להגיע לאיזור. בסופו של דבר שוגר רק טיל אחד מבין השניים, שנפל זמן קצר לאחר שיגורו, ולא הגיע לתחום ישראל. </w:t>
      </w:r>
    </w:p>
    <w:p w14:paraId="38176E9E" w14:textId="77777777" w:rsidR="001E4211" w:rsidRDefault="002D6ECF">
      <w:pPr>
        <w:spacing w:line="360" w:lineRule="auto"/>
        <w:jc w:val="both"/>
        <w:rPr>
          <w:rFonts w:ascii="Arial" w:hAnsi="Arial" w:cs="Arial"/>
          <w:rtl/>
        </w:rPr>
      </w:pPr>
      <w:r>
        <w:rPr>
          <w:rFonts w:ascii="Arial" w:hAnsi="Arial" w:cs="Arial"/>
          <w:rtl/>
        </w:rPr>
        <w:t xml:space="preserve">הנאשם הורשע בגין המעשים המתוארים, בעבירה של </w:t>
      </w:r>
      <w:r>
        <w:rPr>
          <w:rFonts w:ascii="Arial" w:hAnsi="Arial" w:cs="Miriam"/>
          <w:b/>
          <w:bCs/>
          <w:rtl/>
        </w:rPr>
        <w:t>סיוע לניסיון רצח</w:t>
      </w:r>
      <w:r>
        <w:rPr>
          <w:rFonts w:ascii="Arial" w:hAnsi="Arial" w:cs="Arial"/>
          <w:rtl/>
        </w:rPr>
        <w:t xml:space="preserve"> (שתי עבירות), לפי </w:t>
      </w:r>
      <w:hyperlink r:id="rId23" w:history="1">
        <w:r w:rsidR="00AE5CB4" w:rsidRPr="00AE5CB4">
          <w:rPr>
            <w:rFonts w:ascii="Arial" w:hAnsi="Arial" w:cs="Arial"/>
            <w:color w:val="0000FF"/>
            <w:u w:val="single"/>
            <w:rtl/>
          </w:rPr>
          <w:t>סעיף 305(1)</w:t>
        </w:r>
      </w:hyperlink>
      <w:r>
        <w:rPr>
          <w:rFonts w:ascii="Arial" w:hAnsi="Arial" w:cs="Arial"/>
          <w:rtl/>
        </w:rPr>
        <w:t xml:space="preserve"> לחוק בצירוף </w:t>
      </w:r>
      <w:hyperlink r:id="rId24" w:history="1">
        <w:r w:rsidR="00AE5CB4" w:rsidRPr="00AE5CB4">
          <w:rPr>
            <w:rFonts w:ascii="Arial" w:hAnsi="Arial" w:cs="Arial"/>
            <w:color w:val="0000FF"/>
            <w:u w:val="single"/>
            <w:rtl/>
          </w:rPr>
          <w:t>סעיף 31</w:t>
        </w:r>
      </w:hyperlink>
      <w:r>
        <w:rPr>
          <w:rFonts w:ascii="Arial" w:hAnsi="Arial" w:cs="Arial"/>
          <w:rtl/>
        </w:rPr>
        <w:t xml:space="preserve"> לחוק.</w:t>
      </w:r>
    </w:p>
    <w:p w14:paraId="75FB7225" w14:textId="77777777" w:rsidR="001E4211" w:rsidRDefault="001E4211">
      <w:pPr>
        <w:spacing w:line="360" w:lineRule="auto"/>
        <w:jc w:val="both"/>
        <w:rPr>
          <w:rFonts w:ascii="Arial" w:hAnsi="Arial" w:cs="Arial"/>
          <w:rtl/>
        </w:rPr>
      </w:pPr>
    </w:p>
    <w:p w14:paraId="4A56F1F9" w14:textId="77777777" w:rsidR="001E4211" w:rsidRDefault="002D6ECF">
      <w:pPr>
        <w:spacing w:line="360" w:lineRule="auto"/>
        <w:jc w:val="both"/>
        <w:rPr>
          <w:rFonts w:ascii="Arial" w:hAnsi="Arial" w:cs="Arial"/>
          <w:rtl/>
        </w:rPr>
      </w:pPr>
      <w:r>
        <w:rPr>
          <w:rFonts w:ascii="Arial" w:hAnsi="Arial" w:cs="Arial"/>
          <w:rtl/>
        </w:rPr>
        <w:t>ב"כ המאשימה, עו"ד ר' מרום, טענה כי יש לראות את מעשיו של הנאשם בחומרה; הנאשם היה מעורב במספר אירועים שנועדו להמיט אסון והרג על חיילי צה"ל, והדבר בא לידי ביטוי בצאתו של הנאשם לשמירות חמושות מתוך מטרה להיתקל התקלות מזוינת עם חיילים, ובביצוע ירי מכוון של מספר כדורים לעבר טנק. הנאשם עלה עליית מדרגה, שעה שגייס אנשים לחוליה אשר הוא עצמו פיקד עליה, ולאחר כשנה מאז שהצטרף לארגון, עסק בייצור אמל"ח וטילים, והשתתף בשני אירועים של ירי טילים לעבר ישראל – שוגרו ארבעה טילים, כפי שתואר- במשימות אבטחה של המשגרים.</w:t>
      </w:r>
    </w:p>
    <w:p w14:paraId="048DB31B" w14:textId="77777777" w:rsidR="001E4211" w:rsidRDefault="002D6ECF">
      <w:pPr>
        <w:spacing w:line="360" w:lineRule="auto"/>
        <w:jc w:val="both"/>
        <w:rPr>
          <w:rFonts w:ascii="Arial" w:hAnsi="Arial" w:cs="Arial"/>
          <w:rtl/>
        </w:rPr>
      </w:pPr>
      <w:r>
        <w:rPr>
          <w:rFonts w:ascii="Arial" w:hAnsi="Arial" w:cs="Arial"/>
          <w:rtl/>
        </w:rPr>
        <w:t>ב"כ המאשימה עמדה בטיעוניה על כך שאחיו של הנאשם, נאאל, שהורשע בנפרד, בגין שני אישומים להם היה שותף הנאשם, נדון לשבע שנות מאסר, ואולם נטען כי יש להטיל על הנאשם עונש חמור בהרבה, שכן נאאל הורשע רק בגין חלק מהמעשים בהם הורשע הנאשם, ולא היה שותף למעשים המפורטים באישום השני ובאירוע הראשון של שיגור הטילים המפורט באישום השלישי.</w:t>
      </w:r>
    </w:p>
    <w:p w14:paraId="4B1CB786" w14:textId="77777777" w:rsidR="001E4211" w:rsidRDefault="002D6ECF">
      <w:pPr>
        <w:spacing w:line="360" w:lineRule="auto"/>
        <w:jc w:val="both"/>
        <w:rPr>
          <w:rFonts w:ascii="Arial" w:hAnsi="Arial" w:cs="Arial"/>
          <w:rtl/>
        </w:rPr>
      </w:pPr>
      <w:r>
        <w:rPr>
          <w:rFonts w:ascii="Arial" w:hAnsi="Arial" w:cs="Arial"/>
          <w:rtl/>
        </w:rPr>
        <w:t>נוכח מתווה העונשים שנקבע בבית משפט זה בעניין יאסר אבו חמד (</w:t>
      </w:r>
      <w:r w:rsidRPr="003C4E7B">
        <w:rPr>
          <w:rFonts w:ascii="Arial" w:hAnsi="Arial" w:cs="Arial"/>
          <w:color w:val="000000"/>
          <w:rtl/>
        </w:rPr>
        <w:t>תפח 1103/06</w:t>
      </w:r>
      <w:r>
        <w:rPr>
          <w:rFonts w:ascii="Arial" w:hAnsi="Arial" w:cs="Arial"/>
          <w:rtl/>
        </w:rPr>
        <w:t xml:space="preserve">, </w:t>
      </w:r>
      <w:r w:rsidR="006771CF" w:rsidRPr="006771CF">
        <w:rPr>
          <w:sz w:val="22"/>
          <w:rtl/>
        </w:rPr>
        <w:t xml:space="preserve">[פורסם בנבו] </w:t>
      </w:r>
      <w:r>
        <w:rPr>
          <w:rFonts w:ascii="Arial" w:hAnsi="Arial" w:cs="Arial"/>
          <w:rtl/>
        </w:rPr>
        <w:t>ניתן ביום 22.10.2012), ובעניין דפאע אבו עאדרה (</w:t>
      </w:r>
      <w:hyperlink r:id="rId25" w:history="1">
        <w:r w:rsidR="000E5C7D" w:rsidRPr="000E5C7D">
          <w:rPr>
            <w:rStyle w:val="Hyperlink"/>
            <w:rFonts w:ascii="Arial" w:hAnsi="Arial" w:cs="Arial"/>
            <w:rtl/>
          </w:rPr>
          <w:t>ע"פ 5486/10</w:t>
        </w:r>
      </w:hyperlink>
      <w:r>
        <w:rPr>
          <w:rFonts w:ascii="Arial" w:hAnsi="Arial" w:cs="Arial"/>
          <w:rtl/>
        </w:rPr>
        <w:t xml:space="preserve">, </w:t>
      </w:r>
      <w:r w:rsidR="006771CF" w:rsidRPr="006771CF">
        <w:rPr>
          <w:sz w:val="22"/>
          <w:rtl/>
        </w:rPr>
        <w:t xml:space="preserve">[פורסם בנבו] </w:t>
      </w:r>
      <w:r>
        <w:rPr>
          <w:rFonts w:ascii="Arial" w:hAnsi="Arial" w:cs="Arial"/>
          <w:rtl/>
        </w:rPr>
        <w:t>ניתן ביום 23.10.2012), ותוך הבחנה מהעונש שנגזר בתיק אחר, בעניין שריף אבו ואדי (</w:t>
      </w:r>
      <w:hyperlink r:id="rId26" w:history="1">
        <w:r w:rsidR="000E5C7D" w:rsidRPr="000E5C7D">
          <w:rPr>
            <w:rStyle w:val="Hyperlink"/>
            <w:rFonts w:ascii="Arial" w:hAnsi="Arial" w:cs="Arial"/>
            <w:rtl/>
          </w:rPr>
          <w:t>ע"פ 2651/10</w:t>
        </w:r>
      </w:hyperlink>
      <w:r>
        <w:rPr>
          <w:rFonts w:ascii="Arial" w:hAnsi="Arial" w:cs="Arial"/>
          <w:rtl/>
        </w:rPr>
        <w:t xml:space="preserve">, </w:t>
      </w:r>
      <w:r w:rsidR="006771CF" w:rsidRPr="006771CF">
        <w:rPr>
          <w:sz w:val="22"/>
          <w:rtl/>
        </w:rPr>
        <w:t xml:space="preserve">[פורסם בנבו] </w:t>
      </w:r>
      <w:r>
        <w:rPr>
          <w:rFonts w:ascii="Arial" w:hAnsi="Arial" w:cs="Arial"/>
          <w:rtl/>
        </w:rPr>
        <w:t xml:space="preserve">ניתן ביום 28.2.2011) שם נדון הנאשם לתשע עשרה שנות מאסר בפועל, בגין שמירות חמושות ומעורבות בירי טילים, סוברת התביעה כי יש לגזור על הנאשם בגין מעשיו, עונש כולל של 28- 30 שנות מאסר, וזאת לאחר שהוצגו על ידה מתחמי ענישה הראויים למעשי הנאשם, כפי שיפורט בהמשך הדברים.   </w:t>
      </w:r>
    </w:p>
    <w:p w14:paraId="27B969AC" w14:textId="77777777" w:rsidR="001E4211" w:rsidRDefault="001E4211">
      <w:pPr>
        <w:spacing w:line="360" w:lineRule="auto"/>
        <w:jc w:val="both"/>
        <w:rPr>
          <w:rFonts w:ascii="Arial" w:hAnsi="Arial" w:cs="Arial"/>
          <w:rtl/>
        </w:rPr>
      </w:pPr>
    </w:p>
    <w:p w14:paraId="0F17A4BC" w14:textId="77777777" w:rsidR="001E4211" w:rsidRDefault="002D6ECF">
      <w:pPr>
        <w:spacing w:line="360" w:lineRule="auto"/>
        <w:jc w:val="both"/>
        <w:rPr>
          <w:rFonts w:ascii="Arial" w:hAnsi="Arial" w:cs="Arial"/>
          <w:rtl/>
        </w:rPr>
      </w:pPr>
      <w:r>
        <w:rPr>
          <w:rFonts w:ascii="Arial" w:hAnsi="Arial" w:cs="Arial"/>
          <w:rtl/>
        </w:rPr>
        <w:t xml:space="preserve">ב"כ הנאשם, </w:t>
      </w:r>
      <w:r>
        <w:rPr>
          <w:rFonts w:ascii="Arial" w:hAnsi="Arial" w:cs="Arial" w:hint="cs"/>
          <w:rtl/>
        </w:rPr>
        <w:t xml:space="preserve">עו"ד </w:t>
      </w:r>
      <w:r>
        <w:rPr>
          <w:rFonts w:ascii="Arial" w:hAnsi="Arial" w:cs="Arial"/>
          <w:rtl/>
        </w:rPr>
        <w:t>מ' ג'אברין</w:t>
      </w:r>
      <w:r>
        <w:rPr>
          <w:rFonts w:ascii="Arial" w:hAnsi="Arial" w:cs="Arial" w:hint="cs"/>
          <w:rtl/>
        </w:rPr>
        <w:t>,</w:t>
      </w:r>
      <w:r>
        <w:rPr>
          <w:rFonts w:ascii="Arial" w:hAnsi="Arial" w:cs="Arial"/>
          <w:rtl/>
        </w:rPr>
        <w:t xml:space="preserve"> עמד על כך שהנאשם לא היה מעורב בפעילות כנגד ביטחון המדינה, מאז שנת 2004, ועד שנעצר בשלהי שנת 2010. הנאשם ואחיו ביקשו להיעצר על ידי כוחות צה"ל, לאחר שהיו מבוקשים על ידי החמאס, והנאשם שהה בדירת מסתור מספר שנים. </w:t>
      </w:r>
    </w:p>
    <w:p w14:paraId="19176B15" w14:textId="77777777" w:rsidR="001E4211" w:rsidRDefault="002D6ECF">
      <w:pPr>
        <w:spacing w:line="360" w:lineRule="auto"/>
        <w:jc w:val="both"/>
        <w:rPr>
          <w:rFonts w:ascii="Arial" w:hAnsi="Arial" w:cs="Arial"/>
          <w:rtl/>
        </w:rPr>
      </w:pPr>
      <w:r>
        <w:rPr>
          <w:rFonts w:ascii="Arial" w:hAnsi="Arial" w:cs="Arial"/>
          <w:rtl/>
        </w:rPr>
        <w:t xml:space="preserve">נטען, כי העונש שיוטל על הנאשם אינו צריך לחרוג לחומרה מזה שהוטל על נאאל, במסגרת הסדר שכלל הסכמה גם לגבי שיעור העונש. בנוסף לעבירות בהן הורשע נאאל, היה הנאשם מעורב בירי לא אפקטיבי שנורה לעבר טנק ממרחק, ויש לקבוע מתחם ענישה שהרף התחתון בו יעמוד על חמש שנות מאסר בלבד. עוד צויין, כי הנאשם שימש ככוח עזר ולא יזם את ירי הטילים, והוא הצטרף לחוליה לבקשתו של סמיח מדהון. בהקשר זה נטען כי הטילים ששוגרו לא היו אלה שהוכנו על ידי הנאשם, ולא עלה כי נעשה שימוש באמצעי האמל"ח האחרים שיוצרו על ידו, או כי מעשיו של הנאשם גרמו לנזק כלשהו. </w:t>
      </w:r>
    </w:p>
    <w:p w14:paraId="3273D39B" w14:textId="77777777" w:rsidR="001E4211" w:rsidRDefault="002D6ECF">
      <w:pPr>
        <w:spacing w:line="360" w:lineRule="auto"/>
        <w:jc w:val="both"/>
        <w:rPr>
          <w:rFonts w:ascii="Arial" w:hAnsi="Arial" w:cs="Arial"/>
          <w:rtl/>
        </w:rPr>
      </w:pPr>
      <w:r>
        <w:rPr>
          <w:rFonts w:ascii="Arial" w:hAnsi="Arial" w:cs="Arial"/>
          <w:rtl/>
        </w:rPr>
        <w:t xml:space="preserve">הסניגור הפנה לשורה של פסקי דין שבהם הוטלו על נאשמים, במקרים השונים, עונשי מאסר מתונים יחסית: </w:t>
      </w:r>
      <w:hyperlink r:id="rId27" w:history="1">
        <w:r w:rsidR="000E5C7D" w:rsidRPr="000E5C7D">
          <w:rPr>
            <w:rStyle w:val="Hyperlink"/>
            <w:rFonts w:ascii="Arial" w:hAnsi="Arial" w:cs="Arial"/>
            <w:rtl/>
          </w:rPr>
          <w:t>תפ"ח(ב"ש) 1062/08</w:t>
        </w:r>
      </w:hyperlink>
      <w:r>
        <w:rPr>
          <w:rFonts w:ascii="Arial" w:hAnsi="Arial" w:cs="Arial"/>
          <w:rtl/>
        </w:rPr>
        <w:t xml:space="preserve"> </w:t>
      </w:r>
      <w:r>
        <w:rPr>
          <w:rFonts w:ascii="Arial" w:hAnsi="Arial" w:cs="Arial"/>
          <w:u w:val="single"/>
          <w:rtl/>
        </w:rPr>
        <w:t>מדינת ישראל נ' אדהם פריח</w:t>
      </w:r>
      <w:r>
        <w:rPr>
          <w:rFonts w:ascii="Arial" w:hAnsi="Arial" w:cs="Arial"/>
          <w:rtl/>
        </w:rPr>
        <w:t xml:space="preserve">, </w:t>
      </w:r>
      <w:r w:rsidR="006771CF" w:rsidRPr="006771CF">
        <w:rPr>
          <w:sz w:val="22"/>
          <w:rtl/>
        </w:rPr>
        <w:t xml:space="preserve">[פורסם בנבו] </w:t>
      </w:r>
      <w:r>
        <w:rPr>
          <w:rFonts w:ascii="Arial" w:hAnsi="Arial" w:cs="Arial"/>
          <w:rtl/>
        </w:rPr>
        <w:t xml:space="preserve">ניתן ביום 22.3.2012; </w:t>
      </w:r>
      <w:hyperlink r:id="rId28" w:history="1">
        <w:r w:rsidR="000E5C7D" w:rsidRPr="000E5C7D">
          <w:rPr>
            <w:rStyle w:val="Hyperlink"/>
            <w:rFonts w:ascii="Arial" w:hAnsi="Arial" w:cs="Arial"/>
            <w:rtl/>
          </w:rPr>
          <w:t>תפ"ח(ב"ש) 1218/08</w:t>
        </w:r>
      </w:hyperlink>
      <w:r>
        <w:rPr>
          <w:rFonts w:ascii="Arial" w:hAnsi="Arial" w:cs="Arial"/>
          <w:rtl/>
        </w:rPr>
        <w:t xml:space="preserve"> </w:t>
      </w:r>
      <w:r>
        <w:rPr>
          <w:rFonts w:ascii="Arial" w:hAnsi="Arial" w:cs="Arial"/>
          <w:u w:val="single"/>
          <w:rtl/>
        </w:rPr>
        <w:t>מדינת ישראל נ' חתאם קוידר</w:t>
      </w:r>
      <w:r>
        <w:rPr>
          <w:rFonts w:ascii="Arial" w:hAnsi="Arial" w:cs="Arial"/>
          <w:rtl/>
        </w:rPr>
        <w:t xml:space="preserve">, </w:t>
      </w:r>
      <w:r w:rsidR="006771CF" w:rsidRPr="006771CF">
        <w:rPr>
          <w:sz w:val="22"/>
          <w:rtl/>
        </w:rPr>
        <w:t xml:space="preserve">[פורסם בנבו] </w:t>
      </w:r>
      <w:r>
        <w:rPr>
          <w:rFonts w:ascii="Arial" w:hAnsi="Arial" w:cs="Arial"/>
          <w:rtl/>
        </w:rPr>
        <w:t xml:space="preserve">ניתן ביום 13.5.2013; </w:t>
      </w:r>
      <w:r w:rsidRPr="003C4E7B">
        <w:rPr>
          <w:rFonts w:ascii="Arial" w:hAnsi="Arial" w:cs="Arial"/>
          <w:color w:val="000000"/>
          <w:rtl/>
        </w:rPr>
        <w:t>תפ</w:t>
      </w:r>
      <w:r w:rsidRPr="003C4E7B">
        <w:rPr>
          <w:rFonts w:ascii="Arial" w:hAnsi="Arial" w:cs="Arial" w:hint="cs"/>
          <w:color w:val="000000"/>
          <w:rtl/>
        </w:rPr>
        <w:t>"</w:t>
      </w:r>
      <w:r w:rsidRPr="003C4E7B">
        <w:rPr>
          <w:rFonts w:ascii="Arial" w:hAnsi="Arial" w:cs="Arial"/>
          <w:color w:val="000000"/>
          <w:rtl/>
        </w:rPr>
        <w:t>ח(ב"ש) 1003/07</w:t>
      </w:r>
      <w:r>
        <w:rPr>
          <w:rFonts w:ascii="Arial" w:hAnsi="Arial" w:cs="Arial"/>
          <w:u w:val="single"/>
          <w:rtl/>
        </w:rPr>
        <w:t>מדינת ישראל נ' חמד צאלח</w:t>
      </w:r>
      <w:r>
        <w:rPr>
          <w:rFonts w:ascii="Arial" w:hAnsi="Arial" w:cs="Arial"/>
          <w:rtl/>
        </w:rPr>
        <w:t xml:space="preserve">, </w:t>
      </w:r>
      <w:r w:rsidR="006771CF" w:rsidRPr="006771CF">
        <w:rPr>
          <w:sz w:val="22"/>
          <w:rtl/>
        </w:rPr>
        <w:t xml:space="preserve">[פורסם בנבו] </w:t>
      </w:r>
      <w:r>
        <w:rPr>
          <w:rFonts w:ascii="Arial" w:hAnsi="Arial" w:cs="Arial"/>
          <w:rtl/>
        </w:rPr>
        <w:t xml:space="preserve">ניתן ביום 19.11.2007; </w:t>
      </w:r>
      <w:hyperlink r:id="rId29" w:history="1">
        <w:r w:rsidR="000E5C7D" w:rsidRPr="000E5C7D">
          <w:rPr>
            <w:rStyle w:val="Hyperlink"/>
            <w:rFonts w:ascii="Arial" w:hAnsi="Arial" w:cs="Arial"/>
            <w:rtl/>
          </w:rPr>
          <w:t>תפ"ח(ב"ש) 1119/06</w:t>
        </w:r>
      </w:hyperlink>
      <w:r>
        <w:rPr>
          <w:rFonts w:ascii="Arial" w:hAnsi="Arial" w:cs="Arial"/>
          <w:rtl/>
        </w:rPr>
        <w:t xml:space="preserve"> </w:t>
      </w:r>
      <w:r>
        <w:rPr>
          <w:rFonts w:ascii="Arial" w:hAnsi="Arial" w:cs="Arial"/>
          <w:u w:val="single"/>
          <w:rtl/>
        </w:rPr>
        <w:t>מדינת ישראל נ' פואד אבו רגילה</w:t>
      </w:r>
      <w:r>
        <w:rPr>
          <w:rFonts w:ascii="Arial" w:hAnsi="Arial" w:cs="Arial"/>
          <w:rtl/>
        </w:rPr>
        <w:t xml:space="preserve">, </w:t>
      </w:r>
      <w:r w:rsidR="006771CF" w:rsidRPr="006771CF">
        <w:rPr>
          <w:sz w:val="22"/>
          <w:rtl/>
        </w:rPr>
        <w:t xml:space="preserve">[פורסם בנבו] </w:t>
      </w:r>
      <w:r>
        <w:rPr>
          <w:rFonts w:ascii="Arial" w:hAnsi="Arial" w:cs="Arial"/>
          <w:rtl/>
        </w:rPr>
        <w:t xml:space="preserve">ניתן ביום 21.1.2008; </w:t>
      </w:r>
      <w:hyperlink r:id="rId30" w:history="1">
        <w:r w:rsidR="000E5C7D" w:rsidRPr="000E5C7D">
          <w:rPr>
            <w:rStyle w:val="Hyperlink"/>
            <w:rFonts w:ascii="Arial" w:hAnsi="Arial" w:cs="Arial"/>
            <w:rtl/>
          </w:rPr>
          <w:t>תפ"ח(ב"ש) 32217-12-11</w:t>
        </w:r>
      </w:hyperlink>
      <w:r>
        <w:rPr>
          <w:rFonts w:ascii="Arial" w:hAnsi="Arial" w:cs="Arial"/>
          <w:rtl/>
        </w:rPr>
        <w:t xml:space="preserve"> </w:t>
      </w:r>
      <w:r>
        <w:rPr>
          <w:rFonts w:ascii="Arial" w:hAnsi="Arial" w:cs="Arial"/>
          <w:u w:val="single"/>
          <w:rtl/>
        </w:rPr>
        <w:t>מדינת ישראל נ' דואס</w:t>
      </w:r>
      <w:r>
        <w:rPr>
          <w:rFonts w:ascii="Arial" w:hAnsi="Arial" w:cs="Arial"/>
          <w:rtl/>
        </w:rPr>
        <w:t xml:space="preserve">, </w:t>
      </w:r>
      <w:r w:rsidR="006771CF" w:rsidRPr="006771CF">
        <w:rPr>
          <w:sz w:val="22"/>
          <w:rtl/>
        </w:rPr>
        <w:t xml:space="preserve">[פורסם בנבו] </w:t>
      </w:r>
      <w:r>
        <w:rPr>
          <w:rFonts w:ascii="Arial" w:hAnsi="Arial" w:cs="Arial"/>
          <w:rtl/>
        </w:rPr>
        <w:t xml:space="preserve">ניתן ביום 5.12.2012; </w:t>
      </w:r>
      <w:hyperlink r:id="rId31" w:history="1">
        <w:r w:rsidR="000E5C7D" w:rsidRPr="000E5C7D">
          <w:rPr>
            <w:rStyle w:val="Hyperlink"/>
            <w:rFonts w:ascii="Arial" w:hAnsi="Arial" w:cs="Arial"/>
            <w:rtl/>
          </w:rPr>
          <w:t>תפ"ח(ב"ש) 1011/08</w:t>
        </w:r>
      </w:hyperlink>
      <w:r>
        <w:rPr>
          <w:rFonts w:ascii="Arial" w:hAnsi="Arial" w:cs="Arial"/>
          <w:rtl/>
        </w:rPr>
        <w:t xml:space="preserve"> </w:t>
      </w:r>
      <w:r>
        <w:rPr>
          <w:rFonts w:ascii="Arial" w:hAnsi="Arial" w:cs="Arial"/>
          <w:u w:val="single"/>
          <w:rtl/>
        </w:rPr>
        <w:t>מדינת ישראל נ' סחלה מהנד</w:t>
      </w:r>
      <w:r>
        <w:rPr>
          <w:rFonts w:ascii="Arial" w:hAnsi="Arial" w:cs="Arial"/>
          <w:rtl/>
        </w:rPr>
        <w:t xml:space="preserve">, </w:t>
      </w:r>
      <w:r w:rsidR="006771CF" w:rsidRPr="006771CF">
        <w:rPr>
          <w:sz w:val="22"/>
          <w:rtl/>
        </w:rPr>
        <w:t xml:space="preserve">[פורסם בנבו] </w:t>
      </w:r>
      <w:r>
        <w:rPr>
          <w:rFonts w:ascii="Arial" w:hAnsi="Arial" w:cs="Arial"/>
          <w:rtl/>
        </w:rPr>
        <w:t xml:space="preserve">ניתן ביום 30.3.2009. </w:t>
      </w:r>
    </w:p>
    <w:p w14:paraId="2089A605" w14:textId="77777777" w:rsidR="001E4211" w:rsidRDefault="001E4211">
      <w:pPr>
        <w:spacing w:line="360" w:lineRule="auto"/>
        <w:jc w:val="both"/>
        <w:rPr>
          <w:rFonts w:ascii="Arial" w:hAnsi="Arial" w:cs="Arial"/>
          <w:rtl/>
        </w:rPr>
      </w:pPr>
    </w:p>
    <w:p w14:paraId="5BB2D6F2" w14:textId="77777777" w:rsidR="001E4211" w:rsidRDefault="002D6ECF">
      <w:pPr>
        <w:spacing w:line="360" w:lineRule="auto"/>
        <w:jc w:val="both"/>
        <w:rPr>
          <w:rFonts w:ascii="Arial" w:hAnsi="Arial" w:cs="Arial"/>
          <w:rtl/>
        </w:rPr>
      </w:pPr>
      <w:r>
        <w:rPr>
          <w:rFonts w:ascii="Arial" w:hAnsi="Arial" w:cs="Arial"/>
          <w:rtl/>
        </w:rPr>
        <w:t xml:space="preserve">בדברו האחרון ציין הנאשם כי הינו אב לחמישה ילדים. הוא הביע צער על מעשיו, והבהיר כי לא חזר עוד לבצע מעשי עבירה לאחר שנת 2004. עוד טען כי בשל "בעיות עם החמאס" הסגיר עצמו לישראל. </w:t>
      </w:r>
    </w:p>
    <w:p w14:paraId="76ECE68A" w14:textId="77777777" w:rsidR="001E4211" w:rsidRDefault="001E4211">
      <w:pPr>
        <w:spacing w:line="360" w:lineRule="auto"/>
        <w:jc w:val="both"/>
        <w:rPr>
          <w:rFonts w:ascii="Arial" w:hAnsi="Arial" w:cs="Arial"/>
          <w:rtl/>
        </w:rPr>
      </w:pPr>
    </w:p>
    <w:p w14:paraId="79553A29" w14:textId="77777777" w:rsidR="001E4211" w:rsidRDefault="002D6ECF">
      <w:pPr>
        <w:spacing w:line="360" w:lineRule="auto"/>
        <w:jc w:val="both"/>
        <w:rPr>
          <w:rFonts w:ascii="Arial" w:hAnsi="Arial" w:cs="Arial"/>
          <w:rtl/>
        </w:rPr>
      </w:pPr>
      <w:r>
        <w:rPr>
          <w:rFonts w:ascii="Arial" w:hAnsi="Arial" w:cs="Arial"/>
          <w:rtl/>
        </w:rPr>
        <w:t xml:space="preserve">דיון </w:t>
      </w:r>
    </w:p>
    <w:p w14:paraId="55A524D0" w14:textId="77777777" w:rsidR="001E4211" w:rsidRDefault="001E4211">
      <w:pPr>
        <w:overflowPunct w:val="0"/>
        <w:autoSpaceDE w:val="0"/>
        <w:autoSpaceDN w:val="0"/>
        <w:adjustRightInd w:val="0"/>
        <w:spacing w:line="360" w:lineRule="auto"/>
        <w:jc w:val="both"/>
        <w:rPr>
          <w:rFonts w:ascii="Arial" w:hAnsi="Arial" w:cs="Arial"/>
          <w:rtl/>
        </w:rPr>
      </w:pPr>
    </w:p>
    <w:p w14:paraId="3B822B63" w14:textId="77777777" w:rsidR="001E4211" w:rsidRDefault="002D6ECF">
      <w:pPr>
        <w:overflowPunct w:val="0"/>
        <w:autoSpaceDE w:val="0"/>
        <w:autoSpaceDN w:val="0"/>
        <w:adjustRightInd w:val="0"/>
        <w:spacing w:line="360" w:lineRule="auto"/>
        <w:jc w:val="both"/>
        <w:rPr>
          <w:rFonts w:ascii="Arial" w:hAnsi="Arial" w:cs="Arial"/>
          <w:rtl/>
        </w:rPr>
      </w:pPr>
      <w:r>
        <w:rPr>
          <w:rFonts w:ascii="Arial" w:hAnsi="Arial" w:cs="Arial"/>
          <w:rtl/>
        </w:rPr>
        <w:t xml:space="preserve">על פי הפסיקה המושרשת יש להטיל עונשים כבדים ומשמעותיים, על אנשי אירגוני הטרור, הפועלים באין מפריע כמעט, מתוככי רצועת עזה, במטרה להמיט הרס וקטל על תושבי ישראל. בין אמצעי הטרור המופעלים כנד ישראלים, ללא אבחנה, ובקלות יחסית כפי שמלמד הניסיון המר בשנים האחרונות, תופס ירי הטילים מהרצועה מקום מרכזי: </w:t>
      </w:r>
    </w:p>
    <w:p w14:paraId="0BC7370E" w14:textId="77777777" w:rsidR="001E4211" w:rsidRDefault="002D6ECF">
      <w:pPr>
        <w:overflowPunct w:val="0"/>
        <w:autoSpaceDE w:val="0"/>
        <w:autoSpaceDN w:val="0"/>
        <w:adjustRightInd w:val="0"/>
        <w:spacing w:line="360" w:lineRule="auto"/>
        <w:ind w:left="566" w:right="720"/>
        <w:jc w:val="both"/>
        <w:rPr>
          <w:rFonts w:ascii="Arial" w:hAnsi="Arial" w:cs="Arial"/>
          <w:sz w:val="22"/>
          <w:szCs w:val="22"/>
          <w:rtl/>
        </w:rPr>
      </w:pPr>
      <w:r>
        <w:rPr>
          <w:rFonts w:ascii="Arial" w:hAnsi="Arial" w:cs="Arial"/>
          <w:b/>
          <w:bCs/>
          <w:sz w:val="22"/>
          <w:szCs w:val="22"/>
          <w:rtl/>
        </w:rPr>
        <w:t xml:space="preserve">"ירי הטילים מרצועת עזה הוא סיוט מתמשך של תושבי הדרום. פוטנציאל הפגיעה באדם וברכוש מירי טילים כזה הוא קשה לתיאור. על כן, במקרה נדיר בו ניתן לשפוט בישראל מי שנוטל חלק בפעילות כזו, אין מנוס אלא לנקוט ביד קשה למען יצא הקול כי יש מחיר כבד למעשים כאלה..." </w:t>
      </w:r>
      <w:r>
        <w:rPr>
          <w:rFonts w:ascii="Arial" w:hAnsi="Arial" w:cs="Arial"/>
          <w:sz w:val="22"/>
          <w:szCs w:val="22"/>
          <w:rtl/>
        </w:rPr>
        <w:t>(</w:t>
      </w:r>
      <w:hyperlink r:id="rId32" w:history="1">
        <w:r w:rsidR="000E5C7D" w:rsidRPr="000E5C7D">
          <w:rPr>
            <w:rStyle w:val="Hyperlink"/>
            <w:rFonts w:ascii="Arial" w:hAnsi="Arial" w:cs="Arial"/>
            <w:sz w:val="22"/>
            <w:szCs w:val="22"/>
            <w:rtl/>
          </w:rPr>
          <w:t>ע"פ 5486/10</w:t>
        </w:r>
      </w:hyperlink>
      <w:r>
        <w:rPr>
          <w:rFonts w:ascii="Arial" w:hAnsi="Arial" w:cs="Arial"/>
          <w:sz w:val="22"/>
          <w:szCs w:val="22"/>
          <w:rtl/>
        </w:rPr>
        <w:t xml:space="preserve"> </w:t>
      </w:r>
      <w:r>
        <w:rPr>
          <w:rFonts w:ascii="Arial" w:hAnsi="Arial" w:cs="Arial"/>
          <w:sz w:val="22"/>
          <w:szCs w:val="22"/>
          <w:u w:val="single"/>
          <w:rtl/>
        </w:rPr>
        <w:t>דפעא אבו עאדרה נ' מדינת ישראל</w:t>
      </w:r>
      <w:r>
        <w:rPr>
          <w:rFonts w:ascii="Arial" w:hAnsi="Arial" w:cs="Arial"/>
          <w:sz w:val="22"/>
          <w:szCs w:val="22"/>
          <w:rtl/>
        </w:rPr>
        <w:t xml:space="preserve">, </w:t>
      </w:r>
      <w:r w:rsidR="006771CF" w:rsidRPr="006771CF">
        <w:rPr>
          <w:sz w:val="22"/>
          <w:rtl/>
        </w:rPr>
        <w:t xml:space="preserve">[פורסם בנבו] </w:t>
      </w:r>
      <w:r>
        <w:rPr>
          <w:rFonts w:ascii="Arial" w:hAnsi="Arial" w:cs="Arial"/>
          <w:sz w:val="22"/>
          <w:szCs w:val="22"/>
          <w:rtl/>
        </w:rPr>
        <w:t>ניתן ביום 23.10.2012).</w:t>
      </w:r>
    </w:p>
    <w:p w14:paraId="7497CF80" w14:textId="77777777" w:rsidR="001E4211" w:rsidRDefault="001E4211">
      <w:pPr>
        <w:overflowPunct w:val="0"/>
        <w:autoSpaceDE w:val="0"/>
        <w:autoSpaceDN w:val="0"/>
        <w:adjustRightInd w:val="0"/>
        <w:spacing w:line="360" w:lineRule="auto"/>
        <w:jc w:val="both"/>
        <w:rPr>
          <w:rFonts w:ascii="Arial" w:hAnsi="Arial" w:cs="Arial"/>
          <w:rtl/>
        </w:rPr>
      </w:pPr>
    </w:p>
    <w:p w14:paraId="7F006346" w14:textId="77777777" w:rsidR="001E4211" w:rsidRDefault="002D6ECF">
      <w:pPr>
        <w:overflowPunct w:val="0"/>
        <w:autoSpaceDE w:val="0"/>
        <w:autoSpaceDN w:val="0"/>
        <w:adjustRightInd w:val="0"/>
        <w:spacing w:line="360" w:lineRule="auto"/>
        <w:jc w:val="both"/>
        <w:rPr>
          <w:rFonts w:ascii="Arial" w:hAnsi="Arial" w:cs="Arial"/>
          <w:spacing w:val="10"/>
          <w:rtl/>
        </w:rPr>
      </w:pPr>
      <w:r>
        <w:rPr>
          <w:rFonts w:ascii="Arial" w:hAnsi="Arial" w:cs="Arial"/>
          <w:rtl/>
        </w:rPr>
        <w:t xml:space="preserve">ככלל, משעסקינן בביצוע עבירות פליליות, יש לתת את הדעת, בעת גזירת העונש, לחלקם היחסי של עושי העבירה במעשה העבירה. עם זאת, בעבירות כנגד הביטחון נפסק, כי לא ניתן לעבור לסדר היום בדרך של הטלת ענישה מתחשבת או מקלה על הנותנים ידם לפעולות טרור. כך ב - </w:t>
      </w:r>
      <w:hyperlink r:id="rId33" w:history="1">
        <w:r w:rsidR="000E5C7D" w:rsidRPr="000E5C7D">
          <w:rPr>
            <w:rStyle w:val="Hyperlink"/>
            <w:rFonts w:ascii="Arial" w:hAnsi="Arial" w:cs="Arial"/>
            <w:spacing w:val="10"/>
            <w:rtl/>
          </w:rPr>
          <w:t>ע"פ 4352/08</w:t>
        </w:r>
      </w:hyperlink>
      <w:r>
        <w:rPr>
          <w:rFonts w:ascii="Arial" w:hAnsi="Arial" w:cs="Arial"/>
          <w:spacing w:val="10"/>
          <w:rtl/>
        </w:rPr>
        <w:t xml:space="preserve"> </w:t>
      </w:r>
      <w:r>
        <w:rPr>
          <w:rFonts w:ascii="Arial" w:hAnsi="Arial" w:cs="Arial"/>
          <w:spacing w:val="10"/>
          <w:u w:val="single"/>
          <w:rtl/>
        </w:rPr>
        <w:t>פלוני נ' מדינת ישראל</w:t>
      </w:r>
      <w:r>
        <w:rPr>
          <w:rFonts w:ascii="Arial" w:hAnsi="Arial" w:cs="Arial"/>
          <w:spacing w:val="10"/>
          <w:rtl/>
        </w:rPr>
        <w:t xml:space="preserve">, </w:t>
      </w:r>
      <w:r w:rsidR="006771CF" w:rsidRPr="006771CF">
        <w:rPr>
          <w:sz w:val="22"/>
          <w:rtl/>
        </w:rPr>
        <w:t xml:space="preserve">[פורסם בנבו] </w:t>
      </w:r>
      <w:r>
        <w:rPr>
          <w:rFonts w:ascii="Arial" w:hAnsi="Arial" w:cs="Arial"/>
          <w:spacing w:val="10"/>
          <w:rtl/>
        </w:rPr>
        <w:t xml:space="preserve">ניתן ביום 23.3.2009, נאמר כי -  </w:t>
      </w:r>
    </w:p>
    <w:p w14:paraId="4CED6559" w14:textId="77777777" w:rsidR="001E4211" w:rsidRDefault="002D6ECF">
      <w:pPr>
        <w:overflowPunct w:val="0"/>
        <w:autoSpaceDE w:val="0"/>
        <w:autoSpaceDN w:val="0"/>
        <w:adjustRightInd w:val="0"/>
        <w:ind w:left="566" w:right="720"/>
        <w:jc w:val="both"/>
        <w:rPr>
          <w:rFonts w:ascii="Arial" w:hAnsi="Arial" w:cs="Arial"/>
          <w:b/>
          <w:bCs/>
          <w:spacing w:val="10"/>
          <w:sz w:val="22"/>
          <w:szCs w:val="22"/>
          <w:rtl/>
        </w:rPr>
      </w:pPr>
      <w:r>
        <w:rPr>
          <w:rFonts w:ascii="Arial" w:hAnsi="Arial" w:cs="Arial"/>
          <w:b/>
          <w:bCs/>
          <w:spacing w:val="10"/>
          <w:sz w:val="22"/>
          <w:szCs w:val="22"/>
          <w:rtl/>
        </w:rPr>
        <w:t xml:space="preserve">"המאבק של מדינת ישראל בטרור הרצחני אינו מאבק רק במפגעים או במשלחיהם, אלא גם בכל מי "שמשמן" בצורה זו או אחרת את גלגלי הטרור, ובכל מי שמהווה חלק מ"שרשרת המוות". כל רמה מרמות הפעילות של ארגוני הטרור צריכה למצוא מענה משפטי הולם במסגרת המלחמה בטרור. אין לנו אלא לחזור על דבריה של כבוד השופטת </w:t>
      </w:r>
      <w:r>
        <w:rPr>
          <w:rFonts w:ascii="Arial" w:hAnsi="Arial" w:cs="Arial"/>
          <w:b/>
          <w:bCs/>
          <w:sz w:val="22"/>
          <w:szCs w:val="22"/>
          <w:rtl/>
        </w:rPr>
        <w:t>א' פרוקצ'יה</w:t>
      </w:r>
      <w:r>
        <w:rPr>
          <w:rFonts w:ascii="Arial" w:hAnsi="Arial" w:cs="Arial"/>
          <w:b/>
          <w:bCs/>
          <w:spacing w:val="10"/>
          <w:sz w:val="22"/>
          <w:szCs w:val="22"/>
          <w:rtl/>
        </w:rPr>
        <w:t xml:space="preserve"> ב</w:t>
      </w:r>
      <w:hyperlink r:id="rId34" w:history="1">
        <w:r w:rsidR="000E5C7D" w:rsidRPr="000E5C7D">
          <w:rPr>
            <w:rStyle w:val="Hyperlink"/>
            <w:rFonts w:ascii="Arial" w:hAnsi="Arial" w:cs="Arial"/>
            <w:b/>
            <w:bCs/>
            <w:spacing w:val="10"/>
            <w:sz w:val="22"/>
            <w:szCs w:val="22"/>
            <w:rtl/>
          </w:rPr>
          <w:t>ע"פ 9349/07</w:t>
        </w:r>
      </w:hyperlink>
      <w:r>
        <w:rPr>
          <w:rFonts w:ascii="Arial" w:hAnsi="Arial" w:cs="Arial"/>
          <w:b/>
          <w:bCs/>
          <w:spacing w:val="10"/>
          <w:sz w:val="22"/>
          <w:szCs w:val="22"/>
          <w:rtl/>
        </w:rPr>
        <w:t xml:space="preserve"> </w:t>
      </w:r>
      <w:r>
        <w:rPr>
          <w:rFonts w:ascii="Arial" w:hAnsi="Arial" w:cs="Arial"/>
          <w:b/>
          <w:bCs/>
          <w:sz w:val="22"/>
          <w:szCs w:val="22"/>
          <w:rtl/>
        </w:rPr>
        <w:t>חאמד נ' מדינת ישראל</w:t>
      </w:r>
      <w:r>
        <w:rPr>
          <w:rFonts w:ascii="Arial" w:hAnsi="Arial" w:cs="Arial"/>
          <w:b/>
          <w:bCs/>
          <w:spacing w:val="10"/>
          <w:sz w:val="22"/>
          <w:szCs w:val="22"/>
          <w:rtl/>
        </w:rPr>
        <w:t xml:space="preserve"> (לא פורסם, </w:t>
      </w:r>
      <w:r>
        <w:rPr>
          <w:rFonts w:ascii="Arial" w:hAnsi="Arial" w:cs="Arial"/>
          <w:b/>
          <w:bCs/>
          <w:sz w:val="22"/>
          <w:szCs w:val="22"/>
          <w:rtl/>
        </w:rPr>
        <w:t>[פורסם בנבו]</w:t>
      </w:r>
      <w:r>
        <w:rPr>
          <w:rFonts w:ascii="Arial" w:hAnsi="Arial" w:cs="Arial"/>
          <w:b/>
          <w:bCs/>
          <w:spacing w:val="10"/>
          <w:sz w:val="22"/>
          <w:szCs w:val="22"/>
          <w:rtl/>
        </w:rPr>
        <w:t>, 23.6.2008):</w:t>
      </w:r>
    </w:p>
    <w:p w14:paraId="4A55D6FB" w14:textId="77777777" w:rsidR="001E4211" w:rsidRDefault="002D6ECF">
      <w:pPr>
        <w:overflowPunct w:val="0"/>
        <w:autoSpaceDE w:val="0"/>
        <w:autoSpaceDN w:val="0"/>
        <w:adjustRightInd w:val="0"/>
        <w:ind w:left="566" w:right="720"/>
        <w:jc w:val="both"/>
        <w:rPr>
          <w:rFonts w:ascii="Arial" w:hAnsi="Arial" w:cs="Arial"/>
          <w:b/>
          <w:bCs/>
          <w:spacing w:val="10"/>
          <w:sz w:val="22"/>
          <w:szCs w:val="22"/>
          <w:rtl/>
        </w:rPr>
      </w:pPr>
      <w:r>
        <w:rPr>
          <w:rFonts w:ascii="Arial" w:hAnsi="Arial" w:cs="Arial"/>
          <w:b/>
          <w:bCs/>
          <w:spacing w:val="10"/>
          <w:sz w:val="22"/>
          <w:szCs w:val="22"/>
          <w:rtl/>
        </w:rPr>
        <w:t>"מעשי טרור המכוונים לפגוע בחיי ישראלים – חיילים או אזרחים – מחייבת ענישה מחמירה במיוחד, אשר תטמיע את מסר הגמול וההרתעה כלפי כל מי שמעורב בפעילות בלתי חוקית המסכנת חיים... בסוג זה של עבירות הנסיבות האישיות של הנאשם מתגמדות במשקלן לנוכח חומרת המעשים והסיכונים הטמונים בהם, למען יידע כל גורם עוין למדינה ולתושביה כי הוא צפוי לעונש חמור ביותר אם יימצא מעורב בפעולות טרור שנועדו לפגוע בביטחון אזרחי ישראל, ולקטול חיים".</w:t>
      </w:r>
    </w:p>
    <w:p w14:paraId="5A25383E" w14:textId="77777777" w:rsidR="001E4211" w:rsidRDefault="001E4211">
      <w:pPr>
        <w:spacing w:line="360" w:lineRule="auto"/>
        <w:jc w:val="both"/>
        <w:rPr>
          <w:rFonts w:ascii="Arial" w:hAnsi="Arial" w:cs="Arial"/>
          <w:rtl/>
        </w:rPr>
      </w:pPr>
    </w:p>
    <w:p w14:paraId="60EB934A" w14:textId="77777777" w:rsidR="001E4211" w:rsidRDefault="002D6ECF">
      <w:pPr>
        <w:spacing w:line="360" w:lineRule="auto"/>
        <w:jc w:val="both"/>
        <w:rPr>
          <w:rFonts w:ascii="Arial" w:hAnsi="Arial" w:cs="Arial"/>
          <w:rtl/>
        </w:rPr>
      </w:pPr>
      <w:r>
        <w:rPr>
          <w:rFonts w:ascii="Arial" w:hAnsi="Arial" w:cs="Arial"/>
          <w:rtl/>
        </w:rPr>
        <w:t xml:space="preserve">בקביעת מתחם הענישה של הנאשם בעבירות השונות, יש ליתן את הדעת לכך שלאחר שהנאשם חבר לארגון הטרור, ופעל במסגרתו, הצטרף לחוליה צבאית, ואף גילה מעורבות עמוקה ונלהבת בכך שעמד בראשה של חוליה צבאית אחרת. המערער יצא למשימות חמושות מתוך מטרה להגיע לעימות מזויין עם חיילים, ואף פתח באש לעבר טנק, מתוך מטרה לקטול חיי חיילים. המערער עסק בהכנת אמצעי אמל"ח שונים, ובכללם מטעני צינור וטילים, ואף בכך יש כדי להעיד על התמסרותו האידיאולוגית של המערער, ורצונו להתגייס ככל יכולתו לפגיעה בישראליים. הנאשם לא לחץ אומנם על מתג שיגור הטילים, בשני האירועים המתוארים באישום השלישי, ואולם נטל חלק משמעותי בפעילות שנדרשה להפעלת הטילים, הן במעורבותו בהובלת הטילים באירוע הראשון, והן באבטחת שיגורם ללא הפרעה בשני האירועים. </w:t>
      </w:r>
    </w:p>
    <w:p w14:paraId="487E65E2" w14:textId="77777777" w:rsidR="001E4211" w:rsidRDefault="001E4211">
      <w:pPr>
        <w:spacing w:line="360" w:lineRule="auto"/>
        <w:jc w:val="both"/>
        <w:rPr>
          <w:rFonts w:ascii="Arial" w:hAnsi="Arial" w:cs="Arial"/>
          <w:rtl/>
        </w:rPr>
      </w:pPr>
    </w:p>
    <w:p w14:paraId="34176D70" w14:textId="77777777" w:rsidR="001E4211" w:rsidRDefault="002D6ECF">
      <w:pPr>
        <w:spacing w:line="360" w:lineRule="auto"/>
        <w:jc w:val="both"/>
        <w:rPr>
          <w:rFonts w:ascii="Arial" w:hAnsi="Arial" w:cs="Arial"/>
          <w:rtl/>
        </w:rPr>
      </w:pPr>
      <w:r>
        <w:rPr>
          <w:rFonts w:ascii="Arial" w:hAnsi="Arial" w:cs="Arial" w:hint="cs"/>
          <w:rtl/>
        </w:rPr>
        <w:t xml:space="preserve">בהקשר זה נציין, כי יש ליתן משקל מוגבל בלבד לכך, שלא הוכח כי נגרם </w:t>
      </w:r>
      <w:r>
        <w:rPr>
          <w:rFonts w:ascii="Arial" w:hAnsi="Arial" w:cs="Arial"/>
          <w:rtl/>
        </w:rPr>
        <w:t>כל נזק מפעילות</w:t>
      </w:r>
      <w:r>
        <w:rPr>
          <w:rFonts w:ascii="Arial" w:hAnsi="Arial" w:cs="Arial" w:hint="cs"/>
          <w:rtl/>
        </w:rPr>
        <w:t xml:space="preserve"> הנאשם, שכן צרכי הענישה בעבירות מסוג זה, אינם מותנים </w:t>
      </w:r>
      <w:r>
        <w:rPr>
          <w:rFonts w:ascii="Arial" w:hAnsi="Arial" w:cs="Arial" w:hint="cs"/>
          <w:b/>
          <w:bCs/>
          <w:rtl/>
        </w:rPr>
        <w:t>"בהצלחת המעשים בפועל"</w:t>
      </w:r>
      <w:r>
        <w:rPr>
          <w:rFonts w:ascii="Arial" w:hAnsi="Arial" w:cs="Arial" w:hint="cs"/>
          <w:rtl/>
        </w:rPr>
        <w:t xml:space="preserve">, והענישה המחמירה נדרשת </w:t>
      </w:r>
      <w:r>
        <w:rPr>
          <w:rFonts w:ascii="Arial" w:hAnsi="Arial" w:cs="Arial"/>
          <w:b/>
          <w:bCs/>
          <w:rtl/>
        </w:rPr>
        <w:t>"גם שעה שהמעשים לא נשאו פרי"</w:t>
      </w:r>
      <w:r>
        <w:rPr>
          <w:rFonts w:ascii="Arial" w:hAnsi="Arial" w:cs="Arial"/>
          <w:rtl/>
        </w:rPr>
        <w:t xml:space="preserve">, נוכח </w:t>
      </w:r>
      <w:r>
        <w:rPr>
          <w:rFonts w:ascii="Arial" w:hAnsi="Arial" w:cs="Arial"/>
          <w:b/>
          <w:bCs/>
          <w:rtl/>
        </w:rPr>
        <w:t xml:space="preserve">"פוטנציאל הפגיעה" </w:t>
      </w:r>
      <w:r>
        <w:rPr>
          <w:rFonts w:ascii="Arial" w:hAnsi="Arial" w:cs="Arial" w:hint="cs"/>
          <w:rtl/>
        </w:rPr>
        <w:t>הגלום בהם</w:t>
      </w:r>
      <w:r>
        <w:rPr>
          <w:rFonts w:ascii="Arial" w:hAnsi="Arial" w:cs="Arial" w:hint="cs"/>
          <w:b/>
          <w:bCs/>
          <w:rtl/>
        </w:rPr>
        <w:t xml:space="preserve"> </w:t>
      </w:r>
      <w:r>
        <w:rPr>
          <w:rFonts w:ascii="Arial" w:hAnsi="Arial" w:cs="Arial"/>
          <w:rtl/>
        </w:rPr>
        <w:t>(</w:t>
      </w:r>
      <w:r>
        <w:rPr>
          <w:rFonts w:ascii="Arial" w:hAnsi="Arial" w:cs="Arial" w:hint="cs"/>
          <w:rtl/>
        </w:rPr>
        <w:t xml:space="preserve">ראו בעניין זה, </w:t>
      </w:r>
      <w:hyperlink r:id="rId35" w:history="1">
        <w:r w:rsidR="000E5C7D" w:rsidRPr="000E5C7D">
          <w:rPr>
            <w:rStyle w:val="Hyperlink"/>
            <w:rFonts w:ascii="Arial" w:hAnsi="Arial" w:cs="Arial"/>
            <w:rtl/>
          </w:rPr>
          <w:t>ע"פ 2359/11</w:t>
        </w:r>
      </w:hyperlink>
      <w:r>
        <w:rPr>
          <w:rFonts w:ascii="Arial" w:hAnsi="Arial" w:cs="Arial"/>
          <w:rtl/>
        </w:rPr>
        <w:t xml:space="preserve"> </w:t>
      </w:r>
      <w:r>
        <w:rPr>
          <w:rFonts w:ascii="Arial" w:hAnsi="Arial" w:cs="Arial"/>
          <w:u w:val="single"/>
          <w:rtl/>
        </w:rPr>
        <w:t>עימאד חמד נ' מדינת ישראל</w:t>
      </w:r>
      <w:r>
        <w:rPr>
          <w:rFonts w:ascii="Arial" w:hAnsi="Arial" w:cs="Arial"/>
          <w:rtl/>
        </w:rPr>
        <w:t xml:space="preserve">, פסקה 5, </w:t>
      </w:r>
      <w:r w:rsidR="006771CF" w:rsidRPr="006771CF">
        <w:rPr>
          <w:sz w:val="22"/>
          <w:rtl/>
        </w:rPr>
        <w:t xml:space="preserve">[פורסם בנבו] </w:t>
      </w:r>
      <w:r>
        <w:rPr>
          <w:rFonts w:ascii="Arial" w:hAnsi="Arial" w:cs="Arial"/>
          <w:rtl/>
        </w:rPr>
        <w:t xml:space="preserve">ניתן ביום 28.6.2012; </w:t>
      </w:r>
      <w:hyperlink r:id="rId36" w:history="1">
        <w:r w:rsidR="000E5C7D" w:rsidRPr="000E5C7D">
          <w:rPr>
            <w:rStyle w:val="Hyperlink"/>
            <w:rFonts w:ascii="Arial" w:hAnsi="Arial" w:cs="Arial"/>
            <w:rtl/>
          </w:rPr>
          <w:t>ע"פ 3370/09</w:t>
        </w:r>
      </w:hyperlink>
      <w:r>
        <w:rPr>
          <w:rFonts w:ascii="Arial" w:hAnsi="Arial" w:cs="Arial"/>
          <w:rtl/>
        </w:rPr>
        <w:t xml:space="preserve"> </w:t>
      </w:r>
      <w:r>
        <w:rPr>
          <w:rFonts w:ascii="Arial" w:hAnsi="Arial" w:cs="Arial"/>
          <w:u w:val="single"/>
          <w:rtl/>
        </w:rPr>
        <w:t>עליאן אלעמור נ' מדינת ישראל</w:t>
      </w:r>
      <w:r>
        <w:rPr>
          <w:rFonts w:ascii="Arial" w:hAnsi="Arial" w:cs="Arial"/>
          <w:rtl/>
        </w:rPr>
        <w:t xml:space="preserve">, פסקה ט"ו, </w:t>
      </w:r>
      <w:r w:rsidR="006771CF" w:rsidRPr="006771CF">
        <w:rPr>
          <w:sz w:val="22"/>
          <w:rtl/>
        </w:rPr>
        <w:t xml:space="preserve">[פורסם בנבו] </w:t>
      </w:r>
      <w:r>
        <w:rPr>
          <w:rFonts w:ascii="Arial" w:hAnsi="Arial" w:cs="Arial"/>
          <w:rtl/>
        </w:rPr>
        <w:t xml:space="preserve">ניתן ביום 26.12.2011; </w:t>
      </w:r>
      <w:r w:rsidRPr="003C4E7B">
        <w:rPr>
          <w:rFonts w:ascii="Arial" w:hAnsi="Arial" w:cs="Arial"/>
          <w:color w:val="000000"/>
          <w:rtl/>
        </w:rPr>
        <w:t xml:space="preserve">ע"פ </w:t>
      </w:r>
      <w:hyperlink r:id="rId37" w:history="1">
        <w:r w:rsidR="00AE5CB4" w:rsidRPr="00AE5CB4">
          <w:rPr>
            <w:rFonts w:ascii="Arial" w:hAnsi="Arial" w:cs="Arial"/>
            <w:color w:val="0000FF"/>
            <w:u w:val="single"/>
            <w:rtl/>
          </w:rPr>
          <w:t>4720/09</w:t>
        </w:r>
      </w:hyperlink>
      <w:r>
        <w:rPr>
          <w:rFonts w:ascii="Arial" w:hAnsi="Arial" w:cs="Arial"/>
          <w:rtl/>
        </w:rPr>
        <w:t xml:space="preserve"> </w:t>
      </w:r>
      <w:r>
        <w:rPr>
          <w:rFonts w:ascii="Arial" w:hAnsi="Arial" w:cs="Arial"/>
          <w:u w:val="single"/>
          <w:rtl/>
        </w:rPr>
        <w:t>שאדי סעיד נ' מדינת ישראל</w:t>
      </w:r>
      <w:r>
        <w:rPr>
          <w:rFonts w:ascii="Arial" w:hAnsi="Arial" w:cs="Arial"/>
          <w:rtl/>
        </w:rPr>
        <w:t xml:space="preserve">, </w:t>
      </w:r>
      <w:r w:rsidR="006771CF" w:rsidRPr="006771CF">
        <w:rPr>
          <w:sz w:val="22"/>
          <w:rtl/>
        </w:rPr>
        <w:t xml:space="preserve">[פורסם בנבו] </w:t>
      </w:r>
      <w:r>
        <w:rPr>
          <w:rFonts w:ascii="Arial" w:hAnsi="Arial" w:cs="Arial"/>
          <w:rtl/>
        </w:rPr>
        <w:t xml:space="preserve">ניתן ביום 24.11.2010; </w:t>
      </w:r>
      <w:hyperlink r:id="rId38" w:history="1">
        <w:r w:rsidR="000E5C7D" w:rsidRPr="000E5C7D">
          <w:rPr>
            <w:rStyle w:val="Hyperlink"/>
            <w:rFonts w:ascii="Arial" w:hAnsi="Arial" w:cs="Arial"/>
            <w:rtl/>
          </w:rPr>
          <w:t>ע"פ 5778/09</w:t>
        </w:r>
      </w:hyperlink>
      <w:r>
        <w:rPr>
          <w:rFonts w:ascii="Arial" w:hAnsi="Arial" w:cs="Arial"/>
          <w:rtl/>
        </w:rPr>
        <w:t xml:space="preserve"> </w:t>
      </w:r>
      <w:r>
        <w:rPr>
          <w:rFonts w:ascii="Arial" w:hAnsi="Arial" w:cs="Arial"/>
          <w:u w:val="single"/>
          <w:rtl/>
        </w:rPr>
        <w:t>אכרם אבו סנימה נ' מדינת ישראל</w:t>
      </w:r>
      <w:r>
        <w:rPr>
          <w:rFonts w:ascii="Arial" w:hAnsi="Arial" w:cs="Arial"/>
          <w:rtl/>
        </w:rPr>
        <w:t xml:space="preserve">, פסקה 4, </w:t>
      </w:r>
      <w:r w:rsidR="006771CF" w:rsidRPr="006771CF">
        <w:rPr>
          <w:sz w:val="22"/>
          <w:rtl/>
        </w:rPr>
        <w:t xml:space="preserve">[פורסם בנבו] </w:t>
      </w:r>
      <w:r>
        <w:rPr>
          <w:rFonts w:ascii="Arial" w:hAnsi="Arial" w:cs="Arial"/>
          <w:rtl/>
        </w:rPr>
        <w:t xml:space="preserve">ניתן ביום 1.3.2010). </w:t>
      </w:r>
    </w:p>
    <w:p w14:paraId="01CE2F78" w14:textId="77777777" w:rsidR="001E4211" w:rsidRDefault="002D6ECF">
      <w:pPr>
        <w:spacing w:line="360" w:lineRule="auto"/>
        <w:rPr>
          <w:rFonts w:ascii="Arial" w:hAnsi="Arial" w:cs="Arial"/>
          <w:rtl/>
        </w:rPr>
      </w:pPr>
      <w:r>
        <w:rPr>
          <w:rFonts w:ascii="Arial" w:hAnsi="Arial" w:cs="Arial" w:hint="cs"/>
          <w:rtl/>
        </w:rPr>
        <w:t xml:space="preserve">על כך יש להוסיף, כי לא ניתן להעריך את הנזקים שהיו צפויים להיגרם ממעורבותו של הנאשם בייצור כלי נשק ואמצעי חבלה שונים. בפעילות "יצרנית" זו יש היבטים מיוחדים לחומרה (השוו: </w:t>
      </w:r>
      <w:r>
        <w:rPr>
          <w:rFonts w:ascii="Arial" w:hAnsi="Arial" w:cs="Arial"/>
          <w:rtl/>
        </w:rPr>
        <w:t>(</w:t>
      </w:r>
      <w:hyperlink r:id="rId39" w:history="1">
        <w:r w:rsidR="000E5C7D" w:rsidRPr="000E5C7D">
          <w:rPr>
            <w:rStyle w:val="Hyperlink"/>
            <w:rFonts w:ascii="Arial" w:hAnsi="Arial" w:cs="Arial"/>
            <w:rtl/>
          </w:rPr>
          <w:t>ע"פ 6859/09</w:t>
        </w:r>
      </w:hyperlink>
      <w:r>
        <w:rPr>
          <w:rFonts w:ascii="Arial" w:hAnsi="Arial" w:cs="Arial"/>
          <w:rtl/>
        </w:rPr>
        <w:t xml:space="preserve"> </w:t>
      </w:r>
      <w:r>
        <w:rPr>
          <w:rFonts w:ascii="Arial" w:hAnsi="Arial" w:cs="Arial"/>
          <w:u w:val="single"/>
          <w:rtl/>
        </w:rPr>
        <w:t>פלוני נ' מדינת ישראל</w:t>
      </w:r>
      <w:r>
        <w:rPr>
          <w:rFonts w:ascii="Arial" w:hAnsi="Arial" w:cs="Arial"/>
          <w:rtl/>
        </w:rPr>
        <w:t xml:space="preserve">, פסקה 4, </w:t>
      </w:r>
      <w:r w:rsidR="006771CF" w:rsidRPr="006771CF">
        <w:rPr>
          <w:sz w:val="22"/>
          <w:rtl/>
        </w:rPr>
        <w:t xml:space="preserve">[פורסם בנבו] </w:t>
      </w:r>
      <w:r>
        <w:rPr>
          <w:rFonts w:ascii="Arial" w:hAnsi="Arial" w:cs="Arial"/>
          <w:rtl/>
        </w:rPr>
        <w:t>ניתן ביום 2.1.2011)</w:t>
      </w:r>
      <w:r>
        <w:rPr>
          <w:rFonts w:ascii="Arial" w:hAnsi="Arial" w:cs="Arial" w:hint="cs"/>
          <w:rtl/>
        </w:rPr>
        <w:t>.</w:t>
      </w:r>
    </w:p>
    <w:p w14:paraId="5DFFB089" w14:textId="77777777" w:rsidR="001E4211" w:rsidRDefault="001E4211">
      <w:pPr>
        <w:spacing w:line="360" w:lineRule="auto"/>
        <w:jc w:val="both"/>
        <w:rPr>
          <w:rFonts w:ascii="Arial" w:hAnsi="Arial" w:cs="Arial"/>
          <w:rtl/>
        </w:rPr>
      </w:pPr>
    </w:p>
    <w:p w14:paraId="35245C7A" w14:textId="77777777" w:rsidR="001E4211" w:rsidRDefault="002D6ECF">
      <w:pPr>
        <w:spacing w:line="360" w:lineRule="auto"/>
        <w:jc w:val="both"/>
        <w:rPr>
          <w:rFonts w:ascii="Arial" w:hAnsi="Arial" w:cs="Arial"/>
          <w:rtl/>
        </w:rPr>
      </w:pPr>
      <w:r>
        <w:rPr>
          <w:rFonts w:ascii="Arial" w:hAnsi="Arial" w:cs="Arial"/>
          <w:rtl/>
        </w:rPr>
        <w:t xml:space="preserve">כפי שצויין לעיל, הוצעו על ידי ב"כ המאשימה מתחמי ענישה שונים ההולמים </w:t>
      </w:r>
      <w:r>
        <w:rPr>
          <w:rFonts w:ascii="Arial" w:hAnsi="Arial" w:cs="Arial" w:hint="cs"/>
          <w:rtl/>
        </w:rPr>
        <w:t xml:space="preserve">לעמדת המאשימה, </w:t>
      </w:r>
      <w:r>
        <w:rPr>
          <w:rFonts w:ascii="Arial" w:hAnsi="Arial" w:cs="Arial"/>
          <w:rtl/>
        </w:rPr>
        <w:t>את מעשי הנאשם.</w:t>
      </w:r>
      <w:r>
        <w:rPr>
          <w:rFonts w:ascii="Arial" w:hAnsi="Arial" w:cs="Arial" w:hint="cs"/>
          <w:rtl/>
        </w:rPr>
        <w:t xml:space="preserve"> </w:t>
      </w:r>
      <w:r>
        <w:rPr>
          <w:rFonts w:ascii="Arial" w:hAnsi="Arial" w:cs="Arial"/>
          <w:rtl/>
        </w:rPr>
        <w:t xml:space="preserve">בעניין זה, סוברת </w:t>
      </w:r>
      <w:r>
        <w:rPr>
          <w:rFonts w:ascii="Arial" w:hAnsi="Arial" w:cs="Arial" w:hint="cs"/>
          <w:rtl/>
        </w:rPr>
        <w:t xml:space="preserve">ב"כ </w:t>
      </w:r>
      <w:r>
        <w:rPr>
          <w:rFonts w:ascii="Arial" w:hAnsi="Arial" w:cs="Arial"/>
          <w:rtl/>
        </w:rPr>
        <w:t>המאשימה כי בגין העבירות שעניינן חברות ופעילות בארגון טרוריסטי, ופעילות בהתאחדות בלתי מותרת, יש לקבוע מתחמי ענישה שבין שלוש לחמש שנות מאסר; בגין העבירה של ניסיון לרצח, בנסיבות של ירי לעבר טנק, יש לקבוע מתחם ענישה שבין שש שנות מאסר לעשר שנות מאסר בפועל; בגין העבירה של סיוע לניסיון לרצח</w:t>
      </w:r>
      <w:r>
        <w:rPr>
          <w:rFonts w:ascii="Arial" w:hAnsi="Arial" w:cs="Arial" w:hint="cs"/>
          <w:rtl/>
        </w:rPr>
        <w:t xml:space="preserve">, בנסיבות שבפנינו, </w:t>
      </w:r>
      <w:r>
        <w:rPr>
          <w:rFonts w:ascii="Arial" w:hAnsi="Arial" w:cs="Arial"/>
          <w:rtl/>
        </w:rPr>
        <w:t>יש לקבוע מתחם ענישה שבין ש</w:t>
      </w:r>
      <w:r>
        <w:rPr>
          <w:rFonts w:ascii="Arial" w:hAnsi="Arial" w:cs="Arial" w:hint="cs"/>
          <w:rtl/>
        </w:rPr>
        <w:t xml:space="preserve">בע </w:t>
      </w:r>
      <w:r>
        <w:rPr>
          <w:rFonts w:ascii="Arial" w:hAnsi="Arial" w:cs="Arial"/>
          <w:rtl/>
        </w:rPr>
        <w:t>שנות מאסר לעשר שנות מאסר.</w:t>
      </w:r>
    </w:p>
    <w:p w14:paraId="4EFC8398" w14:textId="77777777" w:rsidR="001E4211" w:rsidRDefault="002D6ECF">
      <w:pPr>
        <w:spacing w:line="360" w:lineRule="auto"/>
        <w:jc w:val="both"/>
        <w:rPr>
          <w:rFonts w:ascii="Arial" w:hAnsi="Arial" w:cs="Arial"/>
          <w:rtl/>
        </w:rPr>
      </w:pPr>
      <w:r>
        <w:rPr>
          <w:rFonts w:ascii="Arial" w:hAnsi="Arial" w:cs="Arial"/>
          <w:rtl/>
        </w:rPr>
        <w:t xml:space="preserve">נוכח הנסיבות המתוארות, </w:t>
      </w:r>
      <w:r>
        <w:rPr>
          <w:rFonts w:ascii="Arial" w:hAnsi="Arial" w:cs="Arial" w:hint="cs"/>
          <w:rtl/>
        </w:rPr>
        <w:t xml:space="preserve">ולנוכח עמדת המאשימה, לא מצאנו מקום לחרוג מעבר למתחמי הענישה המוצעים, הגם שערים אנו לכך כי בעבר נקבעו מתחמי ענישה מחמירים בעבירות של ניסיון לרצח, הנגזרים מנסיבות משתנות בהן מתבצעים מעשי עבירה אלה. עוד מן הראוי לציין כי הנאשם הורשע </w:t>
      </w:r>
      <w:r>
        <w:rPr>
          <w:rFonts w:ascii="Arial" w:hAnsi="Arial" w:cs="Arial" w:hint="cs"/>
          <w:b/>
          <w:bCs/>
          <w:rtl/>
        </w:rPr>
        <w:t>בשתי</w:t>
      </w:r>
      <w:r>
        <w:rPr>
          <w:rFonts w:ascii="Arial" w:hAnsi="Arial" w:cs="Arial" w:hint="cs"/>
          <w:rtl/>
        </w:rPr>
        <w:t xml:space="preserve"> עבירות של סיוע לניסיון לרצח, ומכאן האבחנה שבפנינו במתחם הענישה שנקבע בגין עבירות אלה לבין זה שנקבע לעבירת הניסיון לרצח, בנסיבות ביצועה.</w:t>
      </w:r>
    </w:p>
    <w:p w14:paraId="48513ECD" w14:textId="77777777" w:rsidR="001E4211" w:rsidRDefault="002D6ECF">
      <w:pPr>
        <w:spacing w:line="360" w:lineRule="auto"/>
        <w:jc w:val="both"/>
        <w:rPr>
          <w:rFonts w:ascii="Arial" w:hAnsi="Arial" w:cs="Arial"/>
          <w:rtl/>
        </w:rPr>
      </w:pPr>
      <w:r>
        <w:rPr>
          <w:rFonts w:ascii="Arial" w:hAnsi="Arial" w:cs="Arial"/>
          <w:rtl/>
        </w:rPr>
        <w:t xml:space="preserve">עם זאת, אין </w:t>
      </w:r>
      <w:r>
        <w:rPr>
          <w:rFonts w:ascii="Arial" w:hAnsi="Arial" w:cs="Arial" w:hint="cs"/>
          <w:rtl/>
        </w:rPr>
        <w:t xml:space="preserve">אנו רואים </w:t>
      </w:r>
      <w:r>
        <w:rPr>
          <w:rFonts w:ascii="Arial" w:hAnsi="Arial" w:cs="Arial"/>
          <w:rtl/>
        </w:rPr>
        <w:t xml:space="preserve">מקום לקבל עתירת התביעה להטלת עונש הדומה לזה שהוטל בעניין דאפע אבו עאדרה ובעניין יאסר אבו חמד, </w:t>
      </w:r>
      <w:r>
        <w:rPr>
          <w:rFonts w:ascii="Arial" w:hAnsi="Arial" w:cs="Arial" w:hint="cs"/>
          <w:rtl/>
        </w:rPr>
        <w:t>מ</w:t>
      </w:r>
      <w:r>
        <w:rPr>
          <w:rFonts w:ascii="Arial" w:hAnsi="Arial" w:cs="Arial"/>
          <w:rtl/>
        </w:rPr>
        <w:t>שהיקף הפעילות כנגד ביטחון המדינה במקרים אלה, עלה לאין שיעור על זו שבה היה מעורב הנאשם.</w:t>
      </w:r>
    </w:p>
    <w:p w14:paraId="6FE31D7B" w14:textId="77777777" w:rsidR="001E4211" w:rsidRDefault="001E4211">
      <w:pPr>
        <w:spacing w:line="360" w:lineRule="auto"/>
        <w:jc w:val="both"/>
        <w:rPr>
          <w:rFonts w:ascii="Arial" w:hAnsi="Arial" w:cs="Arial"/>
          <w:rtl/>
        </w:rPr>
      </w:pPr>
    </w:p>
    <w:p w14:paraId="76EEDDCF" w14:textId="77777777" w:rsidR="001E4211" w:rsidRDefault="002D6ECF">
      <w:pPr>
        <w:spacing w:line="360" w:lineRule="auto"/>
        <w:jc w:val="both"/>
        <w:rPr>
          <w:rFonts w:ascii="Arial" w:hAnsi="Arial" w:cs="Arial"/>
          <w:rtl/>
        </w:rPr>
      </w:pPr>
      <w:r>
        <w:rPr>
          <w:rFonts w:ascii="Arial" w:hAnsi="Arial" w:cs="Arial"/>
          <w:rtl/>
        </w:rPr>
        <w:t>לנוכח מתחם הענישה בעבירות השונות, ומשמעורבותו של הנאשם במעשי העבירה עולה משמעותית על זו של אחיו, נאאל</w:t>
      </w:r>
      <w:r>
        <w:rPr>
          <w:rFonts w:ascii="Arial" w:hAnsi="Arial" w:cs="Arial" w:hint="cs"/>
          <w:rtl/>
        </w:rPr>
        <w:t>,</w:t>
      </w:r>
      <w:r>
        <w:rPr>
          <w:rFonts w:ascii="Arial" w:hAnsi="Arial" w:cs="Arial"/>
          <w:rtl/>
        </w:rPr>
        <w:t xml:space="preserve"> שהיה שותף עימו לחלק מהמעשים, כפי שפורט, אין מקום להשוואת העונשים המתבקשת על ידי ההגנה. </w:t>
      </w:r>
    </w:p>
    <w:p w14:paraId="44C03E38" w14:textId="77777777" w:rsidR="001E4211" w:rsidRDefault="002D6ECF">
      <w:pPr>
        <w:spacing w:line="360" w:lineRule="auto"/>
        <w:jc w:val="both"/>
        <w:rPr>
          <w:rFonts w:cs="FrankRuehl"/>
          <w:sz w:val="28"/>
          <w:szCs w:val="28"/>
          <w:rtl/>
        </w:rPr>
      </w:pPr>
      <w:r>
        <w:rPr>
          <w:rFonts w:ascii="Arial" w:hAnsi="Arial" w:cs="Arial"/>
          <w:rtl/>
        </w:rPr>
        <w:t>באשר לפסקי הדין שהוצגו על ידי ב"כ הנאשם, אין בידינו אלא להפנות לעניינו של אבו ואדי שריף הנ"ל, שהורשע בדומה לנאשם שבפנינו, בעבירות של חברות ופעילות בארגון חללי אלאקצא, עבירות בנשק, קשירת קשר לרצח – ירי טילים לעבר ישראל, ומספר עבירות של ניסיון לרצח, בגין מעורבותו בירי של מספר טילים לעבר ישראל. שריף נדון לתשע עשרה שנות מאסר בבית המשפט המחוזי, ועונשו הופחת ל- 17 שנות מאסר, במסגרת ערעורו.</w:t>
      </w:r>
      <w:r>
        <w:rPr>
          <w:rFonts w:cs="FrankRuehl"/>
          <w:sz w:val="28"/>
          <w:szCs w:val="28"/>
          <w:rtl/>
        </w:rPr>
        <w:t xml:space="preserve"> </w:t>
      </w:r>
    </w:p>
    <w:p w14:paraId="1E1FB31A" w14:textId="77777777" w:rsidR="001E4211" w:rsidRDefault="002D6ECF">
      <w:pPr>
        <w:spacing w:line="360" w:lineRule="auto"/>
        <w:jc w:val="both"/>
        <w:rPr>
          <w:rFonts w:ascii="Arial" w:hAnsi="Arial" w:cs="Arial"/>
          <w:b/>
          <w:bCs/>
          <w:rtl/>
        </w:rPr>
      </w:pPr>
      <w:r>
        <w:rPr>
          <w:rFonts w:ascii="Arial" w:hAnsi="Arial" w:cs="Arial"/>
          <w:rtl/>
        </w:rPr>
        <w:t>בית המשפט העליון (חוות דעתה של כב' השופטת ארבל), ציין</w:t>
      </w:r>
      <w:r>
        <w:rPr>
          <w:rFonts w:cs="FrankRuehl"/>
          <w:sz w:val="28"/>
          <w:szCs w:val="28"/>
          <w:rtl/>
        </w:rPr>
        <w:t xml:space="preserve"> </w:t>
      </w:r>
      <w:r>
        <w:rPr>
          <w:rFonts w:ascii="Arial" w:hAnsi="Arial" w:cs="Arial"/>
          <w:rtl/>
        </w:rPr>
        <w:t>כי –</w:t>
      </w:r>
      <w:r>
        <w:rPr>
          <w:rFonts w:ascii="Arial" w:hAnsi="Arial" w:cs="Arial"/>
          <w:b/>
          <w:bCs/>
          <w:rtl/>
        </w:rPr>
        <w:t xml:space="preserve"> </w:t>
      </w:r>
    </w:p>
    <w:p w14:paraId="4126AE3C" w14:textId="77777777" w:rsidR="001E4211" w:rsidRDefault="002D6ECF">
      <w:pPr>
        <w:spacing w:line="360" w:lineRule="auto"/>
        <w:ind w:left="566" w:right="720"/>
        <w:jc w:val="both"/>
        <w:rPr>
          <w:rFonts w:ascii="Arial" w:hAnsi="Arial" w:cs="Arial"/>
          <w:sz w:val="22"/>
          <w:szCs w:val="22"/>
          <w:rtl/>
        </w:rPr>
      </w:pPr>
      <w:r>
        <w:rPr>
          <w:rFonts w:ascii="Arial" w:hAnsi="Arial" w:cs="Arial"/>
          <w:b/>
          <w:bCs/>
          <w:sz w:val="22"/>
          <w:szCs w:val="22"/>
          <w:rtl/>
        </w:rPr>
        <w:t>"בחינת הענישה שהושתה על נאשמים במקרים שונים היא בחינה מוגבלת בטיבה, מעצם העובדה שמלאכת הענישה היא אינדיבידואלית ונגזרת מנסיבותיו המיוחדות של כל תיק וכל נאשם. ויחד עם זאת, נדרש כי העונש שיוחל על נאשם יימצא בתוך מתחם של ענישה סבירה על-פי המקובל בעבירות ממין זה המיוחס לנאשם...."</w:t>
      </w:r>
      <w:r>
        <w:rPr>
          <w:rFonts w:ascii="Arial" w:hAnsi="Arial" w:cs="Arial" w:hint="cs"/>
          <w:sz w:val="22"/>
          <w:szCs w:val="22"/>
          <w:rtl/>
        </w:rPr>
        <w:t>.</w:t>
      </w:r>
    </w:p>
    <w:p w14:paraId="03F6F9B5" w14:textId="77777777" w:rsidR="001E4211" w:rsidRDefault="002D6ECF">
      <w:pPr>
        <w:spacing w:line="360" w:lineRule="auto"/>
        <w:rPr>
          <w:rFonts w:ascii="Arial" w:hAnsi="Arial" w:cs="Arial"/>
          <w:rtl/>
        </w:rPr>
      </w:pPr>
      <w:r>
        <w:rPr>
          <w:rFonts w:ascii="Arial" w:hAnsi="Arial" w:cs="Arial"/>
          <w:rtl/>
        </w:rPr>
        <w:t xml:space="preserve">(ראו גם בעניין זה: </w:t>
      </w:r>
      <w:hyperlink r:id="rId40" w:history="1">
        <w:r w:rsidR="000E5C7D" w:rsidRPr="000E5C7D">
          <w:rPr>
            <w:rStyle w:val="Hyperlink"/>
            <w:rFonts w:ascii="Arial" w:hAnsi="Arial" w:cs="Arial"/>
            <w:rtl/>
          </w:rPr>
          <w:t>ע"פ 5778/09</w:t>
        </w:r>
      </w:hyperlink>
      <w:r>
        <w:rPr>
          <w:rFonts w:ascii="Arial" w:hAnsi="Arial" w:cs="Arial"/>
          <w:rtl/>
        </w:rPr>
        <w:t xml:space="preserve">  </w:t>
      </w:r>
      <w:r>
        <w:rPr>
          <w:rFonts w:ascii="Arial" w:hAnsi="Arial" w:cs="Arial"/>
          <w:u w:val="single"/>
          <w:rtl/>
        </w:rPr>
        <w:t>אכרם אבו סנימה נ' מדינת ישראל</w:t>
      </w:r>
      <w:r>
        <w:rPr>
          <w:rFonts w:ascii="Arial" w:hAnsi="Arial" w:cs="Arial"/>
          <w:rtl/>
        </w:rPr>
        <w:t xml:space="preserve">, פסקה 4, </w:t>
      </w:r>
      <w:r w:rsidR="006771CF" w:rsidRPr="006771CF">
        <w:rPr>
          <w:sz w:val="22"/>
          <w:rtl/>
        </w:rPr>
        <w:t xml:space="preserve">[פורסם בנבו] </w:t>
      </w:r>
      <w:r>
        <w:rPr>
          <w:rFonts w:ascii="Arial" w:hAnsi="Arial" w:cs="Arial"/>
          <w:rtl/>
        </w:rPr>
        <w:t>ניתן ביום 1.3.2010)</w:t>
      </w:r>
      <w:r>
        <w:rPr>
          <w:rFonts w:ascii="Arial" w:hAnsi="Arial" w:cs="Arial" w:hint="cs"/>
          <w:rtl/>
        </w:rPr>
        <w:t>.</w:t>
      </w:r>
    </w:p>
    <w:p w14:paraId="34D65A4A" w14:textId="77777777" w:rsidR="001E4211" w:rsidRDefault="001E4211">
      <w:pPr>
        <w:spacing w:line="360" w:lineRule="auto"/>
        <w:ind w:right="720"/>
        <w:jc w:val="both"/>
        <w:rPr>
          <w:rFonts w:ascii="Arial" w:hAnsi="Arial" w:cs="Arial"/>
          <w:sz w:val="22"/>
          <w:szCs w:val="22"/>
          <w:rtl/>
        </w:rPr>
      </w:pPr>
    </w:p>
    <w:p w14:paraId="1E5291F1" w14:textId="77777777" w:rsidR="001E4211" w:rsidRDefault="002D6ECF">
      <w:pPr>
        <w:spacing w:line="360" w:lineRule="auto"/>
        <w:jc w:val="both"/>
        <w:rPr>
          <w:rFonts w:ascii="Arial" w:hAnsi="Arial" w:cs="Arial"/>
          <w:b/>
          <w:bCs/>
          <w:sz w:val="22"/>
          <w:szCs w:val="22"/>
          <w:rtl/>
        </w:rPr>
      </w:pPr>
      <w:r>
        <w:rPr>
          <w:rFonts w:ascii="Arial" w:hAnsi="Arial" w:cs="Arial"/>
          <w:rtl/>
        </w:rPr>
        <w:t xml:space="preserve">עוד צויין כי הגם שהוטלו מעת לעת גזרי דין קלים יותר, הרי </w:t>
      </w:r>
      <w:r>
        <w:rPr>
          <w:rFonts w:ascii="Arial" w:hAnsi="Arial" w:cs="Arial"/>
          <w:b/>
          <w:bCs/>
          <w:sz w:val="22"/>
          <w:szCs w:val="22"/>
          <w:rtl/>
        </w:rPr>
        <w:t>"ישנם גם מקרים בהם נאשמים בעבירות דומות לאלה שביצע המערער, לרוב בנוסף לעבירות ביטחון אחרות, נדונו לעונשים חמורים בהרבה, בטווח שבין 12 – 28 שנות מאסר".</w:t>
      </w:r>
    </w:p>
    <w:p w14:paraId="60B581D9" w14:textId="77777777" w:rsidR="001E4211" w:rsidRDefault="001E4211">
      <w:pPr>
        <w:spacing w:line="360" w:lineRule="auto"/>
        <w:jc w:val="both"/>
        <w:rPr>
          <w:rFonts w:cs="FrankRuehl"/>
          <w:b/>
          <w:bCs/>
          <w:sz w:val="28"/>
          <w:szCs w:val="28"/>
          <w:rtl/>
        </w:rPr>
      </w:pPr>
    </w:p>
    <w:p w14:paraId="2E433D9F" w14:textId="77777777" w:rsidR="001E4211" w:rsidRDefault="002D6ECF">
      <w:pPr>
        <w:spacing w:line="360" w:lineRule="auto"/>
        <w:jc w:val="both"/>
        <w:rPr>
          <w:rFonts w:ascii="Arial" w:hAnsi="Arial" w:cs="Arial"/>
          <w:rtl/>
        </w:rPr>
      </w:pPr>
      <w:r>
        <w:rPr>
          <w:rFonts w:ascii="Arial" w:hAnsi="Arial" w:cs="Arial"/>
          <w:rtl/>
        </w:rPr>
        <w:t>בעת שבאים אנו לדון במידת העונש, הרי שבצד מעורבותו העמוקה של הנאשם במעשי טרור, רואים אנו ליתן משקל ממשי להודאת הנאשם שיש עמה חיסכון ניכר בזמן שיפוטי, ובעיקר לכך שהנאשם חדל ממעשיו עוד בשנת 2004, וחלפו שנים לא מעטות עד העמדתו לדין. במידה מסוי</w:t>
      </w:r>
      <w:r>
        <w:rPr>
          <w:rFonts w:ascii="Arial" w:hAnsi="Arial" w:cs="Arial" w:hint="cs"/>
          <w:rtl/>
        </w:rPr>
        <w:t>י</w:t>
      </w:r>
      <w:r>
        <w:rPr>
          <w:rFonts w:ascii="Arial" w:hAnsi="Arial" w:cs="Arial"/>
          <w:rtl/>
        </w:rPr>
        <w:t xml:space="preserve">מת, ניתן גם משקל למצבו המשפחתי של הנאשם. </w:t>
      </w:r>
    </w:p>
    <w:p w14:paraId="649FC3CB" w14:textId="77777777" w:rsidR="001E4211" w:rsidRDefault="002D6ECF">
      <w:pPr>
        <w:spacing w:line="360" w:lineRule="auto"/>
        <w:jc w:val="both"/>
        <w:rPr>
          <w:rFonts w:ascii="Arial" w:hAnsi="Arial" w:cs="Arial"/>
          <w:rtl/>
        </w:rPr>
      </w:pPr>
      <w:r>
        <w:rPr>
          <w:rFonts w:ascii="Arial" w:hAnsi="Arial" w:cs="Arial"/>
          <w:rtl/>
        </w:rPr>
        <w:t>סופו של דבר, גוזרים אנו על הנאשם עונש כולל של תשע עשרה שנות מאסר לריצוי בפועל</w:t>
      </w:r>
      <w:r>
        <w:rPr>
          <w:rFonts w:ascii="Arial" w:hAnsi="Arial" w:cs="Arial" w:hint="cs"/>
          <w:rtl/>
        </w:rPr>
        <w:t>,</w:t>
      </w:r>
      <w:r>
        <w:rPr>
          <w:rFonts w:ascii="Arial" w:hAnsi="Arial" w:cs="Arial"/>
          <w:rtl/>
        </w:rPr>
        <w:t xml:space="preserve"> שמניינן מיום מעצרו 4.10.2010.</w:t>
      </w:r>
    </w:p>
    <w:p w14:paraId="60272414" w14:textId="77777777" w:rsidR="001E4211" w:rsidRDefault="002D6ECF">
      <w:pPr>
        <w:spacing w:line="360" w:lineRule="auto"/>
        <w:jc w:val="both"/>
        <w:rPr>
          <w:rFonts w:ascii="Arial" w:hAnsi="Arial" w:cs="Arial"/>
          <w:rtl/>
        </w:rPr>
      </w:pPr>
      <w:r>
        <w:rPr>
          <w:rFonts w:ascii="Arial" w:hAnsi="Arial" w:cs="Arial"/>
          <w:rtl/>
        </w:rPr>
        <w:t>בנוסף, מוטלים על הנאשם 18 חודשי מאסר שלא יעבור עבירה כנגד הביטחון שהינה עבירת פש</w:t>
      </w:r>
      <w:r>
        <w:rPr>
          <w:rFonts w:ascii="Arial" w:hAnsi="Arial" w:cs="Arial" w:hint="cs"/>
          <w:rtl/>
        </w:rPr>
        <w:t xml:space="preserve">ע בתוך 3 שנים מיום שחרורו ממאסר. </w:t>
      </w:r>
      <w:r>
        <w:rPr>
          <w:rFonts w:ascii="Arial" w:hAnsi="Arial" w:cs="Arial"/>
          <w:rtl/>
        </w:rPr>
        <w:t xml:space="preserve"> </w:t>
      </w:r>
    </w:p>
    <w:p w14:paraId="589FEB3B" w14:textId="77777777" w:rsidR="001E4211" w:rsidRDefault="001E4211">
      <w:pPr>
        <w:spacing w:line="360" w:lineRule="auto"/>
        <w:jc w:val="both"/>
        <w:rPr>
          <w:rFonts w:ascii="Arial" w:hAnsi="Arial" w:cs="Arial"/>
          <w:rtl/>
        </w:rPr>
      </w:pPr>
    </w:p>
    <w:p w14:paraId="0A1019B8" w14:textId="77777777" w:rsidR="001E4211" w:rsidRDefault="002D6ECF">
      <w:pPr>
        <w:spacing w:line="360" w:lineRule="auto"/>
        <w:jc w:val="both"/>
        <w:rPr>
          <w:rFonts w:ascii="Arial" w:hAnsi="Arial" w:cs="Arial" w:hint="cs"/>
          <w:b/>
          <w:bCs/>
          <w:rtl/>
        </w:rPr>
      </w:pPr>
      <w:r>
        <w:rPr>
          <w:rFonts w:ascii="Arial" w:hAnsi="Arial" w:cs="Arial"/>
          <w:b/>
          <w:bCs/>
          <w:rtl/>
        </w:rPr>
        <w:t xml:space="preserve">זכות ערעור תוך 45 יום מהיום לבית המשפט העליון. </w:t>
      </w:r>
    </w:p>
    <w:p w14:paraId="26B74ECF" w14:textId="77777777" w:rsidR="006771CF" w:rsidRDefault="006771CF">
      <w:pPr>
        <w:spacing w:line="360" w:lineRule="auto"/>
        <w:jc w:val="both"/>
        <w:rPr>
          <w:rFonts w:ascii="Arial" w:hAnsi="Arial" w:cs="Arial" w:hint="cs"/>
          <w:b/>
          <w:bCs/>
          <w:rtl/>
        </w:rPr>
      </w:pPr>
    </w:p>
    <w:p w14:paraId="6157200E" w14:textId="77777777" w:rsidR="006771CF" w:rsidRDefault="006771CF">
      <w:pPr>
        <w:spacing w:line="360" w:lineRule="auto"/>
        <w:jc w:val="both"/>
        <w:rPr>
          <w:rFonts w:ascii="Arial" w:hAnsi="Arial" w:cs="Arial" w:hint="cs"/>
          <w:b/>
          <w:bCs/>
          <w:rtl/>
        </w:rPr>
      </w:pPr>
      <w:r w:rsidRPr="006771CF">
        <w:rPr>
          <w:rFonts w:ascii="Arial" w:hAnsi="Arial" w:cs="Arial"/>
          <w:b/>
          <w:bCs/>
          <w:color w:val="FFFFFF"/>
          <w:sz w:val="2"/>
          <w:szCs w:val="2"/>
          <w:rtl/>
        </w:rPr>
        <w:t>54678313</w:t>
      </w:r>
      <w:r w:rsidRPr="006771CF">
        <w:rPr>
          <w:rFonts w:ascii="Arial" w:hAnsi="Arial" w:cs="Arial"/>
          <w:b/>
          <w:bCs/>
          <w:rtl/>
        </w:rPr>
        <w:t>ניתן היום,  ב' תמוז תשע"ג, 10 יוני 2013, בהעדר הצדדים.</w:t>
      </w:r>
    </w:p>
    <w:p w14:paraId="6675B684" w14:textId="77777777" w:rsidR="006771CF" w:rsidRPr="006771CF" w:rsidRDefault="006771CF">
      <w:pPr>
        <w:spacing w:line="360" w:lineRule="auto"/>
        <w:jc w:val="both"/>
        <w:rPr>
          <w:rFonts w:ascii="Arial" w:hAnsi="Arial" w:cs="Arial" w:hint="cs"/>
          <w:b/>
          <w:bCs/>
          <w:rtl/>
        </w:rPr>
      </w:pPr>
    </w:p>
    <w:p w14:paraId="4CE7C257" w14:textId="77777777" w:rsidR="001E4211" w:rsidRPr="002D6ECF" w:rsidRDefault="002D6ECF">
      <w:pPr>
        <w:spacing w:line="360" w:lineRule="auto"/>
        <w:jc w:val="both"/>
        <w:rPr>
          <w:rFonts w:ascii="Arial" w:hAnsi="Arial" w:cs="Arial"/>
          <w:b/>
          <w:bCs/>
          <w:color w:val="FFFFFF"/>
          <w:sz w:val="2"/>
          <w:szCs w:val="2"/>
          <w:rtl/>
        </w:rPr>
      </w:pPr>
      <w:r w:rsidRPr="002D6ECF">
        <w:rPr>
          <w:rFonts w:ascii="Arial" w:hAnsi="Arial" w:cs="Arial"/>
          <w:b/>
          <w:bCs/>
          <w:color w:val="FFFFFF"/>
          <w:sz w:val="2"/>
          <w:szCs w:val="2"/>
          <w:rtl/>
        </w:rPr>
        <w:t>5129371</w:t>
      </w:r>
    </w:p>
    <w:tbl>
      <w:tblPr>
        <w:bidiVisual/>
        <w:tblW w:w="0" w:type="auto"/>
        <w:tblLook w:val="01E0" w:firstRow="1" w:lastRow="1" w:firstColumn="1" w:lastColumn="1" w:noHBand="0" w:noVBand="0"/>
      </w:tblPr>
      <w:tblGrid>
        <w:gridCol w:w="2654"/>
        <w:gridCol w:w="236"/>
        <w:gridCol w:w="2104"/>
        <w:gridCol w:w="236"/>
        <w:gridCol w:w="3008"/>
      </w:tblGrid>
      <w:tr w:rsidR="001E4211" w14:paraId="3ED44857" w14:textId="77777777">
        <w:tc>
          <w:tcPr>
            <w:tcW w:w="2654" w:type="dxa"/>
            <w:tcBorders>
              <w:top w:val="nil"/>
              <w:left w:val="nil"/>
              <w:bottom w:val="single" w:sz="4" w:space="0" w:color="auto"/>
              <w:right w:val="nil"/>
            </w:tcBorders>
            <w:vAlign w:val="center"/>
          </w:tcPr>
          <w:p w14:paraId="72175C05" w14:textId="77777777" w:rsidR="001E4211" w:rsidRDefault="001E4211">
            <w:pPr>
              <w:jc w:val="center"/>
              <w:rPr>
                <w:rFonts w:ascii="Courier New" w:hAnsi="Courier New"/>
                <w:b/>
                <w:bCs/>
              </w:rPr>
            </w:pPr>
          </w:p>
        </w:tc>
        <w:tc>
          <w:tcPr>
            <w:tcW w:w="236" w:type="dxa"/>
            <w:vAlign w:val="center"/>
          </w:tcPr>
          <w:p w14:paraId="0532128C" w14:textId="77777777" w:rsidR="001E4211" w:rsidRDefault="001E4211">
            <w:pPr>
              <w:jc w:val="center"/>
              <w:rPr>
                <w:rFonts w:ascii="Courier New" w:hAnsi="Courier New"/>
                <w:b/>
                <w:bCs/>
              </w:rPr>
            </w:pPr>
          </w:p>
        </w:tc>
        <w:tc>
          <w:tcPr>
            <w:tcW w:w="2104" w:type="dxa"/>
            <w:tcBorders>
              <w:top w:val="nil"/>
              <w:left w:val="nil"/>
              <w:bottom w:val="single" w:sz="4" w:space="0" w:color="auto"/>
              <w:right w:val="nil"/>
            </w:tcBorders>
            <w:vAlign w:val="center"/>
          </w:tcPr>
          <w:p w14:paraId="6CFE3988" w14:textId="77777777" w:rsidR="001E4211" w:rsidRDefault="001E4211">
            <w:pPr>
              <w:jc w:val="center"/>
              <w:rPr>
                <w:rFonts w:ascii="Courier New" w:hAnsi="Courier New"/>
                <w:b/>
                <w:bCs/>
                <w:sz w:val="20"/>
                <w:szCs w:val="20"/>
              </w:rPr>
            </w:pPr>
          </w:p>
        </w:tc>
        <w:tc>
          <w:tcPr>
            <w:tcW w:w="236" w:type="dxa"/>
            <w:vAlign w:val="center"/>
          </w:tcPr>
          <w:p w14:paraId="6FF20AD8" w14:textId="77777777" w:rsidR="001E4211" w:rsidRDefault="001E4211">
            <w:pPr>
              <w:jc w:val="center"/>
              <w:rPr>
                <w:rFonts w:ascii="Courier New" w:hAnsi="Courier New"/>
                <w:b/>
                <w:bCs/>
              </w:rPr>
            </w:pPr>
          </w:p>
        </w:tc>
        <w:tc>
          <w:tcPr>
            <w:tcW w:w="3008" w:type="dxa"/>
            <w:tcBorders>
              <w:top w:val="nil"/>
              <w:left w:val="nil"/>
              <w:bottom w:val="single" w:sz="4" w:space="0" w:color="auto"/>
              <w:right w:val="nil"/>
            </w:tcBorders>
            <w:vAlign w:val="center"/>
          </w:tcPr>
          <w:p w14:paraId="3396E4CC" w14:textId="77777777" w:rsidR="001E4211" w:rsidRDefault="001E4211">
            <w:pPr>
              <w:jc w:val="center"/>
              <w:rPr>
                <w:rFonts w:ascii="Courier New" w:hAnsi="Courier New"/>
                <w:b/>
                <w:bCs/>
                <w:sz w:val="20"/>
                <w:szCs w:val="20"/>
              </w:rPr>
            </w:pPr>
          </w:p>
        </w:tc>
      </w:tr>
      <w:tr w:rsidR="001E4211" w14:paraId="1C617745" w14:textId="77777777">
        <w:tc>
          <w:tcPr>
            <w:tcW w:w="2654" w:type="dxa"/>
            <w:tcBorders>
              <w:top w:val="single" w:sz="4" w:space="0" w:color="auto"/>
              <w:left w:val="nil"/>
              <w:bottom w:val="nil"/>
              <w:right w:val="nil"/>
            </w:tcBorders>
            <w:vAlign w:val="bottom"/>
          </w:tcPr>
          <w:p w14:paraId="70E81076" w14:textId="77777777" w:rsidR="001E4211" w:rsidRDefault="002D6ECF" w:rsidP="006771CF">
            <w:r>
              <w:rPr>
                <w:rFonts w:ascii="Arial" w:hAnsi="Arial" w:cs="Arial"/>
                <w:b/>
                <w:bCs/>
                <w:rtl/>
              </w:rPr>
              <w:t>ס.הנשיא, ר</w:t>
            </w:r>
            <w:r>
              <w:rPr>
                <w:rFonts w:ascii="Arial" w:hAnsi="Arial" w:cs="Arial" w:hint="cs"/>
                <w:b/>
                <w:bCs/>
                <w:rtl/>
              </w:rPr>
              <w:t xml:space="preserve">ויטל </w:t>
            </w:r>
            <w:r>
              <w:rPr>
                <w:rFonts w:ascii="Arial" w:hAnsi="Arial" w:cs="Arial"/>
                <w:b/>
                <w:bCs/>
                <w:rtl/>
              </w:rPr>
              <w:t>יפה-כ"ץ</w:t>
            </w:r>
          </w:p>
          <w:p w14:paraId="11CC7D6D" w14:textId="77777777" w:rsidR="001E4211" w:rsidRDefault="002D6ECF">
            <w:pPr>
              <w:jc w:val="center"/>
            </w:pPr>
            <w:r>
              <w:rPr>
                <w:rFonts w:ascii="Arial" w:hAnsi="Arial" w:cs="Arial"/>
                <w:b/>
                <w:bCs/>
                <w:rtl/>
              </w:rPr>
              <w:t>אב"ד</w:t>
            </w:r>
          </w:p>
        </w:tc>
        <w:tc>
          <w:tcPr>
            <w:tcW w:w="236" w:type="dxa"/>
            <w:vAlign w:val="bottom"/>
          </w:tcPr>
          <w:p w14:paraId="6CF46A21" w14:textId="77777777" w:rsidR="001E4211" w:rsidRDefault="001E4211">
            <w:pPr>
              <w:jc w:val="center"/>
              <w:rPr>
                <w:rFonts w:ascii="Courier New" w:hAnsi="Courier New"/>
                <w:b/>
                <w:bCs/>
              </w:rPr>
            </w:pPr>
          </w:p>
        </w:tc>
        <w:tc>
          <w:tcPr>
            <w:tcW w:w="2104" w:type="dxa"/>
            <w:tcBorders>
              <w:top w:val="single" w:sz="4" w:space="0" w:color="auto"/>
              <w:left w:val="nil"/>
              <w:bottom w:val="nil"/>
              <w:right w:val="nil"/>
            </w:tcBorders>
          </w:tcPr>
          <w:p w14:paraId="77986248" w14:textId="77777777" w:rsidR="001E4211" w:rsidRDefault="002D6ECF">
            <w:pPr>
              <w:jc w:val="center"/>
              <w:rPr>
                <w:rFonts w:ascii="Arial" w:hAnsi="Arial" w:cs="Arial"/>
                <w:b/>
                <w:bCs/>
              </w:rPr>
            </w:pPr>
            <w:r>
              <w:rPr>
                <w:rFonts w:ascii="Arial" w:hAnsi="Arial" w:cs="Arial"/>
                <w:b/>
                <w:bCs/>
                <w:rtl/>
              </w:rPr>
              <w:t>אריאל ואגו, שופט</w:t>
            </w:r>
          </w:p>
        </w:tc>
        <w:tc>
          <w:tcPr>
            <w:tcW w:w="236" w:type="dxa"/>
          </w:tcPr>
          <w:p w14:paraId="2BFF4C62" w14:textId="77777777" w:rsidR="001E4211" w:rsidRDefault="001E4211">
            <w:pPr>
              <w:jc w:val="center"/>
              <w:rPr>
                <w:rFonts w:ascii="Arial" w:hAnsi="Arial" w:cs="Arial"/>
                <w:b/>
                <w:bCs/>
              </w:rPr>
            </w:pPr>
          </w:p>
        </w:tc>
        <w:tc>
          <w:tcPr>
            <w:tcW w:w="3008" w:type="dxa"/>
            <w:tcBorders>
              <w:top w:val="single" w:sz="4" w:space="0" w:color="auto"/>
              <w:left w:val="nil"/>
              <w:bottom w:val="nil"/>
              <w:right w:val="nil"/>
            </w:tcBorders>
          </w:tcPr>
          <w:p w14:paraId="7C22188D" w14:textId="77777777" w:rsidR="002D6ECF" w:rsidRDefault="002D6ECF">
            <w:pPr>
              <w:jc w:val="center"/>
              <w:rPr>
                <w:rFonts w:ascii="Arial" w:hAnsi="Arial" w:cs="Arial"/>
                <w:b/>
                <w:bCs/>
              </w:rPr>
            </w:pPr>
            <w:r>
              <w:rPr>
                <w:rFonts w:ascii="Arial" w:hAnsi="Arial" w:cs="Arial"/>
                <w:b/>
                <w:bCs/>
                <w:rtl/>
              </w:rPr>
              <w:t>יורם צלקובניק, שופט</w:t>
            </w:r>
          </w:p>
          <w:p w14:paraId="4314C7F8" w14:textId="77777777" w:rsidR="007670F2" w:rsidRDefault="007670F2">
            <w:pPr>
              <w:jc w:val="center"/>
              <w:rPr>
                <w:rFonts w:ascii="Arial" w:hAnsi="Arial" w:cs="Arial"/>
                <w:b/>
                <w:bCs/>
                <w:rtl/>
              </w:rPr>
            </w:pPr>
          </w:p>
          <w:p w14:paraId="0F483A8E" w14:textId="77777777" w:rsidR="007670F2" w:rsidRDefault="007670F2">
            <w:pPr>
              <w:jc w:val="center"/>
              <w:rPr>
                <w:rFonts w:ascii="Arial" w:hAnsi="Arial" w:cs="Arial"/>
                <w:b/>
                <w:bCs/>
                <w:rtl/>
              </w:rPr>
            </w:pPr>
          </w:p>
          <w:p w14:paraId="60FB1BAC" w14:textId="77777777" w:rsidR="001E4211" w:rsidRDefault="001E4211">
            <w:pPr>
              <w:jc w:val="center"/>
              <w:rPr>
                <w:rFonts w:ascii="Arial" w:hAnsi="Arial" w:cs="Arial"/>
                <w:b/>
                <w:bCs/>
              </w:rPr>
            </w:pPr>
          </w:p>
        </w:tc>
      </w:tr>
    </w:tbl>
    <w:p w14:paraId="6229471D" w14:textId="77777777" w:rsidR="007670F2" w:rsidRPr="007670F2" w:rsidRDefault="007670F2" w:rsidP="007670F2">
      <w:pPr>
        <w:pStyle w:val="a3"/>
        <w:keepNext/>
        <w:rPr>
          <w:rFonts w:ascii="David" w:hAnsi="David"/>
          <w:color w:val="000000"/>
          <w:sz w:val="22"/>
          <w:szCs w:val="22"/>
          <w:rtl/>
        </w:rPr>
      </w:pPr>
    </w:p>
    <w:p w14:paraId="649A1473" w14:textId="77777777" w:rsidR="007670F2" w:rsidRPr="007670F2" w:rsidRDefault="007670F2" w:rsidP="007670F2">
      <w:pPr>
        <w:pStyle w:val="a3"/>
        <w:keepNext/>
        <w:rPr>
          <w:rFonts w:ascii="David" w:hAnsi="David"/>
          <w:color w:val="000000"/>
          <w:sz w:val="22"/>
          <w:szCs w:val="22"/>
          <w:rtl/>
        </w:rPr>
      </w:pPr>
      <w:r w:rsidRPr="007670F2">
        <w:rPr>
          <w:rFonts w:ascii="David" w:hAnsi="David"/>
          <w:color w:val="000000"/>
          <w:sz w:val="22"/>
          <w:szCs w:val="22"/>
          <w:rtl/>
        </w:rPr>
        <w:t>ר' יפה כ#ץ 54678313-/</w:t>
      </w:r>
    </w:p>
    <w:p w14:paraId="060F75B8" w14:textId="77777777" w:rsidR="002D6ECF" w:rsidRPr="007670F2" w:rsidRDefault="007670F2" w:rsidP="002D6ECF">
      <w:pPr>
        <w:pStyle w:val="a3"/>
        <w:keepNext/>
        <w:rPr>
          <w:rFonts w:ascii="David" w:hAnsi="David"/>
          <w:color w:val="FFFFFF"/>
          <w:sz w:val="2"/>
          <w:szCs w:val="2"/>
          <w:rtl/>
        </w:rPr>
      </w:pPr>
      <w:r w:rsidRPr="007670F2">
        <w:rPr>
          <w:rFonts w:ascii="David" w:hAnsi="David"/>
          <w:color w:val="FFFFFF"/>
          <w:sz w:val="2"/>
          <w:szCs w:val="2"/>
          <w:rtl/>
        </w:rPr>
        <w:t>5129371</w:t>
      </w:r>
    </w:p>
    <w:p w14:paraId="1A23C393" w14:textId="77777777" w:rsidR="002D6ECF" w:rsidRDefault="002D6ECF" w:rsidP="002D6ECF">
      <w:r w:rsidRPr="002D6ECF">
        <w:rPr>
          <w:color w:val="000000"/>
          <w:rtl/>
        </w:rPr>
        <w:t>נוסח מסמך זה כפוף לשינויי ניסוח ועריכה</w:t>
      </w:r>
    </w:p>
    <w:p w14:paraId="6912ACED" w14:textId="77777777" w:rsidR="002D6ECF" w:rsidRDefault="002D6ECF" w:rsidP="002D6ECF">
      <w:pPr>
        <w:rPr>
          <w:rtl/>
        </w:rPr>
      </w:pPr>
    </w:p>
    <w:p w14:paraId="0C80E7BA" w14:textId="77777777" w:rsidR="002D6ECF" w:rsidRDefault="002D6ECF" w:rsidP="002D6ECF">
      <w:pPr>
        <w:jc w:val="center"/>
        <w:rPr>
          <w:color w:val="0000FF"/>
          <w:u w:val="single"/>
        </w:rPr>
      </w:pPr>
      <w:r w:rsidRPr="003C4E7B">
        <w:rPr>
          <w:color w:val="000000"/>
          <w:rtl/>
        </w:rPr>
        <w:t>בעניין עריכה ושינויים במסמכי פסיקה, חקיקה ועוד באתר נבו – הקש כאן</w:t>
      </w:r>
    </w:p>
    <w:sectPr w:rsidR="002D6ECF" w:rsidSect="007670F2">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184CFA" w14:textId="77777777" w:rsidR="001B0DF1" w:rsidRPr="00643D00" w:rsidRDefault="001B0DF1">
      <w:pPr>
        <w:rPr>
          <w:rFonts w:cs="Arial"/>
          <w:szCs w:val="20"/>
        </w:rPr>
      </w:pPr>
      <w:r>
        <w:separator/>
      </w:r>
    </w:p>
  </w:endnote>
  <w:endnote w:type="continuationSeparator" w:id="0">
    <w:p w14:paraId="5D77CF5D" w14:textId="77777777" w:rsidR="001B0DF1" w:rsidRPr="00643D00" w:rsidRDefault="001B0DF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0EBCC" w14:textId="77777777" w:rsidR="007670F2" w:rsidRDefault="007670F2" w:rsidP="007670F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792D717" w14:textId="77777777" w:rsidR="001E4211" w:rsidRPr="007670F2" w:rsidRDefault="007670F2" w:rsidP="007670F2">
    <w:pPr>
      <w:pStyle w:val="a4"/>
      <w:pBdr>
        <w:top w:val="single" w:sz="4" w:space="1" w:color="auto"/>
        <w:between w:val="single" w:sz="4" w:space="0" w:color="auto"/>
      </w:pBdr>
      <w:spacing w:after="60"/>
      <w:jc w:val="center"/>
      <w:rPr>
        <w:rFonts w:ascii="FrankRuehl" w:hAnsi="FrankRuehl" w:cs="FrankRuehl"/>
        <w:color w:val="000000"/>
      </w:rPr>
    </w:pPr>
    <w:r w:rsidRPr="007670F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74EF5" w14:textId="77777777" w:rsidR="007670F2" w:rsidRDefault="007670F2" w:rsidP="007670F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53204">
      <w:rPr>
        <w:rFonts w:ascii="FrankRuehl" w:hAnsi="FrankRuehl" w:cs="FrankRuehl"/>
        <w:noProof/>
        <w:rtl/>
      </w:rPr>
      <w:t>8</w:t>
    </w:r>
    <w:r>
      <w:rPr>
        <w:rFonts w:ascii="FrankRuehl" w:hAnsi="FrankRuehl" w:cs="FrankRuehl"/>
        <w:rtl/>
      </w:rPr>
      <w:fldChar w:fldCharType="end"/>
    </w:r>
  </w:p>
  <w:p w14:paraId="3B2CCB45" w14:textId="77777777" w:rsidR="001E4211" w:rsidRPr="007670F2" w:rsidRDefault="007670F2" w:rsidP="007670F2">
    <w:pPr>
      <w:pStyle w:val="a4"/>
      <w:pBdr>
        <w:top w:val="single" w:sz="4" w:space="1" w:color="auto"/>
        <w:between w:val="single" w:sz="4" w:space="0" w:color="auto"/>
      </w:pBdr>
      <w:spacing w:after="60"/>
      <w:jc w:val="center"/>
      <w:rPr>
        <w:rFonts w:ascii="FrankRuehl" w:hAnsi="FrankRuehl" w:cs="FrankRuehl"/>
        <w:color w:val="000000"/>
      </w:rPr>
    </w:pPr>
    <w:r w:rsidRPr="007670F2">
      <w:rPr>
        <w:rFonts w:ascii="FrankRuehl" w:hAnsi="FrankRuehl" w:cs="FrankRuehl"/>
        <w:color w:val="000000"/>
      </w:rPr>
      <w:pict w14:anchorId="38BB3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1F631" w14:textId="77777777" w:rsidR="001B0DF1" w:rsidRPr="00643D00" w:rsidRDefault="001B0DF1">
      <w:pPr>
        <w:rPr>
          <w:rFonts w:cs="Arial"/>
          <w:szCs w:val="20"/>
        </w:rPr>
      </w:pPr>
      <w:r>
        <w:separator/>
      </w:r>
    </w:p>
  </w:footnote>
  <w:footnote w:type="continuationSeparator" w:id="0">
    <w:p w14:paraId="26D09788" w14:textId="77777777" w:rsidR="001B0DF1" w:rsidRPr="00643D00" w:rsidRDefault="001B0DF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9BA50" w14:textId="77777777" w:rsidR="002D6ECF" w:rsidRPr="007670F2" w:rsidRDefault="007670F2" w:rsidP="007670F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12302-11-10</w:t>
    </w:r>
    <w:r>
      <w:rPr>
        <w:rFonts w:ascii="David" w:hAnsi="David"/>
        <w:color w:val="000000"/>
        <w:sz w:val="22"/>
        <w:szCs w:val="22"/>
        <w:rtl/>
      </w:rPr>
      <w:tab/>
      <w:t xml:space="preserve"> מדינת ישראל נ' איאד אבו אלגדיאן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898F5" w14:textId="77777777" w:rsidR="002D6ECF" w:rsidRPr="007670F2" w:rsidRDefault="007670F2" w:rsidP="007670F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12302-11-10</w:t>
    </w:r>
    <w:r>
      <w:rPr>
        <w:rFonts w:ascii="David" w:hAnsi="David"/>
        <w:color w:val="000000"/>
        <w:sz w:val="22"/>
        <w:szCs w:val="22"/>
        <w:rtl/>
      </w:rPr>
      <w:tab/>
      <w:t xml:space="preserve"> מדינת ישראל נ' איאד אבו אלגדיאן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23AA1"/>
    <w:multiLevelType w:val="hybridMultilevel"/>
    <w:tmpl w:val="C572301A"/>
    <w:lvl w:ilvl="0" w:tplc="AD10F446">
      <w:numFmt w:val="bullet"/>
      <w:lvlText w:val="-"/>
      <w:lvlJc w:val="left"/>
      <w:pPr>
        <w:ind w:left="720" w:hanging="360"/>
      </w:pPr>
      <w:rPr>
        <w:rFonts w:ascii="Calibri" w:eastAsia="Calibri" w:hAnsi="Calibri" w:cs="David"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1577197D"/>
    <w:multiLevelType w:val="hybridMultilevel"/>
    <w:tmpl w:val="D2EC2F36"/>
    <w:lvl w:ilvl="0" w:tplc="0409000F">
      <w:start w:val="1"/>
      <w:numFmt w:val="decimal"/>
      <w:lvlText w:val="%1."/>
      <w:lvlJc w:val="left"/>
      <w:pPr>
        <w:tabs>
          <w:tab w:val="num" w:pos="720"/>
        </w:tabs>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2131168749">
    <w:abstractNumId w:val="1"/>
  </w:num>
  <w:num w:numId="2" w16cid:durableId="171851154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05414027">
    <w:abstractNumId w:val="1"/>
  </w:num>
  <w:num w:numId="4" w16cid:durableId="1179390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E4211"/>
    <w:rsid w:val="00035A49"/>
    <w:rsid w:val="00073DBC"/>
    <w:rsid w:val="000E5C7D"/>
    <w:rsid w:val="001B0DF1"/>
    <w:rsid w:val="001E4211"/>
    <w:rsid w:val="002D4947"/>
    <w:rsid w:val="002D6ECF"/>
    <w:rsid w:val="003C4E7B"/>
    <w:rsid w:val="006771CF"/>
    <w:rsid w:val="006B4FB2"/>
    <w:rsid w:val="00753204"/>
    <w:rsid w:val="007670F2"/>
    <w:rsid w:val="00932C31"/>
    <w:rsid w:val="00AB2193"/>
    <w:rsid w:val="00AE5CB4"/>
    <w:rsid w:val="00E44D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B441D67"/>
  <w15:chartTrackingRefBased/>
  <w15:docId w15:val="{BA9897FA-3E42-4A93-AC20-D437328D1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E4211"/>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E4211"/>
    <w:pPr>
      <w:tabs>
        <w:tab w:val="center" w:pos="4153"/>
        <w:tab w:val="right" w:pos="8306"/>
      </w:tabs>
    </w:pPr>
  </w:style>
  <w:style w:type="paragraph" w:styleId="a4">
    <w:name w:val="footer"/>
    <w:basedOn w:val="a"/>
    <w:rsid w:val="001E4211"/>
    <w:pPr>
      <w:tabs>
        <w:tab w:val="center" w:pos="4153"/>
        <w:tab w:val="right" w:pos="8306"/>
      </w:tabs>
    </w:pPr>
  </w:style>
  <w:style w:type="character" w:styleId="a5">
    <w:name w:val="page number"/>
    <w:basedOn w:val="a0"/>
    <w:rsid w:val="001E4211"/>
  </w:style>
  <w:style w:type="character" w:styleId="Hyperlink">
    <w:name w:val="Hyperlink"/>
    <w:basedOn w:val="a0"/>
    <w:rsid w:val="002D6ECF"/>
    <w:rPr>
      <w:color w:val="0000FF"/>
      <w:u w:val="single"/>
    </w:rPr>
  </w:style>
  <w:style w:type="paragraph" w:styleId="a6">
    <w:name w:val="List Paragraph"/>
    <w:basedOn w:val="a"/>
    <w:qFormat/>
    <w:rsid w:val="00035A49"/>
    <w:pPr>
      <w:spacing w:after="200" w:line="27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3729"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849275" TargetMode="External"/><Relationship Id="rId39" Type="http://schemas.openxmlformats.org/officeDocument/2006/relationships/hyperlink" Target="http://www.nevo.co.il/case/6004092" TargetMode="External"/><Relationship Id="rId21" Type="http://schemas.openxmlformats.org/officeDocument/2006/relationships/hyperlink" Target="http://www.nevo.co.il/law/70301/144.b" TargetMode="External"/><Relationship Id="rId34" Type="http://schemas.openxmlformats.org/officeDocument/2006/relationships/hyperlink" Target="http://www.nevo.co.il/case/6150971" TargetMode="External"/><Relationship Id="rId42" Type="http://schemas.openxmlformats.org/officeDocument/2006/relationships/header" Target="header2.xml"/><Relationship Id="rId7" Type="http://schemas.openxmlformats.org/officeDocument/2006/relationships/hyperlink" Target="http://www.nevo.co.il/law/72515" TargetMode="External"/><Relationship Id="rId2" Type="http://schemas.openxmlformats.org/officeDocument/2006/relationships/styles" Target="styles.xml"/><Relationship Id="rId16" Type="http://schemas.openxmlformats.org/officeDocument/2006/relationships/hyperlink" Target="http://www.nevo.co.il/law/72515" TargetMode="External"/><Relationship Id="rId29" Type="http://schemas.openxmlformats.org/officeDocument/2006/relationships/hyperlink" Target="http://www.nevo.co.il/case/48426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law/70301/31" TargetMode="External"/><Relationship Id="rId32" Type="http://schemas.openxmlformats.org/officeDocument/2006/relationships/hyperlink" Target="http://www.nevo.co.il/case/6004730" TargetMode="External"/><Relationship Id="rId37" Type="http://schemas.openxmlformats.org/officeDocument/2006/relationships/hyperlink" Target="http://www.nevo.co.il/case/5973037" TargetMode="External"/><Relationship Id="rId40" Type="http://schemas.openxmlformats.org/officeDocument/2006/relationships/hyperlink" Target="http://www.nevo.co.il/case/6032353"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2515/3" TargetMode="External"/><Relationship Id="rId23" Type="http://schemas.openxmlformats.org/officeDocument/2006/relationships/hyperlink" Target="http://www.nevo.co.il/law/70301/305.1" TargetMode="External"/><Relationship Id="rId28" Type="http://schemas.openxmlformats.org/officeDocument/2006/relationships/hyperlink" Target="http://www.nevo.co.il/case/2386769" TargetMode="External"/><Relationship Id="rId36" Type="http://schemas.openxmlformats.org/officeDocument/2006/relationships/hyperlink" Target="http://www.nevo.co.il/case/5874024" TargetMode="External"/><Relationship Id="rId10" Type="http://schemas.openxmlformats.org/officeDocument/2006/relationships/hyperlink" Target="http://www.nevo.co.il/law/70301/31" TargetMode="External"/><Relationship Id="rId19" Type="http://schemas.openxmlformats.org/officeDocument/2006/relationships/hyperlink" Target="http://www.nevo.co.il/law/73729/85.1.c" TargetMode="External"/><Relationship Id="rId31" Type="http://schemas.openxmlformats.org/officeDocument/2006/relationships/hyperlink" Target="http://www.nevo.co.il/case/699852"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3729/85.1.c" TargetMode="External"/><Relationship Id="rId22" Type="http://schemas.openxmlformats.org/officeDocument/2006/relationships/hyperlink" Target="http://www.nevo.co.il/law/70301/305.1" TargetMode="External"/><Relationship Id="rId27" Type="http://schemas.openxmlformats.org/officeDocument/2006/relationships/hyperlink" Target="http://www.nevo.co.il/case/2536956" TargetMode="External"/><Relationship Id="rId30" Type="http://schemas.openxmlformats.org/officeDocument/2006/relationships/hyperlink" Target="http://www.nevo.co.il/case/2855065" TargetMode="External"/><Relationship Id="rId35" Type="http://schemas.openxmlformats.org/officeDocument/2006/relationships/hyperlink" Target="http://www.nevo.co.il/case/5828405" TargetMode="External"/><Relationship Id="rId43" Type="http://schemas.openxmlformats.org/officeDocument/2006/relationships/footer" Target="footer1.xml"/><Relationship Id="rId8" Type="http://schemas.openxmlformats.org/officeDocument/2006/relationships/hyperlink" Target="http://www.nevo.co.il/law/72515/3" TargetMode="External"/><Relationship Id="rId3" Type="http://schemas.openxmlformats.org/officeDocument/2006/relationships/settings" Target="settings.xml"/><Relationship Id="rId12" Type="http://schemas.openxmlformats.org/officeDocument/2006/relationships/hyperlink" Target="http://www.nevo.co.il/law/70301/305.1"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6004730" TargetMode="External"/><Relationship Id="rId33" Type="http://schemas.openxmlformats.org/officeDocument/2006/relationships/hyperlink" Target="http://www.nevo.co.il/case/6245576" TargetMode="External"/><Relationship Id="rId38" Type="http://schemas.openxmlformats.org/officeDocument/2006/relationships/hyperlink" Target="http://www.nevo.co.il/case/6032353" TargetMode="External"/><Relationship Id="rId46" Type="http://schemas.openxmlformats.org/officeDocument/2006/relationships/theme" Target="theme/theme1.xml"/><Relationship Id="rId20" Type="http://schemas.openxmlformats.org/officeDocument/2006/relationships/hyperlink" Target="http://www.nevo.co.il/law/73729"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2638</Words>
  <Characters>13193</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15800</CharactersWithSpaces>
  <SharedDoc>false</SharedDoc>
  <HLinks>
    <vt:vector size="204" baseType="variant">
      <vt:variant>
        <vt:i4>3473523</vt:i4>
      </vt:variant>
      <vt:variant>
        <vt:i4>99</vt:i4>
      </vt:variant>
      <vt:variant>
        <vt:i4>0</vt:i4>
      </vt:variant>
      <vt:variant>
        <vt:i4>5</vt:i4>
      </vt:variant>
      <vt:variant>
        <vt:lpwstr>http://www.nevo.co.il/case/6032353</vt:lpwstr>
      </vt:variant>
      <vt:variant>
        <vt:lpwstr/>
      </vt:variant>
      <vt:variant>
        <vt:i4>3407993</vt:i4>
      </vt:variant>
      <vt:variant>
        <vt:i4>96</vt:i4>
      </vt:variant>
      <vt:variant>
        <vt:i4>0</vt:i4>
      </vt:variant>
      <vt:variant>
        <vt:i4>5</vt:i4>
      </vt:variant>
      <vt:variant>
        <vt:lpwstr>http://www.nevo.co.il/case/6004092</vt:lpwstr>
      </vt:variant>
      <vt:variant>
        <vt:lpwstr/>
      </vt:variant>
      <vt:variant>
        <vt:i4>3473523</vt:i4>
      </vt:variant>
      <vt:variant>
        <vt:i4>93</vt:i4>
      </vt:variant>
      <vt:variant>
        <vt:i4>0</vt:i4>
      </vt:variant>
      <vt:variant>
        <vt:i4>5</vt:i4>
      </vt:variant>
      <vt:variant>
        <vt:lpwstr>http://www.nevo.co.il/case/6032353</vt:lpwstr>
      </vt:variant>
      <vt:variant>
        <vt:lpwstr/>
      </vt:variant>
      <vt:variant>
        <vt:i4>3473533</vt:i4>
      </vt:variant>
      <vt:variant>
        <vt:i4>90</vt:i4>
      </vt:variant>
      <vt:variant>
        <vt:i4>0</vt:i4>
      </vt:variant>
      <vt:variant>
        <vt:i4>5</vt:i4>
      </vt:variant>
      <vt:variant>
        <vt:lpwstr>http://www.nevo.co.il/case/5973037</vt:lpwstr>
      </vt:variant>
      <vt:variant>
        <vt:lpwstr/>
      </vt:variant>
      <vt:variant>
        <vt:i4>3539066</vt:i4>
      </vt:variant>
      <vt:variant>
        <vt:i4>87</vt:i4>
      </vt:variant>
      <vt:variant>
        <vt:i4>0</vt:i4>
      </vt:variant>
      <vt:variant>
        <vt:i4>5</vt:i4>
      </vt:variant>
      <vt:variant>
        <vt:lpwstr>http://www.nevo.co.il/case/5874024</vt:lpwstr>
      </vt:variant>
      <vt:variant>
        <vt:lpwstr/>
      </vt:variant>
      <vt:variant>
        <vt:i4>3539060</vt:i4>
      </vt:variant>
      <vt:variant>
        <vt:i4>84</vt:i4>
      </vt:variant>
      <vt:variant>
        <vt:i4>0</vt:i4>
      </vt:variant>
      <vt:variant>
        <vt:i4>5</vt:i4>
      </vt:variant>
      <vt:variant>
        <vt:lpwstr>http://www.nevo.co.il/case/5828405</vt:lpwstr>
      </vt:variant>
      <vt:variant>
        <vt:lpwstr/>
      </vt:variant>
      <vt:variant>
        <vt:i4>3866738</vt:i4>
      </vt:variant>
      <vt:variant>
        <vt:i4>81</vt:i4>
      </vt:variant>
      <vt:variant>
        <vt:i4>0</vt:i4>
      </vt:variant>
      <vt:variant>
        <vt:i4>5</vt:i4>
      </vt:variant>
      <vt:variant>
        <vt:lpwstr>http://www.nevo.co.il/case/6150971</vt:lpwstr>
      </vt:variant>
      <vt:variant>
        <vt:lpwstr/>
      </vt:variant>
      <vt:variant>
        <vt:i4>3211380</vt:i4>
      </vt:variant>
      <vt:variant>
        <vt:i4>78</vt:i4>
      </vt:variant>
      <vt:variant>
        <vt:i4>0</vt:i4>
      </vt:variant>
      <vt:variant>
        <vt:i4>5</vt:i4>
      </vt:variant>
      <vt:variant>
        <vt:lpwstr>http://www.nevo.co.il/case/6245576</vt:lpwstr>
      </vt:variant>
      <vt:variant>
        <vt:lpwstr/>
      </vt:variant>
      <vt:variant>
        <vt:i4>3211379</vt:i4>
      </vt:variant>
      <vt:variant>
        <vt:i4>75</vt:i4>
      </vt:variant>
      <vt:variant>
        <vt:i4>0</vt:i4>
      </vt:variant>
      <vt:variant>
        <vt:i4>5</vt:i4>
      </vt:variant>
      <vt:variant>
        <vt:lpwstr>http://www.nevo.co.il/case/6004730</vt:lpwstr>
      </vt:variant>
      <vt:variant>
        <vt:lpwstr/>
      </vt:variant>
      <vt:variant>
        <vt:i4>655429</vt:i4>
      </vt:variant>
      <vt:variant>
        <vt:i4>72</vt:i4>
      </vt:variant>
      <vt:variant>
        <vt:i4>0</vt:i4>
      </vt:variant>
      <vt:variant>
        <vt:i4>5</vt:i4>
      </vt:variant>
      <vt:variant>
        <vt:lpwstr>http://www.nevo.co.il/case/699852</vt:lpwstr>
      </vt:variant>
      <vt:variant>
        <vt:lpwstr/>
      </vt:variant>
      <vt:variant>
        <vt:i4>3276927</vt:i4>
      </vt:variant>
      <vt:variant>
        <vt:i4>69</vt:i4>
      </vt:variant>
      <vt:variant>
        <vt:i4>0</vt:i4>
      </vt:variant>
      <vt:variant>
        <vt:i4>5</vt:i4>
      </vt:variant>
      <vt:variant>
        <vt:lpwstr>http://www.nevo.co.il/case/2855065</vt:lpwstr>
      </vt:variant>
      <vt:variant>
        <vt:lpwstr/>
      </vt:variant>
      <vt:variant>
        <vt:i4>393294</vt:i4>
      </vt:variant>
      <vt:variant>
        <vt:i4>66</vt:i4>
      </vt:variant>
      <vt:variant>
        <vt:i4>0</vt:i4>
      </vt:variant>
      <vt:variant>
        <vt:i4>5</vt:i4>
      </vt:variant>
      <vt:variant>
        <vt:lpwstr>http://www.nevo.co.il/case/484267</vt:lpwstr>
      </vt:variant>
      <vt:variant>
        <vt:lpwstr/>
      </vt:variant>
      <vt:variant>
        <vt:i4>3407991</vt:i4>
      </vt:variant>
      <vt:variant>
        <vt:i4>63</vt:i4>
      </vt:variant>
      <vt:variant>
        <vt:i4>0</vt:i4>
      </vt:variant>
      <vt:variant>
        <vt:i4>5</vt:i4>
      </vt:variant>
      <vt:variant>
        <vt:lpwstr>http://www.nevo.co.il/case/2386769</vt:lpwstr>
      </vt:variant>
      <vt:variant>
        <vt:lpwstr/>
      </vt:variant>
      <vt:variant>
        <vt:i4>4063346</vt:i4>
      </vt:variant>
      <vt:variant>
        <vt:i4>60</vt:i4>
      </vt:variant>
      <vt:variant>
        <vt:i4>0</vt:i4>
      </vt:variant>
      <vt:variant>
        <vt:i4>5</vt:i4>
      </vt:variant>
      <vt:variant>
        <vt:lpwstr>http://www.nevo.co.il/case/2536956</vt:lpwstr>
      </vt:variant>
      <vt:variant>
        <vt:lpwstr/>
      </vt:variant>
      <vt:variant>
        <vt:i4>3539058</vt:i4>
      </vt:variant>
      <vt:variant>
        <vt:i4>57</vt:i4>
      </vt:variant>
      <vt:variant>
        <vt:i4>0</vt:i4>
      </vt:variant>
      <vt:variant>
        <vt:i4>5</vt:i4>
      </vt:variant>
      <vt:variant>
        <vt:lpwstr>http://www.nevo.co.il/case/5849275</vt:lpwstr>
      </vt:variant>
      <vt:variant>
        <vt:lpwstr/>
      </vt:variant>
      <vt:variant>
        <vt:i4>3211379</vt:i4>
      </vt:variant>
      <vt:variant>
        <vt:i4>54</vt:i4>
      </vt:variant>
      <vt:variant>
        <vt:i4>0</vt:i4>
      </vt:variant>
      <vt:variant>
        <vt:i4>5</vt:i4>
      </vt:variant>
      <vt:variant>
        <vt:lpwstr>http://www.nevo.co.il/case/6004730</vt:lpwstr>
      </vt:variant>
      <vt:variant>
        <vt:lpwstr/>
      </vt:variant>
      <vt:variant>
        <vt:i4>6553702</vt:i4>
      </vt:variant>
      <vt:variant>
        <vt:i4>51</vt:i4>
      </vt:variant>
      <vt:variant>
        <vt:i4>0</vt:i4>
      </vt:variant>
      <vt:variant>
        <vt:i4>5</vt:i4>
      </vt:variant>
      <vt:variant>
        <vt:lpwstr>http://www.nevo.co.il/law/70301/31</vt:lpwstr>
      </vt:variant>
      <vt:variant>
        <vt:lpwstr/>
      </vt:variant>
      <vt:variant>
        <vt:i4>4915283</vt:i4>
      </vt:variant>
      <vt:variant>
        <vt:i4>48</vt:i4>
      </vt:variant>
      <vt:variant>
        <vt:i4>0</vt:i4>
      </vt:variant>
      <vt:variant>
        <vt:i4>5</vt:i4>
      </vt:variant>
      <vt:variant>
        <vt:lpwstr>http://www.nevo.co.il/law/70301/305.1</vt:lpwstr>
      </vt:variant>
      <vt:variant>
        <vt:lpwstr/>
      </vt:variant>
      <vt:variant>
        <vt:i4>4915283</vt:i4>
      </vt:variant>
      <vt:variant>
        <vt:i4>45</vt:i4>
      </vt:variant>
      <vt:variant>
        <vt:i4>0</vt:i4>
      </vt:variant>
      <vt:variant>
        <vt:i4>5</vt:i4>
      </vt:variant>
      <vt:variant>
        <vt:lpwstr>http://www.nevo.co.il/law/70301/305.1</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8061024</vt:i4>
      </vt:variant>
      <vt:variant>
        <vt:i4>39</vt:i4>
      </vt:variant>
      <vt:variant>
        <vt:i4>0</vt:i4>
      </vt:variant>
      <vt:variant>
        <vt:i4>5</vt:i4>
      </vt:variant>
      <vt:variant>
        <vt:lpwstr>http://www.nevo.co.il/law/73729</vt:lpwstr>
      </vt:variant>
      <vt:variant>
        <vt:lpwstr/>
      </vt:variant>
      <vt:variant>
        <vt:i4>3342433</vt:i4>
      </vt:variant>
      <vt:variant>
        <vt:i4>36</vt:i4>
      </vt:variant>
      <vt:variant>
        <vt:i4>0</vt:i4>
      </vt:variant>
      <vt:variant>
        <vt:i4>5</vt:i4>
      </vt:variant>
      <vt:variant>
        <vt:lpwstr>http://www.nevo.co.il/law/73729/85.1.c</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7929954</vt:i4>
      </vt:variant>
      <vt:variant>
        <vt:i4>27</vt:i4>
      </vt:variant>
      <vt:variant>
        <vt:i4>0</vt:i4>
      </vt:variant>
      <vt:variant>
        <vt:i4>5</vt:i4>
      </vt:variant>
      <vt:variant>
        <vt:lpwstr>http://www.nevo.co.il/law/72515</vt:lpwstr>
      </vt:variant>
      <vt:variant>
        <vt:lpwstr/>
      </vt:variant>
      <vt:variant>
        <vt:i4>5636183</vt:i4>
      </vt:variant>
      <vt:variant>
        <vt:i4>24</vt:i4>
      </vt:variant>
      <vt:variant>
        <vt:i4>0</vt:i4>
      </vt:variant>
      <vt:variant>
        <vt:i4>5</vt:i4>
      </vt:variant>
      <vt:variant>
        <vt:lpwstr>http://www.nevo.co.il/law/72515/3</vt:lpwstr>
      </vt:variant>
      <vt:variant>
        <vt:lpwstr/>
      </vt:variant>
      <vt:variant>
        <vt:i4>3342433</vt:i4>
      </vt:variant>
      <vt:variant>
        <vt:i4>21</vt:i4>
      </vt:variant>
      <vt:variant>
        <vt:i4>0</vt:i4>
      </vt:variant>
      <vt:variant>
        <vt:i4>5</vt:i4>
      </vt:variant>
      <vt:variant>
        <vt:lpwstr>http://www.nevo.co.il/law/73729/85.1.c</vt:lpwstr>
      </vt:variant>
      <vt:variant>
        <vt:lpwstr/>
      </vt:variant>
      <vt:variant>
        <vt:i4>8061024</vt:i4>
      </vt:variant>
      <vt:variant>
        <vt:i4>18</vt:i4>
      </vt:variant>
      <vt:variant>
        <vt:i4>0</vt:i4>
      </vt:variant>
      <vt:variant>
        <vt:i4>5</vt:i4>
      </vt:variant>
      <vt:variant>
        <vt:lpwstr>http://www.nevo.co.il/law/73729</vt:lpwstr>
      </vt:variant>
      <vt:variant>
        <vt:lpwstr/>
      </vt:variant>
      <vt:variant>
        <vt:i4>4915283</vt:i4>
      </vt:variant>
      <vt:variant>
        <vt:i4>15</vt:i4>
      </vt:variant>
      <vt:variant>
        <vt:i4>0</vt:i4>
      </vt:variant>
      <vt:variant>
        <vt:i4>5</vt:i4>
      </vt:variant>
      <vt:variant>
        <vt:lpwstr>http://www.nevo.co.il/law/70301/305.1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6553702</vt:i4>
      </vt:variant>
      <vt:variant>
        <vt:i4>9</vt:i4>
      </vt:variant>
      <vt:variant>
        <vt:i4>0</vt:i4>
      </vt:variant>
      <vt:variant>
        <vt:i4>5</vt:i4>
      </vt:variant>
      <vt:variant>
        <vt:lpwstr>http://www.nevo.co.il/law/70301/31</vt:lpwstr>
      </vt:variant>
      <vt:variant>
        <vt:lpwstr/>
      </vt:variant>
      <vt:variant>
        <vt:i4>7995492</vt:i4>
      </vt:variant>
      <vt:variant>
        <vt:i4>6</vt:i4>
      </vt:variant>
      <vt:variant>
        <vt:i4>0</vt:i4>
      </vt:variant>
      <vt:variant>
        <vt:i4>5</vt:i4>
      </vt:variant>
      <vt:variant>
        <vt:lpwstr>http://www.nevo.co.il/law/70301</vt:lpwstr>
      </vt:variant>
      <vt:variant>
        <vt:lpwstr/>
      </vt:variant>
      <vt:variant>
        <vt:i4>5636183</vt:i4>
      </vt:variant>
      <vt:variant>
        <vt:i4>3</vt:i4>
      </vt:variant>
      <vt:variant>
        <vt:i4>0</vt:i4>
      </vt:variant>
      <vt:variant>
        <vt:i4>5</vt:i4>
      </vt:variant>
      <vt:variant>
        <vt:lpwstr>http://www.nevo.co.il/law/72515/3</vt:lpwstr>
      </vt:variant>
      <vt:variant>
        <vt:lpwstr/>
      </vt:variant>
      <vt:variant>
        <vt:i4>7929954</vt:i4>
      </vt:variant>
      <vt:variant>
        <vt:i4>0</vt:i4>
      </vt:variant>
      <vt:variant>
        <vt:i4>0</vt:i4>
      </vt:variant>
      <vt:variant>
        <vt:i4>5</vt:i4>
      </vt:variant>
      <vt:variant>
        <vt:lpwstr>http://www.nevo.co.il/law/72515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2025-04-25T10:25:00Z</dcterms:created>
  <dcterms:modified xsi:type="dcterms:W3CDTF">2025-04-25T10:25:00Z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12302</vt:lpwstr>
  </property>
  <property fmtid="{D5CDD505-2E9C-101B-9397-08002B2CF9AE}" pid="6" name="NEWPARTB">
    <vt:lpwstr>11</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איאד אבו אלגדיאן</vt:lpwstr>
  </property>
  <property fmtid="{D5CDD505-2E9C-101B-9397-08002B2CF9AE}" pid="10" name="LAWYER">
    <vt:lpwstr>רוית מרום;מחמד ג'אברין</vt:lpwstr>
  </property>
  <property fmtid="{D5CDD505-2E9C-101B-9397-08002B2CF9AE}" pid="11" name="JUDGE">
    <vt:lpwstr>ר' יפה כ#ץ;א' ואגו;י' צלקובניק</vt:lpwstr>
  </property>
  <property fmtid="{D5CDD505-2E9C-101B-9397-08002B2CF9AE}" pid="12" name="CITY">
    <vt:lpwstr>ב"ש</vt:lpwstr>
  </property>
  <property fmtid="{D5CDD505-2E9C-101B-9397-08002B2CF9AE}" pid="13" name="DATE">
    <vt:lpwstr>20130610</vt:lpwstr>
  </property>
  <property fmtid="{D5CDD505-2E9C-101B-9397-08002B2CF9AE}" pid="14" name="TYPE_N_DATE">
    <vt:lpwstr>39020130610</vt:lpwstr>
  </property>
  <property fmtid="{D5CDD505-2E9C-101B-9397-08002B2CF9AE}" pid="15" name="WORDNUMPAGES">
    <vt:lpwstr>8</vt:lpwstr>
  </property>
  <property fmtid="{D5CDD505-2E9C-101B-9397-08002B2CF9AE}" pid="16" name="TYPE_ABS_DATE">
    <vt:lpwstr>390120130610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מיכל</vt:lpwstr>
  </property>
  <property fmtid="{D5CDD505-2E9C-101B-9397-08002B2CF9AE}" pid="36" name="NOSE1ID">
    <vt:lpwstr>77</vt:lpwstr>
  </property>
  <property fmtid="{D5CDD505-2E9C-101B-9397-08002B2CF9AE}" pid="37" name="NOSE2ID">
    <vt:lpwstr>1446</vt:lpwstr>
  </property>
  <property fmtid="{D5CDD505-2E9C-101B-9397-08002B2CF9AE}" pid="38" name="NOSE3ID">
    <vt:lpwstr>8985</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עבירות ביטחון</vt:lpwstr>
  </property>
  <property fmtid="{D5CDD505-2E9C-101B-9397-08002B2CF9AE}" pid="42" name="NOSE12">
    <vt:lpwstr/>
  </property>
  <property fmtid="{D5CDD505-2E9C-101B-9397-08002B2CF9AE}" pid="43" name="NOSE22">
    <vt:lpwstr/>
  </property>
  <property fmtid="{D5CDD505-2E9C-101B-9397-08002B2CF9AE}" pid="44" name="NOSE32">
    <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20130617</vt:lpwstr>
  </property>
  <property fmtid="{D5CDD505-2E9C-101B-9397-08002B2CF9AE}" pid="70" name="CASESLISTTMP1">
    <vt:lpwstr>6004730:2;5849275;2536956;2386769;484267;2855065;699852;6245576;6150971;5828405;5874024;5973037;6032353:2;6004092</vt:lpwstr>
  </property>
  <property fmtid="{D5CDD505-2E9C-101B-9397-08002B2CF9AE}" pid="71" name="LAWLISTTMP1">
    <vt:lpwstr>72515/003</vt:lpwstr>
  </property>
  <property fmtid="{D5CDD505-2E9C-101B-9397-08002B2CF9AE}" pid="72" name="LAWLISTTMP2">
    <vt:lpwstr>70301/144.b:2;305.1;031</vt:lpwstr>
  </property>
  <property fmtid="{D5CDD505-2E9C-101B-9397-08002B2CF9AE}" pid="73" name="LAWLISTTMP3">
    <vt:lpwstr>73729/085.1.c</vt:lpwstr>
  </property>
</Properties>
</file>