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6D4D61" w:rsidRPr="00465D2C" w14:paraId="08DC89F0" w14:textId="77777777">
        <w:trPr>
          <w:trHeight w:hRule="exact" w:val="418"/>
          <w:jc w:val="center"/>
        </w:trPr>
        <w:tc>
          <w:tcPr>
            <w:tcW w:w="8721" w:type="dxa"/>
            <w:gridSpan w:val="2"/>
          </w:tcPr>
          <w:p w14:paraId="3BE6306D" w14:textId="77777777" w:rsidR="006D4D61" w:rsidRPr="00465D2C" w:rsidRDefault="00465D2C">
            <w:pPr>
              <w:pStyle w:val="a3"/>
              <w:jc w:val="center"/>
              <w:rPr>
                <w:rFonts w:ascii="Tahoma" w:hAnsi="Tahoma" w:cs="Tahoma"/>
                <w:color w:val="000080"/>
                <w:rtl/>
              </w:rPr>
            </w:pPr>
            <w:r w:rsidRPr="00465D2C">
              <w:rPr>
                <w:rFonts w:ascii="Tahoma" w:hAnsi="Tahoma" w:cs="Tahoma"/>
                <w:b/>
                <w:bCs/>
                <w:color w:val="000080"/>
                <w:rtl/>
              </w:rPr>
              <w:t>בית המשפט המחוזי בבאר שבע</w:t>
            </w:r>
          </w:p>
        </w:tc>
      </w:tr>
      <w:tr w:rsidR="006D4D61" w:rsidRPr="00465D2C" w14:paraId="55CDEE98" w14:textId="77777777">
        <w:trPr>
          <w:trHeight w:val="337"/>
          <w:jc w:val="center"/>
        </w:trPr>
        <w:tc>
          <w:tcPr>
            <w:tcW w:w="5047" w:type="dxa"/>
          </w:tcPr>
          <w:p w14:paraId="0FA4627B" w14:textId="77777777" w:rsidR="006D4D61" w:rsidRPr="00465D2C" w:rsidRDefault="006D4D61">
            <w:pPr>
              <w:pStyle w:val="a3"/>
              <w:rPr>
                <w:rFonts w:cs="FrankRuehl"/>
                <w:sz w:val="28"/>
                <w:szCs w:val="28"/>
                <w:rtl/>
              </w:rPr>
            </w:pPr>
          </w:p>
        </w:tc>
        <w:tc>
          <w:tcPr>
            <w:tcW w:w="3674" w:type="dxa"/>
          </w:tcPr>
          <w:p w14:paraId="3062B531" w14:textId="77777777" w:rsidR="006D4D61" w:rsidRPr="00465D2C" w:rsidRDefault="006D4D61">
            <w:pPr>
              <w:pStyle w:val="a3"/>
              <w:jc w:val="right"/>
              <w:rPr>
                <w:rFonts w:cs="FrankRuehl"/>
                <w:sz w:val="28"/>
                <w:szCs w:val="28"/>
                <w:rtl/>
              </w:rPr>
            </w:pPr>
          </w:p>
        </w:tc>
      </w:tr>
      <w:tr w:rsidR="006D4D61" w:rsidRPr="00465D2C" w14:paraId="63D62DDA" w14:textId="77777777">
        <w:trPr>
          <w:trHeight w:val="337"/>
          <w:jc w:val="center"/>
        </w:trPr>
        <w:tc>
          <w:tcPr>
            <w:tcW w:w="8721" w:type="dxa"/>
            <w:gridSpan w:val="2"/>
          </w:tcPr>
          <w:p w14:paraId="5847163B" w14:textId="77777777" w:rsidR="006D4D61" w:rsidRPr="00465D2C" w:rsidRDefault="006D4D61">
            <w:pPr>
              <w:rPr>
                <w:rFonts w:cs="FrankRuehl"/>
                <w:sz w:val="28"/>
                <w:szCs w:val="28"/>
                <w:rtl/>
              </w:rPr>
            </w:pPr>
          </w:p>
          <w:p w14:paraId="3A2CCD8B" w14:textId="77777777" w:rsidR="006D4D61" w:rsidRPr="00465D2C" w:rsidRDefault="006D4D61">
            <w:pPr>
              <w:pStyle w:val="a3"/>
              <w:rPr>
                <w:rtl/>
              </w:rPr>
            </w:pPr>
          </w:p>
        </w:tc>
      </w:tr>
    </w:tbl>
    <w:p w14:paraId="2AA9F4AA" w14:textId="77777777" w:rsidR="006D4D61" w:rsidRPr="00465D2C" w:rsidRDefault="00465D2C">
      <w:pPr>
        <w:pStyle w:val="a3"/>
      </w:pPr>
      <w:r w:rsidRPr="00465D2C">
        <w:rPr>
          <w:rFonts w:hint="cs"/>
          <w:rtl/>
        </w:rPr>
        <w:t xml:space="preserve"> </w:t>
      </w:r>
    </w:p>
    <w:p w14:paraId="551BE9E2" w14:textId="77777777" w:rsidR="006D4D61" w:rsidRPr="00465D2C" w:rsidRDefault="006D4D61">
      <w:pPr>
        <w:pStyle w:val="12"/>
        <w:rPr>
          <w:rFonts w:ascii="Arial" w:hAnsi="Arial" w:cs="Arial"/>
          <w:u w:val="none"/>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337"/>
        <w:gridCol w:w="5400"/>
        <w:gridCol w:w="2322"/>
        <w:gridCol w:w="18"/>
      </w:tblGrid>
      <w:tr w:rsidR="006D4D61" w:rsidRPr="00465D2C" w14:paraId="3CB6447C" w14:textId="77777777">
        <w:trPr>
          <w:trHeight w:val="295"/>
          <w:jc w:val="center"/>
        </w:trPr>
        <w:tc>
          <w:tcPr>
            <w:tcW w:w="743" w:type="dxa"/>
            <w:tcBorders>
              <w:top w:val="nil"/>
              <w:left w:val="nil"/>
              <w:bottom w:val="nil"/>
              <w:right w:val="nil"/>
            </w:tcBorders>
          </w:tcPr>
          <w:p w14:paraId="2AE871EC" w14:textId="77777777" w:rsidR="006D4D61" w:rsidRPr="00465D2C" w:rsidRDefault="00465D2C">
            <w:pPr>
              <w:jc w:val="both"/>
              <w:rPr>
                <w:rFonts w:ascii="Arial" w:hAnsi="Arial" w:cs="Arial"/>
                <w:b/>
                <w:bCs/>
              </w:rPr>
            </w:pPr>
            <w:r w:rsidRPr="00465D2C">
              <w:rPr>
                <w:rFonts w:ascii="Arial" w:hAnsi="Arial" w:cs="Arial"/>
                <w:b/>
                <w:bCs/>
                <w:rtl/>
              </w:rPr>
              <w:t xml:space="preserve">בפני: </w:t>
            </w:r>
          </w:p>
        </w:tc>
        <w:tc>
          <w:tcPr>
            <w:tcW w:w="8077" w:type="dxa"/>
            <w:gridSpan w:val="4"/>
            <w:tcBorders>
              <w:top w:val="nil"/>
              <w:left w:val="nil"/>
              <w:bottom w:val="nil"/>
              <w:right w:val="nil"/>
            </w:tcBorders>
          </w:tcPr>
          <w:p w14:paraId="32673703" w14:textId="77777777" w:rsidR="006D4D61" w:rsidRPr="00465D2C" w:rsidRDefault="00465D2C">
            <w:pPr>
              <w:rPr>
                <w:rFonts w:ascii="Arial" w:hAnsi="Arial" w:cs="Arial"/>
                <w:b/>
                <w:bCs/>
              </w:rPr>
            </w:pPr>
            <w:r w:rsidRPr="00465D2C">
              <w:rPr>
                <w:rFonts w:ascii="Arial" w:hAnsi="Arial" w:cs="Arial"/>
                <w:b/>
                <w:bCs/>
                <w:rtl/>
              </w:rPr>
              <w:t xml:space="preserve">כב' ס. הנשיא השופטת ר' </w:t>
            </w:r>
            <w:r w:rsidRPr="00465D2C">
              <w:rPr>
                <w:rFonts w:ascii="Arial" w:hAnsi="Arial" w:cs="Arial" w:hint="cs"/>
                <w:rtl/>
              </w:rPr>
              <w:t xml:space="preserve">יפה- כ"ץ, אב"ד                        </w:t>
            </w:r>
            <w:hyperlink r:id="rId6" w:history="1">
              <w:r w:rsidRPr="00465D2C">
                <w:rPr>
                  <w:rFonts w:ascii="Arial" w:hAnsi="Arial" w:cs="Arial"/>
                  <w:color w:val="0000FF"/>
                  <w:u w:val="single"/>
                  <w:rtl/>
                </w:rPr>
                <w:t>תפ"ח  35646-03-11</w:t>
              </w:r>
              <w:r w:rsidRPr="00465D2C">
                <w:rPr>
                  <w:rFonts w:ascii="Arial" w:hAnsi="Arial" w:cs="Arial"/>
                  <w:color w:val="0000FF"/>
                  <w:u w:val="single"/>
                  <w:rtl/>
                </w:rPr>
                <w:br/>
              </w:r>
            </w:hyperlink>
            <w:r w:rsidRPr="00465D2C">
              <w:rPr>
                <w:rFonts w:ascii="Arial" w:hAnsi="Arial" w:cs="Arial" w:hint="cs"/>
                <w:rtl/>
              </w:rPr>
              <w:t>כב' השופט</w:t>
            </w:r>
            <w:r w:rsidRPr="00465D2C">
              <w:rPr>
                <w:rFonts w:ascii="Arial" w:hAnsi="Arial" w:cs="Arial"/>
                <w:b/>
                <w:bCs/>
                <w:rtl/>
              </w:rPr>
              <w:t xml:space="preserve"> </w:t>
            </w:r>
            <w:r w:rsidRPr="00465D2C">
              <w:rPr>
                <w:rFonts w:ascii="Arial" w:hAnsi="Arial" w:cs="Arial" w:hint="cs"/>
                <w:rtl/>
              </w:rPr>
              <w:t>א' ואגו</w:t>
            </w:r>
            <w:r w:rsidRPr="00465D2C">
              <w:rPr>
                <w:rFonts w:ascii="Arial" w:hAnsi="Arial" w:cs="Arial" w:hint="cs"/>
                <w:rtl/>
              </w:rPr>
              <w:br/>
              <w:t>כב' השופט</w:t>
            </w:r>
            <w:r w:rsidRPr="00465D2C">
              <w:rPr>
                <w:rFonts w:ascii="Arial" w:hAnsi="Arial" w:cs="Arial"/>
                <w:b/>
                <w:bCs/>
                <w:rtl/>
              </w:rPr>
              <w:t xml:space="preserve"> </w:t>
            </w:r>
            <w:r w:rsidRPr="00465D2C">
              <w:rPr>
                <w:rFonts w:ascii="Arial" w:hAnsi="Arial" w:cs="Arial" w:hint="cs"/>
                <w:rtl/>
              </w:rPr>
              <w:t>י' צלקובניק</w:t>
            </w:r>
            <w:r w:rsidRPr="00465D2C">
              <w:rPr>
                <w:rFonts w:ascii="Arial" w:hAnsi="Arial" w:cs="Arial" w:hint="cs"/>
                <w:rtl/>
              </w:rPr>
              <w:br/>
            </w:r>
            <w:r w:rsidRPr="00465D2C">
              <w:rPr>
                <w:rFonts w:ascii="Arial" w:hAnsi="Arial" w:cs="Arial" w:hint="cs"/>
                <w:rtl/>
              </w:rPr>
              <w:br/>
            </w:r>
            <w:r w:rsidRPr="00465D2C">
              <w:rPr>
                <w:rFonts w:ascii="Arial" w:hAnsi="Arial" w:cs="Arial" w:hint="cs"/>
                <w:rtl/>
              </w:rPr>
              <w:br/>
            </w:r>
          </w:p>
        </w:tc>
      </w:tr>
      <w:tr w:rsidR="006D4D61" w:rsidRPr="00465D2C" w14:paraId="3E534EA5"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 w:type="dxa"/>
        </w:trPr>
        <w:tc>
          <w:tcPr>
            <w:tcW w:w="1080" w:type="dxa"/>
            <w:gridSpan w:val="2"/>
          </w:tcPr>
          <w:p w14:paraId="376E0D15" w14:textId="77777777" w:rsidR="006D4D61" w:rsidRPr="00465D2C" w:rsidRDefault="00465D2C">
            <w:pPr>
              <w:spacing w:line="480" w:lineRule="auto"/>
              <w:rPr>
                <w:rFonts w:ascii="Arial" w:hAnsi="Arial" w:cs="Arial"/>
                <w:b/>
                <w:bCs/>
              </w:rPr>
            </w:pPr>
            <w:bookmarkStart w:id="0" w:name="FirstAppellant"/>
            <w:bookmarkStart w:id="1" w:name="FirstLawyer"/>
            <w:bookmarkStart w:id="2" w:name="LastJudge"/>
            <w:bookmarkEnd w:id="2"/>
            <w:r w:rsidRPr="00465D2C">
              <w:rPr>
                <w:rFonts w:ascii="Arial" w:hAnsi="Arial" w:cs="Arial"/>
                <w:b/>
                <w:bCs/>
                <w:rtl/>
              </w:rPr>
              <w:t>בעניין:</w:t>
            </w:r>
          </w:p>
        </w:tc>
        <w:tc>
          <w:tcPr>
            <w:tcW w:w="5400" w:type="dxa"/>
          </w:tcPr>
          <w:p w14:paraId="13F8B5C6" w14:textId="77777777" w:rsidR="006D4D61" w:rsidRPr="00465D2C" w:rsidRDefault="00465D2C">
            <w:pPr>
              <w:spacing w:line="480" w:lineRule="auto"/>
              <w:rPr>
                <w:rFonts w:ascii="Arial" w:eastAsia="David" w:hAnsi="Arial" w:cs="Arial"/>
                <w:rtl/>
              </w:rPr>
            </w:pPr>
            <w:r w:rsidRPr="00465D2C">
              <w:rPr>
                <w:rFonts w:ascii="Arial" w:hAnsi="Arial" w:cs="Arial"/>
                <w:rtl/>
              </w:rPr>
              <w:t xml:space="preserve">     </w:t>
            </w:r>
            <w:r w:rsidRPr="00465D2C">
              <w:rPr>
                <w:rFonts w:ascii="Arial" w:hAnsi="Arial" w:cs="Arial"/>
                <w:b/>
                <w:bCs/>
                <w:rtl/>
              </w:rPr>
              <w:t xml:space="preserve"> מדינת ישראל</w:t>
            </w:r>
          </w:p>
          <w:p w14:paraId="476229EC" w14:textId="77777777" w:rsidR="006D4D61" w:rsidRPr="00465D2C" w:rsidRDefault="00465D2C">
            <w:pPr>
              <w:spacing w:line="480" w:lineRule="auto"/>
              <w:rPr>
                <w:rFonts w:ascii="Arial" w:eastAsia="David" w:hAnsi="Arial" w:cs="Arial"/>
                <w:b/>
                <w:bCs/>
              </w:rPr>
            </w:pPr>
            <w:r w:rsidRPr="00465D2C">
              <w:rPr>
                <w:rFonts w:ascii="Arial" w:eastAsia="David" w:hAnsi="Arial" w:cs="Arial" w:hint="cs"/>
                <w:b/>
                <w:bCs/>
                <w:rtl/>
              </w:rPr>
              <w:t xml:space="preserve">      ע"י ב"כ עו"ד ר' יוחנני- הר ציון</w:t>
            </w:r>
          </w:p>
        </w:tc>
        <w:tc>
          <w:tcPr>
            <w:tcW w:w="2322" w:type="dxa"/>
          </w:tcPr>
          <w:p w14:paraId="1BEF1708" w14:textId="77777777" w:rsidR="006D4D61" w:rsidRPr="00465D2C" w:rsidRDefault="00465D2C">
            <w:pPr>
              <w:spacing w:line="480" w:lineRule="auto"/>
              <w:rPr>
                <w:rFonts w:ascii="Arial" w:hAnsi="Arial" w:cs="Arial"/>
                <w:b/>
                <w:bCs/>
                <w:rtl/>
              </w:rPr>
            </w:pPr>
            <w:r w:rsidRPr="00465D2C">
              <w:rPr>
                <w:rFonts w:ascii="Arial" w:hAnsi="Arial" w:cs="Arial"/>
                <w:b/>
                <w:bCs/>
                <w:rtl/>
              </w:rPr>
              <w:t>המאשימה</w:t>
            </w:r>
          </w:p>
        </w:tc>
      </w:tr>
      <w:bookmarkEnd w:id="0"/>
      <w:bookmarkEnd w:id="1"/>
      <w:tr w:rsidR="006D4D61" w:rsidRPr="00465D2C" w14:paraId="5C6B8667"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 w:type="dxa"/>
        </w:trPr>
        <w:tc>
          <w:tcPr>
            <w:tcW w:w="8802" w:type="dxa"/>
            <w:gridSpan w:val="4"/>
          </w:tcPr>
          <w:p w14:paraId="1CFCE763" w14:textId="77777777" w:rsidR="006D4D61" w:rsidRPr="00465D2C" w:rsidRDefault="006D4D61">
            <w:pPr>
              <w:spacing w:line="480" w:lineRule="auto"/>
              <w:jc w:val="center"/>
              <w:rPr>
                <w:rFonts w:ascii="Arial" w:hAnsi="Arial" w:cs="Arial"/>
                <w:b/>
                <w:bCs/>
                <w:rtl/>
              </w:rPr>
            </w:pPr>
          </w:p>
          <w:p w14:paraId="2D457378" w14:textId="77777777" w:rsidR="006D4D61" w:rsidRPr="00465D2C" w:rsidRDefault="00465D2C">
            <w:pPr>
              <w:spacing w:line="480" w:lineRule="auto"/>
              <w:jc w:val="center"/>
              <w:rPr>
                <w:rFonts w:ascii="Arial" w:hAnsi="Arial" w:cs="Arial"/>
                <w:b/>
                <w:bCs/>
              </w:rPr>
            </w:pPr>
            <w:r w:rsidRPr="00465D2C">
              <w:rPr>
                <w:rFonts w:ascii="Arial" w:hAnsi="Arial" w:cs="Arial"/>
                <w:b/>
                <w:bCs/>
                <w:rtl/>
              </w:rPr>
              <w:t>נגד</w:t>
            </w:r>
          </w:p>
        </w:tc>
      </w:tr>
      <w:tr w:rsidR="006D4D61" w:rsidRPr="00465D2C" w14:paraId="70C857D5"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 w:type="dxa"/>
        </w:trPr>
        <w:tc>
          <w:tcPr>
            <w:tcW w:w="1080" w:type="dxa"/>
            <w:gridSpan w:val="2"/>
          </w:tcPr>
          <w:p w14:paraId="24100605" w14:textId="77777777" w:rsidR="006D4D61" w:rsidRPr="00465D2C" w:rsidRDefault="006D4D61">
            <w:pPr>
              <w:spacing w:line="480" w:lineRule="auto"/>
              <w:ind w:left="26"/>
              <w:rPr>
                <w:rFonts w:ascii="Arial" w:hAnsi="Arial" w:cs="Arial"/>
                <w:b/>
                <w:bCs/>
              </w:rPr>
            </w:pPr>
          </w:p>
        </w:tc>
        <w:tc>
          <w:tcPr>
            <w:tcW w:w="5400" w:type="dxa"/>
          </w:tcPr>
          <w:p w14:paraId="15C3B72D" w14:textId="77777777" w:rsidR="006D4D61" w:rsidRPr="00465D2C" w:rsidRDefault="00465D2C">
            <w:pPr>
              <w:spacing w:line="480" w:lineRule="auto"/>
              <w:rPr>
                <w:rFonts w:ascii="Arial" w:hAnsi="Arial" w:cs="Arial"/>
                <w:b/>
                <w:bCs/>
              </w:rPr>
            </w:pPr>
            <w:r w:rsidRPr="00465D2C">
              <w:rPr>
                <w:rFonts w:ascii="Arial" w:hAnsi="Arial" w:cs="Arial"/>
                <w:b/>
                <w:bCs/>
                <w:rtl/>
              </w:rPr>
              <w:t xml:space="preserve"> </w:t>
            </w:r>
            <w:r w:rsidRPr="00465D2C">
              <w:rPr>
                <w:rFonts w:ascii="Arial" w:hAnsi="Arial" w:cs="Arial" w:hint="cs"/>
                <w:rtl/>
              </w:rPr>
              <w:t xml:space="preserve">     שיהאבאלדין אלאסד</w:t>
            </w:r>
          </w:p>
        </w:tc>
        <w:tc>
          <w:tcPr>
            <w:tcW w:w="2322" w:type="dxa"/>
          </w:tcPr>
          <w:p w14:paraId="1056E628" w14:textId="77777777" w:rsidR="006D4D61" w:rsidRPr="00465D2C" w:rsidRDefault="00465D2C">
            <w:pPr>
              <w:spacing w:line="480" w:lineRule="auto"/>
              <w:rPr>
                <w:rFonts w:ascii="Arial" w:hAnsi="Arial" w:cs="Arial"/>
                <w:b/>
                <w:bCs/>
              </w:rPr>
            </w:pPr>
            <w:r w:rsidRPr="00465D2C">
              <w:rPr>
                <w:rFonts w:ascii="Arial" w:hAnsi="Arial" w:cs="Arial"/>
                <w:b/>
                <w:bCs/>
                <w:rtl/>
              </w:rPr>
              <w:t>הנאשם</w:t>
            </w:r>
          </w:p>
        </w:tc>
      </w:tr>
    </w:tbl>
    <w:p w14:paraId="50DE7546" w14:textId="77777777" w:rsidR="006D4D61" w:rsidRPr="00465D2C" w:rsidRDefault="00465D2C">
      <w:pPr>
        <w:pStyle w:val="12"/>
        <w:rPr>
          <w:rFonts w:ascii="Arial" w:hAnsi="Arial" w:cs="Arial"/>
          <w:u w:val="none"/>
          <w:rtl/>
        </w:rPr>
      </w:pPr>
      <w:r w:rsidRPr="00465D2C">
        <w:rPr>
          <w:rFonts w:ascii="Arial" w:hAnsi="Arial" w:cs="Arial" w:hint="cs"/>
          <w:u w:val="none"/>
          <w:rtl/>
        </w:rPr>
        <w:t xml:space="preserve">                      ע"י ב"כ עו"ד י' דוד ועו"ד מ' נסאר</w:t>
      </w:r>
    </w:p>
    <w:p w14:paraId="0145D1AE" w14:textId="77777777" w:rsidR="00543E53" w:rsidRDefault="00543E53" w:rsidP="00543E53">
      <w:pPr>
        <w:jc w:val="center"/>
        <w:rPr>
          <w:rFonts w:ascii="Arial" w:hAnsi="Arial" w:cs="Arial" w:hint="cs"/>
          <w:b/>
          <w:bCs/>
          <w:sz w:val="28"/>
          <w:szCs w:val="28"/>
          <w:rtl/>
        </w:rPr>
      </w:pPr>
      <w:bookmarkStart w:id="3" w:name="PsakDin"/>
    </w:p>
    <w:p w14:paraId="6E89AC1E" w14:textId="77777777" w:rsidR="00543E53" w:rsidRDefault="00543E53" w:rsidP="00543E53">
      <w:pPr>
        <w:jc w:val="center"/>
        <w:rPr>
          <w:rFonts w:ascii="Arial" w:hAnsi="Arial" w:cs="Arial" w:hint="cs"/>
          <w:b/>
          <w:bCs/>
          <w:sz w:val="28"/>
          <w:szCs w:val="28"/>
          <w:rtl/>
        </w:rPr>
      </w:pPr>
    </w:p>
    <w:p w14:paraId="329CE5AC" w14:textId="77777777" w:rsidR="00543E53" w:rsidRPr="00543E53" w:rsidRDefault="00543E53" w:rsidP="00543E53">
      <w:pPr>
        <w:spacing w:after="120" w:line="240" w:lineRule="exact"/>
        <w:ind w:left="283" w:hanging="283"/>
        <w:jc w:val="both"/>
        <w:rPr>
          <w:rFonts w:ascii="FrankRuehl" w:hAnsi="FrankRuehl" w:cs="FrankRuehl"/>
          <w:rtl/>
        </w:rPr>
      </w:pPr>
      <w:r w:rsidRPr="00543E53">
        <w:rPr>
          <w:rFonts w:ascii="FrankRuehl" w:hAnsi="FrankRuehl" w:cs="FrankRuehl"/>
          <w:rtl/>
        </w:rPr>
        <w:t xml:space="preserve">חקיקה שאוזכרה: </w:t>
      </w:r>
    </w:p>
    <w:p w14:paraId="4823D6B8" w14:textId="77777777" w:rsidR="00543E53" w:rsidRPr="00543E53" w:rsidRDefault="00543E53" w:rsidP="00543E53">
      <w:pPr>
        <w:spacing w:after="120" w:line="240" w:lineRule="exact"/>
        <w:ind w:left="283" w:hanging="283"/>
        <w:jc w:val="both"/>
        <w:rPr>
          <w:rFonts w:ascii="FrankRuehl" w:hAnsi="FrankRuehl" w:cs="FrankRuehl"/>
          <w:rtl/>
        </w:rPr>
      </w:pPr>
      <w:hyperlink r:id="rId7" w:history="1">
        <w:r w:rsidRPr="00543E53">
          <w:rPr>
            <w:rFonts w:ascii="FrankRuehl" w:hAnsi="FrankRuehl" w:cs="FrankRuehl"/>
            <w:color w:val="0000FF"/>
            <w:u w:val="single"/>
            <w:rtl/>
          </w:rPr>
          <w:t>חוק העונשין, תשל"ז-1977</w:t>
        </w:r>
      </w:hyperlink>
      <w:r w:rsidRPr="00543E53">
        <w:rPr>
          <w:rFonts w:ascii="FrankRuehl" w:hAnsi="FrankRuehl" w:cs="FrankRuehl"/>
          <w:rtl/>
        </w:rPr>
        <w:t xml:space="preserve">: סע'  </w:t>
      </w:r>
      <w:hyperlink r:id="rId8" w:history="1">
        <w:r w:rsidRPr="00543E53">
          <w:rPr>
            <w:rFonts w:ascii="FrankRuehl" w:hAnsi="FrankRuehl" w:cs="FrankRuehl"/>
            <w:color w:val="0000FF"/>
            <w:u w:val="single"/>
            <w:rtl/>
          </w:rPr>
          <w:t>40ב</w:t>
        </w:r>
      </w:hyperlink>
      <w:r w:rsidRPr="00543E53">
        <w:rPr>
          <w:rFonts w:ascii="FrankRuehl" w:hAnsi="FrankRuehl" w:cs="FrankRuehl"/>
          <w:rtl/>
        </w:rPr>
        <w:t xml:space="preserve">, </w:t>
      </w:r>
      <w:hyperlink r:id="rId9" w:history="1">
        <w:r w:rsidRPr="00543E53">
          <w:rPr>
            <w:rFonts w:ascii="FrankRuehl" w:hAnsi="FrankRuehl" w:cs="FrankRuehl"/>
            <w:color w:val="0000FF"/>
            <w:u w:val="single"/>
            <w:rtl/>
          </w:rPr>
          <w:t>40ג (א)</w:t>
        </w:r>
      </w:hyperlink>
      <w:r w:rsidRPr="00543E53">
        <w:rPr>
          <w:rFonts w:ascii="FrankRuehl" w:hAnsi="FrankRuehl" w:cs="FrankRuehl"/>
          <w:rtl/>
        </w:rPr>
        <w:t xml:space="preserve">, </w:t>
      </w:r>
      <w:hyperlink r:id="rId10" w:history="1">
        <w:r w:rsidRPr="00543E53">
          <w:rPr>
            <w:rFonts w:ascii="FrankRuehl" w:hAnsi="FrankRuehl" w:cs="FrankRuehl"/>
            <w:color w:val="0000FF"/>
            <w:u w:val="single"/>
            <w:rtl/>
          </w:rPr>
          <w:t>45א</w:t>
        </w:r>
      </w:hyperlink>
      <w:r w:rsidRPr="00543E53">
        <w:rPr>
          <w:rFonts w:ascii="FrankRuehl" w:hAnsi="FrankRuehl" w:cs="FrankRuehl"/>
          <w:rtl/>
        </w:rPr>
        <w:t xml:space="preserve">, </w:t>
      </w:r>
      <w:hyperlink r:id="rId11" w:history="1">
        <w:r w:rsidRPr="00543E53">
          <w:rPr>
            <w:rFonts w:ascii="FrankRuehl" w:hAnsi="FrankRuehl" w:cs="FrankRuehl"/>
            <w:color w:val="0000FF"/>
            <w:u w:val="single"/>
            <w:rtl/>
          </w:rPr>
          <w:t>144(ב)</w:t>
        </w:r>
      </w:hyperlink>
      <w:r w:rsidRPr="00543E53">
        <w:rPr>
          <w:rFonts w:ascii="FrankRuehl" w:hAnsi="FrankRuehl" w:cs="FrankRuehl"/>
          <w:rtl/>
        </w:rPr>
        <w:t xml:space="preserve">, </w:t>
      </w:r>
      <w:hyperlink r:id="rId12" w:history="1">
        <w:r w:rsidRPr="00543E53">
          <w:rPr>
            <w:rFonts w:ascii="FrankRuehl" w:hAnsi="FrankRuehl" w:cs="FrankRuehl"/>
            <w:color w:val="0000FF"/>
            <w:u w:val="single"/>
            <w:rtl/>
          </w:rPr>
          <w:t>300(א)</w:t>
        </w:r>
      </w:hyperlink>
      <w:r w:rsidRPr="00543E53">
        <w:rPr>
          <w:rFonts w:ascii="FrankRuehl" w:hAnsi="FrankRuehl" w:cs="FrankRuehl"/>
          <w:rtl/>
        </w:rPr>
        <w:t xml:space="preserve">, </w:t>
      </w:r>
      <w:hyperlink r:id="rId13" w:history="1">
        <w:r w:rsidRPr="00543E53">
          <w:rPr>
            <w:rFonts w:ascii="FrankRuehl" w:hAnsi="FrankRuehl" w:cs="FrankRuehl"/>
            <w:color w:val="0000FF"/>
            <w:u w:val="single"/>
            <w:rtl/>
          </w:rPr>
          <w:t>300(א)(2)</w:t>
        </w:r>
      </w:hyperlink>
      <w:r w:rsidRPr="00543E53">
        <w:rPr>
          <w:rFonts w:ascii="FrankRuehl" w:hAnsi="FrankRuehl" w:cs="FrankRuehl"/>
          <w:rtl/>
        </w:rPr>
        <w:t xml:space="preserve">, </w:t>
      </w:r>
      <w:hyperlink r:id="rId14" w:history="1">
        <w:r w:rsidRPr="00543E53">
          <w:rPr>
            <w:rFonts w:ascii="FrankRuehl" w:hAnsi="FrankRuehl" w:cs="FrankRuehl"/>
            <w:color w:val="0000FF"/>
            <w:u w:val="single"/>
            <w:rtl/>
          </w:rPr>
          <w:t>305(1)</w:t>
        </w:r>
      </w:hyperlink>
      <w:r w:rsidRPr="00543E53">
        <w:rPr>
          <w:rFonts w:ascii="FrankRuehl" w:hAnsi="FrankRuehl" w:cs="FrankRuehl"/>
          <w:rtl/>
        </w:rPr>
        <w:t xml:space="preserve">, </w:t>
      </w:r>
      <w:hyperlink r:id="rId15" w:history="1">
        <w:r w:rsidRPr="00543E53">
          <w:rPr>
            <w:rFonts w:ascii="FrankRuehl" w:hAnsi="FrankRuehl" w:cs="FrankRuehl"/>
            <w:color w:val="0000FF"/>
            <w:u w:val="single"/>
            <w:rtl/>
          </w:rPr>
          <w:t>333</w:t>
        </w:r>
      </w:hyperlink>
      <w:r w:rsidRPr="00543E53">
        <w:rPr>
          <w:rFonts w:ascii="FrankRuehl" w:hAnsi="FrankRuehl" w:cs="FrankRuehl"/>
          <w:rtl/>
        </w:rPr>
        <w:t xml:space="preserve">, </w:t>
      </w:r>
      <w:hyperlink r:id="rId16" w:history="1">
        <w:r w:rsidRPr="00543E53">
          <w:rPr>
            <w:rFonts w:ascii="FrankRuehl" w:hAnsi="FrankRuehl" w:cs="FrankRuehl"/>
            <w:color w:val="0000FF"/>
            <w:u w:val="single"/>
            <w:rtl/>
          </w:rPr>
          <w:t>335(א)(1)(2)</w:t>
        </w:r>
      </w:hyperlink>
      <w:r w:rsidRPr="00543E53">
        <w:rPr>
          <w:rFonts w:ascii="FrankRuehl" w:hAnsi="FrankRuehl" w:cs="FrankRuehl"/>
          <w:rtl/>
        </w:rPr>
        <w:t xml:space="preserve">, </w:t>
      </w:r>
      <w:hyperlink r:id="rId17" w:history="1">
        <w:r w:rsidRPr="00543E53">
          <w:rPr>
            <w:rFonts w:ascii="FrankRuehl" w:hAnsi="FrankRuehl" w:cs="FrankRuehl"/>
            <w:color w:val="0000FF"/>
            <w:u w:val="single"/>
            <w:rtl/>
          </w:rPr>
          <w:t>40יא</w:t>
        </w:r>
      </w:hyperlink>
      <w:r w:rsidRPr="00543E53">
        <w:rPr>
          <w:rFonts w:ascii="FrankRuehl" w:hAnsi="FrankRuehl" w:cs="FrankRuehl"/>
          <w:rtl/>
        </w:rPr>
        <w:t xml:space="preserve">, </w:t>
      </w:r>
      <w:hyperlink r:id="rId18" w:history="1">
        <w:r w:rsidRPr="00543E53">
          <w:rPr>
            <w:rFonts w:ascii="FrankRuehl" w:hAnsi="FrankRuehl" w:cs="FrankRuehl"/>
            <w:color w:val="0000FF"/>
            <w:u w:val="single"/>
            <w:rtl/>
          </w:rPr>
          <w:t>40יג(ב)</w:t>
        </w:r>
      </w:hyperlink>
      <w:r w:rsidRPr="00543E53">
        <w:rPr>
          <w:rFonts w:ascii="FrankRuehl" w:hAnsi="FrankRuehl" w:cs="FrankRuehl"/>
          <w:rtl/>
        </w:rPr>
        <w:t xml:space="preserve">, </w:t>
      </w:r>
      <w:hyperlink r:id="rId19" w:history="1">
        <w:r w:rsidRPr="00543E53">
          <w:rPr>
            <w:rFonts w:ascii="FrankRuehl" w:hAnsi="FrankRuehl" w:cs="FrankRuehl"/>
            <w:color w:val="0000FF"/>
            <w:u w:val="single"/>
            <w:rtl/>
          </w:rPr>
          <w:t>499(א)(1)</w:t>
        </w:r>
      </w:hyperlink>
    </w:p>
    <w:p w14:paraId="21F12584" w14:textId="77777777" w:rsidR="00543E53" w:rsidRPr="00543E53" w:rsidRDefault="00543E53" w:rsidP="00543E53">
      <w:pPr>
        <w:spacing w:after="120" w:line="240" w:lineRule="exact"/>
        <w:ind w:left="283" w:hanging="283"/>
        <w:jc w:val="both"/>
        <w:rPr>
          <w:rFonts w:ascii="FrankRuehl" w:hAnsi="FrankRuehl" w:cs="FrankRuehl"/>
          <w:rtl/>
        </w:rPr>
      </w:pPr>
      <w:hyperlink r:id="rId20" w:history="1">
        <w:r w:rsidRPr="00543E53">
          <w:rPr>
            <w:rFonts w:ascii="FrankRuehl" w:hAnsi="FrankRuehl" w:cs="FrankRuehl"/>
            <w:color w:val="0000FF"/>
            <w:u w:val="single"/>
            <w:rtl/>
          </w:rPr>
          <w:t>חוק סדר הדין הפלילי [נוסח משולב], תשמ"ב-1982</w:t>
        </w:r>
      </w:hyperlink>
      <w:r w:rsidRPr="00543E53">
        <w:rPr>
          <w:rFonts w:ascii="FrankRuehl" w:hAnsi="FrankRuehl" w:cs="FrankRuehl"/>
          <w:rtl/>
        </w:rPr>
        <w:t xml:space="preserve">: סע'  </w:t>
      </w:r>
      <w:hyperlink r:id="rId21" w:history="1">
        <w:r w:rsidRPr="00543E53">
          <w:rPr>
            <w:rFonts w:ascii="FrankRuehl" w:hAnsi="FrankRuehl" w:cs="FrankRuehl"/>
            <w:color w:val="0000FF"/>
            <w:u w:val="single"/>
            <w:rtl/>
          </w:rPr>
          <w:t>186</w:t>
        </w:r>
      </w:hyperlink>
    </w:p>
    <w:p w14:paraId="3B38F62C" w14:textId="77777777" w:rsidR="00543E53" w:rsidRPr="00543E53" w:rsidRDefault="00543E53" w:rsidP="00543E53">
      <w:pPr>
        <w:spacing w:after="120" w:line="240" w:lineRule="exact"/>
        <w:ind w:left="283" w:hanging="283"/>
        <w:jc w:val="both"/>
        <w:rPr>
          <w:rFonts w:ascii="FrankRuehl" w:hAnsi="FrankRuehl" w:cs="FrankRuehl"/>
          <w:rtl/>
        </w:rPr>
      </w:pPr>
      <w:hyperlink r:id="rId22" w:history="1">
        <w:r w:rsidRPr="00543E53">
          <w:rPr>
            <w:rFonts w:ascii="FrankRuehl" w:hAnsi="FrankRuehl" w:cs="FrankRuehl"/>
            <w:color w:val="0000FF"/>
            <w:u w:val="single"/>
            <w:rtl/>
          </w:rPr>
          <w:t>חוק שחרור על-תנאי ממאסר, תשס"א-2001</w:t>
        </w:r>
      </w:hyperlink>
    </w:p>
    <w:p w14:paraId="1348B8D3" w14:textId="77777777" w:rsidR="00543E53" w:rsidRPr="00543E53" w:rsidRDefault="00543E53" w:rsidP="00543E53">
      <w:pPr>
        <w:spacing w:after="120" w:line="240" w:lineRule="exact"/>
        <w:ind w:left="283" w:hanging="283"/>
        <w:jc w:val="both"/>
        <w:rPr>
          <w:rFonts w:ascii="FrankRuehl" w:hAnsi="FrankRuehl" w:cs="FrankRuehl"/>
          <w:rtl/>
        </w:rPr>
      </w:pPr>
    </w:p>
    <w:p w14:paraId="67E72B06" w14:textId="77777777" w:rsidR="00543E53" w:rsidRDefault="00543E53" w:rsidP="00543E53">
      <w:pPr>
        <w:jc w:val="center"/>
        <w:rPr>
          <w:rFonts w:ascii="Arial" w:hAnsi="Arial" w:cs="Arial" w:hint="cs"/>
          <w:b/>
          <w:bCs/>
          <w:sz w:val="28"/>
          <w:szCs w:val="28"/>
          <w:rtl/>
        </w:rPr>
      </w:pPr>
    </w:p>
    <w:p w14:paraId="2A6A841C" w14:textId="77777777" w:rsidR="00543E53" w:rsidRPr="00465D2C" w:rsidRDefault="00543E53" w:rsidP="00543E53">
      <w:pPr>
        <w:jc w:val="center"/>
        <w:rPr>
          <w:rFonts w:ascii="Arial" w:hAnsi="Arial" w:cs="Arial"/>
          <w:sz w:val="28"/>
          <w:szCs w:val="28"/>
          <w:rtl/>
        </w:rPr>
      </w:pPr>
      <w:r w:rsidRPr="00465D2C">
        <w:rPr>
          <w:rFonts w:ascii="Arial" w:hAnsi="Arial" w:cs="Arial"/>
          <w:b/>
          <w:bCs/>
          <w:sz w:val="28"/>
          <w:szCs w:val="28"/>
          <w:rtl/>
        </w:rPr>
        <w:t>גזר  דין</w:t>
      </w:r>
    </w:p>
    <w:bookmarkEnd w:id="3"/>
    <w:p w14:paraId="535AF479" w14:textId="77777777" w:rsidR="00543E53" w:rsidRPr="00465D2C" w:rsidRDefault="00543E53" w:rsidP="00543E53">
      <w:pPr>
        <w:jc w:val="center"/>
        <w:rPr>
          <w:rFonts w:ascii="Arial" w:hAnsi="Arial"/>
          <w:sz w:val="28"/>
          <w:szCs w:val="28"/>
          <w:rtl/>
        </w:rPr>
      </w:pPr>
    </w:p>
    <w:p w14:paraId="636198AD" w14:textId="77777777" w:rsidR="00543E53" w:rsidRPr="00465D2C" w:rsidRDefault="00543E53" w:rsidP="00543E53">
      <w:pPr>
        <w:jc w:val="both"/>
        <w:rPr>
          <w:rFonts w:ascii="Arial" w:hAnsi="Arial" w:cs="Arial"/>
          <w:rtl/>
        </w:rPr>
      </w:pPr>
    </w:p>
    <w:p w14:paraId="322B1311" w14:textId="77777777" w:rsidR="00543E53" w:rsidRPr="00465D2C" w:rsidRDefault="00543E53" w:rsidP="00543E53">
      <w:pPr>
        <w:spacing w:line="360" w:lineRule="auto"/>
        <w:jc w:val="both"/>
        <w:rPr>
          <w:rFonts w:ascii="Arial" w:hAnsi="Arial" w:cs="Arial"/>
          <w:b/>
          <w:bCs/>
          <w:rtl/>
        </w:rPr>
      </w:pPr>
      <w:r w:rsidRPr="00465D2C">
        <w:rPr>
          <w:rFonts w:ascii="Arial" w:hAnsi="Arial" w:cs="Arial"/>
          <w:b/>
          <w:bCs/>
          <w:rtl/>
        </w:rPr>
        <w:t>השופט י' צלקובניק</w:t>
      </w:r>
    </w:p>
    <w:p w14:paraId="3987546F" w14:textId="77777777" w:rsidR="00543E53" w:rsidRPr="00465D2C" w:rsidRDefault="00543E53" w:rsidP="00543E53">
      <w:pPr>
        <w:spacing w:line="360" w:lineRule="auto"/>
        <w:jc w:val="both"/>
        <w:rPr>
          <w:rFonts w:ascii="Arial" w:hAnsi="Arial" w:cs="Arial"/>
          <w:b/>
          <w:bCs/>
          <w:rtl/>
        </w:rPr>
      </w:pPr>
      <w:bookmarkStart w:id="4" w:name="ABSTRACT_START"/>
      <w:bookmarkEnd w:id="4"/>
      <w:r w:rsidRPr="00465D2C">
        <w:rPr>
          <w:rFonts w:ascii="Arial" w:hAnsi="Arial" w:cs="Arial"/>
          <w:rtl/>
        </w:rPr>
        <w:t xml:space="preserve">הנאשם, תושב הפזורה בלקיה, הורשע, לאחר ניהול הוכחות, בעבירות של רצח, לפי </w:t>
      </w:r>
      <w:hyperlink r:id="rId23" w:history="1">
        <w:r w:rsidRPr="00543E53">
          <w:rPr>
            <w:rFonts w:ascii="Arial" w:hAnsi="Arial" w:cs="Arial"/>
            <w:color w:val="0000FF"/>
            <w:u w:val="single"/>
            <w:rtl/>
          </w:rPr>
          <w:t>סעיף 300(א)(2)</w:t>
        </w:r>
      </w:hyperlink>
      <w:r w:rsidRPr="00465D2C">
        <w:rPr>
          <w:rFonts w:ascii="Arial" w:hAnsi="Arial" w:cs="Arial"/>
          <w:rtl/>
        </w:rPr>
        <w:t xml:space="preserve"> ל</w:t>
      </w:r>
      <w:hyperlink r:id="rId24" w:history="1">
        <w:r w:rsidRPr="00465D2C">
          <w:rPr>
            <w:rFonts w:ascii="Arial" w:hAnsi="Arial" w:cs="Arial"/>
            <w:color w:val="0000FF"/>
            <w:u w:val="single"/>
            <w:rtl/>
          </w:rPr>
          <w:t>חוק העונשין</w:t>
        </w:r>
      </w:hyperlink>
      <w:r w:rsidRPr="00465D2C">
        <w:rPr>
          <w:rFonts w:ascii="Arial" w:hAnsi="Arial" w:cs="Arial"/>
          <w:rtl/>
        </w:rPr>
        <w:t xml:space="preserve">, תשל"ז-  1977 (להלן: </w:t>
      </w:r>
      <w:r w:rsidRPr="00465D2C">
        <w:rPr>
          <w:rFonts w:ascii="Arial" w:hAnsi="Arial" w:cs="Miriam"/>
          <w:rtl/>
        </w:rPr>
        <w:t>החוק</w:t>
      </w:r>
      <w:r w:rsidRPr="00465D2C">
        <w:rPr>
          <w:rFonts w:ascii="Arial" w:hAnsi="Arial" w:cs="Arial"/>
          <w:rtl/>
        </w:rPr>
        <w:t xml:space="preserve">), בגין רציחתו של רביע אבו עמאר ז"ל (להלן: </w:t>
      </w:r>
      <w:r w:rsidRPr="00465D2C">
        <w:rPr>
          <w:rFonts w:ascii="Arial" w:hAnsi="Arial" w:cs="Miriam"/>
          <w:rtl/>
        </w:rPr>
        <w:t>המנוח</w:t>
      </w:r>
      <w:r w:rsidRPr="00465D2C">
        <w:rPr>
          <w:rFonts w:ascii="Arial" w:hAnsi="Arial" w:cs="Arial"/>
          <w:rtl/>
        </w:rPr>
        <w:t xml:space="preserve">), בצוותא עם זייד אלאסאד, בן דודו של הנאשם (להלן: </w:t>
      </w:r>
      <w:r w:rsidRPr="00465D2C">
        <w:rPr>
          <w:rFonts w:ascii="Arial" w:hAnsi="Arial" w:cs="Miriam"/>
          <w:rtl/>
        </w:rPr>
        <w:t>זייד</w:t>
      </w:r>
      <w:r w:rsidRPr="00465D2C">
        <w:rPr>
          <w:rFonts w:ascii="Arial" w:hAnsi="Arial" w:cs="Arial"/>
          <w:rtl/>
        </w:rPr>
        <w:t xml:space="preserve">); ניסיון לרצח, לפי </w:t>
      </w:r>
      <w:hyperlink r:id="rId25" w:history="1">
        <w:r w:rsidRPr="00543E53">
          <w:rPr>
            <w:rFonts w:ascii="Arial" w:hAnsi="Arial" w:cs="Arial"/>
            <w:color w:val="0000FF"/>
            <w:u w:val="single"/>
            <w:rtl/>
          </w:rPr>
          <w:t>סעיף 305(1)</w:t>
        </w:r>
      </w:hyperlink>
      <w:r w:rsidRPr="00465D2C">
        <w:rPr>
          <w:rFonts w:ascii="Arial" w:hAnsi="Arial" w:cs="Arial"/>
          <w:rtl/>
        </w:rPr>
        <w:t xml:space="preserve"> לחוק וחבלה חמורה בנסיבות מחמירות, לפי </w:t>
      </w:r>
      <w:hyperlink r:id="rId26" w:history="1">
        <w:r w:rsidRPr="00543E53">
          <w:rPr>
            <w:rFonts w:ascii="Arial" w:hAnsi="Arial" w:cs="Arial"/>
            <w:color w:val="0000FF"/>
            <w:u w:val="single"/>
            <w:rtl/>
          </w:rPr>
          <w:t>סעיף 333</w:t>
        </w:r>
      </w:hyperlink>
      <w:r w:rsidRPr="00465D2C">
        <w:rPr>
          <w:rFonts w:ascii="Arial" w:hAnsi="Arial" w:cs="Arial"/>
          <w:rtl/>
        </w:rPr>
        <w:t xml:space="preserve"> בצירוף </w:t>
      </w:r>
      <w:hyperlink r:id="rId27" w:history="1">
        <w:r w:rsidRPr="00543E53">
          <w:rPr>
            <w:rFonts w:ascii="Arial" w:hAnsi="Arial" w:cs="Arial"/>
            <w:color w:val="0000FF"/>
            <w:u w:val="single"/>
            <w:rtl/>
          </w:rPr>
          <w:t xml:space="preserve">סעיף </w:t>
        </w:r>
        <w:r w:rsidRPr="00543E53">
          <w:rPr>
            <w:rFonts w:ascii="Arial" w:hAnsi="Arial" w:cs="Arial"/>
            <w:color w:val="0000FF"/>
            <w:u w:val="single"/>
            <w:rtl/>
          </w:rPr>
          <w:lastRenderedPageBreak/>
          <w:t>335(א)(1)(2)</w:t>
        </w:r>
      </w:hyperlink>
      <w:r w:rsidRPr="00465D2C">
        <w:rPr>
          <w:rFonts w:ascii="Arial" w:hAnsi="Arial" w:cs="Arial"/>
          <w:rtl/>
        </w:rPr>
        <w:t xml:space="preserve"> לחוק, בגין ירי לעבר מאג'ד אבו עמאר ופציעתו (להלן: </w:t>
      </w:r>
      <w:r w:rsidRPr="00465D2C">
        <w:rPr>
          <w:rFonts w:ascii="Arial" w:hAnsi="Arial" w:cs="Miriam"/>
          <w:rtl/>
        </w:rPr>
        <w:t>מאג'ד</w:t>
      </w:r>
      <w:r w:rsidRPr="00465D2C">
        <w:rPr>
          <w:rFonts w:ascii="Arial" w:hAnsi="Arial" w:cs="Arial"/>
          <w:rtl/>
        </w:rPr>
        <w:t xml:space="preserve">); קשירת קשר לפשע, לפי </w:t>
      </w:r>
      <w:hyperlink r:id="rId28" w:history="1">
        <w:r w:rsidRPr="00543E53">
          <w:rPr>
            <w:rFonts w:ascii="Arial" w:hAnsi="Arial" w:cs="Arial"/>
            <w:color w:val="0000FF"/>
            <w:u w:val="single"/>
            <w:rtl/>
          </w:rPr>
          <w:t>סעיף 499(א)(1)</w:t>
        </w:r>
      </w:hyperlink>
      <w:r w:rsidRPr="00465D2C">
        <w:rPr>
          <w:rFonts w:ascii="Arial" w:hAnsi="Arial" w:cs="Arial"/>
          <w:rtl/>
        </w:rPr>
        <w:t xml:space="preserve"> לחוק ונשיאת נשק (שתי עבירות), לפי </w:t>
      </w:r>
      <w:hyperlink r:id="rId29" w:history="1">
        <w:r w:rsidRPr="00543E53">
          <w:rPr>
            <w:rFonts w:ascii="Arial" w:hAnsi="Arial" w:cs="Arial"/>
            <w:color w:val="0000FF"/>
            <w:u w:val="single"/>
            <w:rtl/>
          </w:rPr>
          <w:t>סעיף 144(ב)</w:t>
        </w:r>
      </w:hyperlink>
      <w:r w:rsidRPr="00465D2C">
        <w:rPr>
          <w:rFonts w:ascii="Arial" w:hAnsi="Arial" w:cs="Arial"/>
          <w:rtl/>
        </w:rPr>
        <w:t xml:space="preserve"> לחוק.</w:t>
      </w:r>
    </w:p>
    <w:p w14:paraId="17BEF753" w14:textId="77777777" w:rsidR="00543E53" w:rsidRPr="00465D2C" w:rsidRDefault="00543E53" w:rsidP="00543E53">
      <w:pPr>
        <w:spacing w:line="360" w:lineRule="auto"/>
        <w:jc w:val="both"/>
        <w:rPr>
          <w:rFonts w:ascii="Arial" w:hAnsi="Arial" w:cs="Arial"/>
          <w:rtl/>
        </w:rPr>
      </w:pPr>
      <w:bookmarkStart w:id="5" w:name="ABSTRACT_END"/>
      <w:bookmarkEnd w:id="5"/>
    </w:p>
    <w:p w14:paraId="1422EC31" w14:textId="77777777" w:rsidR="00543E53" w:rsidRPr="00465D2C" w:rsidRDefault="00543E53" w:rsidP="00543E53">
      <w:pPr>
        <w:spacing w:line="360" w:lineRule="auto"/>
        <w:jc w:val="both"/>
        <w:rPr>
          <w:rFonts w:ascii="Arial" w:hAnsi="Arial" w:cs="Arial"/>
          <w:rtl/>
        </w:rPr>
      </w:pPr>
      <w:r w:rsidRPr="00465D2C">
        <w:rPr>
          <w:rFonts w:ascii="Arial" w:hAnsi="Arial" w:cs="Arial"/>
          <w:rtl/>
        </w:rPr>
        <w:t xml:space="preserve">על פי העובדות שנקבעו בהכרעת הדין, ביום 25.9.2010 קשר הנאשם קשר עם זייד – שהוא עצמו נרצח מספר חדשים לאחר אירועי כתב האישום, בנסיבות שטרם התבררו - לפגוע בבני משפחת אבו עמאר, המתגוררים בלקיה, כתגובה נקמנית לירי שבוצע לעבר אחיו של הנאשם, נוראדין אלאסאד (להלן: </w:t>
      </w:r>
      <w:r w:rsidRPr="00465D2C">
        <w:rPr>
          <w:rFonts w:ascii="Arial" w:hAnsi="Arial" w:cs="Miriam"/>
          <w:rtl/>
        </w:rPr>
        <w:t>נוראדין</w:t>
      </w:r>
      <w:r w:rsidRPr="00465D2C">
        <w:rPr>
          <w:rFonts w:ascii="Arial" w:hAnsi="Arial" w:cs="Arial"/>
          <w:rtl/>
        </w:rPr>
        <w:t xml:space="preserve">), שהביא לפציעתו, יום קודם לכן, על ידי אחד מבני משפחת אבו עמאר, במסגרת עימותים אלימים בין המשפחות, בהם היה הנאשם עצמו מעורב עוד קודם לכן. </w:t>
      </w:r>
    </w:p>
    <w:p w14:paraId="1ACBE0C1" w14:textId="77777777" w:rsidR="00543E53" w:rsidRPr="00465D2C" w:rsidRDefault="00543E53" w:rsidP="00543E53">
      <w:pPr>
        <w:spacing w:line="360" w:lineRule="auto"/>
        <w:jc w:val="both"/>
        <w:rPr>
          <w:rFonts w:ascii="Arial" w:hAnsi="Arial" w:cs="Arial"/>
          <w:rtl/>
        </w:rPr>
      </w:pPr>
      <w:r w:rsidRPr="00465D2C">
        <w:rPr>
          <w:rFonts w:ascii="Arial" w:hAnsi="Arial" w:cs="Arial"/>
          <w:rtl/>
        </w:rPr>
        <w:t xml:space="preserve">במסגרת הקשר, הנאשם וזייד, הצטיידו בשני אקדחים, כובעי גרב וכפפות כדי להסתיר זהותם, והגיעו לשכונת מגוריהם של בני אבו עמאר בלקיה, מתוך מטרה לאתר אנשים מבני אבו עמאר ולפגוע בהם, אולם הדבר לא עלה בידם. </w:t>
      </w:r>
    </w:p>
    <w:p w14:paraId="1A7A147F" w14:textId="77777777" w:rsidR="00543E53" w:rsidRPr="00465D2C" w:rsidRDefault="00543E53" w:rsidP="00543E53">
      <w:pPr>
        <w:spacing w:line="360" w:lineRule="auto"/>
        <w:jc w:val="both"/>
        <w:rPr>
          <w:rFonts w:ascii="Arial" w:hAnsi="Arial" w:cs="Arial"/>
          <w:rtl/>
        </w:rPr>
      </w:pPr>
      <w:r w:rsidRPr="00465D2C">
        <w:rPr>
          <w:rFonts w:ascii="Arial" w:hAnsi="Arial" w:cs="Arial"/>
          <w:rtl/>
        </w:rPr>
        <w:t xml:space="preserve">ביום 29.9.2010, הוא יום הרצח, בשעה 20:00 לערך, חזרו הנאשם וזייד לשכונת מגוריהם של בני אבו עמאר, כשהם מצויידים באותם אקדחים, כובעי גרב וכפפות, והחנו את רכבם בשטח קרקעי, סמוך לחנות מכולת בשכונה. הנאשם וזייד דאגו להשאיר את מכשירי הטלפון הנייד שלהם במקום מרוחק, למניעת איכון. </w:t>
      </w:r>
    </w:p>
    <w:p w14:paraId="58711172" w14:textId="77777777" w:rsidR="00543E53" w:rsidRPr="00465D2C" w:rsidRDefault="00543E53" w:rsidP="00543E53">
      <w:pPr>
        <w:spacing w:line="360" w:lineRule="auto"/>
        <w:jc w:val="both"/>
        <w:rPr>
          <w:rFonts w:ascii="Arial" w:hAnsi="Arial" w:cs="Arial"/>
          <w:rtl/>
        </w:rPr>
      </w:pPr>
      <w:r w:rsidRPr="00465D2C">
        <w:rPr>
          <w:rFonts w:ascii="Arial" w:hAnsi="Arial" w:cs="Arial"/>
          <w:rtl/>
        </w:rPr>
        <w:t xml:space="preserve">זייד נכנס לחנות המכולת, בה נמצאו אותה עת, באקראי, ארבעה מבני אבו עמאר, ביניהם המנוח  ומאג'ד, שניהם בני 18 שנים אותם ימים, וירה לעבר המנוח שישב במקום, 6-5 יריות מטווח קרוב, באמצעות אקדח בקוטר של </w:t>
      </w:r>
      <w:smartTag w:uri="urn:schemas-microsoft-com:office:smarttags" w:element="metricconverter">
        <w:smartTagPr>
          <w:attr w:name="ProductID" w:val="7.65 מ&quot;מ"/>
        </w:smartTagPr>
        <w:r w:rsidRPr="00465D2C">
          <w:rPr>
            <w:rFonts w:ascii="Arial" w:hAnsi="Arial" w:cs="Arial"/>
            <w:rtl/>
          </w:rPr>
          <w:t>7.65 מ"מ</w:t>
        </w:r>
      </w:smartTag>
      <w:r w:rsidRPr="00465D2C">
        <w:rPr>
          <w:rFonts w:ascii="Arial" w:hAnsi="Arial" w:cs="Arial"/>
          <w:rtl/>
        </w:rPr>
        <w:t xml:space="preserve">. המנוח נפצע אנושות מחמישה קליעים שחדרו לפלג גופו התחתון, ונפטר מפצעיו מאוחר יותר, באותו יום. </w:t>
      </w:r>
    </w:p>
    <w:p w14:paraId="04B71CEE" w14:textId="77777777" w:rsidR="00543E53" w:rsidRPr="00465D2C" w:rsidRDefault="00543E53" w:rsidP="00543E53">
      <w:pPr>
        <w:spacing w:line="360" w:lineRule="auto"/>
        <w:jc w:val="both"/>
        <w:rPr>
          <w:rFonts w:ascii="Arial" w:hAnsi="Arial" w:cs="Arial"/>
          <w:rtl/>
        </w:rPr>
      </w:pPr>
      <w:r w:rsidRPr="00465D2C">
        <w:rPr>
          <w:rFonts w:ascii="Arial" w:hAnsi="Arial" w:cs="Arial"/>
          <w:rtl/>
        </w:rPr>
        <w:t xml:space="preserve">מאג'ד שנס על נפשו אל מחוץ למכולת, נתקל בנאשם שניצב אותה עת סמוך לדלת היציאה. הנאשם ירה לעבר מאג'ד שני כדורים מאקדח שאחז בידו, בקוטר של </w:t>
      </w:r>
      <w:smartTag w:uri="urn:schemas-microsoft-com:office:smarttags" w:element="metricconverter">
        <w:smartTagPr>
          <w:attr w:name="ProductID" w:val="9 מ&quot;מ"/>
        </w:smartTagPr>
        <w:r w:rsidRPr="00465D2C">
          <w:rPr>
            <w:rFonts w:ascii="Arial" w:hAnsi="Arial" w:cs="Arial"/>
            <w:rtl/>
          </w:rPr>
          <w:t>9 מ"מ</w:t>
        </w:r>
      </w:smartTag>
      <w:r w:rsidRPr="00465D2C">
        <w:rPr>
          <w:rFonts w:ascii="Arial" w:hAnsi="Arial" w:cs="Arial"/>
          <w:rtl/>
        </w:rPr>
        <w:t>, וגרם לפציעתו הקשה של מאג'ד מקליע שחדר לבטנו, והסב פגיעות מרובות במעי. למרות פציעתו הקשה, הצליח מאג'ד להימלט מהמקום לבית משפחתו הסמוך לחנות, ופונה לבית החולים. מאג'ד נותח פעמיים בבטנו, ובוצעו מספר כריתות של המעי הדק, ופעולות של סגירת חורי הירי והטריות. בתסקיר נפגע עבירה הנוגע למאג'ד, צוין, כי לבד מהניתוחים שעבר, עבר מאג'ד תקופה קשה של איחוי הפציעות, והוא סובל מבעיות עיכול וקשיי תפקוד כרוניים; הוא נאלץ להתאשפז מידי חצי שנה לערך, בשל חשש לחסימה במעיים, ולצרכי בדיקה ומעקב רפואי. נקבעה לו נכות של 10 אחוזים, על ידי הביטוח הלאומי.</w:t>
      </w:r>
    </w:p>
    <w:p w14:paraId="7FDD9A1E" w14:textId="77777777" w:rsidR="00543E53" w:rsidRPr="00465D2C" w:rsidRDefault="00543E53" w:rsidP="00543E53">
      <w:pPr>
        <w:spacing w:line="360" w:lineRule="auto"/>
        <w:jc w:val="both"/>
        <w:rPr>
          <w:rFonts w:ascii="Arial" w:hAnsi="Arial" w:cs="Arial"/>
          <w:rtl/>
        </w:rPr>
      </w:pPr>
    </w:p>
    <w:p w14:paraId="736E71EC" w14:textId="77777777" w:rsidR="00543E53" w:rsidRPr="00465D2C" w:rsidRDefault="00543E53" w:rsidP="00543E53">
      <w:pPr>
        <w:spacing w:line="360" w:lineRule="auto"/>
        <w:jc w:val="both"/>
        <w:rPr>
          <w:rFonts w:ascii="Arial" w:hAnsi="Arial" w:cs="Arial"/>
          <w:rtl/>
        </w:rPr>
      </w:pPr>
      <w:r w:rsidRPr="00465D2C">
        <w:rPr>
          <w:rFonts w:ascii="Arial" w:hAnsi="Arial" w:cs="Arial"/>
          <w:rtl/>
        </w:rPr>
        <w:lastRenderedPageBreak/>
        <w:t xml:space="preserve">בהכרעת הדין נקבע – על בסיס הודיותיו של הנאשם במשטרה והשחזור שערך במקום הרצח, ומשנדחתה גרסתו המכחישה של הנאשם בעדותו, כי לא נטל חלק בביצוע המעשה - כי הנאשם וזייד הינם בבחינת מבצעים בצוותא של מעשי העבירה; עלה כי הנאשם היה בעל מניע ישיר לפגוע בבני אבו עמאר; הוא קשר קשר עם זייד לפגוע בהם, והיה שותף לתכנון וביצוע המעשה; הנאשם נטל חלק במלוא ההכנות לבצוע הירי, ובכללן, ההצטיידות בנשק ובבגדים, ההגעה למקום, וההימלטות ממנו, תוך תיאום עמדות עם זייד, למקרה שייעצרו על ידי המשטרה. </w:t>
      </w:r>
    </w:p>
    <w:p w14:paraId="6F1562D8" w14:textId="77777777" w:rsidR="00543E53" w:rsidRPr="00465D2C" w:rsidRDefault="00543E53" w:rsidP="00543E53">
      <w:pPr>
        <w:spacing w:line="360" w:lineRule="auto"/>
        <w:jc w:val="both"/>
        <w:rPr>
          <w:rFonts w:ascii="Arial" w:hAnsi="Arial" w:cs="Arial"/>
          <w:rtl/>
        </w:rPr>
      </w:pPr>
      <w:r w:rsidRPr="00465D2C">
        <w:rPr>
          <w:rFonts w:ascii="Arial" w:hAnsi="Arial" w:cs="Arial"/>
          <w:rtl/>
        </w:rPr>
        <w:t xml:space="preserve">במסגרת חלוקת התפקידים ביניהם, הנאשם ניצב מחוץ לחנות עם אקדח שלוף וטעון, לצורך אבטחה ומניעת התנגדות אפשרית, בעוד זייד נכנס לחנות ומבצע את הירי בתוכה; נקבע, כי גם אם הנאשם לא היה אמור לבצע את הירי "העיקרי" בתוך החנות, ולא היה נוכח בתוך החנות בעת ביצוע הירי, הרי שנוכח תרומתו החיונית לתכנון וביצוע המעשה, יש לראותו כשותף מלא לביצוע הרצח; טענת הנאשם בחקירתו במשטרה, כי ביקש רק לפצוע את בני אבו עמאר, בלא שתיגרם תוצאה קטלנית, לא התקבלה על ידינו, וצוין, כי גם אילו התקבלה טענה זו, לא היה בה כדי לפטרו מהרשעה ברצח; הנאשם חזה מראש את האפשרות להתרחשותה של תוצאה קטלנית, נוכח התכנון לפגוע בבני אבו עמאר, משזייד נכנס לחנות עם אקדח מוכן לירי, ולנוכח הירי המיידי של 6-5 כדורים שנורו לעבר המנוח; התכנון המדוקדק כאמור, והנחישות שגילו השניים, שחזרו פעם אחר פעם לשכונת המגורים, כדי לתור אחרי קורבנות אפשריים, ובלבד שהינם מבני אבו עמאר, מעידים אף הם על חפצו של הנאשם לגרום להמתת אחד מבני המשפחה היריבה. על הלך נפש זה, ניתן היה ללמוד גם מכך שהנאשם לא היסס לירות לעבר מאג'ד שני כדורים מטווח קצר, שאחד מהם פגע בבטנו, וגרם לפציעתו הקשה, בנסיבות המעלות כי ביקש לגרום למותו של מאג'ד. </w:t>
      </w:r>
    </w:p>
    <w:p w14:paraId="227DD8E7" w14:textId="77777777" w:rsidR="00543E53" w:rsidRPr="00465D2C" w:rsidRDefault="00543E53" w:rsidP="00543E53">
      <w:pPr>
        <w:spacing w:line="360" w:lineRule="auto"/>
        <w:jc w:val="both"/>
        <w:rPr>
          <w:rFonts w:ascii="Arial" w:hAnsi="Arial" w:cs="Arial"/>
          <w:rtl/>
        </w:rPr>
      </w:pPr>
    </w:p>
    <w:p w14:paraId="50F6E711" w14:textId="77777777" w:rsidR="00543E53" w:rsidRPr="00465D2C" w:rsidRDefault="00543E53" w:rsidP="00543E53">
      <w:pPr>
        <w:spacing w:line="360" w:lineRule="auto"/>
        <w:jc w:val="both"/>
        <w:rPr>
          <w:rFonts w:ascii="Arial" w:hAnsi="Arial" w:cs="Arial"/>
          <w:rtl/>
        </w:rPr>
      </w:pPr>
      <w:r w:rsidRPr="00465D2C">
        <w:rPr>
          <w:rFonts w:ascii="Arial" w:hAnsi="Arial" w:cs="Arial"/>
          <w:rtl/>
        </w:rPr>
        <w:t>באשר לאירועים האלימים שקדמו ליום הרצח, נציין, כי ביום 15.8.2011 נידון הנאשם בבית משפט זה (</w:t>
      </w:r>
      <w:hyperlink r:id="rId30" w:history="1">
        <w:r w:rsidRPr="00465D2C">
          <w:rPr>
            <w:rFonts w:ascii="Arial" w:hAnsi="Arial" w:cs="Miriam"/>
            <w:color w:val="0000FF"/>
            <w:u w:val="single"/>
            <w:rtl/>
          </w:rPr>
          <w:t>תפ (ב"ש) 29651-10-10</w:t>
        </w:r>
      </w:hyperlink>
      <w:r w:rsidRPr="00465D2C">
        <w:rPr>
          <w:rFonts w:ascii="Arial" w:hAnsi="Arial" w:cs="Arial"/>
          <w:rtl/>
        </w:rPr>
        <w:t>), בפני מותב אחר, לעונש של שנת מאסר לריצוי בפועל (בניכוי תקופת מעצרו מיום 10.10.10), בגין עבירות של נשיאת נשק ואיומים. אחיו של הנאשם, נוראדין, שעמד לדין עם הנאשם, הורשע בנוסף, בעבירות של תקיפה בנסיבות מחמירות וירי באיזור מגורים. נסיבות אירוע זה, מוזכרות גם בהכרעת הדין שניתנה על ידינו בעניינו של הנאשם.</w:t>
      </w:r>
    </w:p>
    <w:p w14:paraId="2B0B4627" w14:textId="77777777" w:rsidR="00543E53" w:rsidRPr="00465D2C" w:rsidRDefault="00543E53" w:rsidP="00543E53">
      <w:pPr>
        <w:spacing w:line="360" w:lineRule="auto"/>
        <w:jc w:val="both"/>
        <w:rPr>
          <w:rFonts w:ascii="Arial" w:hAnsi="Arial" w:cs="Arial"/>
          <w:rtl/>
        </w:rPr>
      </w:pPr>
      <w:r w:rsidRPr="00465D2C">
        <w:rPr>
          <w:rFonts w:ascii="Arial" w:hAnsi="Arial" w:cs="Arial"/>
          <w:rtl/>
        </w:rPr>
        <w:t xml:space="preserve">על פי עובדות כתב האישום באירוע הקודם, בהן הודו הנאשם ואחיו, ביום 23.9.2010, עצרו הנאשם, נוראדין וכן אדם נוסף, את רכבם של שניים מבני משפחת אבו עמאר (פריד ואדם), תוך שימוש באלימות ואיומים נגד יושבי הרכב. נוראדין החזיק סכין בידו, והנאשם אחז באקדח אותו העביר לידי נוראדין, שירה יריה אחת בסמוך לרגלו של פריד, ויריה אחת באוויר. לאחר מכן עזבו את המקום. למחרת היום, התרחש אירוע אלים נוסף, שהנאשם לא היה קשור בו, שבמהלכו, נוראדין, שישב אותה עת ברכבו עם אדם בשם עומר חטאב, ירה מאקדחו לעבר אחד מבני משפחת אלאסאד, רפאת אבו עמאר שמו, שהגיע לעבר הרכב כשהוא מצויד באקדח כדי להיפרע מנוראדין; רפאת ירה כתגובה לעבר נוראדין מספר יריות, ששתיים מהן חדרו לרכב. כתוצאה מהירי נפגע נוראדין בראשו ובידו, ועומר נפגע באיזור האגן.  </w:t>
      </w:r>
    </w:p>
    <w:p w14:paraId="6A8F0AE0" w14:textId="77777777" w:rsidR="00543E53" w:rsidRPr="00465D2C" w:rsidRDefault="00543E53" w:rsidP="00543E53">
      <w:pPr>
        <w:spacing w:line="360" w:lineRule="auto"/>
        <w:jc w:val="both"/>
        <w:rPr>
          <w:rFonts w:ascii="Arial" w:hAnsi="Arial" w:cs="Arial"/>
          <w:rtl/>
        </w:rPr>
      </w:pPr>
    </w:p>
    <w:p w14:paraId="0CA122DF" w14:textId="77777777" w:rsidR="00543E53" w:rsidRPr="00465D2C" w:rsidRDefault="00543E53" w:rsidP="00543E53">
      <w:pPr>
        <w:spacing w:line="360" w:lineRule="auto"/>
        <w:jc w:val="both"/>
        <w:rPr>
          <w:rFonts w:ascii="Arial" w:hAnsi="Arial" w:cs="Arial"/>
          <w:rtl/>
        </w:rPr>
      </w:pPr>
      <w:r w:rsidRPr="00465D2C">
        <w:rPr>
          <w:rFonts w:ascii="Arial" w:hAnsi="Arial" w:cs="Arial"/>
          <w:rtl/>
        </w:rPr>
        <w:t xml:space="preserve">אירועים אלה, הם שהובילו לאירועי הירי נשוא האישומים שבפנינו. </w:t>
      </w:r>
    </w:p>
    <w:p w14:paraId="1CC38348" w14:textId="77777777" w:rsidR="00543E53" w:rsidRPr="00465D2C" w:rsidRDefault="00543E53" w:rsidP="00543E53">
      <w:pPr>
        <w:spacing w:line="360" w:lineRule="auto"/>
        <w:jc w:val="both"/>
        <w:rPr>
          <w:rFonts w:ascii="Arial" w:hAnsi="Arial" w:cs="Arial"/>
          <w:rtl/>
        </w:rPr>
      </w:pPr>
    </w:p>
    <w:p w14:paraId="13901276" w14:textId="77777777" w:rsidR="00543E53" w:rsidRPr="00465D2C" w:rsidRDefault="00543E53" w:rsidP="00543E53">
      <w:pPr>
        <w:spacing w:line="360" w:lineRule="auto"/>
        <w:jc w:val="both"/>
        <w:rPr>
          <w:rFonts w:ascii="Arial" w:hAnsi="Arial" w:cs="Arial"/>
          <w:rtl/>
        </w:rPr>
      </w:pPr>
      <w:r w:rsidRPr="00465D2C">
        <w:rPr>
          <w:rFonts w:ascii="Arial" w:hAnsi="Arial" w:cs="Arial"/>
          <w:rtl/>
        </w:rPr>
        <w:t>עוד יצוין, כי לנאשם רישום פלילי בבית המשפט לנוער לאחר שנידון בגין עבירה של היזק לרכוש שבוצעה בשנת 2006.</w:t>
      </w:r>
    </w:p>
    <w:p w14:paraId="19210047" w14:textId="77777777" w:rsidR="00543E53" w:rsidRPr="00465D2C" w:rsidRDefault="00543E53" w:rsidP="00543E53">
      <w:pPr>
        <w:spacing w:line="360" w:lineRule="auto"/>
        <w:jc w:val="both"/>
        <w:rPr>
          <w:rFonts w:ascii="Arial" w:hAnsi="Arial" w:cs="Arial"/>
          <w:rtl/>
        </w:rPr>
      </w:pPr>
    </w:p>
    <w:p w14:paraId="22145B3E" w14:textId="77777777" w:rsidR="00543E53" w:rsidRPr="00465D2C" w:rsidRDefault="00543E53" w:rsidP="00543E53">
      <w:pPr>
        <w:spacing w:line="360" w:lineRule="auto"/>
        <w:jc w:val="both"/>
        <w:rPr>
          <w:rFonts w:ascii="Arial" w:hAnsi="Arial" w:cs="Arial"/>
          <w:b/>
          <w:bCs/>
          <w:rtl/>
        </w:rPr>
      </w:pPr>
      <w:r w:rsidRPr="00465D2C">
        <w:rPr>
          <w:rFonts w:ascii="Arial" w:hAnsi="Arial" w:cs="Arial"/>
          <w:b/>
          <w:bCs/>
          <w:rtl/>
        </w:rPr>
        <w:t>תסקירי נפגעי העבירה</w:t>
      </w:r>
    </w:p>
    <w:p w14:paraId="01FD1CE3" w14:textId="77777777" w:rsidR="00543E53" w:rsidRPr="00465D2C" w:rsidRDefault="00543E53" w:rsidP="00543E53">
      <w:pPr>
        <w:spacing w:line="360" w:lineRule="auto"/>
        <w:jc w:val="both"/>
        <w:rPr>
          <w:rFonts w:ascii="Arial" w:hAnsi="Arial" w:cs="Arial"/>
          <w:rtl/>
        </w:rPr>
      </w:pPr>
      <w:r w:rsidRPr="00465D2C">
        <w:rPr>
          <w:rFonts w:ascii="Arial" w:hAnsi="Arial" w:cs="Arial"/>
          <w:rtl/>
        </w:rPr>
        <w:t xml:space="preserve">מתסקיר "נפגעי עבירה" מיום 20.8.2014, העוסק בבני משפחת המנוח, ואשר נערך על יסוד מפגשים עם הוריו של המנוח ושלושה מאחיו, עולה, תמונה של </w:t>
      </w:r>
      <w:r w:rsidRPr="00465D2C">
        <w:rPr>
          <w:rFonts w:ascii="Arial" w:hAnsi="Arial" w:cs="Miriam"/>
          <w:rtl/>
        </w:rPr>
        <w:t xml:space="preserve">"בני משפחה עצובים, כואבים ומתגעגעים לבן המנוח, וההתרשמות כי עדיין מתמודדים עם מצב טראומטי". </w:t>
      </w:r>
      <w:r w:rsidRPr="00465D2C">
        <w:rPr>
          <w:rFonts w:ascii="Arial" w:hAnsi="Arial" w:cs="Arial"/>
          <w:rtl/>
        </w:rPr>
        <w:t xml:space="preserve">המנוח, היה השלישי לסדר הלידה, מבין שמונה ילדים, בן 18 שנים כאמור, במותו </w:t>
      </w:r>
      <w:r w:rsidRPr="00465D2C">
        <w:rPr>
          <w:rFonts w:ascii="Arial" w:hAnsi="Arial" w:cs="Miriam"/>
          <w:rtl/>
        </w:rPr>
        <w:t>"צעיר בעל חלומות ותוכניות";</w:t>
      </w:r>
      <w:r w:rsidRPr="00465D2C">
        <w:rPr>
          <w:rFonts w:ascii="Arial" w:hAnsi="Arial" w:cs="Arial"/>
          <w:rtl/>
        </w:rPr>
        <w:t xml:space="preserve"> הוא תואר </w:t>
      </w:r>
      <w:r w:rsidRPr="00465D2C">
        <w:rPr>
          <w:rFonts w:ascii="Arial" w:hAnsi="Arial" w:cs="Miriam"/>
          <w:rtl/>
        </w:rPr>
        <w:t>"כבן וכאח אהוב על כולם, מנומס ומלא שמחת חיים. הקשר איתו ומקומו במערך המשפחתי היה משמעותי ביותר עבור כולם...מאז האובדן, בני המשפחה חיים בחוויה של קטיעה ושבר של רצף החיים שהיו להם, כשחווית האובדן ונסיבותיו הטראומטיות, ממשיכה "לחיות" בנפשם, "משפיעה על כל מישורי חייהם".</w:t>
      </w:r>
      <w:r w:rsidRPr="00465D2C">
        <w:rPr>
          <w:rFonts w:ascii="Arial" w:hAnsi="Arial" w:cs="Arial"/>
          <w:rtl/>
        </w:rPr>
        <w:t xml:space="preserve"> בני המשפחה מצויים </w:t>
      </w:r>
      <w:r w:rsidRPr="00465D2C">
        <w:rPr>
          <w:rFonts w:ascii="Arial" w:hAnsi="Arial" w:cs="Miriam"/>
          <w:rtl/>
        </w:rPr>
        <w:t>"בסיוט וכאב שאינם נגמרים".</w:t>
      </w:r>
    </w:p>
    <w:p w14:paraId="6649EF41" w14:textId="77777777" w:rsidR="00543E53" w:rsidRPr="00465D2C" w:rsidRDefault="00543E53" w:rsidP="00543E53">
      <w:pPr>
        <w:spacing w:line="360" w:lineRule="auto"/>
        <w:jc w:val="both"/>
        <w:rPr>
          <w:rFonts w:ascii="Arial" w:hAnsi="Arial" w:cs="Arial"/>
          <w:rtl/>
        </w:rPr>
      </w:pPr>
      <w:r w:rsidRPr="00465D2C">
        <w:rPr>
          <w:rFonts w:ascii="Arial" w:hAnsi="Arial" w:cs="Arial"/>
          <w:rtl/>
        </w:rPr>
        <w:t xml:space="preserve">העיתוי של המעשים, בוצע בשעה שנקבעה "הפסקת אש" בת שלושה ימים, בין שתי המשפחות, והפגיעה במנוח נתפסת </w:t>
      </w:r>
      <w:r w:rsidRPr="00465D2C">
        <w:rPr>
          <w:rFonts w:ascii="Arial" w:hAnsi="Arial" w:cs="Miriam"/>
          <w:rtl/>
        </w:rPr>
        <w:t>"כבגידה והפרה קשה של החלטות והסכמים, שהשמירה עליהם נתפסת כאחד מאבני היסוד של המסורת והחברה הבדואית"</w:t>
      </w:r>
      <w:r w:rsidRPr="00465D2C">
        <w:rPr>
          <w:rFonts w:ascii="Arial" w:hAnsi="Arial" w:cs="Arial"/>
          <w:rtl/>
        </w:rPr>
        <w:t xml:space="preserve">. בני המשפחה ציינו כי המנוח לא היה מעורב כלל בסכסוך, ועמדו על האכזריות והסתמיות שבפגיעה הקשה. הרצח ונסיבותיו, </w:t>
      </w:r>
      <w:r w:rsidRPr="00465D2C">
        <w:rPr>
          <w:rFonts w:ascii="Arial" w:hAnsi="Arial" w:cs="Miriam"/>
          <w:rtl/>
        </w:rPr>
        <w:t>"ערערו את תחושת הביטחון הבסיסי שחוו בני הבית...", "מצב המוביל אותם לדריכות רבה, לחרדה כרונית, ומצמצם את המרכיבים של ספונטאניות, התקווה והאמונה בכוחם של החיים".</w:t>
      </w:r>
      <w:r w:rsidRPr="00465D2C">
        <w:rPr>
          <w:rFonts w:ascii="Arial" w:hAnsi="Arial" w:cs="Arial"/>
          <w:rtl/>
        </w:rPr>
        <w:t xml:space="preserve"> הורי המנוח, חווים כאב גדול, והתמודדות עם תופעות פוסט טראומטיות, מצבו הבריאותי והנפשי של האב התדרדר מאז מותו הטראגי של בנו.</w:t>
      </w:r>
    </w:p>
    <w:p w14:paraId="3D6C72B2" w14:textId="77777777" w:rsidR="00543E53" w:rsidRPr="00465D2C" w:rsidRDefault="00543E53" w:rsidP="00543E53">
      <w:pPr>
        <w:spacing w:line="360" w:lineRule="auto"/>
        <w:jc w:val="both"/>
        <w:rPr>
          <w:rFonts w:ascii="Arial" w:hAnsi="Arial" w:cs="Miriam"/>
          <w:rtl/>
        </w:rPr>
      </w:pPr>
      <w:r w:rsidRPr="00465D2C">
        <w:rPr>
          <w:rFonts w:ascii="Arial" w:hAnsi="Arial" w:cs="Arial"/>
          <w:rtl/>
        </w:rPr>
        <w:t xml:space="preserve">שירות מבחן סבור, כי נדרשת התערבות טיפולית העשויה לסייע למשפחה בהתמודדות טובה יותר עם האובדן. עוד צוין, כי קיימת התרשמות כי לגבי דידה של המשפחה </w:t>
      </w:r>
      <w:r w:rsidRPr="00465D2C">
        <w:rPr>
          <w:rFonts w:ascii="Arial" w:hAnsi="Arial" w:cs="Miriam"/>
          <w:rtl/>
        </w:rPr>
        <w:t>"...ענישה מחמירה, שהולמת את המעשה הנוראי של הנאשם, את נסיבותיו ומשמעותו עבורם, עשויה להחזיר להם, במידה מסוימת, תחושה של ביטחון וצדק. בכך הם עשויים גם להיות פנויים יותר לארגון מחדש של חייהם, ולרווחתם הנפשית".</w:t>
      </w:r>
      <w:r w:rsidRPr="00465D2C">
        <w:rPr>
          <w:rFonts w:ascii="Arial" w:hAnsi="Arial" w:cs="Arial"/>
          <w:rtl/>
        </w:rPr>
        <w:t xml:space="preserve"> שירות המבחן ממליץ גם להטיל על הנאשם </w:t>
      </w:r>
      <w:r w:rsidRPr="00465D2C">
        <w:rPr>
          <w:rFonts w:ascii="Arial" w:hAnsi="Arial" w:cs="Miriam"/>
          <w:rtl/>
        </w:rPr>
        <w:t xml:space="preserve">"פיצוי כספי משמעותי למשפחה, כמרכיב נוסף של הכרה במשמעות הפגיעה". </w:t>
      </w:r>
    </w:p>
    <w:p w14:paraId="0478FE98" w14:textId="77777777" w:rsidR="00543E53" w:rsidRPr="00465D2C" w:rsidRDefault="00543E53" w:rsidP="00543E53">
      <w:pPr>
        <w:spacing w:line="360" w:lineRule="auto"/>
        <w:jc w:val="both"/>
        <w:rPr>
          <w:rFonts w:ascii="Arial" w:hAnsi="Arial" w:cs="Arial"/>
          <w:rtl/>
        </w:rPr>
      </w:pPr>
    </w:p>
    <w:p w14:paraId="30CBBE39" w14:textId="77777777" w:rsidR="00543E53" w:rsidRPr="00465D2C" w:rsidRDefault="00543E53" w:rsidP="00543E53">
      <w:pPr>
        <w:spacing w:line="360" w:lineRule="auto"/>
        <w:jc w:val="both"/>
        <w:rPr>
          <w:rFonts w:ascii="Arial" w:hAnsi="Arial" w:cs="Arial"/>
          <w:rtl/>
        </w:rPr>
      </w:pPr>
      <w:r w:rsidRPr="00465D2C">
        <w:rPr>
          <w:rFonts w:ascii="Arial" w:hAnsi="Arial" w:cs="Arial"/>
          <w:rtl/>
        </w:rPr>
        <w:t xml:space="preserve">מתסקיר "נפגע עבירה" הנוגע </w:t>
      </w:r>
      <w:r w:rsidRPr="00465D2C">
        <w:rPr>
          <w:rFonts w:ascii="Arial" w:hAnsi="Arial" w:cs="Miriam"/>
          <w:rtl/>
        </w:rPr>
        <w:t>למאג'ד</w:t>
      </w:r>
      <w:r w:rsidRPr="00465D2C">
        <w:rPr>
          <w:rFonts w:ascii="Arial" w:hAnsi="Arial" w:cs="Arial"/>
          <w:rtl/>
        </w:rPr>
        <w:t xml:space="preserve">, מיום 17.8.2014, עולה, כי היה קשור מאד למנוח, שהיה בן דודו. מאג'ד סובל ומתמודד </w:t>
      </w:r>
      <w:r w:rsidRPr="00465D2C">
        <w:rPr>
          <w:rFonts w:ascii="Arial" w:hAnsi="Arial" w:cs="Miriam"/>
          <w:rtl/>
        </w:rPr>
        <w:t>"עם הפגיעות הפיסיות והרגשיות הקשות";</w:t>
      </w:r>
      <w:r w:rsidRPr="00465D2C">
        <w:rPr>
          <w:rFonts w:ascii="Arial" w:hAnsi="Arial" w:cs="Arial"/>
          <w:rtl/>
        </w:rPr>
        <w:t xml:space="preserve"> האירוע הותירו, </w:t>
      </w:r>
      <w:r w:rsidRPr="00465D2C">
        <w:rPr>
          <w:rFonts w:ascii="Arial" w:hAnsi="Arial" w:cs="Miriam"/>
          <w:rtl/>
        </w:rPr>
        <w:t>"שבור, כואב ובתחושה שרצף חייו, החלומות, הצפיות ותכנון עתידו נקטעו באכזריות, באופן מפתיע ולא הגיוני".</w:t>
      </w:r>
      <w:r w:rsidRPr="00465D2C">
        <w:rPr>
          <w:rFonts w:ascii="Arial" w:hAnsi="Arial" w:cs="Arial"/>
          <w:rtl/>
        </w:rPr>
        <w:t xml:space="preserve"> הוא </w:t>
      </w:r>
      <w:r w:rsidRPr="00465D2C">
        <w:rPr>
          <w:rFonts w:ascii="Arial" w:hAnsi="Arial" w:cs="Miriam"/>
          <w:rtl/>
        </w:rPr>
        <w:t>"מבטא רצון לנסות ולהבין מדוע פגע בו הנאשם בצורה כל כך מכוונת אכזרית וסתמית. הוא מרגיש שהנאשם קטע לו את מסלול החיים הטבעי של צעיר, הרסו ודרסו גם את הציפיות, החלומות והעתיד שתכנן...".</w:t>
      </w:r>
      <w:r w:rsidRPr="00465D2C">
        <w:rPr>
          <w:rFonts w:ascii="Arial" w:hAnsi="Arial" w:cs="Arial"/>
          <w:rtl/>
        </w:rPr>
        <w:t xml:space="preserve"> הוא חווה </w:t>
      </w:r>
      <w:r w:rsidRPr="00465D2C">
        <w:rPr>
          <w:rFonts w:ascii="Arial" w:hAnsi="Arial" w:cs="Miriam"/>
          <w:rtl/>
        </w:rPr>
        <w:t>"באופן קבוע חרדת מוות מפני האפשרות שייפגע שוב",</w:t>
      </w:r>
      <w:r w:rsidRPr="00465D2C">
        <w:rPr>
          <w:rFonts w:ascii="Arial" w:hAnsi="Arial" w:cs="Arial"/>
          <w:rtl/>
        </w:rPr>
        <w:t xml:space="preserve"> ונסיבות הירי וההימלטות שלו ממקום הירי, הינם מבחינתו </w:t>
      </w:r>
      <w:r w:rsidRPr="00465D2C">
        <w:rPr>
          <w:rFonts w:ascii="Arial" w:hAnsi="Arial" w:cs="Miriam"/>
          <w:rtl/>
        </w:rPr>
        <w:t>"מפגש עם חווית המוות, חוויה עצומה, בלתי נתפסת ובלתי מובנת".</w:t>
      </w:r>
      <w:r w:rsidRPr="00465D2C">
        <w:rPr>
          <w:rFonts w:ascii="Arial" w:hAnsi="Arial" w:cs="Arial"/>
          <w:rtl/>
        </w:rPr>
        <w:t xml:space="preserve"> ההתרשמות הינה </w:t>
      </w:r>
      <w:r w:rsidRPr="00465D2C">
        <w:rPr>
          <w:rFonts w:ascii="Arial" w:hAnsi="Arial" w:cs="Miriam"/>
          <w:rtl/>
        </w:rPr>
        <w:t>"מאדם מוצף רגשית, מבולבל מאוד וחסר כיוון, המתמודד בעקבות הפגיעה בו, עם תחושות של בדידות, חוסר ערך וייאוש".</w:t>
      </w:r>
      <w:r w:rsidRPr="00465D2C">
        <w:rPr>
          <w:rFonts w:ascii="Arial" w:hAnsi="Arial" w:cs="Arial"/>
          <w:rtl/>
        </w:rPr>
        <w:t xml:space="preserve"> הוא חווה </w:t>
      </w:r>
      <w:r w:rsidRPr="00465D2C">
        <w:rPr>
          <w:rFonts w:ascii="Arial" w:hAnsi="Arial" w:cs="Miriam"/>
          <w:rtl/>
        </w:rPr>
        <w:t>"אובדן תקווה ביחס לעצמו וביחס לאפשרות שיקום חייו"</w:t>
      </w:r>
      <w:r w:rsidRPr="00465D2C">
        <w:rPr>
          <w:rFonts w:ascii="Arial" w:hAnsi="Arial" w:cs="Arial"/>
          <w:rtl/>
        </w:rPr>
        <w:t>, וסובל מתסמינים פוסט טראומטיים.</w:t>
      </w:r>
    </w:p>
    <w:p w14:paraId="134D629B" w14:textId="77777777" w:rsidR="00543E53" w:rsidRPr="00465D2C" w:rsidRDefault="00543E53" w:rsidP="00543E53">
      <w:pPr>
        <w:spacing w:line="360" w:lineRule="auto"/>
        <w:jc w:val="both"/>
        <w:rPr>
          <w:rFonts w:ascii="Arial" w:hAnsi="Arial" w:cs="Arial"/>
          <w:rtl/>
        </w:rPr>
      </w:pPr>
      <w:r w:rsidRPr="00465D2C">
        <w:rPr>
          <w:rFonts w:ascii="Arial" w:hAnsi="Arial" w:cs="Arial"/>
          <w:rtl/>
        </w:rPr>
        <w:t>מאג'ד נפגע מהירי כחודשיים לאחר שסיים את לימודי התיכון, ובעוד הוא מתעתד להתחיל בלימודי משפטים. הוא נמנע כיום מבילוי חברתי; בשל מגבלות פיסיות ומראה גופו בשל הפציעה, הוא נמנע גם מפעילות ספורטיבית שכה אהב בעבר.</w:t>
      </w:r>
    </w:p>
    <w:p w14:paraId="1ACC9C3E" w14:textId="77777777" w:rsidR="00543E53" w:rsidRPr="00465D2C" w:rsidRDefault="00543E53" w:rsidP="00543E53">
      <w:pPr>
        <w:spacing w:line="360" w:lineRule="auto"/>
        <w:jc w:val="both"/>
        <w:rPr>
          <w:rFonts w:ascii="Arial" w:hAnsi="Arial" w:cs="Arial"/>
          <w:rtl/>
        </w:rPr>
      </w:pPr>
      <w:r w:rsidRPr="00465D2C">
        <w:rPr>
          <w:rFonts w:ascii="Arial" w:hAnsi="Arial" w:cs="Arial"/>
          <w:rtl/>
        </w:rPr>
        <w:t xml:space="preserve">שירות המבחן ממליץ, כי </w:t>
      </w:r>
      <w:r w:rsidRPr="00465D2C">
        <w:rPr>
          <w:rFonts w:ascii="Arial" w:hAnsi="Arial" w:cs="Miriam"/>
          <w:rtl/>
        </w:rPr>
        <w:t>"לאור תמונת הנזק שתוארה, ועל מנת לסייע למאג'ד לקבל הכרה בפגיעה ובהשלכותיה על חייו"</w:t>
      </w:r>
      <w:r w:rsidRPr="00465D2C">
        <w:rPr>
          <w:rFonts w:ascii="Arial" w:hAnsi="Arial" w:cs="Arial"/>
          <w:rtl/>
        </w:rPr>
        <w:t xml:space="preserve">, יוטל על הנאשם פיצוי כספי משמעותי. </w:t>
      </w:r>
    </w:p>
    <w:p w14:paraId="3692B863" w14:textId="77777777" w:rsidR="00543E53" w:rsidRPr="00465D2C" w:rsidRDefault="00543E53" w:rsidP="00543E53">
      <w:pPr>
        <w:spacing w:line="360" w:lineRule="auto"/>
        <w:jc w:val="both"/>
        <w:rPr>
          <w:rFonts w:ascii="Arial" w:hAnsi="Arial" w:cs="Arial"/>
          <w:rtl/>
        </w:rPr>
      </w:pPr>
    </w:p>
    <w:p w14:paraId="35B87AD8" w14:textId="77777777" w:rsidR="00543E53" w:rsidRPr="00465D2C" w:rsidRDefault="00543E53" w:rsidP="00543E53">
      <w:pPr>
        <w:spacing w:line="360" w:lineRule="auto"/>
        <w:jc w:val="both"/>
        <w:rPr>
          <w:rFonts w:ascii="Arial" w:hAnsi="Arial" w:cs="Arial"/>
          <w:b/>
          <w:bCs/>
          <w:rtl/>
        </w:rPr>
      </w:pPr>
      <w:r w:rsidRPr="00465D2C">
        <w:rPr>
          <w:rFonts w:ascii="Arial" w:hAnsi="Arial" w:cs="Arial"/>
          <w:b/>
          <w:bCs/>
          <w:rtl/>
        </w:rPr>
        <w:t>התסקיר על הנאשם</w:t>
      </w:r>
    </w:p>
    <w:p w14:paraId="014D71E3" w14:textId="77777777" w:rsidR="00543E53" w:rsidRPr="00465D2C" w:rsidRDefault="00543E53" w:rsidP="00543E53">
      <w:pPr>
        <w:spacing w:line="360" w:lineRule="auto"/>
        <w:jc w:val="both"/>
        <w:rPr>
          <w:rFonts w:ascii="Arial" w:hAnsi="Arial" w:cs="Arial"/>
          <w:rtl/>
        </w:rPr>
      </w:pPr>
      <w:r w:rsidRPr="00465D2C">
        <w:rPr>
          <w:rFonts w:ascii="Arial" w:hAnsi="Arial" w:cs="Arial"/>
          <w:rtl/>
        </w:rPr>
        <w:t xml:space="preserve">בתסקיר מיום 1.7.2014, צוין כי הנאשם, כבן 24, רווק, גדל בפזורת לקייה, סיים 11 שנות לימוד, אולם לא השלים את לימודיו בשל הרצון לסייע בפרנסת המשפחה. טרם מעצרו עבד כרצף. אביו אינו עובד, בעל נכות של 60%, אמו עקרת בית. לאחיו מעורבות פלילית הקשורה בסכסוך בין המשפחות, המהווה גם את הרקע לביצוע העבירות בתיק הנוכחי. הנאשם תיאר מצוקה כלכלית קשה במשפחה, הבאה לידי ביטוי בחוסר בביגוד ובמזון. </w:t>
      </w:r>
    </w:p>
    <w:p w14:paraId="1316B489" w14:textId="77777777" w:rsidR="00543E53" w:rsidRPr="00465D2C" w:rsidRDefault="00543E53" w:rsidP="00543E53">
      <w:pPr>
        <w:spacing w:line="360" w:lineRule="auto"/>
        <w:jc w:val="both"/>
        <w:rPr>
          <w:rFonts w:ascii="Arial" w:hAnsi="Arial" w:cs="Arial"/>
          <w:rtl/>
        </w:rPr>
      </w:pPr>
      <w:r w:rsidRPr="00465D2C">
        <w:rPr>
          <w:rFonts w:ascii="Arial" w:hAnsi="Arial" w:cs="Arial"/>
          <w:rtl/>
        </w:rPr>
        <w:t>מגורמי הרפואה בשב"ס נמסר, כי הנאשם נמצא במעקב אצל פסיכיאטר ומטופל בטיפול תרופתי נוגד חרדות. הנאשם סיפר כי בהיותו בן 15 נפל לבור באזור מגוריו, וחולץ רק לאחר כארבע שעות, ומאז הוא סובל מחרדות ופחדים.</w:t>
      </w:r>
    </w:p>
    <w:p w14:paraId="69189F8B" w14:textId="77777777" w:rsidR="00543E53" w:rsidRPr="00465D2C" w:rsidRDefault="00543E53" w:rsidP="00543E53">
      <w:pPr>
        <w:spacing w:line="360" w:lineRule="auto"/>
        <w:jc w:val="both"/>
        <w:rPr>
          <w:rFonts w:ascii="Arial" w:hAnsi="Arial" w:cs="Arial"/>
          <w:rtl/>
        </w:rPr>
      </w:pPr>
    </w:p>
    <w:p w14:paraId="70AD908A" w14:textId="77777777" w:rsidR="00543E53" w:rsidRPr="00465D2C" w:rsidRDefault="00543E53" w:rsidP="00543E53">
      <w:pPr>
        <w:spacing w:line="360" w:lineRule="auto"/>
        <w:jc w:val="both"/>
        <w:rPr>
          <w:rFonts w:ascii="Arial" w:hAnsi="Arial" w:cs="Arial"/>
          <w:rtl/>
        </w:rPr>
      </w:pPr>
      <w:r w:rsidRPr="00465D2C">
        <w:rPr>
          <w:rFonts w:ascii="Arial" w:hAnsi="Arial" w:cs="Arial"/>
          <w:rtl/>
        </w:rPr>
        <w:t xml:space="preserve">ביחס לנסיבות האירוע, מסר, כי קיים סכסוך בין משפחתו לבין משפחת הנפגעים, במסגרתו, אדם ממשפחת אבו עמאר ירה באחיו בהיותו בגילופין. אחיו נפגע בראשו ובידו. הנאשם מסר כי בהתאם למסורת הנהוגה, התנהגות זו מחייבת פעולת נקם. הנאשם טען בפני קצינת המבחן, כי במסגרת סכסוך זה, אנשים מבני משפחתו, אשר זהותם ידועה לו, הם שביצעו את העבירות המיוחסות לו. לדבריו, לא היה לו כל חלק בתכנון ובביצוע העבירה, אלא </w:t>
      </w:r>
      <w:r w:rsidRPr="00465D2C">
        <w:rPr>
          <w:rFonts w:ascii="Arial" w:hAnsi="Arial" w:cs="Miriam"/>
          <w:rtl/>
        </w:rPr>
        <w:t>"שהיה עד לה וצפה בה בעת התרחשותה".</w:t>
      </w:r>
      <w:r w:rsidRPr="00465D2C">
        <w:rPr>
          <w:rFonts w:ascii="Arial" w:hAnsi="Arial" w:cs="Arial"/>
          <w:rtl/>
        </w:rPr>
        <w:t xml:space="preserve"> נוכח כך, הכיר פרטים רבים אודות האירוע. </w:t>
      </w:r>
      <w:r w:rsidRPr="00465D2C">
        <w:rPr>
          <w:rFonts w:ascii="Arial" w:hAnsi="Arial" w:cs="Arial"/>
          <w:sz w:val="22"/>
          <w:szCs w:val="22"/>
          <w:rtl/>
        </w:rPr>
        <w:t>(יוער, כי מדובר בגירסה שונה, נוספת, על שלל הגירסאות הסותרות שהעלה הנאשם בחקירתו ובעדותו - י.צ</w:t>
      </w:r>
      <w:r w:rsidRPr="00465D2C">
        <w:rPr>
          <w:rFonts w:ascii="Arial" w:hAnsi="Arial" w:cs="Arial"/>
          <w:rtl/>
        </w:rPr>
        <w:t xml:space="preserve">).  </w:t>
      </w:r>
    </w:p>
    <w:p w14:paraId="4D8EFC03" w14:textId="77777777" w:rsidR="00543E53" w:rsidRPr="00465D2C" w:rsidRDefault="00543E53" w:rsidP="00543E53">
      <w:pPr>
        <w:spacing w:line="360" w:lineRule="auto"/>
        <w:jc w:val="both"/>
        <w:rPr>
          <w:rFonts w:ascii="Arial" w:hAnsi="Arial" w:cs="Miriam"/>
          <w:rtl/>
        </w:rPr>
      </w:pPr>
      <w:r w:rsidRPr="00465D2C">
        <w:rPr>
          <w:rFonts w:ascii="Arial" w:hAnsi="Arial" w:cs="Arial"/>
          <w:rtl/>
        </w:rPr>
        <w:t xml:space="preserve">עוד טען בפני שירות המבחן, כי הודה בחקירה המשטרתית, בשל לחצי החקירה, ומאחר שחשש כי יירצח במסגרת הסכסוך ולפיכך, העדיף להיות מוגן בכלא. שירות המבחן מציין, כי נוכח הכחשת הנאשם את חלקו במעשה, </w:t>
      </w:r>
      <w:r w:rsidRPr="00465D2C">
        <w:rPr>
          <w:rFonts w:ascii="Arial" w:hAnsi="Arial" w:cs="Miriam"/>
          <w:rtl/>
        </w:rPr>
        <w:t>"לא ניתן היה לבדוק עמו לעומק את המניעים האישיים היושבים בבסיס ביצוע העבירה על ידו".</w:t>
      </w:r>
      <w:r w:rsidRPr="00465D2C">
        <w:rPr>
          <w:rFonts w:ascii="Arial" w:hAnsi="Arial" w:cs="Arial"/>
          <w:rtl/>
        </w:rPr>
        <w:t xml:space="preserve"> הנאשם תיאר את אירוע העבירה </w:t>
      </w:r>
      <w:r w:rsidRPr="00465D2C">
        <w:rPr>
          <w:rFonts w:ascii="Arial" w:hAnsi="Arial" w:cs="Miriam"/>
          <w:rtl/>
        </w:rPr>
        <w:t>"באופן תמציתי וקונקרטי"</w:t>
      </w:r>
      <w:r w:rsidRPr="00465D2C">
        <w:rPr>
          <w:rFonts w:ascii="Arial" w:hAnsi="Arial" w:cs="Arial"/>
          <w:rtl/>
        </w:rPr>
        <w:t xml:space="preserve">, וכי ביצוע העבירה נבע מהערכים והתרבות עליהם גדל, </w:t>
      </w:r>
      <w:r w:rsidRPr="00465D2C">
        <w:rPr>
          <w:rFonts w:ascii="Arial" w:hAnsi="Arial" w:cs="Miriam"/>
          <w:rtl/>
        </w:rPr>
        <w:t xml:space="preserve">"שהינם חלק מזהותו וערכיו המופנמים ומהווים להערכתנו את המניעים היושבים בבסיס ביצוע העבירה על ידו". </w:t>
      </w:r>
    </w:p>
    <w:p w14:paraId="0166DEED" w14:textId="77777777" w:rsidR="00543E53" w:rsidRPr="00465D2C" w:rsidRDefault="00543E53" w:rsidP="00543E53">
      <w:pPr>
        <w:spacing w:line="360" w:lineRule="auto"/>
        <w:jc w:val="both"/>
        <w:rPr>
          <w:rFonts w:ascii="Arial" w:hAnsi="Arial" w:cs="Miriam"/>
          <w:rtl/>
        </w:rPr>
      </w:pPr>
      <w:r w:rsidRPr="00465D2C">
        <w:rPr>
          <w:rFonts w:ascii="Arial" w:hAnsi="Arial" w:cs="Arial"/>
          <w:rtl/>
        </w:rPr>
        <w:t xml:space="preserve">שירות מבחן מציין כי, ככלל, לא מדובר באדם </w:t>
      </w:r>
      <w:r w:rsidRPr="00465D2C">
        <w:rPr>
          <w:rFonts w:ascii="Arial" w:hAnsi="Arial" w:cs="Miriam"/>
          <w:rtl/>
        </w:rPr>
        <w:t xml:space="preserve">"בעל דפוסי התנהגות וחשיבה שוליים, וכן נראה כי הוא מאופיין ביחסים משפחתיים קרובים ובתחושת מחויבות עמוקה ונאמנות למשפחתו, אך דווקא על בסיס זה, מעריכים כי הסיכון לביצוע עבירה על רקע דומה, הינו גבוה". </w:t>
      </w:r>
    </w:p>
    <w:p w14:paraId="6282E9C9" w14:textId="77777777" w:rsidR="00543E53" w:rsidRPr="00465D2C" w:rsidRDefault="00543E53" w:rsidP="00543E53">
      <w:pPr>
        <w:spacing w:line="360" w:lineRule="auto"/>
        <w:jc w:val="both"/>
        <w:rPr>
          <w:rFonts w:ascii="Arial" w:hAnsi="Arial" w:cs="Arial"/>
          <w:rtl/>
        </w:rPr>
      </w:pPr>
    </w:p>
    <w:p w14:paraId="534FACFF" w14:textId="77777777" w:rsidR="00543E53" w:rsidRPr="00465D2C" w:rsidRDefault="00543E53" w:rsidP="00543E53">
      <w:pPr>
        <w:spacing w:line="360" w:lineRule="auto"/>
        <w:jc w:val="both"/>
        <w:rPr>
          <w:rFonts w:ascii="Arial" w:hAnsi="Arial" w:cs="Arial"/>
          <w:b/>
          <w:bCs/>
          <w:rtl/>
        </w:rPr>
      </w:pPr>
      <w:r w:rsidRPr="00465D2C">
        <w:rPr>
          <w:rFonts w:ascii="Arial" w:hAnsi="Arial" w:cs="Arial"/>
          <w:b/>
          <w:bCs/>
          <w:rtl/>
        </w:rPr>
        <w:t>טיעוני הצדדים</w:t>
      </w:r>
    </w:p>
    <w:p w14:paraId="32AC83EF" w14:textId="77777777" w:rsidR="00543E53" w:rsidRPr="00465D2C" w:rsidRDefault="00543E53" w:rsidP="00543E53">
      <w:pPr>
        <w:spacing w:line="360" w:lineRule="auto"/>
        <w:jc w:val="both"/>
        <w:rPr>
          <w:rFonts w:ascii="Arial" w:hAnsi="Arial" w:cs="Arial"/>
          <w:rtl/>
        </w:rPr>
      </w:pPr>
      <w:r w:rsidRPr="00465D2C">
        <w:rPr>
          <w:rFonts w:ascii="Arial" w:hAnsi="Arial" w:cs="Arial"/>
          <w:rtl/>
        </w:rPr>
        <w:t xml:space="preserve">נוכח הרשעתו של הנאשם בעבירת רצח, עותרת המאשימה להטלת עונש של מאסר עולם. בנוסף, נטען, כי יש להטיל על הנאשם, במצטבר, עונש מאסר ארוך בגין הרשעתו בעבירות של ניסיון לרצח וגרימת חבלה חמורה, בגין הירי ופציעתו של מאג'ד. ב"כ המאשימה סבורה, כי מתחם העונש ההולם, בגין העבירות הנוספות, נע בין 14 שנות מאסר ל- 20 שנות מאסר, בהתחשב במרכיבי התכנון של המעשה ותוצאותיו הקשות: הפיזיות, הנפשיות והחברתיות, כפי שעלה מתסקירי נפגעי העבירה, ולנוכח הקשר המשפחתי בין קורבנות העבירה ושיקולי ההרתעה המתחייבים. בעניין זה, צוינה מעורבותו של הנאשם באירוע אלים קודם, כנגד בני משפחת אלאסאד, שבגינו נדון לשנת מאסר לריצוי בפועל. </w:t>
      </w:r>
    </w:p>
    <w:p w14:paraId="1F4E44BD" w14:textId="77777777" w:rsidR="00543E53" w:rsidRDefault="00543E53" w:rsidP="00543E53">
      <w:pPr>
        <w:spacing w:line="360" w:lineRule="auto"/>
        <w:jc w:val="both"/>
        <w:rPr>
          <w:rFonts w:ascii="Arial" w:hAnsi="Arial" w:cs="Arial"/>
          <w:rtl/>
        </w:rPr>
      </w:pPr>
      <w:r w:rsidRPr="00465D2C">
        <w:rPr>
          <w:rFonts w:ascii="Arial" w:hAnsi="Arial" w:cs="Arial"/>
          <w:rtl/>
        </w:rPr>
        <w:t xml:space="preserve">נוכח המפורט בתסקירי נפגעי העבירה, וההשלכות הקשות של מעשיו של הנאשם על משפחת </w:t>
      </w:r>
    </w:p>
    <w:p w14:paraId="18AFC321" w14:textId="77777777" w:rsidR="00543E53" w:rsidRPr="00465D2C" w:rsidRDefault="00543E53" w:rsidP="00543E53">
      <w:pPr>
        <w:spacing w:line="360" w:lineRule="auto"/>
        <w:jc w:val="center"/>
        <w:rPr>
          <w:rFonts w:ascii="Arial" w:hAnsi="Arial" w:cs="Arial"/>
          <w:rtl/>
        </w:rPr>
      </w:pPr>
      <w:bookmarkStart w:id="6" w:name="LawTable"/>
      <w:bookmarkStart w:id="7" w:name="LawTable_End"/>
      <w:bookmarkEnd w:id="6"/>
      <w:bookmarkEnd w:id="7"/>
    </w:p>
    <w:p w14:paraId="29DD92DF" w14:textId="77777777" w:rsidR="00543E53" w:rsidRPr="00465D2C" w:rsidRDefault="00543E53" w:rsidP="00543E53">
      <w:pPr>
        <w:spacing w:line="360" w:lineRule="auto"/>
        <w:jc w:val="center"/>
        <w:rPr>
          <w:rFonts w:ascii="Arial" w:hAnsi="Arial" w:cs="Arial"/>
          <w:bCs/>
          <w:rtl/>
        </w:rPr>
      </w:pPr>
      <w:r w:rsidRPr="00465D2C">
        <w:rPr>
          <w:rFonts w:ascii="Arial" w:hAnsi="Arial" w:cs="Arial"/>
          <w:bCs/>
          <w:rtl/>
        </w:rPr>
        <w:t>המנוח ועל מאג'ד, סבורה ב"כ המאשימה כי יש מקום, בנוסף, להטיל על הנאשם פיצוי מרבי</w:t>
      </w:r>
    </w:p>
    <w:p w14:paraId="34582C3C" w14:textId="77777777" w:rsidR="00543E53" w:rsidRDefault="00543E53" w:rsidP="00543E53">
      <w:pPr>
        <w:spacing w:line="360" w:lineRule="auto"/>
        <w:jc w:val="both"/>
        <w:rPr>
          <w:rFonts w:ascii="Arial" w:hAnsi="Arial" w:cs="Arial"/>
          <w:rtl/>
        </w:rPr>
      </w:pPr>
      <w:r>
        <w:rPr>
          <w:rFonts w:ascii="Arial" w:hAnsi="Arial" w:cs="Arial"/>
          <w:rtl/>
        </w:rPr>
        <w:t xml:space="preserve">שיועבר לכל אחד מבני משפחת המנוח, או לפחות לשני הוריו, ובנוסף, להשית על הנאשם פיצוי מרבי למאג'ד. </w:t>
      </w:r>
    </w:p>
    <w:p w14:paraId="35A5CE9E" w14:textId="77777777" w:rsidR="00543E53" w:rsidRDefault="00543E53" w:rsidP="00543E53">
      <w:pPr>
        <w:spacing w:line="360" w:lineRule="auto"/>
        <w:jc w:val="both"/>
        <w:rPr>
          <w:rFonts w:ascii="Arial" w:hAnsi="Arial" w:cs="Arial"/>
          <w:rtl/>
        </w:rPr>
      </w:pPr>
    </w:p>
    <w:p w14:paraId="34F44E8D" w14:textId="77777777" w:rsidR="00543E53" w:rsidRDefault="00543E53" w:rsidP="00543E53">
      <w:pPr>
        <w:spacing w:line="360" w:lineRule="auto"/>
        <w:jc w:val="both"/>
        <w:rPr>
          <w:rFonts w:ascii="Arial" w:hAnsi="Arial" w:cs="Arial"/>
          <w:rtl/>
        </w:rPr>
      </w:pPr>
      <w:r>
        <w:rPr>
          <w:rFonts w:ascii="Arial" w:hAnsi="Arial" w:cs="Arial"/>
          <w:rtl/>
        </w:rPr>
        <w:t xml:space="preserve">ב"כ הנאשם סבור, כי יש להורות על חפיפת עונשים בגין מעשי הרצח והירי לעבר מאג'ד. לחלופין נטען, כי אם יוטל עונש נפרד, הרי שראוי כי המאסר הנוסף יהיה קצר וסמלי במשכו. </w:t>
      </w:r>
    </w:p>
    <w:p w14:paraId="1B76582F" w14:textId="77777777" w:rsidR="00543E53" w:rsidRDefault="00543E53" w:rsidP="00543E53">
      <w:pPr>
        <w:spacing w:line="360" w:lineRule="auto"/>
        <w:jc w:val="both"/>
        <w:rPr>
          <w:rFonts w:ascii="Arial" w:hAnsi="Arial" w:cs="Arial"/>
          <w:rtl/>
        </w:rPr>
      </w:pPr>
      <w:r>
        <w:rPr>
          <w:rFonts w:ascii="Arial" w:hAnsi="Arial" w:cs="Arial"/>
          <w:rtl/>
        </w:rPr>
        <w:t xml:space="preserve">בעניין זה נטען, כי העבירות בוצעו לפני שהוחל תיקון 113 לחוק, והגם שהכרעת הדין ניתנה לאחר החלתו, הרי שראוי לנהוג על פי המצב המשפטי שהיה קיים ערב התיקון, מכוחו של </w:t>
      </w:r>
      <w:hyperlink r:id="rId31" w:history="1">
        <w:r w:rsidRPr="00543E53">
          <w:rPr>
            <w:rFonts w:ascii="Arial" w:hAnsi="Arial" w:cs="Arial"/>
            <w:color w:val="0000FF"/>
            <w:u w:val="single"/>
            <w:rtl/>
          </w:rPr>
          <w:t>סעיף 45א</w:t>
        </w:r>
      </w:hyperlink>
      <w:r>
        <w:rPr>
          <w:rFonts w:ascii="Arial" w:hAnsi="Arial" w:cs="Arial"/>
          <w:rtl/>
        </w:rPr>
        <w:t xml:space="preserve"> לחוק - שבוטל בינתיים נוכח התיקון - שקבע כי, ככלל, עונשים שהוטלו בגין עבירות שונות יהיה חופפים זה לזה, אלא אם יקבע בית המשפט אחרת, וינמק החלטתו.</w:t>
      </w:r>
    </w:p>
    <w:p w14:paraId="2621B833" w14:textId="77777777" w:rsidR="00543E53" w:rsidRDefault="00543E53" w:rsidP="00543E53">
      <w:pPr>
        <w:spacing w:line="360" w:lineRule="auto"/>
        <w:jc w:val="both"/>
        <w:rPr>
          <w:rFonts w:ascii="Arial" w:hAnsi="Arial" w:cs="Arial"/>
          <w:rtl/>
        </w:rPr>
      </w:pPr>
      <w:r>
        <w:rPr>
          <w:rFonts w:ascii="Arial" w:hAnsi="Arial" w:cs="Arial"/>
          <w:rtl/>
        </w:rPr>
        <w:t>בנוסף נטען, כי בעונש של מאסר עולם, שעל פי חוק ניתן לקצוב אותו כיום ל- 30 שנות מאסר, יש ממילא, חומרה משמעותית ביותר, ואין מקום להורות על הצטברות העונשים, שאין בהם, כשלעצמם, כדי להרתיע באופן ממשי, מפני ביצוע מעשי עבירה הנגררים לעבירת ההמתה. הנאשם הינו אדם צעיר, העתיד לשהות שנים רבות בכלא, ואין מקום לחסום בפניו "צוהר לתקווה" כי ישתחרר מהכלא בטווח הנראה לעין, וכי נשקף לו אופק של שיקום וחזרה לחברה מתוקנת. בעניין זה מפנה הסניגור לנאמר ב</w:t>
      </w:r>
      <w:hyperlink r:id="rId32" w:history="1">
        <w:r w:rsidRPr="00465D2C">
          <w:rPr>
            <w:rFonts w:ascii="Arial" w:hAnsi="Arial" w:cs="Arial"/>
            <w:color w:val="0000FF"/>
            <w:u w:val="single"/>
            <w:rtl/>
          </w:rPr>
          <w:t>תפ"ח (מרכז) 1028/05</w:t>
        </w:r>
      </w:hyperlink>
      <w:r>
        <w:rPr>
          <w:rFonts w:ascii="Arial" w:hAnsi="Arial" w:cs="Arial"/>
          <w:rtl/>
        </w:rPr>
        <w:t xml:space="preserve">, </w:t>
      </w:r>
      <w:r>
        <w:rPr>
          <w:rFonts w:ascii="Arial" w:hAnsi="Arial" w:cs="Miriam"/>
          <w:rtl/>
        </w:rPr>
        <w:t>מדינת ישראל נ. אימן נאצר.</w:t>
      </w:r>
    </w:p>
    <w:p w14:paraId="76A44E0C" w14:textId="77777777" w:rsidR="00543E53" w:rsidRDefault="00543E53" w:rsidP="00543E53">
      <w:pPr>
        <w:spacing w:line="360" w:lineRule="auto"/>
        <w:jc w:val="both"/>
        <w:rPr>
          <w:rFonts w:ascii="Arial" w:hAnsi="Arial" w:cs="Arial"/>
          <w:rtl/>
        </w:rPr>
      </w:pPr>
      <w:r>
        <w:rPr>
          <w:rFonts w:ascii="Arial" w:hAnsi="Arial" w:cs="Arial"/>
          <w:rtl/>
        </w:rPr>
        <w:t xml:space="preserve">עוד טוען הסניגור, כי האירוע בענייננו, ארך מספר שניות, ולא היה כל תכנון מוקדם כי יתרחש בדרך "מפוצלת", ויביא לפגיעה נפרדת בשני אנשים שונים. הנאשם גם לא היה מודע למעשיו של זייד בתוך החנות, ולתוצאות הירי שבוצע. גם בנסיבות אלה, נטען, יש כדי למנוע הצטברות העונשים, או לפחות כדי להשפיע על חומרת העונש בגין הירי לעבר מאג'ד. </w:t>
      </w:r>
    </w:p>
    <w:p w14:paraId="1853142E" w14:textId="77777777" w:rsidR="00543E53" w:rsidRDefault="00543E53" w:rsidP="00543E53">
      <w:pPr>
        <w:spacing w:line="360" w:lineRule="auto"/>
        <w:jc w:val="both"/>
        <w:rPr>
          <w:rFonts w:ascii="Arial" w:hAnsi="Arial" w:cs="Arial"/>
          <w:rtl/>
        </w:rPr>
      </w:pPr>
      <w:r>
        <w:rPr>
          <w:rFonts w:ascii="Arial" w:hAnsi="Arial" w:cs="Arial"/>
          <w:rtl/>
        </w:rPr>
        <w:t xml:space="preserve">עוד סבור ב"כ הנאשם, כי מתסקירי נפגעי העבירה, לא עולות כל נסיבות ייחודיות "החורגות מהרגיל" במקרים מעין אלה, והמצדיקות הטלת עונש מחמיר ומצטבר.  </w:t>
      </w:r>
    </w:p>
    <w:p w14:paraId="4639D8E4" w14:textId="77777777" w:rsidR="00543E53" w:rsidRDefault="00543E53" w:rsidP="00543E53">
      <w:pPr>
        <w:spacing w:line="360" w:lineRule="auto"/>
        <w:jc w:val="both"/>
        <w:rPr>
          <w:rFonts w:ascii="Arial" w:hAnsi="Arial" w:cs="Arial"/>
          <w:rtl/>
        </w:rPr>
      </w:pPr>
      <w:r>
        <w:rPr>
          <w:rFonts w:ascii="Arial" w:hAnsi="Arial" w:cs="Arial"/>
          <w:rtl/>
        </w:rPr>
        <w:t xml:space="preserve">באשר לשיעור הפיצוי, טען הסנגור, כי זה אינו צריך להיגזר באופן שרירותי ממספר בני המשפחה של המנוח; על הפיצוי להיות מוטל במשורה, ולא להחליף את הצורך בבירור הנזקים שנגרמו, השמורים להליך אזרחי. צוין, כי יכולתו הכלכלית של הנאשם הינה מוגבלת, ובנסיבות האירוע, עלולה אי עמידה בתשלום הפיצוי, לפגוע לא רק בנאשם עצמו, אלא גם להביא להגברת המתח בסכסוך בין המשפחות. </w:t>
      </w:r>
    </w:p>
    <w:p w14:paraId="344274CD" w14:textId="77777777" w:rsidR="00543E53" w:rsidRDefault="00543E53" w:rsidP="00543E53">
      <w:pPr>
        <w:spacing w:line="360" w:lineRule="auto"/>
        <w:jc w:val="both"/>
        <w:rPr>
          <w:rFonts w:ascii="Arial" w:hAnsi="Arial" w:cs="Arial"/>
          <w:rtl/>
        </w:rPr>
      </w:pPr>
    </w:p>
    <w:p w14:paraId="7487AB5F" w14:textId="77777777" w:rsidR="00543E53" w:rsidRDefault="00543E53" w:rsidP="00543E53">
      <w:pPr>
        <w:spacing w:line="360" w:lineRule="auto"/>
        <w:jc w:val="both"/>
        <w:rPr>
          <w:rFonts w:ascii="Arial" w:hAnsi="Arial" w:cs="Arial"/>
          <w:rtl/>
        </w:rPr>
      </w:pPr>
      <w:r>
        <w:rPr>
          <w:rFonts w:ascii="Arial" w:hAnsi="Arial" w:cs="Arial"/>
          <w:rtl/>
        </w:rPr>
        <w:t xml:space="preserve">הנאשם טען בדברו האחרון, כי הינו "חף מפשע"; יצוין, כי באשר לגירסה החדשה שהועלתה בתסקירו לגבי נוכחותו, לכאורה, במקום האירוע, טען, כי לא אמר את הדברים לקצינת המבחן. </w:t>
      </w:r>
    </w:p>
    <w:p w14:paraId="13C63F9E" w14:textId="77777777" w:rsidR="00543E53" w:rsidRDefault="00543E53" w:rsidP="00543E53">
      <w:pPr>
        <w:spacing w:line="360" w:lineRule="auto"/>
        <w:jc w:val="both"/>
        <w:rPr>
          <w:rFonts w:ascii="Arial" w:hAnsi="Arial" w:cs="Arial"/>
          <w:rtl/>
        </w:rPr>
      </w:pPr>
    </w:p>
    <w:p w14:paraId="37835DA6" w14:textId="77777777" w:rsidR="00543E53" w:rsidRDefault="00543E53" w:rsidP="00543E53">
      <w:pPr>
        <w:spacing w:line="360" w:lineRule="auto"/>
        <w:jc w:val="both"/>
        <w:rPr>
          <w:rFonts w:ascii="Arial" w:hAnsi="Arial" w:cs="Arial"/>
          <w:b/>
          <w:bCs/>
          <w:u w:val="single"/>
          <w:rtl/>
        </w:rPr>
      </w:pPr>
      <w:r>
        <w:rPr>
          <w:rFonts w:ascii="Arial" w:hAnsi="Arial" w:cs="Arial"/>
          <w:b/>
          <w:bCs/>
          <w:u w:val="single"/>
          <w:rtl/>
        </w:rPr>
        <w:t xml:space="preserve">דיון </w:t>
      </w:r>
    </w:p>
    <w:p w14:paraId="45AC8D8F" w14:textId="77777777" w:rsidR="00543E53" w:rsidRDefault="00543E53" w:rsidP="00543E53">
      <w:pPr>
        <w:spacing w:line="360" w:lineRule="auto"/>
        <w:jc w:val="both"/>
        <w:rPr>
          <w:rFonts w:ascii="Arial" w:hAnsi="Arial" w:cs="Arial"/>
          <w:rtl/>
        </w:rPr>
      </w:pPr>
      <w:r>
        <w:rPr>
          <w:rFonts w:ascii="Arial" w:hAnsi="Arial" w:cs="Arial"/>
          <w:rtl/>
        </w:rPr>
        <w:t xml:space="preserve">הנאשם הורשע בביצוע בצוותא של מעשה רציחתו של המנוח, רביע אבו עמאר ז"ל, ועונשו, בגין מעשה נורא וחסר פשר זה, הינו מאסר עולם חובה, על פי מצוות </w:t>
      </w:r>
      <w:hyperlink r:id="rId33" w:history="1">
        <w:r w:rsidRPr="00543E53">
          <w:rPr>
            <w:rFonts w:ascii="Arial" w:hAnsi="Arial" w:cs="Arial"/>
            <w:color w:val="0000FF"/>
            <w:u w:val="single"/>
            <w:rtl/>
          </w:rPr>
          <w:t>סעיף 300(א)</w:t>
        </w:r>
      </w:hyperlink>
      <w:r>
        <w:rPr>
          <w:rFonts w:ascii="Arial" w:hAnsi="Arial" w:cs="Arial"/>
          <w:rtl/>
        </w:rPr>
        <w:t xml:space="preserve"> לחוק. </w:t>
      </w:r>
    </w:p>
    <w:p w14:paraId="07BF8224" w14:textId="77777777" w:rsidR="00543E53" w:rsidRDefault="00543E53" w:rsidP="00543E53">
      <w:pPr>
        <w:spacing w:line="360" w:lineRule="auto"/>
        <w:jc w:val="both"/>
        <w:rPr>
          <w:rFonts w:ascii="Arial" w:hAnsi="Arial" w:cs="Arial"/>
          <w:rtl/>
        </w:rPr>
      </w:pPr>
    </w:p>
    <w:p w14:paraId="58F054BA" w14:textId="77777777" w:rsidR="00543E53" w:rsidRDefault="00543E53" w:rsidP="00543E53">
      <w:pPr>
        <w:spacing w:line="360" w:lineRule="auto"/>
        <w:jc w:val="both"/>
        <w:rPr>
          <w:rFonts w:ascii="Arial" w:hAnsi="Arial" w:cs="Arial"/>
          <w:rtl/>
        </w:rPr>
      </w:pPr>
      <w:r>
        <w:rPr>
          <w:rFonts w:ascii="Arial" w:hAnsi="Arial" w:cs="Arial"/>
          <w:rtl/>
        </w:rPr>
        <w:t xml:space="preserve">הירי שבוצע על ידי הנאשם לעבר מאג'ד, שהוביל להרשעתו בעבירות של ניסיון לרצח וחבלה חמורה בנסיבות מחמירות, הינו מעשה נפרד ונבדל מרציחתו של המנוח, הן בנסיבות ביצועו הטכני – עובדתי, והן מהבחינה המוסרית, הגם שהמניע שעמד מאחורי הירי לעבר הקורבנות השונים היה אחיד, במסגרת תוכנית עבריינית משותפת. </w:t>
      </w:r>
    </w:p>
    <w:p w14:paraId="16EF3F83" w14:textId="77777777" w:rsidR="00543E53" w:rsidRDefault="00543E53" w:rsidP="00543E53">
      <w:pPr>
        <w:spacing w:line="360" w:lineRule="auto"/>
        <w:jc w:val="both"/>
        <w:rPr>
          <w:rFonts w:ascii="Arial" w:hAnsi="Arial" w:cs="Arial"/>
          <w:rtl/>
        </w:rPr>
      </w:pPr>
      <w:r>
        <w:rPr>
          <w:rFonts w:ascii="Arial" w:hAnsi="Arial" w:cs="Arial"/>
          <w:rtl/>
        </w:rPr>
        <w:t xml:space="preserve">מן הבחינה הצורנית, מדובר היה בשתי זירות ירי שונות, במכולת ומחוצה לה; הירי בוצע על ידי מבצעים שונים - זייד והנאשם -  לעבר שני אנשים שונים, באמצעות כלי נשק שונים, והירי על ידי זייד קדם לירי שבוצע על ידי הנאשם. </w:t>
      </w:r>
    </w:p>
    <w:p w14:paraId="73643331" w14:textId="77777777" w:rsidR="00543E53" w:rsidRDefault="00543E53" w:rsidP="00543E53">
      <w:pPr>
        <w:spacing w:line="360" w:lineRule="auto"/>
        <w:jc w:val="both"/>
        <w:rPr>
          <w:rFonts w:ascii="Arial" w:hAnsi="Arial" w:cs="Arial"/>
          <w:rtl/>
        </w:rPr>
      </w:pPr>
      <w:r>
        <w:rPr>
          <w:rFonts w:ascii="Arial" w:hAnsi="Arial" w:cs="Arial"/>
          <w:rtl/>
        </w:rPr>
        <w:t xml:space="preserve">גם על פי המבחן המוסרי, הנגזר מערך השמירה על קדושת חיי אדם, יש להבחין בין מעשי הירי השונים, שהביאו לפגיעה נפרדת באנשים שונים, ואין לראות בהם משום מעשה אחד, שלא ניתן לענוש בגינו יותר מפעם אחת, במובנה של הוראת </w:t>
      </w:r>
      <w:hyperlink r:id="rId34" w:history="1">
        <w:r w:rsidRPr="00543E53">
          <w:rPr>
            <w:rFonts w:ascii="Arial" w:hAnsi="Arial" w:cs="Arial"/>
            <w:color w:val="0000FF"/>
            <w:u w:val="single"/>
            <w:rtl/>
          </w:rPr>
          <w:t>סעיף 186</w:t>
        </w:r>
      </w:hyperlink>
      <w:r>
        <w:rPr>
          <w:rFonts w:ascii="Arial" w:hAnsi="Arial" w:cs="Arial"/>
          <w:rtl/>
        </w:rPr>
        <w:t xml:space="preserve"> ל</w:t>
      </w:r>
      <w:hyperlink r:id="rId35" w:history="1">
        <w:r w:rsidRPr="00465D2C">
          <w:rPr>
            <w:rFonts w:ascii="Arial" w:hAnsi="Arial" w:cs="Arial"/>
            <w:color w:val="0000FF"/>
            <w:u w:val="single"/>
            <w:rtl/>
          </w:rPr>
          <w:t>חוק סדר הדין הפלילי</w:t>
        </w:r>
      </w:hyperlink>
      <w:r>
        <w:rPr>
          <w:rFonts w:ascii="Arial" w:hAnsi="Arial" w:cs="Arial"/>
          <w:rtl/>
        </w:rPr>
        <w:t xml:space="preserve">, תשמ"ב- 1982. </w:t>
      </w:r>
    </w:p>
    <w:p w14:paraId="660CDE40" w14:textId="77777777" w:rsidR="00543E53" w:rsidRDefault="00543E53" w:rsidP="00543E53">
      <w:pPr>
        <w:spacing w:line="360" w:lineRule="auto"/>
        <w:jc w:val="both"/>
        <w:rPr>
          <w:rFonts w:ascii="Arial" w:hAnsi="Arial" w:cs="Arial"/>
          <w:rtl/>
        </w:rPr>
      </w:pPr>
    </w:p>
    <w:p w14:paraId="16B73C68" w14:textId="77777777" w:rsidR="00543E53" w:rsidRDefault="00543E53" w:rsidP="00543E53">
      <w:pPr>
        <w:spacing w:line="360" w:lineRule="auto"/>
        <w:jc w:val="both"/>
        <w:rPr>
          <w:rFonts w:ascii="Arial" w:hAnsi="Arial" w:cs="Arial"/>
          <w:rtl/>
        </w:rPr>
      </w:pPr>
      <w:r>
        <w:rPr>
          <w:rFonts w:ascii="Arial" w:hAnsi="Arial" w:cs="Arial"/>
          <w:rtl/>
        </w:rPr>
        <w:t>כך, באחד המקרים שהובאו לפתחו של בית המ</w:t>
      </w:r>
      <w:r>
        <w:rPr>
          <w:rFonts w:ascii="Arial" w:hAnsi="Arial" w:cs="Arial" w:hint="cs"/>
          <w:rtl/>
        </w:rPr>
        <w:t>ש</w:t>
      </w:r>
      <w:r>
        <w:rPr>
          <w:rFonts w:ascii="Arial" w:hAnsi="Arial" w:cs="Arial"/>
          <w:rtl/>
        </w:rPr>
        <w:t xml:space="preserve">פט העליון, קבע הנשיא ברק, כי גם ירי פוגעני שבוצע ברצף על ידי מבצע אחד, לעבר שני אנשים שונים, במהלך ביצוע שוד, הינו בבחינת מעשים נפרדים: </w:t>
      </w:r>
      <w:r>
        <w:rPr>
          <w:rFonts w:ascii="Arial" w:hAnsi="Arial" w:cs="Miriam"/>
          <w:rtl/>
        </w:rPr>
        <w:t>"(המערער) פגע בשני בני</w:t>
      </w:r>
      <w:r>
        <w:rPr>
          <w:rFonts w:ascii="Arial" w:hAnsi="Arial" w:cs="Miriam"/>
          <w:position w:val="4"/>
          <w:rtl/>
        </w:rPr>
        <w:t>-</w:t>
      </w:r>
      <w:r>
        <w:rPr>
          <w:rFonts w:ascii="Arial" w:hAnsi="Arial" w:cs="Miriam"/>
          <w:rtl/>
        </w:rPr>
        <w:t>אדם. את האחד (בוריס) רצח. בשני (פיני) חבל חבלה חמורה. הוא פעל שתי פעולות נפרדות, ביצע שתי עבירות נפרדות, וניתן להטיל עליו שני עונשים נפרדים ומצטברים..."</w:t>
      </w:r>
      <w:r>
        <w:rPr>
          <w:rFonts w:ascii="Arial" w:hAnsi="Arial" w:cs="Arial"/>
          <w:b/>
          <w:bCs/>
          <w:rtl/>
        </w:rPr>
        <w:t xml:space="preserve"> </w:t>
      </w:r>
      <w:r>
        <w:rPr>
          <w:rFonts w:ascii="Arial" w:hAnsi="Arial" w:cs="Arial"/>
          <w:rtl/>
        </w:rPr>
        <w:t>(</w:t>
      </w:r>
      <w:hyperlink r:id="rId36" w:history="1">
        <w:r w:rsidRPr="00465D2C">
          <w:rPr>
            <w:rFonts w:ascii="Arial" w:hAnsi="Arial" w:cs="Arial"/>
            <w:color w:val="0000FF"/>
            <w:u w:val="single"/>
            <w:rtl/>
          </w:rPr>
          <w:t>ע"פ 4424/98 סילגדו נ. מדינת ישראל, פד"י נו</w:t>
        </w:r>
      </w:hyperlink>
      <w:r>
        <w:rPr>
          <w:rFonts w:ascii="Arial" w:hAnsi="Arial" w:cs="Arial"/>
          <w:rtl/>
        </w:rPr>
        <w:t>(5) 529, פסקה 19)).</w:t>
      </w:r>
    </w:p>
    <w:p w14:paraId="0E951EA0" w14:textId="77777777" w:rsidR="00543E53" w:rsidRDefault="00543E53" w:rsidP="00543E53">
      <w:pPr>
        <w:spacing w:line="360" w:lineRule="auto"/>
        <w:jc w:val="both"/>
        <w:rPr>
          <w:rFonts w:ascii="Arial" w:hAnsi="Arial" w:cs="Arial"/>
          <w:rtl/>
        </w:rPr>
      </w:pPr>
      <w:r>
        <w:rPr>
          <w:rFonts w:ascii="Arial" w:hAnsi="Arial" w:cs="Arial"/>
          <w:rtl/>
        </w:rPr>
        <w:t xml:space="preserve">בפרשת </w:t>
      </w:r>
      <w:r>
        <w:rPr>
          <w:rFonts w:ascii="Arial" w:hAnsi="Arial" w:cs="Miriam"/>
          <w:rtl/>
        </w:rPr>
        <w:t>עמי פופר</w:t>
      </w:r>
      <w:r>
        <w:rPr>
          <w:rFonts w:ascii="Arial" w:hAnsi="Arial" w:cs="Arial"/>
          <w:rtl/>
        </w:rPr>
        <w:t xml:space="preserve"> (</w:t>
      </w:r>
      <w:hyperlink r:id="rId37" w:history="1">
        <w:r w:rsidRPr="00465D2C">
          <w:rPr>
            <w:rFonts w:ascii="Arial" w:hAnsi="Arial" w:cs="Arial"/>
            <w:color w:val="0000FF"/>
            <w:u w:val="single"/>
            <w:rtl/>
          </w:rPr>
          <w:t>ע"פ 1742/91 פופר נ' מדינת ישראל, פ"ד נא</w:t>
        </w:r>
      </w:hyperlink>
      <w:r>
        <w:rPr>
          <w:rFonts w:ascii="Arial" w:hAnsi="Arial" w:cs="Arial"/>
          <w:rtl/>
        </w:rPr>
        <w:t xml:space="preserve">(5) 289), בה קטל הנאשם מספר אנשים במטח ירי, ופצע אחרים, אישר בית המשפט העליון הטלת עונשי מאסר עולם מצטברים ביניהם, שיצטברו לעונש נוסף של 20 שנות מאסר בגין עבירה של ניסיון לרצח. בעניין זה נאמר:    </w:t>
      </w:r>
    </w:p>
    <w:p w14:paraId="09C4A67C" w14:textId="77777777" w:rsidR="00543E53" w:rsidRDefault="00543E53" w:rsidP="00543E53">
      <w:pPr>
        <w:ind w:left="567" w:right="567"/>
        <w:jc w:val="both"/>
        <w:rPr>
          <w:rFonts w:ascii="Arial" w:hAnsi="Arial" w:cs="Miriam"/>
          <w:rtl/>
        </w:rPr>
      </w:pPr>
      <w:r>
        <w:rPr>
          <w:rFonts w:ascii="Arial" w:hAnsi="Arial" w:cs="Miriam"/>
          <w:rtl/>
        </w:rPr>
        <w:t>"כאשר מדובר במעשי אלימות קיים לכל אחד מן הנפגעים אינטרס עצמאי לשלמות גופו. הפגיעה בשלמות גופו של אחד אינה מהווה פגיעה בשלמות גופו של אחר. גם אם מבחינה "טכנית" מדובר ברצף אחד של מעשים שגרם למספר קורבנות, יש להתייחס לכך כאל מעשי פגיעה נפרדים. מסקנה זאת היא הכרחית גם מנקודת-מבט מוסרית, המכירה בקדושת חייו של אדם כערך-יסוד. ערך חיי האדם וסלידתנו העמוקה ממעשים הפוגעים בו  חייבים למצוא ביטוי מפורש ונפרד גם במסגרת גזירת העונש, הן לעניין מספר העונשים שיש לגזור על הנאשם והן לעניין הצטברותם...".</w:t>
      </w:r>
    </w:p>
    <w:p w14:paraId="5833AC07" w14:textId="77777777" w:rsidR="00543E53" w:rsidRDefault="00543E53" w:rsidP="00543E53">
      <w:pPr>
        <w:spacing w:line="360" w:lineRule="auto"/>
        <w:jc w:val="both"/>
        <w:rPr>
          <w:rFonts w:ascii="Arial" w:hAnsi="Arial" w:cs="Arial"/>
          <w:rtl/>
        </w:rPr>
      </w:pPr>
    </w:p>
    <w:p w14:paraId="515B5F3C" w14:textId="77777777" w:rsidR="00543E53" w:rsidRDefault="00543E53" w:rsidP="00543E53">
      <w:pPr>
        <w:pStyle w:val="P00"/>
        <w:spacing w:before="72" w:line="360" w:lineRule="auto"/>
        <w:ind w:left="0"/>
        <w:rPr>
          <w:rFonts w:ascii="Arial" w:hAnsi="Arial" w:cs="Arial"/>
          <w:b/>
          <w:bCs/>
          <w:noProof w:val="0"/>
          <w:sz w:val="22"/>
          <w:szCs w:val="22"/>
          <w:rtl/>
          <w:lang w:eastAsia="en-US"/>
        </w:rPr>
      </w:pPr>
      <w:r>
        <w:rPr>
          <w:rFonts w:ascii="Arial" w:hAnsi="Arial" w:cs="Arial"/>
          <w:noProof w:val="0"/>
          <w:sz w:val="24"/>
          <w:szCs w:val="24"/>
          <w:rtl/>
          <w:lang w:eastAsia="en-US"/>
        </w:rPr>
        <w:t xml:space="preserve">הכרעת הדין בעניינו של הנאשם ניתנה ביום 20.3.2014, לאחר החלת תיקון מס' 113 לחוק. על פי התיקון החדש, לצורך קביעת העונש, יש לנהוג על פי עיקרון ההלימה, שהינו העיקרון המנחה, כמפורש </w:t>
      </w:r>
      <w:hyperlink r:id="rId38" w:history="1">
        <w:r w:rsidRPr="00543E53">
          <w:rPr>
            <w:rFonts w:ascii="Arial" w:hAnsi="Arial" w:cs="Arial"/>
            <w:noProof w:val="0"/>
            <w:color w:val="0000FF"/>
            <w:sz w:val="24"/>
            <w:szCs w:val="24"/>
            <w:u w:val="single"/>
            <w:rtl/>
            <w:lang w:eastAsia="en-US"/>
          </w:rPr>
          <w:t>בסעיף 40ב</w:t>
        </w:r>
      </w:hyperlink>
      <w:r>
        <w:rPr>
          <w:rFonts w:ascii="Arial" w:hAnsi="Arial" w:cs="Arial"/>
          <w:noProof w:val="0"/>
          <w:sz w:val="24"/>
          <w:szCs w:val="24"/>
          <w:rtl/>
          <w:lang w:eastAsia="en-US"/>
        </w:rPr>
        <w:t xml:space="preserve"> לחוק, היינו </w:t>
      </w:r>
      <w:bookmarkStart w:id="8" w:name="_GoBack"/>
      <w:bookmarkEnd w:id="8"/>
      <w:r>
        <w:rPr>
          <w:rFonts w:ascii="Arial" w:hAnsi="Arial" w:cs="Arial"/>
          <w:b/>
          <w:bCs/>
          <w:noProof w:val="0"/>
          <w:sz w:val="22"/>
          <w:szCs w:val="22"/>
          <w:rtl/>
          <w:lang w:eastAsia="en-US"/>
        </w:rPr>
        <w:t xml:space="preserve">"קיומו של יחס הולם בין חומרת מעשה העבירה בנסיבותיו ומידת אשמו של הנאשם ובין סוג ומידת העונש המוטל עליו...". </w:t>
      </w:r>
    </w:p>
    <w:p w14:paraId="396160B5" w14:textId="77777777" w:rsidR="00543E53" w:rsidRDefault="00543E53" w:rsidP="00543E53">
      <w:pPr>
        <w:pStyle w:val="P00"/>
        <w:spacing w:before="72" w:line="360" w:lineRule="auto"/>
        <w:ind w:left="0"/>
        <w:rPr>
          <w:rFonts w:ascii="Arial" w:hAnsi="Arial" w:cs="Arial"/>
          <w:b/>
          <w:bCs/>
          <w:noProof w:val="0"/>
          <w:sz w:val="22"/>
          <w:szCs w:val="22"/>
          <w:rtl/>
          <w:lang w:eastAsia="en-US"/>
        </w:rPr>
      </w:pPr>
      <w:r>
        <w:rPr>
          <w:rFonts w:ascii="Arial" w:hAnsi="Arial" w:cs="Arial"/>
          <w:noProof w:val="0"/>
          <w:sz w:val="24"/>
          <w:szCs w:val="24"/>
          <w:rtl/>
          <w:lang w:eastAsia="en-US"/>
        </w:rPr>
        <w:t xml:space="preserve">לצורך קביעת מתחם העונש ההולם בהתאם לעיקרון המנחה, נקבע </w:t>
      </w:r>
      <w:hyperlink r:id="rId39" w:history="1">
        <w:r w:rsidRPr="00543E53">
          <w:rPr>
            <w:rFonts w:ascii="Arial" w:hAnsi="Arial" w:cs="Arial"/>
            <w:noProof w:val="0"/>
            <w:color w:val="0000FF"/>
            <w:sz w:val="24"/>
            <w:szCs w:val="24"/>
            <w:u w:val="single"/>
            <w:rtl/>
            <w:lang w:eastAsia="en-US"/>
          </w:rPr>
          <w:t>בסעיף 40ג (א)</w:t>
        </w:r>
      </w:hyperlink>
      <w:r>
        <w:rPr>
          <w:rFonts w:ascii="Arial" w:hAnsi="Arial" w:cs="Arial"/>
          <w:noProof w:val="0"/>
          <w:sz w:val="24"/>
          <w:szCs w:val="24"/>
          <w:rtl/>
          <w:lang w:eastAsia="en-US"/>
        </w:rPr>
        <w:t xml:space="preserve"> לחוק, כי בית המשפט </w:t>
      </w:r>
      <w:r>
        <w:rPr>
          <w:rFonts w:ascii="Arial" w:hAnsi="Arial" w:cs="Arial"/>
          <w:b/>
          <w:bCs/>
          <w:noProof w:val="0"/>
          <w:sz w:val="22"/>
          <w:szCs w:val="22"/>
          <w:rtl/>
          <w:lang w:eastAsia="en-US"/>
        </w:rPr>
        <w:t>"יתחשב בערך החברתי שנפגע מביצוע העבירה, במידת הפגיעה בו, במדיניות הענישה הנהוגה ובנסיבות הקשורות בביצוע העבירה כאמור בסעיף 40 ט".</w:t>
      </w:r>
    </w:p>
    <w:p w14:paraId="67C7C669" w14:textId="77777777" w:rsidR="00543E53" w:rsidRDefault="00543E53" w:rsidP="00543E53">
      <w:pPr>
        <w:pStyle w:val="P00"/>
        <w:spacing w:before="72" w:line="360" w:lineRule="auto"/>
        <w:ind w:left="0"/>
        <w:rPr>
          <w:rFonts w:ascii="Arial" w:hAnsi="Arial" w:cs="Arial"/>
          <w:noProof w:val="0"/>
          <w:sz w:val="24"/>
          <w:szCs w:val="24"/>
          <w:rtl/>
          <w:lang w:eastAsia="en-US"/>
        </w:rPr>
      </w:pPr>
    </w:p>
    <w:p w14:paraId="76138EFF" w14:textId="77777777" w:rsidR="00543E53" w:rsidRDefault="00543E53" w:rsidP="00543E53">
      <w:pPr>
        <w:pStyle w:val="P00"/>
        <w:spacing w:before="72" w:line="360" w:lineRule="auto"/>
        <w:ind w:left="0"/>
        <w:rPr>
          <w:rFonts w:ascii="Arial" w:hAnsi="Arial" w:cs="Arial"/>
          <w:noProof w:val="0"/>
          <w:sz w:val="24"/>
          <w:szCs w:val="24"/>
          <w:rtl/>
          <w:lang w:eastAsia="en-US"/>
        </w:rPr>
      </w:pPr>
      <w:r>
        <w:rPr>
          <w:rFonts w:ascii="Arial" w:hAnsi="Arial" w:cs="Arial"/>
          <w:noProof w:val="0"/>
          <w:sz w:val="24"/>
          <w:szCs w:val="24"/>
          <w:rtl/>
          <w:lang w:eastAsia="en-US"/>
        </w:rPr>
        <w:t>בקביעת מתחם העונש ההולם בגין ביצוע העבירות הקשורות בפגיעה במאג'ד, מתקיימות נסיבות המצדיקות החמרה משמעותית, ובכללן, קיומה של מזימה עבריינית מתוכננת לפרטיה, שביסודה, רצון לפגיעה בבני משפחת אבו עמאר, יהיו אלה אשר יהיו, באמצעות ירי מנשק חם, ללא אבחנה. הנאשם היה בעל מניע ישיר לביצוע המעשים, הוא היה הרוח החיה בביצועם, ואף נטל חלק, ימים ספורים קודם לכן, עם אחרים, בפעילות אלימה כנגד בני אבו עמאר, כשהוא אוחז בידו אקדח ומעבירו לאחיו שעשה שימוש בנשק, כפי שעולה מהעובדות שנדונו ב</w:t>
      </w:r>
      <w:hyperlink r:id="rId40" w:history="1">
        <w:r w:rsidRPr="00465D2C">
          <w:rPr>
            <w:rFonts w:ascii="Arial" w:hAnsi="Arial" w:cs="Arial"/>
            <w:noProof w:val="0"/>
            <w:color w:val="0000FF"/>
            <w:sz w:val="24"/>
            <w:szCs w:val="24"/>
            <w:u w:val="single"/>
            <w:rtl/>
            <w:lang w:eastAsia="en-US"/>
          </w:rPr>
          <w:t>ת"פ 29651-10-10</w:t>
        </w:r>
      </w:hyperlink>
      <w:r>
        <w:rPr>
          <w:rFonts w:ascii="Arial" w:hAnsi="Arial" w:cs="Arial"/>
          <w:noProof w:val="0"/>
          <w:sz w:val="24"/>
          <w:szCs w:val="24"/>
          <w:rtl/>
        </w:rPr>
        <w:t xml:space="preserve">, שהוזכר לעיל. הנאשם לא הסתפק בירי המסיבי שבוצע על ידי זייד בתוך חנות המכולת, אלא ירה ישירות לעבר מאג'ד, אדם צעיר שניסה להציל חייו במנוסה מזירת הירי בתוך המכולת, וגרם לפציעתו הקשה והסטת חייו ממסלולם הרגיל, כפי שעלה מתסקיר הנפגע. </w:t>
      </w:r>
    </w:p>
    <w:p w14:paraId="6761B935" w14:textId="77777777" w:rsidR="00543E53" w:rsidRDefault="00543E53" w:rsidP="00543E53">
      <w:pPr>
        <w:spacing w:line="360" w:lineRule="auto"/>
        <w:jc w:val="both"/>
        <w:rPr>
          <w:rFonts w:ascii="Arial" w:hAnsi="Arial" w:cs="Arial"/>
          <w:rtl/>
        </w:rPr>
      </w:pPr>
    </w:p>
    <w:p w14:paraId="2B0B07BD" w14:textId="77777777" w:rsidR="00543E53" w:rsidRDefault="00543E53" w:rsidP="00543E53">
      <w:pPr>
        <w:spacing w:line="360" w:lineRule="auto"/>
        <w:jc w:val="both"/>
        <w:rPr>
          <w:rFonts w:ascii="Arial" w:hAnsi="Arial" w:cs="Arial"/>
          <w:rtl/>
        </w:rPr>
      </w:pPr>
      <w:r>
        <w:rPr>
          <w:rFonts w:ascii="Arial" w:hAnsi="Arial" w:cs="Arial"/>
          <w:rtl/>
        </w:rPr>
        <w:t xml:space="preserve">בצד העבירה של ניסיון לרצח, על פי </w:t>
      </w:r>
      <w:hyperlink r:id="rId41" w:history="1">
        <w:r w:rsidRPr="00543E53">
          <w:rPr>
            <w:rFonts w:ascii="Arial" w:hAnsi="Arial" w:cs="Arial"/>
            <w:color w:val="0000FF"/>
            <w:u w:val="single"/>
            <w:rtl/>
          </w:rPr>
          <w:t>סעיף 305(1)</w:t>
        </w:r>
      </w:hyperlink>
      <w:r>
        <w:rPr>
          <w:rFonts w:ascii="Arial" w:hAnsi="Arial" w:cs="Arial"/>
          <w:rtl/>
        </w:rPr>
        <w:t xml:space="preserve"> לחוק, קצוב מאסר מרבי של 20 שנים. בגין עבירה של גרימת חבלה חמורה תוך שימוש בנשק, ניתן להטיל מאסר מרבי של 14 שנים.</w:t>
      </w:r>
    </w:p>
    <w:p w14:paraId="61349D33" w14:textId="77777777" w:rsidR="00543E53" w:rsidRDefault="00543E53" w:rsidP="00543E53">
      <w:pPr>
        <w:spacing w:line="360" w:lineRule="auto"/>
        <w:jc w:val="both"/>
        <w:rPr>
          <w:rFonts w:ascii="Arial" w:hAnsi="Arial" w:cs="Arial"/>
          <w:rtl/>
        </w:rPr>
      </w:pPr>
      <w:r>
        <w:rPr>
          <w:rFonts w:ascii="Arial" w:hAnsi="Arial" w:cs="Arial"/>
          <w:rtl/>
        </w:rPr>
        <w:t>בפסק הדין שניתן ב</w:t>
      </w:r>
      <w:hyperlink r:id="rId42" w:history="1">
        <w:r w:rsidRPr="00465D2C">
          <w:rPr>
            <w:rFonts w:ascii="Arial" w:hAnsi="Arial" w:cs="Arial"/>
            <w:color w:val="0000FF"/>
            <w:u w:val="single"/>
            <w:rtl/>
          </w:rPr>
          <w:t>ע"פ 2544/12</w:t>
        </w:r>
      </w:hyperlink>
      <w:r>
        <w:rPr>
          <w:rFonts w:ascii="Arial" w:hAnsi="Arial" w:cs="Arial"/>
          <w:rtl/>
        </w:rPr>
        <w:t xml:space="preserve"> </w:t>
      </w:r>
      <w:r>
        <w:rPr>
          <w:rFonts w:ascii="Arial" w:hAnsi="Arial" w:cs="Miriam"/>
          <w:rtl/>
        </w:rPr>
        <w:t>איאד פטאפטה נ. מדינת ישראל,</w:t>
      </w:r>
      <w:r>
        <w:rPr>
          <w:rFonts w:ascii="Arial" w:hAnsi="Arial" w:cs="Arial"/>
          <w:rtl/>
        </w:rPr>
        <w:t xml:space="preserve"> ביום 4.8.2014, נקבע על ידי השופט דנציגר, כי -  </w:t>
      </w:r>
    </w:p>
    <w:p w14:paraId="3A7F8891" w14:textId="77777777" w:rsidR="00543E53" w:rsidRDefault="00543E53" w:rsidP="00543E53">
      <w:pPr>
        <w:ind w:left="567" w:right="567"/>
        <w:jc w:val="both"/>
        <w:rPr>
          <w:rFonts w:ascii="Arial" w:hAnsi="Arial" w:cs="Miriam"/>
          <w:rtl/>
        </w:rPr>
      </w:pPr>
      <w:r>
        <w:rPr>
          <w:rFonts w:ascii="Arial" w:hAnsi="Arial" w:cs="Miriam"/>
          <w:rtl/>
        </w:rPr>
        <w:t>"הגם שמלאכת גזירת הדין אינה עניין שבאריתמטיקה, וכל מקרה ניבחן על פי נסיבותיו הפרטניות, הרי שממספר פסקי דין של בית משפט זה עולה כי העונשים שהושתו על מי שהורשעו במקרי דקירה במסגרת ניסיון לרצח הגורמת לפציעת אדם – אשר נסיבותיהם קלות לאין שיעור מנסיבות המקרה דנן וכאשר לא נלווית לדקירה הרשעה בעבירות חמורות נוספות – נעו בין 10 ל-18 שנות מאסר</w:t>
      </w:r>
      <w:r>
        <w:rPr>
          <w:rFonts w:ascii="Arial" w:hAnsi="Arial" w:cs="Miriam"/>
          <w:spacing w:val="10"/>
          <w:rtl/>
        </w:rPr>
        <w:t xml:space="preserve">  [ראו למשל: </w:t>
      </w:r>
      <w:hyperlink r:id="rId43" w:history="1">
        <w:r w:rsidRPr="00465D2C">
          <w:rPr>
            <w:rFonts w:ascii="Arial" w:hAnsi="Arial" w:cs="Miriam"/>
            <w:color w:val="0000FF"/>
            <w:spacing w:val="10"/>
            <w:u w:val="single"/>
            <w:rtl/>
          </w:rPr>
          <w:t>ע"פ 2125/92</w:t>
        </w:r>
      </w:hyperlink>
      <w:r>
        <w:rPr>
          <w:rFonts w:ascii="Arial" w:hAnsi="Arial" w:cs="Miriam"/>
          <w:spacing w:val="10"/>
        </w:rPr>
        <w:t xml:space="preserve"> </w:t>
      </w:r>
      <w:r>
        <w:rPr>
          <w:rFonts w:ascii="Arial" w:hAnsi="Arial" w:cs="Miriam"/>
          <w:b/>
          <w:rtl/>
        </w:rPr>
        <w:t>עודה</w:t>
      </w:r>
      <w:r>
        <w:rPr>
          <w:rFonts w:ascii="Arial" w:hAnsi="Arial" w:cs="Miriam"/>
          <w:b/>
        </w:rPr>
        <w:t xml:space="preserve"> </w:t>
      </w:r>
      <w:r>
        <w:rPr>
          <w:rFonts w:ascii="Arial" w:hAnsi="Arial" w:cs="Miriam"/>
          <w:b/>
          <w:rtl/>
        </w:rPr>
        <w:t>נ' מדינת ישראל</w:t>
      </w:r>
      <w:r>
        <w:rPr>
          <w:rFonts w:ascii="Arial" w:hAnsi="Arial" w:cs="Miriam"/>
          <w:spacing w:val="10"/>
          <w:rtl/>
        </w:rPr>
        <w:t xml:space="preserve"> (23.3.1995); </w:t>
      </w:r>
      <w:hyperlink r:id="rId44" w:history="1">
        <w:r w:rsidRPr="00465D2C">
          <w:rPr>
            <w:rFonts w:ascii="Arial" w:hAnsi="Arial" w:cs="Miriam"/>
            <w:color w:val="0000FF"/>
            <w:spacing w:val="10"/>
            <w:u w:val="single"/>
            <w:rtl/>
          </w:rPr>
          <w:t>ע"פ 2965/06</w:t>
        </w:r>
      </w:hyperlink>
      <w:r>
        <w:rPr>
          <w:rFonts w:ascii="Arial" w:hAnsi="Arial" w:cs="Miriam"/>
          <w:spacing w:val="10"/>
          <w:rtl/>
        </w:rPr>
        <w:t xml:space="preserve"> </w:t>
      </w:r>
      <w:r>
        <w:rPr>
          <w:rFonts w:ascii="Arial" w:hAnsi="Arial" w:cs="Miriam"/>
          <w:b/>
          <w:rtl/>
        </w:rPr>
        <w:t>אבו חאמד נ' מדינת ישרא</w:t>
      </w:r>
      <w:r>
        <w:rPr>
          <w:rFonts w:ascii="Arial" w:hAnsi="Arial" w:cs="Miriam"/>
          <w:spacing w:val="10"/>
          <w:rtl/>
        </w:rPr>
        <w:t xml:space="preserve">ל (19.9.2007) והאסמכתאות הנזכרות שם; </w:t>
      </w:r>
      <w:hyperlink r:id="rId45" w:history="1">
        <w:r w:rsidRPr="00465D2C">
          <w:rPr>
            <w:rFonts w:ascii="Arial" w:hAnsi="Arial" w:cs="Miriam"/>
            <w:color w:val="0000FF"/>
            <w:spacing w:val="10"/>
            <w:u w:val="single"/>
            <w:rtl/>
          </w:rPr>
          <w:t>ע"פ 1844/12</w:t>
        </w:r>
      </w:hyperlink>
      <w:r>
        <w:rPr>
          <w:rFonts w:ascii="Arial" w:hAnsi="Arial" w:cs="Miriam"/>
          <w:spacing w:val="10"/>
          <w:rtl/>
        </w:rPr>
        <w:t xml:space="preserve"> </w:t>
      </w:r>
      <w:r>
        <w:rPr>
          <w:rFonts w:ascii="Arial" w:hAnsi="Arial" w:cs="Miriam"/>
          <w:b/>
          <w:rtl/>
        </w:rPr>
        <w:t>עואדה נ' מדינת ישראל</w:t>
      </w:r>
      <w:r>
        <w:rPr>
          <w:rFonts w:ascii="Arial" w:hAnsi="Arial" w:cs="Miriam"/>
          <w:spacing w:val="10"/>
          <w:rtl/>
        </w:rPr>
        <w:t xml:space="preserve"> (30.4.2013)]".</w:t>
      </w:r>
      <w:r>
        <w:rPr>
          <w:rFonts w:ascii="Arial" w:hAnsi="Arial" w:cs="Miriam"/>
          <w:rtl/>
        </w:rPr>
        <w:t xml:space="preserve"> </w:t>
      </w:r>
    </w:p>
    <w:p w14:paraId="49A6F0C0" w14:textId="77777777" w:rsidR="00543E53" w:rsidRDefault="00543E53" w:rsidP="00543E53">
      <w:pPr>
        <w:spacing w:line="360" w:lineRule="auto"/>
        <w:jc w:val="both"/>
        <w:rPr>
          <w:rFonts w:ascii="Arial" w:hAnsi="Arial" w:cs="Arial"/>
          <w:rtl/>
        </w:rPr>
      </w:pPr>
    </w:p>
    <w:p w14:paraId="246ED9EE" w14:textId="77777777" w:rsidR="00543E53" w:rsidRDefault="00543E53" w:rsidP="00543E53">
      <w:pPr>
        <w:spacing w:line="360" w:lineRule="auto"/>
        <w:jc w:val="both"/>
        <w:rPr>
          <w:rFonts w:ascii="Arial" w:hAnsi="Arial" w:cs="Arial"/>
          <w:rtl/>
        </w:rPr>
      </w:pPr>
      <w:r>
        <w:rPr>
          <w:rFonts w:ascii="Arial" w:hAnsi="Arial" w:cs="Arial"/>
          <w:rtl/>
        </w:rPr>
        <w:t xml:space="preserve">נראה אפוא, כי בעניינו של הנאשם, ולנוכח הנסיבות החמורות של האירוע ותוצאותיו, משנעשה שימוש בנשק חם שכוון לגופו של מאג'ד, שאך בנס, נוכח פציעתו הקשה, הצליח להימלט מהמקום ולהציל את חייו, הרי שניתן לקבוע מתחם עונש דומה, שבין 10 שנות מאסר ל- 18 שנות מאסר גם בנסיבות הירי שביצע הנאשם לעבר מאג'ד. </w:t>
      </w:r>
    </w:p>
    <w:p w14:paraId="4BAB53AE" w14:textId="77777777" w:rsidR="00543E53" w:rsidRDefault="00543E53" w:rsidP="00543E53">
      <w:pPr>
        <w:spacing w:line="360" w:lineRule="auto"/>
        <w:jc w:val="both"/>
        <w:rPr>
          <w:rFonts w:ascii="Arial" w:hAnsi="Arial" w:cs="Arial"/>
          <w:rtl/>
        </w:rPr>
      </w:pPr>
    </w:p>
    <w:p w14:paraId="06B61A59" w14:textId="77777777" w:rsidR="00543E53" w:rsidRDefault="00543E53" w:rsidP="00543E53">
      <w:pPr>
        <w:pStyle w:val="P00"/>
        <w:spacing w:before="72" w:line="360" w:lineRule="auto"/>
        <w:ind w:left="0"/>
        <w:rPr>
          <w:rFonts w:ascii="Arial" w:hAnsi="Arial" w:cs="Arial"/>
          <w:b/>
          <w:bCs/>
          <w:noProof w:val="0"/>
          <w:sz w:val="22"/>
          <w:szCs w:val="22"/>
          <w:rtl/>
          <w:lang w:eastAsia="en-US"/>
        </w:rPr>
      </w:pPr>
      <w:r>
        <w:rPr>
          <w:rFonts w:ascii="Arial" w:hAnsi="Arial" w:cs="Arial"/>
          <w:noProof w:val="0"/>
          <w:sz w:val="24"/>
          <w:szCs w:val="24"/>
          <w:rtl/>
          <w:lang w:eastAsia="en-US"/>
        </w:rPr>
        <w:t xml:space="preserve">על פי הוראת </w:t>
      </w:r>
      <w:hyperlink r:id="rId46" w:history="1">
        <w:r w:rsidRPr="00543E53">
          <w:rPr>
            <w:rFonts w:ascii="Arial" w:hAnsi="Arial" w:cs="Arial"/>
            <w:noProof w:val="0"/>
            <w:color w:val="0000FF"/>
            <w:sz w:val="24"/>
            <w:szCs w:val="24"/>
            <w:u w:val="single"/>
            <w:rtl/>
            <w:lang w:eastAsia="en-US"/>
          </w:rPr>
          <w:t>סעיף 40יג(ב)</w:t>
        </w:r>
      </w:hyperlink>
      <w:r>
        <w:rPr>
          <w:rFonts w:ascii="Arial" w:hAnsi="Arial" w:cs="Arial"/>
          <w:noProof w:val="0"/>
          <w:sz w:val="24"/>
          <w:szCs w:val="24"/>
          <w:rtl/>
          <w:lang w:eastAsia="en-US"/>
        </w:rPr>
        <w:t xml:space="preserve"> לחוק, רשאי בית המשפט</w:t>
      </w:r>
      <w:r>
        <w:rPr>
          <w:rFonts w:ascii="Arial" w:hAnsi="Arial" w:cs="Arial"/>
          <w:noProof w:val="0"/>
          <w:sz w:val="22"/>
          <w:szCs w:val="22"/>
          <w:rtl/>
          <w:lang w:eastAsia="en-US"/>
        </w:rPr>
        <w:t xml:space="preserve"> </w:t>
      </w:r>
      <w:r>
        <w:rPr>
          <w:rFonts w:ascii="Arial" w:hAnsi="Arial" w:cs="Arial"/>
          <w:b/>
          <w:bCs/>
          <w:noProof w:val="0"/>
          <w:sz w:val="22"/>
          <w:szCs w:val="22"/>
          <w:rtl/>
          <w:lang w:eastAsia="en-US"/>
        </w:rPr>
        <w:t>"לגזור עונש נפרד לכל אירוע או עונש כולל לכל האירועים; גזר בית המשפט עונש נפרד לכל אירוע, יקבע את מידת החפיפה בין העונשים או הצטברותם".</w:t>
      </w:r>
      <w:r>
        <w:rPr>
          <w:rFonts w:ascii="Arial" w:hAnsi="Arial" w:cs="Arial"/>
          <w:noProof w:val="0"/>
          <w:sz w:val="24"/>
          <w:szCs w:val="24"/>
          <w:rtl/>
          <w:lang w:eastAsia="en-US"/>
        </w:rPr>
        <w:t xml:space="preserve"> על פי ס"ק(ג)</w:t>
      </w:r>
      <w:r>
        <w:rPr>
          <w:rFonts w:ascii="Arial" w:hAnsi="Arial" w:cs="Arial"/>
          <w:b/>
          <w:bCs/>
          <w:noProof w:val="0"/>
          <w:sz w:val="22"/>
          <w:szCs w:val="22"/>
          <w:rtl/>
          <w:lang w:eastAsia="en-US"/>
        </w:rPr>
        <w:t xml:space="preserve"> "בגזירת העונש...יתחשב בית המשפט, בין השאר, במספר העבירות, בתדירותן ובזיקה ביניהן, וישמור על יחס הולם בין חומרת מכלול המעשים ומידת אשמו של הנאשם לבין סוג העונש, ואם גזר עונש מאסר – לבין תקופת המאסר שעל הנאשם לשאת".</w:t>
      </w:r>
    </w:p>
    <w:p w14:paraId="131D7D89" w14:textId="77777777" w:rsidR="00543E53" w:rsidRDefault="00543E53" w:rsidP="00543E53">
      <w:pPr>
        <w:pStyle w:val="P00"/>
        <w:spacing w:before="72" w:line="360" w:lineRule="auto"/>
        <w:ind w:left="0"/>
        <w:rPr>
          <w:rFonts w:ascii="Arial" w:hAnsi="Arial" w:cs="Arial"/>
          <w:noProof w:val="0"/>
          <w:sz w:val="24"/>
          <w:szCs w:val="24"/>
          <w:rtl/>
          <w:lang w:eastAsia="en-US"/>
        </w:rPr>
      </w:pPr>
    </w:p>
    <w:p w14:paraId="6D65A2E5" w14:textId="77777777" w:rsidR="00543E53" w:rsidRDefault="00543E53" w:rsidP="00543E53">
      <w:pPr>
        <w:pStyle w:val="P00"/>
        <w:spacing w:before="72" w:line="360" w:lineRule="auto"/>
        <w:ind w:left="0"/>
        <w:rPr>
          <w:rFonts w:ascii="Arial" w:hAnsi="Arial" w:cs="Miriam"/>
          <w:noProof w:val="0"/>
          <w:sz w:val="24"/>
          <w:szCs w:val="24"/>
          <w:rtl/>
          <w:lang w:eastAsia="en-US"/>
        </w:rPr>
      </w:pPr>
      <w:r>
        <w:rPr>
          <w:rFonts w:ascii="Arial" w:hAnsi="Arial" w:cs="Arial"/>
          <w:noProof w:val="0"/>
          <w:sz w:val="24"/>
          <w:szCs w:val="24"/>
          <w:rtl/>
          <w:lang w:eastAsia="en-US"/>
        </w:rPr>
        <w:t xml:space="preserve">הוראת סעיף זה באה במקומה של הוראת </w:t>
      </w:r>
      <w:hyperlink r:id="rId47" w:history="1">
        <w:r w:rsidRPr="00543E53">
          <w:rPr>
            <w:rFonts w:ascii="Arial" w:hAnsi="Arial" w:cs="Arial"/>
            <w:noProof w:val="0"/>
            <w:color w:val="0000FF"/>
            <w:sz w:val="24"/>
            <w:szCs w:val="24"/>
            <w:u w:val="single"/>
            <w:rtl/>
            <w:lang w:eastAsia="en-US"/>
          </w:rPr>
          <w:t>סעיף 45א</w:t>
        </w:r>
      </w:hyperlink>
      <w:r>
        <w:rPr>
          <w:rFonts w:ascii="Arial" w:hAnsi="Arial" w:cs="Arial"/>
          <w:noProof w:val="0"/>
          <w:sz w:val="24"/>
          <w:szCs w:val="24"/>
          <w:rtl/>
          <w:lang w:eastAsia="en-US"/>
        </w:rPr>
        <w:t xml:space="preserve"> לחוק שבוטלה במסגרת תיקון 113, שעל פיה, במצב המשפטי ששרר ערב התיקון</w:t>
      </w:r>
      <w:r>
        <w:rPr>
          <w:rFonts w:ascii="Arial" w:hAnsi="Arial" w:cs="Arial"/>
          <w:b/>
          <w:bCs/>
          <w:noProof w:val="0"/>
          <w:sz w:val="22"/>
          <w:szCs w:val="22"/>
          <w:rtl/>
          <w:lang w:eastAsia="en-US"/>
        </w:rPr>
        <w:t xml:space="preserve"> "מי שנדון במשפט אחד לעונשי מאסר בשל עבירות שונות, ולא הורה בית המשפט שישאם, כולם או מקצתם, בזה אחר זה, לא יישא אלא את עונש המאסר של התקופה הארוכה ביותר".</w:t>
      </w:r>
      <w:r>
        <w:rPr>
          <w:rFonts w:ascii="Arial" w:hAnsi="Arial" w:cs="Arial"/>
          <w:noProof w:val="0"/>
          <w:sz w:val="24"/>
          <w:szCs w:val="24"/>
          <w:rtl/>
          <w:lang w:eastAsia="en-US"/>
        </w:rPr>
        <w:t xml:space="preserve">  בעניין זה נאמר על ידי השופט הנדל, בע"פ 2544/12 הנ"ל: </w:t>
      </w:r>
      <w:r>
        <w:rPr>
          <w:rFonts w:ascii="Arial" w:hAnsi="Arial" w:cs="Miriam"/>
          <w:noProof w:val="0"/>
          <w:sz w:val="24"/>
          <w:szCs w:val="24"/>
          <w:rtl/>
        </w:rPr>
        <w:t>"השוני הוא כי היום אין יותר ברירת מחדל, כאשר השופט לא מציין את מידת החפיפה או הצטברות העונשים שגזר בגין עבירות שונות, אלא השופט מחויב לנקוט עמדה בשאלת היחס בין שני עונשים שהטיל בגזר דין אחד, בגין עבירות המהוות כמה אירועים".</w:t>
      </w:r>
    </w:p>
    <w:p w14:paraId="6F2718E2" w14:textId="77777777" w:rsidR="00543E53" w:rsidRDefault="00543E53" w:rsidP="00543E53">
      <w:pPr>
        <w:spacing w:line="360" w:lineRule="auto"/>
        <w:jc w:val="both"/>
        <w:rPr>
          <w:rFonts w:ascii="Arial" w:hAnsi="Arial" w:cs="Arial"/>
          <w:rtl/>
        </w:rPr>
      </w:pPr>
    </w:p>
    <w:p w14:paraId="49F2934E" w14:textId="77777777" w:rsidR="00543E53" w:rsidRDefault="00543E53" w:rsidP="00543E53">
      <w:pPr>
        <w:spacing w:line="360" w:lineRule="auto"/>
        <w:jc w:val="both"/>
        <w:rPr>
          <w:rFonts w:ascii="Arial" w:hAnsi="Arial" w:cs="Arial"/>
          <w:rtl/>
        </w:rPr>
      </w:pPr>
      <w:r>
        <w:rPr>
          <w:rFonts w:ascii="Arial" w:hAnsi="Arial" w:cs="Arial"/>
          <w:rtl/>
        </w:rPr>
        <w:t xml:space="preserve">ב"כ הנאשם טען כאמור, כי יש לנהוג בנאשם על פי רוחו של </w:t>
      </w:r>
      <w:hyperlink r:id="rId48" w:history="1">
        <w:r w:rsidRPr="00543E53">
          <w:rPr>
            <w:rFonts w:ascii="Arial" w:hAnsi="Arial" w:cs="Arial"/>
            <w:color w:val="0000FF"/>
            <w:u w:val="single"/>
            <w:rtl/>
          </w:rPr>
          <w:t>סעיף 45א</w:t>
        </w:r>
      </w:hyperlink>
      <w:r>
        <w:rPr>
          <w:rFonts w:ascii="Arial" w:hAnsi="Arial" w:cs="Arial"/>
          <w:rtl/>
        </w:rPr>
        <w:t xml:space="preserve"> לחוק, חרף ביטולו, שכן עיתויים של המעשים ומועד הגשת כתב האישום, חלו לפני תיקונו של החוק. </w:t>
      </w:r>
    </w:p>
    <w:p w14:paraId="7A0A0541" w14:textId="77777777" w:rsidR="00543E53" w:rsidRDefault="00543E53" w:rsidP="00543E53">
      <w:pPr>
        <w:spacing w:line="360" w:lineRule="auto"/>
        <w:jc w:val="both"/>
        <w:rPr>
          <w:rFonts w:ascii="Arial" w:hAnsi="Arial" w:cs="Arial"/>
          <w:rtl/>
        </w:rPr>
      </w:pPr>
      <w:r>
        <w:rPr>
          <w:rFonts w:ascii="Arial" w:hAnsi="Arial" w:cs="Arial"/>
          <w:rtl/>
        </w:rPr>
        <w:t xml:space="preserve">גם אם כך היו פני הדברים – אין בטענה זו כדי להושיע את הנאשם. </w:t>
      </w:r>
    </w:p>
    <w:p w14:paraId="6D787A5C" w14:textId="77777777" w:rsidR="00543E53" w:rsidRDefault="00543E53" w:rsidP="00543E53">
      <w:pPr>
        <w:spacing w:line="360" w:lineRule="auto"/>
        <w:jc w:val="both"/>
        <w:rPr>
          <w:rFonts w:ascii="Arial" w:hAnsi="Arial" w:cs="Arial"/>
          <w:rtl/>
        </w:rPr>
      </w:pPr>
      <w:r>
        <w:rPr>
          <w:rFonts w:ascii="Arial" w:hAnsi="Arial" w:cs="Arial"/>
          <w:rtl/>
        </w:rPr>
        <w:t xml:space="preserve">כפי שכבר עלה מהדברים שפורטו לעיל, אין מקום להורות על חפיפת עונשים, במקרה של פגיעה קשה בבני אנוש שונים: </w:t>
      </w:r>
      <w:r>
        <w:rPr>
          <w:rFonts w:ascii="Arial" w:hAnsi="Arial" w:cs="Miriam"/>
          <w:rtl/>
        </w:rPr>
        <w:t>"אדם - כל אדם - הוא עולם לעצמו. אדם - כל אדם - הוא אחד, יחיד ומיוחד. ואין אדם כאדם. מי שהיה לא עוד יהיה ומי שהלך לא ישוב ..."</w:t>
      </w:r>
      <w:r>
        <w:rPr>
          <w:rFonts w:ascii="Arial" w:hAnsi="Arial" w:cs="Arial"/>
          <w:rtl/>
        </w:rPr>
        <w:t xml:space="preserve"> (דברי השופט מ' חשין, בפרשת פופר, ע' 303). </w:t>
      </w:r>
    </w:p>
    <w:p w14:paraId="41FAFD0E" w14:textId="77777777" w:rsidR="00543E53" w:rsidRDefault="00543E53" w:rsidP="00543E53">
      <w:pPr>
        <w:spacing w:line="360" w:lineRule="auto"/>
        <w:jc w:val="both"/>
        <w:rPr>
          <w:rFonts w:ascii="Arial" w:hAnsi="Arial" w:cs="Arial"/>
          <w:rtl/>
        </w:rPr>
      </w:pPr>
      <w:r>
        <w:rPr>
          <w:rFonts w:ascii="Arial" w:hAnsi="Arial" w:cs="Arial"/>
          <w:rtl/>
        </w:rPr>
        <w:t xml:space="preserve">אמות המידה לבחינת שאלת הצטברות העונשים, תיקבע, בין היתר, כמפורט בע"פ 2544/12, על פי - </w:t>
      </w:r>
    </w:p>
    <w:p w14:paraId="54CACFA3" w14:textId="77777777" w:rsidR="00543E53" w:rsidRDefault="00543E53" w:rsidP="00543E53">
      <w:pPr>
        <w:ind w:left="567" w:right="567"/>
        <w:jc w:val="both"/>
        <w:rPr>
          <w:rFonts w:ascii="Arial" w:hAnsi="Arial" w:cs="Miriam"/>
          <w:rtl/>
        </w:rPr>
      </w:pPr>
      <w:r>
        <w:rPr>
          <w:rFonts w:ascii="Arial" w:hAnsi="Arial" w:cs="Miriam"/>
          <w:rtl/>
        </w:rPr>
        <w:t xml:space="preserve">"משקלם של שיקולי גמול והרתעה בנסיבות המקרה; עבירות שבוצעו בנסיבות קשות או שבוצעו בברוטליות; עבירות שהינן מובחנות ועצמאיות זו מזו וכן האינטרס העצמאי של כל אחד מן הקורבנות לשלמות גופו ונפשו [ראו למשל: עניין קוזירוב, בעמ' 571-569; </w:t>
      </w:r>
      <w:hyperlink r:id="rId49" w:history="1">
        <w:r w:rsidRPr="00465D2C">
          <w:rPr>
            <w:rFonts w:ascii="Arial" w:hAnsi="Arial" w:cs="Miriam"/>
            <w:color w:val="0000FF"/>
            <w:u w:val="single"/>
            <w:rtl/>
          </w:rPr>
          <w:t>ע"פ 399/89 מדינת ישראל נ' זלום, פ"ד מו</w:t>
        </w:r>
      </w:hyperlink>
      <w:r>
        <w:rPr>
          <w:rFonts w:ascii="Arial" w:hAnsi="Arial" w:cs="Miriam"/>
          <w:rtl/>
        </w:rPr>
        <w:t xml:space="preserve">(2) 187, 193-192 (1992)]." </w:t>
      </w:r>
    </w:p>
    <w:p w14:paraId="038C79FC" w14:textId="77777777" w:rsidR="00543E53" w:rsidRDefault="00543E53" w:rsidP="00543E53">
      <w:pPr>
        <w:spacing w:line="360" w:lineRule="auto"/>
        <w:jc w:val="both"/>
        <w:rPr>
          <w:rFonts w:ascii="Arial" w:hAnsi="Arial" w:cs="Arial"/>
          <w:rtl/>
        </w:rPr>
      </w:pPr>
    </w:p>
    <w:p w14:paraId="3F305CE3" w14:textId="77777777" w:rsidR="00543E53" w:rsidRDefault="00543E53" w:rsidP="00543E53">
      <w:pPr>
        <w:spacing w:line="360" w:lineRule="auto"/>
        <w:jc w:val="both"/>
        <w:rPr>
          <w:rFonts w:ascii="Arial" w:hAnsi="Arial" w:cs="Arial"/>
          <w:rtl/>
        </w:rPr>
      </w:pPr>
      <w:r>
        <w:rPr>
          <w:rFonts w:ascii="Arial" w:hAnsi="Arial" w:cs="Arial"/>
          <w:rtl/>
        </w:rPr>
        <w:t>בעניינו של הנאשם מתקיימים שיקולי גמול והרתעה ברורים, הן בהיבט האישי והמשפחתי,  והן נוכח מעגל הדמים הבלתי פוסק, אליו נגררים רבים מבני החברה הבדואית, מתוך תפיסות מעוותות של "עין תחת עין", המעוגנות בצרכי נקמה, לעיתים כבענייננו, ללא כל אבחנה באשר לזהות הנפגעים, אשר יש לשרשן בענישה קשה ומרתיעה. מעשיו של הנאשם בוצעו לאחר תכנון, בקור רוח, ללא כל רחמים או נקיפות מצפון, כנגד אנשים צעירים על סף חייהם הבגירים, והמיטו אסון ופגיעה רב רבדית במשפחות הקורבנות, כפי שעלה מתסקירי שירות המבחן.</w:t>
      </w:r>
    </w:p>
    <w:p w14:paraId="3D684DFA" w14:textId="77777777" w:rsidR="00543E53" w:rsidRDefault="00543E53" w:rsidP="00543E53">
      <w:pPr>
        <w:spacing w:line="360" w:lineRule="auto"/>
        <w:jc w:val="both"/>
        <w:rPr>
          <w:rFonts w:ascii="Arial" w:hAnsi="Arial" w:cs="Arial"/>
          <w:rtl/>
        </w:rPr>
      </w:pPr>
    </w:p>
    <w:p w14:paraId="65843DAB" w14:textId="77777777" w:rsidR="00543E53" w:rsidRDefault="00543E53" w:rsidP="00543E53">
      <w:pPr>
        <w:spacing w:line="360" w:lineRule="auto"/>
        <w:jc w:val="both"/>
        <w:rPr>
          <w:rFonts w:ascii="Arial" w:hAnsi="Arial" w:cs="Arial"/>
          <w:rtl/>
        </w:rPr>
      </w:pPr>
      <w:r>
        <w:rPr>
          <w:rFonts w:ascii="Arial" w:hAnsi="Arial" w:cs="Arial"/>
          <w:rtl/>
        </w:rPr>
        <w:t xml:space="preserve">ב"כ הנאשם טען, כי יש להורות על הטלת עונש מצומצם בהיקפו, כדי להותיר בפני הנאשם פתח של תקווה, גם לאור העובדה כי אם ייקצב עונש מאסר העולם שייגזר עליו, על פי הוראות </w:t>
      </w:r>
      <w:hyperlink r:id="rId50" w:history="1">
        <w:r w:rsidRPr="00465D2C">
          <w:rPr>
            <w:rFonts w:ascii="Arial" w:hAnsi="Arial" w:cs="Arial"/>
            <w:color w:val="0000FF"/>
            <w:u w:val="single"/>
            <w:rtl/>
          </w:rPr>
          <w:t>חוק שחרור על תנאי ממאסר</w:t>
        </w:r>
      </w:hyperlink>
      <w:r>
        <w:rPr>
          <w:rFonts w:ascii="Arial" w:hAnsi="Arial" w:cs="Arial"/>
          <w:rtl/>
        </w:rPr>
        <w:t xml:space="preserve">, הרי שיהיה על הנאשם לרצות 30 שנות מאסר, בטרם תידון בעניינו ועדת השחרורים על פי חוק זה. </w:t>
      </w:r>
    </w:p>
    <w:p w14:paraId="1D3EBEC3" w14:textId="77777777" w:rsidR="00543E53" w:rsidRDefault="00543E53" w:rsidP="00543E53">
      <w:pPr>
        <w:spacing w:line="360" w:lineRule="auto"/>
        <w:jc w:val="both"/>
        <w:rPr>
          <w:rFonts w:ascii="Arial" w:hAnsi="Arial" w:cs="Arial"/>
          <w:rtl/>
        </w:rPr>
      </w:pPr>
      <w:r>
        <w:rPr>
          <w:rFonts w:ascii="Arial" w:hAnsi="Arial" w:cs="Arial"/>
          <w:rtl/>
        </w:rPr>
        <w:t xml:space="preserve">בהקשר זה יש לציין, כי חפיפת עונשים בעבירות של קיפוח חיי אדם ואף פגיעה קשה בגוף יש עימה </w:t>
      </w:r>
      <w:r>
        <w:rPr>
          <w:rFonts w:ascii="Arial" w:hAnsi="Arial" w:cs="Miriam"/>
          <w:rtl/>
        </w:rPr>
        <w:t xml:space="preserve">"מזעור של הזוועה", </w:t>
      </w:r>
      <w:r>
        <w:rPr>
          <w:rFonts w:ascii="Arial" w:hAnsi="Arial" w:cs="Arial"/>
          <w:rtl/>
        </w:rPr>
        <w:t xml:space="preserve">כדברי הנשיא שמגר, בעניין </w:t>
      </w:r>
      <w:r>
        <w:rPr>
          <w:rFonts w:ascii="Arial" w:hAnsi="Arial" w:cs="Miriam"/>
          <w:rtl/>
        </w:rPr>
        <w:t>זלום</w:t>
      </w:r>
      <w:r>
        <w:rPr>
          <w:rFonts w:ascii="Arial" w:hAnsi="Arial" w:cs="Arial"/>
          <w:rtl/>
        </w:rPr>
        <w:t xml:space="preserve">, ואף יש לתת את הדעת לכך שהטלת עונש של מאסר עולם בלבד, ללא ענישה על עבירות קשות נלוות, הינה בבחינת </w:t>
      </w:r>
      <w:r>
        <w:rPr>
          <w:rFonts w:ascii="Arial" w:hAnsi="Arial" w:cs="Miriam"/>
          <w:rtl/>
        </w:rPr>
        <w:t>"היתר לעבור עבירות נוספות ככל העולה על רוחו ללא סיכון של עונש"</w:t>
      </w:r>
      <w:r>
        <w:rPr>
          <w:rFonts w:ascii="Arial" w:hAnsi="Arial" w:cs="Arial"/>
          <w:rtl/>
        </w:rPr>
        <w:t xml:space="preserve"> (שם, פסקה 8). עוד יש לציין, כי שוקלת גם העובדה, כי חרף בליל הגרסאות שהעלה, לא הכחיש הנאשם מעולם, כי הירי לעבר המנוח ומאג'ד, בוצע על רקע מעשי האלימות בין המשפחות, בהם נטל חלק, הוא עצמו, באירוע הקודם עליו נדון. חרף זאת, לא גילה הנאשם כל חרטה או אמפטיה לקורבנות העבירות, ולא גינה את המעשים, ונראה כי גמירות הדעת והנחרצות שנתגלו בביצוע המעשים, שאף באו לידי ביטוי במעורבות הנאשם באירוע הקודם, שהיה כרוך אף הוא בהחזקת נשק ומעורבות מאיימת באירוע אלים, עדיין שרירה ומפעמת בקרב הנאשם. עוד אציין, כי גם בתפ"ח (מרכז) 1028/05, אליו הפנה הסניגור בסיכומיו, הוטל עונש נפרד, בן 20 שנות מאסר, שחציו ירוצה באופן מצטבר לעונש של מאסר העולם שהוטל באותו מקרה. </w:t>
      </w:r>
    </w:p>
    <w:p w14:paraId="0B28F910" w14:textId="77777777" w:rsidR="00543E53" w:rsidRDefault="00543E53" w:rsidP="00543E53">
      <w:pPr>
        <w:spacing w:line="360" w:lineRule="auto"/>
        <w:jc w:val="both"/>
        <w:rPr>
          <w:rFonts w:ascii="Arial" w:hAnsi="Arial" w:cs="Arial"/>
          <w:rtl/>
        </w:rPr>
      </w:pPr>
    </w:p>
    <w:p w14:paraId="3DE79375" w14:textId="77777777" w:rsidR="00543E53" w:rsidRDefault="00543E53" w:rsidP="00543E53">
      <w:pPr>
        <w:spacing w:line="360" w:lineRule="auto"/>
        <w:jc w:val="both"/>
        <w:rPr>
          <w:rFonts w:ascii="Arial" w:hAnsi="Arial" w:cs="Arial"/>
          <w:rtl/>
        </w:rPr>
      </w:pPr>
      <w:r>
        <w:rPr>
          <w:rFonts w:ascii="Arial" w:hAnsi="Arial" w:cs="Arial"/>
          <w:rtl/>
        </w:rPr>
        <w:t xml:space="preserve">עם זאת, בהתחשב בנסיבות הרלוונטיות שאינן קשורות בביצוע העבירה – שאינן מרובות בעניינו של הנאשם - אותן יש לשקול במסגרת </w:t>
      </w:r>
      <w:hyperlink r:id="rId51" w:history="1">
        <w:r w:rsidRPr="00543E53">
          <w:rPr>
            <w:rFonts w:ascii="Arial" w:hAnsi="Arial" w:cs="Arial"/>
            <w:color w:val="0000FF"/>
            <w:u w:val="single"/>
            <w:rtl/>
          </w:rPr>
          <w:t>סעיף 40יא</w:t>
        </w:r>
      </w:hyperlink>
      <w:r>
        <w:rPr>
          <w:rFonts w:ascii="Arial" w:hAnsi="Arial" w:cs="Arial"/>
          <w:rtl/>
        </w:rPr>
        <w:t xml:space="preserve"> לחוק, לצורך קביעת העונש בתוך מתחם העונש, תינתן הדעת לגילו הצעיר של הנאשם בשעת ביצוע המעשים, להיעדר עבר פלילי, למעט זה הקשור בסכסוך בין המשפחות, ולנסיבות האישיות והמשפחתיות שפורטו בתסקיר המבחן.  </w:t>
      </w:r>
    </w:p>
    <w:p w14:paraId="7810D5A1" w14:textId="77777777" w:rsidR="00543E53" w:rsidRDefault="00543E53" w:rsidP="00543E53">
      <w:pPr>
        <w:spacing w:line="360" w:lineRule="auto"/>
        <w:jc w:val="both"/>
        <w:rPr>
          <w:rFonts w:ascii="Arial" w:hAnsi="Arial" w:cs="Arial"/>
          <w:rtl/>
        </w:rPr>
      </w:pPr>
    </w:p>
    <w:p w14:paraId="38E0716F" w14:textId="77777777" w:rsidR="00543E53" w:rsidRDefault="00543E53" w:rsidP="00543E53">
      <w:pPr>
        <w:pStyle w:val="filenumber0"/>
        <w:jc w:val="both"/>
        <w:rPr>
          <w:rFonts w:ascii="Arial" w:hAnsi="Arial" w:cs="Arial"/>
          <w:sz w:val="24"/>
          <w:szCs w:val="24"/>
          <w:rtl/>
          <w:lang w:eastAsia="en-US"/>
        </w:rPr>
      </w:pPr>
      <w:r>
        <w:rPr>
          <w:rFonts w:ascii="Arial" w:hAnsi="Arial" w:cs="Arial"/>
          <w:sz w:val="24"/>
          <w:szCs w:val="24"/>
          <w:rtl/>
          <w:lang w:eastAsia="en-US"/>
        </w:rPr>
        <w:t xml:space="preserve">נוכח התוצאות הרות האסון שהמיט הנאשם במעשיו הנפשעים, על ההשלכות הקשות הנודעות למעשים למשפחת המנוח ומאג'ד, ולנוכח חשיבות מתן פיצוי לנפגעי העבירות, כעולה מהתסקירים, הרי שיש מקום להשתת פיצוי ממשי שאינו אמור כלל, מעיקרו, לשקף ולהתחשב במצבו הכלכלי הנטען (בעניין זה ראו, </w:t>
      </w:r>
      <w:hyperlink r:id="rId52" w:history="1">
        <w:r w:rsidRPr="00465D2C">
          <w:rPr>
            <w:rFonts w:ascii="Arial" w:hAnsi="Arial" w:cs="Arial"/>
            <w:color w:val="0000FF"/>
            <w:sz w:val="24"/>
            <w:szCs w:val="24"/>
            <w:u w:val="single"/>
            <w:rtl/>
            <w:lang w:eastAsia="en-US"/>
          </w:rPr>
          <w:t>ע"פ 5761/05</w:t>
        </w:r>
      </w:hyperlink>
      <w:r>
        <w:rPr>
          <w:rFonts w:ascii="Arial" w:hAnsi="Arial" w:cs="Arial"/>
          <w:sz w:val="24"/>
          <w:szCs w:val="24"/>
          <w:rtl/>
          <w:lang w:eastAsia="en-US"/>
        </w:rPr>
        <w:t xml:space="preserve"> </w:t>
      </w:r>
      <w:r>
        <w:rPr>
          <w:rFonts w:ascii="Arial" w:hAnsi="Arial" w:cs="Miriam"/>
          <w:sz w:val="24"/>
          <w:szCs w:val="24"/>
          <w:rtl/>
          <w:lang w:eastAsia="en-US"/>
        </w:rPr>
        <w:t>וחידי מג'דלאוי נ' מדינת ישראל,</w:t>
      </w:r>
      <w:r>
        <w:rPr>
          <w:rFonts w:ascii="Arial" w:hAnsi="Arial" w:cs="Arial"/>
          <w:sz w:val="24"/>
          <w:szCs w:val="24"/>
          <w:rtl/>
          <w:lang w:eastAsia="en-US"/>
        </w:rPr>
        <w:t xml:space="preserve"> ניתן ביום 24.7.2006). </w:t>
      </w:r>
    </w:p>
    <w:p w14:paraId="156C7130" w14:textId="77777777" w:rsidR="00543E53" w:rsidRDefault="00543E53" w:rsidP="00543E53">
      <w:pPr>
        <w:pStyle w:val="filenumber0"/>
        <w:jc w:val="both"/>
        <w:rPr>
          <w:rFonts w:ascii="Arial" w:hAnsi="Arial" w:cs="Arial"/>
          <w:sz w:val="24"/>
          <w:szCs w:val="24"/>
          <w:rtl/>
          <w:lang w:eastAsia="en-US"/>
        </w:rPr>
      </w:pPr>
    </w:p>
    <w:p w14:paraId="7C3F0B50" w14:textId="77777777" w:rsidR="00543E53" w:rsidRDefault="00543E53" w:rsidP="00543E53">
      <w:pPr>
        <w:pStyle w:val="filenumber0"/>
        <w:jc w:val="both"/>
        <w:rPr>
          <w:rFonts w:ascii="Arial" w:hAnsi="Arial" w:cs="Arial"/>
          <w:sz w:val="24"/>
          <w:szCs w:val="24"/>
          <w:rtl/>
          <w:lang w:eastAsia="en-US"/>
        </w:rPr>
      </w:pPr>
      <w:r>
        <w:rPr>
          <w:rFonts w:ascii="Arial" w:hAnsi="Arial" w:cs="Arial"/>
          <w:sz w:val="24"/>
          <w:szCs w:val="24"/>
          <w:rtl/>
          <w:lang w:eastAsia="en-US"/>
        </w:rPr>
        <w:t xml:space="preserve">סופו של דבר, </w:t>
      </w:r>
      <w:r>
        <w:rPr>
          <w:rFonts w:ascii="Arial" w:hAnsi="Arial" w:cs="Arial" w:hint="cs"/>
          <w:sz w:val="24"/>
          <w:szCs w:val="24"/>
          <w:rtl/>
          <w:lang w:eastAsia="en-US"/>
        </w:rPr>
        <w:t>אנו משיתים</w:t>
      </w:r>
      <w:r>
        <w:rPr>
          <w:rFonts w:ascii="Arial" w:hAnsi="Arial" w:cs="Arial"/>
          <w:sz w:val="24"/>
          <w:szCs w:val="24"/>
          <w:rtl/>
          <w:lang w:eastAsia="en-US"/>
        </w:rPr>
        <w:t xml:space="preserve"> על הנאשם עונשים אלה:</w:t>
      </w:r>
    </w:p>
    <w:p w14:paraId="19A1E3D7" w14:textId="77777777" w:rsidR="00543E53" w:rsidRDefault="00543E53" w:rsidP="00543E53">
      <w:pPr>
        <w:pStyle w:val="filenumber0"/>
        <w:jc w:val="both"/>
        <w:rPr>
          <w:rFonts w:ascii="Arial" w:hAnsi="Arial" w:cs="Arial"/>
          <w:sz w:val="24"/>
          <w:szCs w:val="24"/>
          <w:rtl/>
          <w:lang w:eastAsia="en-US"/>
        </w:rPr>
      </w:pPr>
    </w:p>
    <w:p w14:paraId="72AE789B" w14:textId="77777777" w:rsidR="00543E53" w:rsidRDefault="00543E53" w:rsidP="00543E53">
      <w:pPr>
        <w:pStyle w:val="filenumber0"/>
        <w:jc w:val="both"/>
        <w:rPr>
          <w:rFonts w:ascii="Arial" w:hAnsi="Arial" w:cs="Arial"/>
          <w:sz w:val="24"/>
          <w:szCs w:val="24"/>
          <w:rtl/>
          <w:lang w:eastAsia="en-US"/>
        </w:rPr>
      </w:pPr>
      <w:r>
        <w:rPr>
          <w:rFonts w:ascii="Arial" w:hAnsi="Arial" w:cs="Arial"/>
          <w:sz w:val="24"/>
          <w:szCs w:val="24"/>
          <w:rtl/>
          <w:lang w:eastAsia="en-US"/>
        </w:rPr>
        <w:t xml:space="preserve">בגין עבירות הרצח, קשירת קשר, והחזקת הנשק  – </w:t>
      </w:r>
      <w:r>
        <w:rPr>
          <w:rFonts w:ascii="Arial" w:hAnsi="Arial" w:cs="Arial"/>
          <w:b/>
          <w:bCs/>
          <w:sz w:val="24"/>
          <w:szCs w:val="24"/>
          <w:rtl/>
          <w:lang w:eastAsia="en-US"/>
        </w:rPr>
        <w:t>עונש של מאסר עולם</w:t>
      </w:r>
      <w:r>
        <w:rPr>
          <w:rFonts w:ascii="Arial" w:hAnsi="Arial" w:cs="Arial"/>
          <w:sz w:val="24"/>
          <w:szCs w:val="24"/>
          <w:rtl/>
          <w:lang w:eastAsia="en-US"/>
        </w:rPr>
        <w:t xml:space="preserve">. </w:t>
      </w:r>
    </w:p>
    <w:p w14:paraId="2A55D9C8" w14:textId="77777777" w:rsidR="00543E53" w:rsidRDefault="00543E53" w:rsidP="00543E53">
      <w:pPr>
        <w:pStyle w:val="filenumber0"/>
        <w:jc w:val="both"/>
        <w:rPr>
          <w:rFonts w:ascii="Arial" w:hAnsi="Arial" w:cs="Arial"/>
          <w:sz w:val="24"/>
          <w:szCs w:val="24"/>
          <w:rtl/>
          <w:lang w:eastAsia="en-US"/>
        </w:rPr>
      </w:pPr>
    </w:p>
    <w:p w14:paraId="3A9090B8" w14:textId="77777777" w:rsidR="00543E53" w:rsidRDefault="00543E53" w:rsidP="00543E53">
      <w:pPr>
        <w:pStyle w:val="filenumber0"/>
        <w:jc w:val="both"/>
        <w:rPr>
          <w:rFonts w:ascii="Arial" w:hAnsi="Arial" w:cs="Arial"/>
          <w:sz w:val="24"/>
          <w:szCs w:val="24"/>
          <w:rtl/>
          <w:lang w:eastAsia="en-US"/>
        </w:rPr>
      </w:pPr>
      <w:r>
        <w:rPr>
          <w:rFonts w:ascii="Arial" w:hAnsi="Arial" w:cs="Arial"/>
          <w:sz w:val="24"/>
          <w:szCs w:val="24"/>
          <w:rtl/>
          <w:lang w:eastAsia="en-US"/>
        </w:rPr>
        <w:t xml:space="preserve">בגין עבירות של ניסיון לרצח וגרימת חבלה חמורה בנסיבות חמורות – עונש כולל של </w:t>
      </w:r>
      <w:r>
        <w:rPr>
          <w:rFonts w:ascii="Arial" w:hAnsi="Arial" w:cs="Arial"/>
          <w:b/>
          <w:bCs/>
          <w:sz w:val="24"/>
          <w:szCs w:val="24"/>
          <w:rtl/>
          <w:lang w:eastAsia="en-US"/>
        </w:rPr>
        <w:t>12 שנות מאסר.</w:t>
      </w:r>
      <w:r>
        <w:rPr>
          <w:rFonts w:ascii="Arial" w:hAnsi="Arial" w:cs="Arial"/>
          <w:sz w:val="24"/>
          <w:szCs w:val="24"/>
          <w:rtl/>
          <w:lang w:eastAsia="en-US"/>
        </w:rPr>
        <w:t xml:space="preserve"> </w:t>
      </w:r>
      <w:r>
        <w:rPr>
          <w:rFonts w:ascii="Arial" w:hAnsi="Arial" w:cs="Arial" w:hint="cs"/>
          <w:sz w:val="24"/>
          <w:szCs w:val="24"/>
          <w:rtl/>
          <w:lang w:eastAsia="en-US"/>
        </w:rPr>
        <w:t xml:space="preserve">עונשי המאסר </w:t>
      </w:r>
      <w:r>
        <w:rPr>
          <w:rFonts w:ascii="Arial" w:hAnsi="Arial" w:cs="Arial"/>
          <w:b/>
          <w:bCs/>
          <w:sz w:val="24"/>
          <w:szCs w:val="24"/>
          <w:rtl/>
          <w:lang w:eastAsia="en-US"/>
        </w:rPr>
        <w:t>מצטברים</w:t>
      </w:r>
      <w:r>
        <w:rPr>
          <w:rFonts w:ascii="Arial" w:hAnsi="Arial" w:cs="Arial"/>
          <w:sz w:val="24"/>
          <w:szCs w:val="24"/>
          <w:rtl/>
          <w:lang w:eastAsia="en-US"/>
        </w:rPr>
        <w:t xml:space="preserve"> זה לזה</w:t>
      </w:r>
      <w:r>
        <w:rPr>
          <w:rFonts w:ascii="Arial" w:hAnsi="Arial" w:cs="Arial" w:hint="cs"/>
          <w:sz w:val="24"/>
          <w:szCs w:val="24"/>
          <w:rtl/>
          <w:lang w:eastAsia="en-US"/>
        </w:rPr>
        <w:t xml:space="preserve">. </w:t>
      </w:r>
    </w:p>
    <w:p w14:paraId="570CAC1F" w14:textId="77777777" w:rsidR="00543E53" w:rsidRDefault="00543E53" w:rsidP="00543E53">
      <w:pPr>
        <w:pStyle w:val="filenumber0"/>
        <w:jc w:val="both"/>
        <w:rPr>
          <w:rFonts w:ascii="Arial" w:hAnsi="Arial" w:cs="Arial"/>
          <w:sz w:val="24"/>
          <w:szCs w:val="24"/>
          <w:rtl/>
          <w:lang w:eastAsia="en-US"/>
        </w:rPr>
      </w:pPr>
      <w:r>
        <w:rPr>
          <w:rFonts w:ascii="Arial" w:hAnsi="Arial" w:cs="Arial"/>
          <w:sz w:val="24"/>
          <w:szCs w:val="24"/>
          <w:rtl/>
          <w:lang w:eastAsia="en-US"/>
        </w:rPr>
        <w:t>ה</w:t>
      </w:r>
      <w:r>
        <w:rPr>
          <w:rFonts w:ascii="Arial" w:hAnsi="Arial" w:cs="Arial" w:hint="cs"/>
          <w:sz w:val="24"/>
          <w:szCs w:val="24"/>
          <w:rtl/>
          <w:lang w:eastAsia="en-US"/>
        </w:rPr>
        <w:t>מאסר ייחשב</w:t>
      </w:r>
      <w:r>
        <w:rPr>
          <w:rFonts w:ascii="Arial" w:hAnsi="Arial" w:cs="Arial"/>
          <w:sz w:val="24"/>
          <w:szCs w:val="24"/>
          <w:rtl/>
          <w:lang w:eastAsia="en-US"/>
        </w:rPr>
        <w:t xml:space="preserve"> </w:t>
      </w:r>
      <w:r>
        <w:rPr>
          <w:rFonts w:ascii="Arial" w:hAnsi="Arial" w:cs="Arial" w:hint="cs"/>
          <w:sz w:val="24"/>
          <w:szCs w:val="24"/>
          <w:rtl/>
          <w:lang w:eastAsia="en-US"/>
        </w:rPr>
        <w:t xml:space="preserve">החל מהיום בו סיים הנאשם לרצות את עונש המאסר </w:t>
      </w:r>
      <w:r>
        <w:rPr>
          <w:rFonts w:ascii="Arial" w:hAnsi="Arial" w:cs="Arial"/>
          <w:sz w:val="24"/>
          <w:szCs w:val="24"/>
          <w:rtl/>
          <w:lang w:eastAsia="en-US"/>
        </w:rPr>
        <w:t>ב</w:t>
      </w:r>
      <w:hyperlink r:id="rId53" w:history="1">
        <w:r w:rsidRPr="00465D2C">
          <w:rPr>
            <w:rFonts w:ascii="Arial" w:hAnsi="Arial" w:cs="Arial"/>
            <w:color w:val="0000FF"/>
            <w:sz w:val="24"/>
            <w:szCs w:val="24"/>
            <w:u w:val="single"/>
            <w:rtl/>
            <w:lang w:eastAsia="en-US"/>
          </w:rPr>
          <w:t>ת"פ (ב"ש) 29651-10-10</w:t>
        </w:r>
      </w:hyperlink>
      <w:r>
        <w:rPr>
          <w:rFonts w:ascii="Arial" w:hAnsi="Arial" w:cs="Arial"/>
          <w:sz w:val="24"/>
          <w:szCs w:val="24"/>
          <w:rtl/>
          <w:lang w:eastAsia="en-US"/>
        </w:rPr>
        <w:t xml:space="preserve">. </w:t>
      </w:r>
    </w:p>
    <w:p w14:paraId="1C3413D4" w14:textId="77777777" w:rsidR="00543E53" w:rsidRDefault="00543E53" w:rsidP="00543E53">
      <w:pPr>
        <w:pStyle w:val="filenumber0"/>
        <w:jc w:val="both"/>
        <w:rPr>
          <w:rFonts w:ascii="Arial" w:hAnsi="Arial" w:cs="Arial"/>
          <w:sz w:val="24"/>
          <w:szCs w:val="24"/>
          <w:rtl/>
          <w:lang w:eastAsia="en-US"/>
        </w:rPr>
      </w:pPr>
    </w:p>
    <w:p w14:paraId="14E97B71" w14:textId="77777777" w:rsidR="00543E53" w:rsidRDefault="00543E53" w:rsidP="00543E53">
      <w:pPr>
        <w:pStyle w:val="filenumber0"/>
        <w:jc w:val="both"/>
        <w:rPr>
          <w:rFonts w:ascii="Arial" w:hAnsi="Arial" w:cs="Arial"/>
          <w:sz w:val="24"/>
          <w:szCs w:val="24"/>
          <w:rtl/>
          <w:lang w:eastAsia="en-US"/>
        </w:rPr>
      </w:pPr>
      <w:r>
        <w:rPr>
          <w:rFonts w:ascii="Arial" w:hAnsi="Arial" w:cs="Arial"/>
          <w:sz w:val="24"/>
          <w:szCs w:val="24"/>
          <w:rtl/>
          <w:lang w:eastAsia="en-US"/>
        </w:rPr>
        <w:t>בנוסף, ישלם הנאשם פיצוי בסך של 200,000 ₪ להוריו של המנוח, רביע אבו עמאר, ופיצוי נוסף בסך של 130,000 ₪ למאג'ד אבו עמאר.</w:t>
      </w:r>
    </w:p>
    <w:p w14:paraId="5C316635" w14:textId="77777777" w:rsidR="00543E53" w:rsidRDefault="00543E53" w:rsidP="00543E53">
      <w:pPr>
        <w:pStyle w:val="filenumber0"/>
        <w:jc w:val="both"/>
        <w:rPr>
          <w:rFonts w:ascii="Arial" w:hAnsi="Arial" w:cs="Arial"/>
          <w:sz w:val="24"/>
          <w:szCs w:val="24"/>
          <w:rtl/>
          <w:lang w:eastAsia="en-US"/>
        </w:rPr>
      </w:pPr>
    </w:p>
    <w:p w14:paraId="6E2AD605" w14:textId="77777777" w:rsidR="00543E53" w:rsidRDefault="00543E53" w:rsidP="00543E53">
      <w:pPr>
        <w:pStyle w:val="filenumber0"/>
        <w:jc w:val="both"/>
        <w:rPr>
          <w:rFonts w:ascii="Arial" w:hAnsi="Arial" w:cs="Arial"/>
          <w:b/>
          <w:bCs/>
          <w:sz w:val="24"/>
          <w:szCs w:val="24"/>
          <w:u w:val="single"/>
          <w:rtl/>
          <w:lang w:eastAsia="en-US"/>
        </w:rPr>
      </w:pPr>
      <w:r>
        <w:rPr>
          <w:rFonts w:ascii="Arial" w:hAnsi="Arial" w:cs="Arial"/>
          <w:b/>
          <w:bCs/>
          <w:sz w:val="24"/>
          <w:szCs w:val="24"/>
          <w:u w:val="single"/>
          <w:rtl/>
          <w:lang w:eastAsia="en-US"/>
        </w:rPr>
        <w:t xml:space="preserve">זכות ערעור תוך 45 יום מהיום.  </w:t>
      </w:r>
    </w:p>
    <w:p w14:paraId="7C6164B1" w14:textId="77777777" w:rsidR="006D4D61" w:rsidRPr="00465D2C" w:rsidRDefault="006D4D61">
      <w:pPr>
        <w:rPr>
          <w:rFonts w:ascii="Arial" w:hAnsi="Arial" w:cs="Arial"/>
          <w:rtl/>
        </w:rPr>
      </w:pPr>
    </w:p>
    <w:p w14:paraId="3F60C347" w14:textId="77777777" w:rsidR="006D4D61" w:rsidRDefault="006D4D61">
      <w:pPr>
        <w:rPr>
          <w:rFonts w:ascii="Arial" w:hAnsi="Arial" w:cs="Arial"/>
          <w:rtl/>
        </w:rPr>
      </w:pPr>
    </w:p>
    <w:p w14:paraId="7E3040B3" w14:textId="77777777" w:rsidR="006D4D61" w:rsidRDefault="00465D2C">
      <w:pPr>
        <w:rPr>
          <w:rFonts w:ascii="Arial" w:hAnsi="Arial"/>
          <w:rtl/>
        </w:rPr>
      </w:pPr>
      <w:r>
        <w:rPr>
          <w:rFonts w:ascii="Arial" w:hAnsi="Arial" w:cs="Arial"/>
          <w:rtl/>
        </w:rPr>
        <w:t xml:space="preserve">ניתנה היום, כ"ח אלול, תשע"ד (23 ספטמבר 2014), במעמד הנאשם והצדדים.  </w:t>
      </w:r>
    </w:p>
    <w:p w14:paraId="1C2EFEED" w14:textId="77777777" w:rsidR="006D4D61" w:rsidRDefault="00465D2C">
      <w:pPr>
        <w:rPr>
          <w:rtl/>
        </w:rPr>
      </w:pPr>
      <w:r>
        <w:rPr>
          <w:rFonts w:hint="cs"/>
          <w:rtl/>
        </w:rPr>
        <w:t xml:space="preserve">                                </w:t>
      </w:r>
    </w:p>
    <w:tbl>
      <w:tblPr>
        <w:bidiVisual/>
        <w:tblW w:w="0" w:type="auto"/>
        <w:tblLook w:val="01E0" w:firstRow="1" w:lastRow="1" w:firstColumn="1" w:lastColumn="1" w:noHBand="0" w:noVBand="0"/>
      </w:tblPr>
      <w:tblGrid>
        <w:gridCol w:w="2654"/>
        <w:gridCol w:w="236"/>
        <w:gridCol w:w="2104"/>
        <w:gridCol w:w="236"/>
        <w:gridCol w:w="2464"/>
      </w:tblGrid>
      <w:tr w:rsidR="006D4D61" w14:paraId="5101D90A" w14:textId="77777777">
        <w:tc>
          <w:tcPr>
            <w:tcW w:w="2654" w:type="dxa"/>
            <w:tcBorders>
              <w:top w:val="nil"/>
              <w:left w:val="nil"/>
              <w:bottom w:val="single" w:sz="4" w:space="0" w:color="auto"/>
              <w:right w:val="nil"/>
            </w:tcBorders>
            <w:vAlign w:val="center"/>
          </w:tcPr>
          <w:p w14:paraId="51F69327" w14:textId="77777777" w:rsidR="006D4D61" w:rsidRDefault="006D4D61">
            <w:pPr>
              <w:jc w:val="center"/>
              <w:rPr>
                <w:rFonts w:ascii="Courier New" w:hAnsi="Courier New"/>
                <w:b/>
                <w:bCs/>
              </w:rPr>
            </w:pPr>
          </w:p>
        </w:tc>
        <w:tc>
          <w:tcPr>
            <w:tcW w:w="236" w:type="dxa"/>
            <w:vAlign w:val="center"/>
          </w:tcPr>
          <w:p w14:paraId="7B781CD3" w14:textId="77777777" w:rsidR="006D4D61" w:rsidRDefault="006D4D61">
            <w:pPr>
              <w:jc w:val="center"/>
              <w:rPr>
                <w:rFonts w:ascii="Courier New" w:hAnsi="Courier New"/>
                <w:b/>
                <w:bCs/>
              </w:rPr>
            </w:pPr>
          </w:p>
        </w:tc>
        <w:tc>
          <w:tcPr>
            <w:tcW w:w="2104" w:type="dxa"/>
            <w:tcBorders>
              <w:top w:val="nil"/>
              <w:left w:val="nil"/>
              <w:bottom w:val="single" w:sz="4" w:space="0" w:color="auto"/>
              <w:right w:val="nil"/>
            </w:tcBorders>
            <w:vAlign w:val="center"/>
          </w:tcPr>
          <w:p w14:paraId="49F6CCCD" w14:textId="77777777" w:rsidR="006D4D61" w:rsidRDefault="006D4D61">
            <w:pPr>
              <w:jc w:val="center"/>
              <w:rPr>
                <w:rFonts w:ascii="Courier New" w:hAnsi="Courier New"/>
                <w:b/>
                <w:bCs/>
                <w:sz w:val="20"/>
                <w:szCs w:val="20"/>
              </w:rPr>
            </w:pPr>
          </w:p>
        </w:tc>
        <w:tc>
          <w:tcPr>
            <w:tcW w:w="236" w:type="dxa"/>
            <w:vAlign w:val="center"/>
          </w:tcPr>
          <w:p w14:paraId="1C1BC1F2" w14:textId="77777777" w:rsidR="006D4D61" w:rsidRDefault="006D4D61">
            <w:pPr>
              <w:jc w:val="center"/>
              <w:rPr>
                <w:rFonts w:ascii="Courier New" w:hAnsi="Courier New"/>
                <w:b/>
                <w:bCs/>
              </w:rPr>
            </w:pPr>
          </w:p>
        </w:tc>
        <w:tc>
          <w:tcPr>
            <w:tcW w:w="2464" w:type="dxa"/>
            <w:tcBorders>
              <w:top w:val="nil"/>
              <w:left w:val="nil"/>
              <w:bottom w:val="single" w:sz="4" w:space="0" w:color="auto"/>
              <w:right w:val="nil"/>
            </w:tcBorders>
            <w:vAlign w:val="center"/>
          </w:tcPr>
          <w:p w14:paraId="6FEC22D9" w14:textId="77777777" w:rsidR="006D4D61" w:rsidRDefault="006D4D61">
            <w:pPr>
              <w:jc w:val="center"/>
              <w:rPr>
                <w:rFonts w:ascii="Courier New" w:hAnsi="Courier New"/>
                <w:b/>
                <w:bCs/>
                <w:sz w:val="20"/>
                <w:szCs w:val="20"/>
              </w:rPr>
            </w:pPr>
          </w:p>
        </w:tc>
      </w:tr>
      <w:tr w:rsidR="006D4D61" w14:paraId="4A31558D" w14:textId="77777777">
        <w:tc>
          <w:tcPr>
            <w:tcW w:w="2654" w:type="dxa"/>
            <w:tcBorders>
              <w:top w:val="single" w:sz="4" w:space="0" w:color="auto"/>
              <w:left w:val="nil"/>
              <w:bottom w:val="nil"/>
              <w:right w:val="nil"/>
            </w:tcBorders>
            <w:vAlign w:val="bottom"/>
          </w:tcPr>
          <w:p w14:paraId="4EF0385D" w14:textId="77777777" w:rsidR="006D4D61" w:rsidRDefault="00465D2C">
            <w:pPr>
              <w:jc w:val="center"/>
            </w:pPr>
            <w:r>
              <w:rPr>
                <w:rFonts w:ascii="Arial" w:hAnsi="Arial" w:cs="Arial"/>
                <w:b/>
                <w:bCs/>
                <w:rtl/>
              </w:rPr>
              <w:t>ס.הנשיא, ר</w:t>
            </w:r>
            <w:r>
              <w:rPr>
                <w:rFonts w:ascii="Arial" w:hAnsi="Arial" w:cs="Arial" w:hint="cs"/>
                <w:b/>
                <w:bCs/>
                <w:rtl/>
              </w:rPr>
              <w:t xml:space="preserve">ויטל </w:t>
            </w:r>
            <w:r>
              <w:rPr>
                <w:rFonts w:ascii="Arial" w:hAnsi="Arial" w:cs="Arial"/>
                <w:b/>
                <w:bCs/>
                <w:rtl/>
              </w:rPr>
              <w:t>יפה-כ"ץ</w:t>
            </w:r>
          </w:p>
          <w:p w14:paraId="70AF188E" w14:textId="77777777" w:rsidR="006D4D61" w:rsidRDefault="00465D2C">
            <w:pPr>
              <w:jc w:val="center"/>
              <w:rPr>
                <w:rtl/>
              </w:rPr>
            </w:pPr>
            <w:r>
              <w:rPr>
                <w:rFonts w:ascii="Arial" w:hAnsi="Arial" w:cs="Arial"/>
                <w:b/>
                <w:bCs/>
                <w:rtl/>
              </w:rPr>
              <w:t>אב"ד</w:t>
            </w:r>
          </w:p>
          <w:p w14:paraId="084DF873" w14:textId="77777777" w:rsidR="006D4D61" w:rsidRDefault="006D4D61">
            <w:pPr>
              <w:jc w:val="center"/>
              <w:rPr>
                <w:rFonts w:ascii="Courier New" w:hAnsi="Courier New"/>
                <w:b/>
                <w:bCs/>
              </w:rPr>
            </w:pPr>
          </w:p>
        </w:tc>
        <w:tc>
          <w:tcPr>
            <w:tcW w:w="236" w:type="dxa"/>
            <w:vAlign w:val="bottom"/>
          </w:tcPr>
          <w:p w14:paraId="324106CE" w14:textId="77777777" w:rsidR="006D4D61" w:rsidRDefault="006D4D61">
            <w:pPr>
              <w:jc w:val="center"/>
              <w:rPr>
                <w:rFonts w:ascii="Courier New" w:hAnsi="Courier New"/>
                <w:b/>
                <w:bCs/>
              </w:rPr>
            </w:pPr>
          </w:p>
        </w:tc>
        <w:tc>
          <w:tcPr>
            <w:tcW w:w="2104" w:type="dxa"/>
            <w:tcBorders>
              <w:top w:val="single" w:sz="4" w:space="0" w:color="auto"/>
              <w:left w:val="nil"/>
              <w:bottom w:val="nil"/>
              <w:right w:val="nil"/>
            </w:tcBorders>
          </w:tcPr>
          <w:p w14:paraId="03AEDB11" w14:textId="77777777" w:rsidR="006D4D61" w:rsidRDefault="00465D2C">
            <w:pPr>
              <w:jc w:val="center"/>
              <w:rPr>
                <w:rFonts w:ascii="Arial" w:hAnsi="Arial" w:cs="Arial"/>
                <w:b/>
                <w:bCs/>
              </w:rPr>
            </w:pPr>
            <w:r>
              <w:rPr>
                <w:rFonts w:ascii="Arial" w:hAnsi="Arial" w:cs="Arial"/>
                <w:b/>
                <w:bCs/>
                <w:rtl/>
              </w:rPr>
              <w:t>אריאל ואגו, שופט</w:t>
            </w:r>
          </w:p>
        </w:tc>
        <w:tc>
          <w:tcPr>
            <w:tcW w:w="236" w:type="dxa"/>
          </w:tcPr>
          <w:p w14:paraId="6616C090" w14:textId="77777777" w:rsidR="006D4D61" w:rsidRDefault="006D4D61">
            <w:pPr>
              <w:jc w:val="center"/>
              <w:rPr>
                <w:rFonts w:ascii="Arial" w:hAnsi="Arial" w:cs="Arial"/>
                <w:b/>
                <w:bCs/>
              </w:rPr>
            </w:pPr>
          </w:p>
        </w:tc>
        <w:tc>
          <w:tcPr>
            <w:tcW w:w="2464" w:type="dxa"/>
            <w:tcBorders>
              <w:top w:val="single" w:sz="4" w:space="0" w:color="auto"/>
              <w:left w:val="nil"/>
              <w:bottom w:val="nil"/>
              <w:right w:val="nil"/>
            </w:tcBorders>
          </w:tcPr>
          <w:p w14:paraId="11E646A8" w14:textId="77777777" w:rsidR="006D4D61" w:rsidRDefault="00465D2C">
            <w:pPr>
              <w:jc w:val="center"/>
              <w:rPr>
                <w:rFonts w:ascii="Arial" w:hAnsi="Arial" w:cs="Arial"/>
                <w:b/>
                <w:bCs/>
              </w:rPr>
            </w:pPr>
            <w:r>
              <w:rPr>
                <w:rFonts w:ascii="Arial" w:hAnsi="Arial" w:cs="Arial"/>
                <w:b/>
                <w:bCs/>
                <w:rtl/>
              </w:rPr>
              <w:t>יורם צלקובניק, שופט</w:t>
            </w:r>
          </w:p>
        </w:tc>
      </w:tr>
    </w:tbl>
    <w:p w14:paraId="61ABD6BD" w14:textId="77777777" w:rsidR="006D4D61" w:rsidRPr="00465D2C" w:rsidRDefault="00465D2C">
      <w:pPr>
        <w:rPr>
          <w:color w:val="FFFFFF"/>
          <w:sz w:val="2"/>
          <w:szCs w:val="2"/>
        </w:rPr>
      </w:pPr>
      <w:r w:rsidRPr="00465D2C">
        <w:rPr>
          <w:color w:val="FFFFFF"/>
          <w:sz w:val="2"/>
          <w:szCs w:val="2"/>
          <w:rtl/>
        </w:rPr>
        <w:t>5129371</w:t>
      </w:r>
    </w:p>
    <w:p w14:paraId="185A0CAB" w14:textId="77777777" w:rsidR="006D4D61" w:rsidRPr="00465D2C" w:rsidRDefault="00465D2C">
      <w:pPr>
        <w:tabs>
          <w:tab w:val="left" w:pos="1625"/>
        </w:tabs>
        <w:jc w:val="center"/>
        <w:rPr>
          <w:color w:val="FFFFFF"/>
          <w:sz w:val="2"/>
          <w:szCs w:val="2"/>
          <w:rtl/>
        </w:rPr>
      </w:pPr>
      <w:r w:rsidRPr="00465D2C">
        <w:rPr>
          <w:color w:val="FFFFFF"/>
          <w:sz w:val="2"/>
          <w:szCs w:val="2"/>
          <w:rtl/>
        </w:rPr>
        <w:t>54678313</w:t>
      </w:r>
    </w:p>
    <w:p w14:paraId="51A4C733" w14:textId="77777777" w:rsidR="006D4D61" w:rsidRDefault="006D4D61">
      <w:pPr>
        <w:tabs>
          <w:tab w:val="left" w:pos="1625"/>
        </w:tabs>
        <w:jc w:val="center"/>
        <w:rPr>
          <w:rtl/>
        </w:rPr>
      </w:pPr>
    </w:p>
    <w:p w14:paraId="397AC984" w14:textId="77777777" w:rsidR="006D4D61" w:rsidRDefault="00465D2C">
      <w:pPr>
        <w:tabs>
          <w:tab w:val="left" w:pos="1625"/>
        </w:tabs>
        <w:jc w:val="center"/>
      </w:pPr>
      <w:r>
        <w:rPr>
          <w:rFonts w:hint="cs"/>
          <w:rtl/>
        </w:rPr>
        <w:t xml:space="preserve">    </w:t>
      </w:r>
    </w:p>
    <w:p w14:paraId="3691AC90" w14:textId="77777777" w:rsidR="006D4D61" w:rsidRDefault="00465D2C">
      <w:pPr>
        <w:tabs>
          <w:tab w:val="left" w:pos="2553"/>
        </w:tabs>
        <w:rPr>
          <w:rFonts w:ascii="Arial" w:hAnsi="Arial"/>
        </w:rPr>
      </w:pPr>
      <w:r>
        <w:rPr>
          <w:rFonts w:hint="cs"/>
          <w:rtl/>
        </w:rPr>
        <w:t xml:space="preserve">                                                               </w:t>
      </w:r>
    </w:p>
    <w:p w14:paraId="0D95E177" w14:textId="77777777" w:rsidR="006D4D61" w:rsidRPr="00543E53" w:rsidRDefault="00543E53">
      <w:pPr>
        <w:tabs>
          <w:tab w:val="left" w:pos="1625"/>
        </w:tabs>
        <w:jc w:val="center"/>
        <w:rPr>
          <w:color w:val="FFFFFF"/>
          <w:sz w:val="2"/>
          <w:szCs w:val="2"/>
          <w:rtl/>
        </w:rPr>
      </w:pPr>
      <w:r w:rsidRPr="00543E53">
        <w:rPr>
          <w:color w:val="FFFFFF"/>
          <w:sz w:val="2"/>
          <w:szCs w:val="2"/>
          <w:rtl/>
        </w:rPr>
        <w:t>5129371</w:t>
      </w:r>
    </w:p>
    <w:p w14:paraId="49F73AD7" w14:textId="77777777" w:rsidR="00465D2C" w:rsidRPr="00543E53" w:rsidRDefault="00543E53" w:rsidP="00465D2C">
      <w:pPr>
        <w:keepNext/>
        <w:rPr>
          <w:rFonts w:ascii="David" w:hAnsi="David"/>
          <w:color w:val="FFFFFF"/>
          <w:sz w:val="2"/>
          <w:szCs w:val="2"/>
          <w:rtl/>
        </w:rPr>
      </w:pPr>
      <w:r w:rsidRPr="00543E53">
        <w:rPr>
          <w:rFonts w:ascii="David" w:hAnsi="David"/>
          <w:color w:val="FFFFFF"/>
          <w:sz w:val="2"/>
          <w:szCs w:val="2"/>
          <w:rtl/>
        </w:rPr>
        <w:t>54678313</w:t>
      </w:r>
    </w:p>
    <w:p w14:paraId="2C99352E" w14:textId="77777777" w:rsidR="00465D2C" w:rsidRDefault="00465D2C" w:rsidP="00465D2C">
      <w:r w:rsidRPr="00465D2C">
        <w:rPr>
          <w:rFonts w:hint="eastAsia"/>
          <w:color w:val="000000"/>
          <w:rtl/>
        </w:rPr>
        <w:t>נוסח</w:t>
      </w:r>
      <w:r w:rsidRPr="00465D2C">
        <w:rPr>
          <w:color w:val="000000"/>
          <w:rtl/>
        </w:rPr>
        <w:t xml:space="preserve"> </w:t>
      </w:r>
      <w:r w:rsidRPr="00465D2C">
        <w:rPr>
          <w:rFonts w:hint="eastAsia"/>
          <w:color w:val="000000"/>
          <w:rtl/>
        </w:rPr>
        <w:t>מסמך</w:t>
      </w:r>
      <w:r w:rsidRPr="00465D2C">
        <w:rPr>
          <w:color w:val="000000"/>
          <w:rtl/>
        </w:rPr>
        <w:t xml:space="preserve"> </w:t>
      </w:r>
      <w:r w:rsidRPr="00465D2C">
        <w:rPr>
          <w:rFonts w:hint="eastAsia"/>
          <w:color w:val="000000"/>
          <w:rtl/>
        </w:rPr>
        <w:t>זה</w:t>
      </w:r>
      <w:r w:rsidRPr="00465D2C">
        <w:rPr>
          <w:color w:val="000000"/>
          <w:rtl/>
        </w:rPr>
        <w:t xml:space="preserve"> </w:t>
      </w:r>
      <w:r w:rsidRPr="00465D2C">
        <w:rPr>
          <w:rFonts w:hint="eastAsia"/>
          <w:color w:val="000000"/>
          <w:rtl/>
        </w:rPr>
        <w:t>כפוף</w:t>
      </w:r>
      <w:r w:rsidRPr="00465D2C">
        <w:rPr>
          <w:color w:val="000000"/>
          <w:rtl/>
        </w:rPr>
        <w:t xml:space="preserve"> </w:t>
      </w:r>
      <w:r w:rsidRPr="00465D2C">
        <w:rPr>
          <w:rFonts w:hint="eastAsia"/>
          <w:color w:val="000000"/>
          <w:rtl/>
        </w:rPr>
        <w:t>לשינויי</w:t>
      </w:r>
      <w:r w:rsidRPr="00465D2C">
        <w:rPr>
          <w:color w:val="000000"/>
          <w:rtl/>
        </w:rPr>
        <w:t xml:space="preserve"> </w:t>
      </w:r>
      <w:r w:rsidRPr="00465D2C">
        <w:rPr>
          <w:rFonts w:hint="eastAsia"/>
          <w:color w:val="000000"/>
          <w:rtl/>
        </w:rPr>
        <w:t>ניסוח</w:t>
      </w:r>
      <w:r w:rsidRPr="00465D2C">
        <w:rPr>
          <w:color w:val="000000"/>
          <w:rtl/>
        </w:rPr>
        <w:t xml:space="preserve"> </w:t>
      </w:r>
      <w:r w:rsidRPr="00465D2C">
        <w:rPr>
          <w:rFonts w:hint="eastAsia"/>
          <w:color w:val="000000"/>
          <w:rtl/>
        </w:rPr>
        <w:t>ועריכה</w:t>
      </w:r>
    </w:p>
    <w:p w14:paraId="0C99EED8" w14:textId="77777777" w:rsidR="00465D2C" w:rsidRDefault="00465D2C" w:rsidP="00465D2C">
      <w:pPr>
        <w:rPr>
          <w:rtl/>
        </w:rPr>
      </w:pPr>
    </w:p>
    <w:p w14:paraId="086C92BD" w14:textId="77777777" w:rsidR="00465D2C" w:rsidRDefault="00465D2C" w:rsidP="00465D2C">
      <w:pPr>
        <w:jc w:val="center"/>
        <w:rPr>
          <w:color w:val="0000FF"/>
          <w:u w:val="single"/>
        </w:rPr>
      </w:pPr>
      <w:hyperlink r:id="rId54"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48460DF6" w14:textId="77777777" w:rsidR="00543E53" w:rsidRPr="00543E53" w:rsidRDefault="00543E53" w:rsidP="00543E53">
      <w:pPr>
        <w:keepNext/>
        <w:rPr>
          <w:rFonts w:ascii="David" w:hAnsi="David"/>
          <w:color w:val="000000"/>
          <w:sz w:val="22"/>
          <w:szCs w:val="22"/>
          <w:rtl/>
        </w:rPr>
      </w:pPr>
    </w:p>
    <w:p w14:paraId="42928423" w14:textId="77777777" w:rsidR="00543E53" w:rsidRPr="00543E53" w:rsidRDefault="00543E53" w:rsidP="00543E53">
      <w:pPr>
        <w:keepNext/>
        <w:rPr>
          <w:rFonts w:ascii="David" w:hAnsi="David"/>
          <w:color w:val="000000"/>
          <w:sz w:val="22"/>
          <w:szCs w:val="22"/>
          <w:rtl/>
        </w:rPr>
      </w:pPr>
      <w:r w:rsidRPr="00543E53">
        <w:rPr>
          <w:rFonts w:ascii="David" w:hAnsi="David" w:hint="eastAsia"/>
          <w:color w:val="000000"/>
          <w:sz w:val="22"/>
          <w:szCs w:val="22"/>
          <w:rtl/>
        </w:rPr>
        <w:t>ר</w:t>
      </w:r>
      <w:r w:rsidRPr="00543E53">
        <w:rPr>
          <w:rFonts w:ascii="David" w:hAnsi="David"/>
          <w:color w:val="000000"/>
          <w:sz w:val="22"/>
          <w:szCs w:val="22"/>
          <w:rtl/>
        </w:rPr>
        <w:t xml:space="preserve">' </w:t>
      </w:r>
      <w:r w:rsidRPr="00543E53">
        <w:rPr>
          <w:rFonts w:ascii="David" w:hAnsi="David" w:hint="eastAsia"/>
          <w:color w:val="000000"/>
          <w:sz w:val="22"/>
          <w:szCs w:val="22"/>
          <w:rtl/>
        </w:rPr>
        <w:t>יפה</w:t>
      </w:r>
      <w:r w:rsidRPr="00543E53">
        <w:rPr>
          <w:rFonts w:ascii="David" w:hAnsi="David"/>
          <w:color w:val="000000"/>
          <w:sz w:val="22"/>
          <w:szCs w:val="22"/>
          <w:rtl/>
        </w:rPr>
        <w:t xml:space="preserve"> </w:t>
      </w:r>
      <w:r w:rsidRPr="00543E53">
        <w:rPr>
          <w:rFonts w:ascii="David" w:hAnsi="David" w:hint="eastAsia"/>
          <w:color w:val="000000"/>
          <w:sz w:val="22"/>
          <w:szCs w:val="22"/>
          <w:rtl/>
        </w:rPr>
        <w:t>כ</w:t>
      </w:r>
      <w:r>
        <w:rPr>
          <w:rFonts w:ascii="David" w:hAnsi="David" w:hint="cs"/>
          <w:color w:val="000000"/>
          <w:sz w:val="22"/>
          <w:szCs w:val="22"/>
          <w:rtl/>
        </w:rPr>
        <w:t>"</w:t>
      </w:r>
      <w:r w:rsidRPr="00543E53">
        <w:rPr>
          <w:rFonts w:ascii="David" w:hAnsi="David" w:hint="eastAsia"/>
          <w:color w:val="000000"/>
          <w:sz w:val="22"/>
          <w:szCs w:val="22"/>
          <w:rtl/>
        </w:rPr>
        <w:t>ץ</w:t>
      </w:r>
      <w:r w:rsidRPr="00543E53">
        <w:rPr>
          <w:rFonts w:ascii="David" w:hAnsi="David"/>
          <w:color w:val="000000"/>
          <w:sz w:val="22"/>
          <w:szCs w:val="22"/>
          <w:rtl/>
        </w:rPr>
        <w:t xml:space="preserve"> 54678313-/</w:t>
      </w:r>
    </w:p>
    <w:sectPr w:rsidR="00543E53" w:rsidRPr="00543E53" w:rsidSect="00543E53">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69661" w14:textId="77777777" w:rsidR="006F087E" w:rsidRPr="00013E0E" w:rsidRDefault="006F087E">
      <w:pPr>
        <w:rPr>
          <w:rFonts w:cs="Arial"/>
          <w:szCs w:val="20"/>
        </w:rPr>
      </w:pPr>
      <w:r>
        <w:separator/>
      </w:r>
    </w:p>
  </w:endnote>
  <w:endnote w:type="continuationSeparator" w:id="0">
    <w:p w14:paraId="1C10242F" w14:textId="77777777" w:rsidR="006F087E" w:rsidRPr="00013E0E" w:rsidRDefault="006F087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46117" w14:textId="77777777" w:rsidR="00543E53" w:rsidRDefault="00543E53" w:rsidP="00543E5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91D8081" w14:textId="77777777" w:rsidR="00465D2C" w:rsidRPr="00543E53" w:rsidRDefault="00543E53" w:rsidP="00543E53">
    <w:pPr>
      <w:pStyle w:val="a4"/>
      <w:pBdr>
        <w:top w:val="single" w:sz="4" w:space="1" w:color="auto"/>
        <w:between w:val="single" w:sz="4" w:space="0" w:color="auto"/>
      </w:pBdr>
      <w:spacing w:after="60"/>
      <w:jc w:val="center"/>
      <w:rPr>
        <w:rFonts w:ascii="FrankRuehl" w:hAnsi="FrankRuehl" w:cs="FrankRuehl"/>
        <w:color w:val="000000"/>
      </w:rPr>
    </w:pPr>
    <w:r w:rsidRPr="00543E5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533D0" w14:textId="77777777" w:rsidR="00543E53" w:rsidRDefault="00543E53" w:rsidP="00543E5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D4206">
      <w:rPr>
        <w:rFonts w:ascii="FrankRuehl" w:hAnsi="FrankRuehl" w:cs="FrankRuehl"/>
        <w:noProof/>
        <w:rtl/>
      </w:rPr>
      <w:t>1</w:t>
    </w:r>
    <w:r>
      <w:rPr>
        <w:rFonts w:ascii="FrankRuehl" w:hAnsi="FrankRuehl" w:cs="FrankRuehl"/>
        <w:rtl/>
      </w:rPr>
      <w:fldChar w:fldCharType="end"/>
    </w:r>
  </w:p>
  <w:p w14:paraId="4491A20E" w14:textId="77777777" w:rsidR="006D4D61" w:rsidRPr="00543E53" w:rsidRDefault="00543E53" w:rsidP="00543E53">
    <w:pPr>
      <w:pStyle w:val="a4"/>
      <w:pBdr>
        <w:top w:val="single" w:sz="4" w:space="1" w:color="auto"/>
        <w:between w:val="single" w:sz="4" w:space="0" w:color="auto"/>
      </w:pBdr>
      <w:spacing w:after="60"/>
      <w:jc w:val="center"/>
      <w:rPr>
        <w:rFonts w:ascii="FrankRuehl" w:hAnsi="FrankRuehl" w:cs="FrankRuehl"/>
        <w:color w:val="000000"/>
      </w:rPr>
    </w:pPr>
    <w:r w:rsidRPr="00543E53">
      <w:rPr>
        <w:rFonts w:ascii="FrankRuehl" w:hAnsi="FrankRuehl" w:cs="FrankRuehl"/>
        <w:color w:val="000000"/>
      </w:rPr>
      <w:pict w14:anchorId="28C0FC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ACE68" w14:textId="77777777" w:rsidR="006F087E" w:rsidRPr="00013E0E" w:rsidRDefault="006F087E">
      <w:pPr>
        <w:rPr>
          <w:rFonts w:cs="Arial"/>
          <w:szCs w:val="20"/>
        </w:rPr>
      </w:pPr>
      <w:r>
        <w:separator/>
      </w:r>
    </w:p>
  </w:footnote>
  <w:footnote w:type="continuationSeparator" w:id="0">
    <w:p w14:paraId="6147051E" w14:textId="77777777" w:rsidR="006F087E" w:rsidRPr="00013E0E" w:rsidRDefault="006F087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E5E1E" w14:textId="77777777" w:rsidR="00465D2C" w:rsidRPr="00543E53" w:rsidRDefault="00543E53" w:rsidP="00543E5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35646-03-11</w:t>
    </w:r>
    <w:r>
      <w:rPr>
        <w:rFonts w:ascii="David" w:hAnsi="David"/>
        <w:color w:val="000000"/>
        <w:sz w:val="22"/>
        <w:szCs w:val="22"/>
        <w:rtl/>
      </w:rPr>
      <w:tab/>
      <w:t xml:space="preserve"> מדינת ישראל נ' שיהאבאלדין אלאסד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1109C" w14:textId="77777777" w:rsidR="00465D2C" w:rsidRPr="00543E53" w:rsidRDefault="00543E53" w:rsidP="00543E5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35646-03-11</w:t>
    </w:r>
    <w:r>
      <w:rPr>
        <w:rFonts w:ascii="David" w:hAnsi="David"/>
        <w:color w:val="000000"/>
        <w:sz w:val="22"/>
        <w:szCs w:val="22"/>
        <w:rtl/>
      </w:rPr>
      <w:tab/>
      <w:t xml:space="preserve"> מדינת ישראל נ' שיהאבאלדין אלאסד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4D61"/>
    <w:rsid w:val="00092519"/>
    <w:rsid w:val="00465D2C"/>
    <w:rsid w:val="00543E53"/>
    <w:rsid w:val="005E5D8A"/>
    <w:rsid w:val="006D4D61"/>
    <w:rsid w:val="006F087E"/>
    <w:rsid w:val="00AD42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BAA1C53"/>
  <w15:chartTrackingRefBased/>
  <w15:docId w15:val="{2673A57C-2DD1-4234-A256-DE35162F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4D61"/>
    <w:pPr>
      <w:bidi/>
    </w:pPr>
    <w:rPr>
      <w:rFonts w:ascii="Arial (W1)" w:hAnsi="Arial (W1)"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D4D61"/>
    <w:pPr>
      <w:tabs>
        <w:tab w:val="center" w:pos="4153"/>
        <w:tab w:val="right" w:pos="8306"/>
      </w:tabs>
    </w:pPr>
  </w:style>
  <w:style w:type="paragraph" w:styleId="a4">
    <w:name w:val="footer"/>
    <w:basedOn w:val="a"/>
    <w:rsid w:val="006D4D61"/>
    <w:pPr>
      <w:tabs>
        <w:tab w:val="center" w:pos="4153"/>
        <w:tab w:val="right" w:pos="8306"/>
      </w:tabs>
    </w:pPr>
  </w:style>
  <w:style w:type="paragraph" w:customStyle="1" w:styleId="12">
    <w:name w:val="רגיל + ‏12 נק'"/>
    <w:aliases w:val="מיושר לשני הצדדים,מרווח בין שורות:  שורה וחצי"/>
    <w:basedOn w:val="a"/>
    <w:rsid w:val="006D4D61"/>
    <w:rPr>
      <w:rFonts w:ascii="Times New Roman" w:hAnsi="Times New Roman"/>
      <w:b/>
      <w:bCs/>
      <w:u w:val="single"/>
    </w:rPr>
  </w:style>
  <w:style w:type="paragraph" w:customStyle="1" w:styleId="P00">
    <w:name w:val="P00"/>
    <w:rsid w:val="006D4D61"/>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filenumber0">
    <w:name w:val="filenumber0"/>
    <w:basedOn w:val="a"/>
    <w:rsid w:val="006D4D61"/>
    <w:pPr>
      <w:overflowPunct w:val="0"/>
      <w:autoSpaceDE w:val="0"/>
      <w:autoSpaceDN w:val="0"/>
      <w:spacing w:line="360" w:lineRule="auto"/>
    </w:pPr>
    <w:rPr>
      <w:rFonts w:ascii="Times New Roman" w:hAnsi="Times New Roman" w:cs="Times New Roman"/>
      <w:sz w:val="20"/>
      <w:szCs w:val="20"/>
      <w:lang w:eastAsia="he-IL"/>
    </w:rPr>
  </w:style>
  <w:style w:type="character" w:styleId="a5">
    <w:name w:val="page number"/>
    <w:basedOn w:val="a0"/>
    <w:rsid w:val="00465D2C"/>
  </w:style>
  <w:style w:type="character" w:styleId="Hyperlink">
    <w:name w:val="Hyperlink"/>
    <w:basedOn w:val="a0"/>
    <w:rsid w:val="00465D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00.a.2." TargetMode="External"/><Relationship Id="rId18" Type="http://schemas.openxmlformats.org/officeDocument/2006/relationships/hyperlink" Target="http://www.nevo.co.il/law/70301/40jc.b." TargetMode="External"/><Relationship Id="rId26" Type="http://schemas.openxmlformats.org/officeDocument/2006/relationships/hyperlink" Target="http://www.nevo.co.il/law/70301/333" TargetMode="External"/><Relationship Id="rId39" Type="http://schemas.openxmlformats.org/officeDocument/2006/relationships/hyperlink" Target="http://www.nevo.co.il/law/70301/40c.a." TargetMode="External"/><Relationship Id="rId21" Type="http://schemas.openxmlformats.org/officeDocument/2006/relationships/hyperlink" Target="http://www.nevo.co.il/law/74903/186" TargetMode="External"/><Relationship Id="rId34" Type="http://schemas.openxmlformats.org/officeDocument/2006/relationships/hyperlink" Target="http://www.nevo.co.il/law/74903/186" TargetMode="External"/><Relationship Id="rId42" Type="http://schemas.openxmlformats.org/officeDocument/2006/relationships/hyperlink" Target="http://www.nevo.co.il/case/5580839" TargetMode="External"/><Relationship Id="rId47" Type="http://schemas.openxmlformats.org/officeDocument/2006/relationships/hyperlink" Target="http://www.nevo.co.il/law/70301/45a" TargetMode="External"/><Relationship Id="rId50" Type="http://schemas.openxmlformats.org/officeDocument/2006/relationships/hyperlink" Target="http://www.nevo.co.il/law/75025"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335.a.1.2." TargetMode="External"/><Relationship Id="rId29" Type="http://schemas.openxmlformats.org/officeDocument/2006/relationships/hyperlink" Target="http://www.nevo.co.il/law/70301/144.b."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914979" TargetMode="External"/><Relationship Id="rId37" Type="http://schemas.openxmlformats.org/officeDocument/2006/relationships/hyperlink" Target="http://www.nevo.co.il/case/5788915" TargetMode="External"/><Relationship Id="rId40" Type="http://schemas.openxmlformats.org/officeDocument/2006/relationships/hyperlink" Target="http://www.nevo.co.il/case/4506071" TargetMode="External"/><Relationship Id="rId45" Type="http://schemas.openxmlformats.org/officeDocument/2006/relationships/hyperlink" Target="http://www.nevo.co.il/case/5578132" TargetMode="External"/><Relationship Id="rId53" Type="http://schemas.openxmlformats.org/officeDocument/2006/relationships/hyperlink" Target="http://www.nevo.co.il/case/4506071" TargetMode="External"/><Relationship Id="rId58" Type="http://schemas.openxmlformats.org/officeDocument/2006/relationships/footer" Target="footer2.xml"/><Relationship Id="rId5" Type="http://schemas.openxmlformats.org/officeDocument/2006/relationships/endnotes" Target="endnotes.xml"/><Relationship Id="rId19" Type="http://schemas.openxmlformats.org/officeDocument/2006/relationships/hyperlink" Target="http://www.nevo.co.il/law/70301/499.a.1." TargetMode="External"/><Relationship Id="rId4" Type="http://schemas.openxmlformats.org/officeDocument/2006/relationships/footnotes" Target="footnotes.xml"/><Relationship Id="rId9" Type="http://schemas.openxmlformats.org/officeDocument/2006/relationships/hyperlink" Target="http://www.nevo.co.il/law/70301/40c.a." TargetMode="External"/><Relationship Id="rId14" Type="http://schemas.openxmlformats.org/officeDocument/2006/relationships/hyperlink" Target="http://www.nevo.co.il/law/70301/305.1." TargetMode="External"/><Relationship Id="rId22" Type="http://schemas.openxmlformats.org/officeDocument/2006/relationships/hyperlink" Target="http://www.nevo.co.il/law/75025" TargetMode="External"/><Relationship Id="rId27" Type="http://schemas.openxmlformats.org/officeDocument/2006/relationships/hyperlink" Target="http://www.nevo.co.il/law/70301/335.a.1.2." TargetMode="External"/><Relationship Id="rId30" Type="http://schemas.openxmlformats.org/officeDocument/2006/relationships/hyperlink" Target="http://www.nevo.co.il/case/4506071" TargetMode="External"/><Relationship Id="rId35" Type="http://schemas.openxmlformats.org/officeDocument/2006/relationships/hyperlink" Target="http://www.nevo.co.il/law/74903" TargetMode="External"/><Relationship Id="rId43" Type="http://schemas.openxmlformats.org/officeDocument/2006/relationships/hyperlink" Target="http://www.nevo.co.il/case/17914703" TargetMode="External"/><Relationship Id="rId48" Type="http://schemas.openxmlformats.org/officeDocument/2006/relationships/hyperlink" Target="http://www.nevo.co.il/law/70301/45a" TargetMode="External"/><Relationship Id="rId56" Type="http://schemas.openxmlformats.org/officeDocument/2006/relationships/header" Target="header2.xml"/><Relationship Id="rId8" Type="http://schemas.openxmlformats.org/officeDocument/2006/relationships/hyperlink" Target="http://www.nevo.co.il/law/70301/40b" TargetMode="External"/><Relationship Id="rId51" Type="http://schemas.openxmlformats.org/officeDocument/2006/relationships/hyperlink" Target="http://www.nevo.co.il/law/70301/40ja" TargetMode="External"/><Relationship Id="rId3" Type="http://schemas.openxmlformats.org/officeDocument/2006/relationships/webSettings" Target="webSettings.xml"/><Relationship Id="rId12" Type="http://schemas.openxmlformats.org/officeDocument/2006/relationships/hyperlink" Target="http://www.nevo.co.il/law/70301/300.a."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305.1." TargetMode="External"/><Relationship Id="rId33" Type="http://schemas.openxmlformats.org/officeDocument/2006/relationships/hyperlink" Target="http://www.nevo.co.il/law/70301/300.a." TargetMode="External"/><Relationship Id="rId38" Type="http://schemas.openxmlformats.org/officeDocument/2006/relationships/hyperlink" Target="http://www.nevo.co.il/law/70301/40b" TargetMode="External"/><Relationship Id="rId46" Type="http://schemas.openxmlformats.org/officeDocument/2006/relationships/hyperlink" Target="http://www.nevo.co.il/law/70301/40jc.b." TargetMode="External"/><Relationship Id="rId59" Type="http://schemas.openxmlformats.org/officeDocument/2006/relationships/fontTable" Target="fontTable.xml"/><Relationship Id="rId20" Type="http://schemas.openxmlformats.org/officeDocument/2006/relationships/hyperlink" Target="http://www.nevo.co.il/law/74903" TargetMode="External"/><Relationship Id="rId41" Type="http://schemas.openxmlformats.org/officeDocument/2006/relationships/hyperlink" Target="http://www.nevo.co.il/law/70301/305.1." TargetMode="External"/><Relationship Id="rId54"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case/4235693" TargetMode="External"/><Relationship Id="rId15" Type="http://schemas.openxmlformats.org/officeDocument/2006/relationships/hyperlink" Target="http://www.nevo.co.il/law/70301/333" TargetMode="External"/><Relationship Id="rId23" Type="http://schemas.openxmlformats.org/officeDocument/2006/relationships/hyperlink" Target="http://www.nevo.co.il/law/70301/300.a.2." TargetMode="External"/><Relationship Id="rId28" Type="http://schemas.openxmlformats.org/officeDocument/2006/relationships/hyperlink" Target="http://www.nevo.co.il/law/70301/499.a.1." TargetMode="External"/><Relationship Id="rId36" Type="http://schemas.openxmlformats.org/officeDocument/2006/relationships/hyperlink" Target="http://www.nevo.co.il/case/5957024" TargetMode="External"/><Relationship Id="rId49" Type="http://schemas.openxmlformats.org/officeDocument/2006/relationships/hyperlink" Target="http://www.nevo.co.il/case/17937515" TargetMode="External"/><Relationship Id="rId57" Type="http://schemas.openxmlformats.org/officeDocument/2006/relationships/footer" Target="footer1.xml"/><Relationship Id="rId10" Type="http://schemas.openxmlformats.org/officeDocument/2006/relationships/hyperlink" Target="http://www.nevo.co.il/law/70301/45a" TargetMode="External"/><Relationship Id="rId31" Type="http://schemas.openxmlformats.org/officeDocument/2006/relationships/hyperlink" Target="http://www.nevo.co.il/law/70301/45a" TargetMode="External"/><Relationship Id="rId44" Type="http://schemas.openxmlformats.org/officeDocument/2006/relationships/hyperlink" Target="http://www.nevo.co.il/case/5868204" TargetMode="External"/><Relationship Id="rId52" Type="http://schemas.openxmlformats.org/officeDocument/2006/relationships/hyperlink" Target="http://www.nevo.co.il/case/6031891"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4225</Words>
  <Characters>21130</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25305</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3473520</vt:i4>
      </vt:variant>
      <vt:variant>
        <vt:i4>141</vt:i4>
      </vt:variant>
      <vt:variant>
        <vt:i4>0</vt:i4>
      </vt:variant>
      <vt:variant>
        <vt:i4>5</vt:i4>
      </vt:variant>
      <vt:variant>
        <vt:lpwstr>http://www.nevo.co.il/case/4506071</vt:lpwstr>
      </vt:variant>
      <vt:variant>
        <vt:lpwstr/>
      </vt:variant>
      <vt:variant>
        <vt:i4>3932284</vt:i4>
      </vt:variant>
      <vt:variant>
        <vt:i4>138</vt:i4>
      </vt:variant>
      <vt:variant>
        <vt:i4>0</vt:i4>
      </vt:variant>
      <vt:variant>
        <vt:i4>5</vt:i4>
      </vt:variant>
      <vt:variant>
        <vt:lpwstr>http://www.nevo.co.il/case/6031891</vt:lpwstr>
      </vt:variant>
      <vt:variant>
        <vt:lpwstr/>
      </vt:variant>
      <vt:variant>
        <vt:i4>262155</vt:i4>
      </vt:variant>
      <vt:variant>
        <vt:i4>135</vt:i4>
      </vt:variant>
      <vt:variant>
        <vt:i4>0</vt:i4>
      </vt:variant>
      <vt:variant>
        <vt:i4>5</vt:i4>
      </vt:variant>
      <vt:variant>
        <vt:lpwstr>http://www.nevo.co.il/law/70301/40ja</vt:lpwstr>
      </vt:variant>
      <vt:variant>
        <vt:lpwstr/>
      </vt:variant>
      <vt:variant>
        <vt:i4>8192103</vt:i4>
      </vt:variant>
      <vt:variant>
        <vt:i4>132</vt:i4>
      </vt:variant>
      <vt:variant>
        <vt:i4>0</vt:i4>
      </vt:variant>
      <vt:variant>
        <vt:i4>5</vt:i4>
      </vt:variant>
      <vt:variant>
        <vt:lpwstr>http://www.nevo.co.il/law/75025</vt:lpwstr>
      </vt:variant>
      <vt:variant>
        <vt:lpwstr/>
      </vt:variant>
      <vt:variant>
        <vt:i4>4063349</vt:i4>
      </vt:variant>
      <vt:variant>
        <vt:i4>129</vt:i4>
      </vt:variant>
      <vt:variant>
        <vt:i4>0</vt:i4>
      </vt:variant>
      <vt:variant>
        <vt:i4>5</vt:i4>
      </vt:variant>
      <vt:variant>
        <vt:lpwstr>http://www.nevo.co.il/case/17937515</vt:lpwstr>
      </vt:variant>
      <vt:variant>
        <vt:lpwstr/>
      </vt:variant>
      <vt:variant>
        <vt:i4>6291553</vt:i4>
      </vt:variant>
      <vt:variant>
        <vt:i4>126</vt:i4>
      </vt:variant>
      <vt:variant>
        <vt:i4>0</vt:i4>
      </vt:variant>
      <vt:variant>
        <vt:i4>5</vt:i4>
      </vt:variant>
      <vt:variant>
        <vt:lpwstr>http://www.nevo.co.il/law/70301/45a</vt:lpwstr>
      </vt:variant>
      <vt:variant>
        <vt:lpwstr/>
      </vt:variant>
      <vt:variant>
        <vt:i4>6291553</vt:i4>
      </vt:variant>
      <vt:variant>
        <vt:i4>123</vt:i4>
      </vt:variant>
      <vt:variant>
        <vt:i4>0</vt:i4>
      </vt:variant>
      <vt:variant>
        <vt:i4>5</vt:i4>
      </vt:variant>
      <vt:variant>
        <vt:lpwstr>http://www.nevo.co.il/law/70301/45a</vt:lpwstr>
      </vt:variant>
      <vt:variant>
        <vt:lpwstr/>
      </vt:variant>
      <vt:variant>
        <vt:i4>6553637</vt:i4>
      </vt:variant>
      <vt:variant>
        <vt:i4>120</vt:i4>
      </vt:variant>
      <vt:variant>
        <vt:i4>0</vt:i4>
      </vt:variant>
      <vt:variant>
        <vt:i4>5</vt:i4>
      </vt:variant>
      <vt:variant>
        <vt:lpwstr>http://www.nevo.co.il/law/70301/40jc.b.</vt:lpwstr>
      </vt:variant>
      <vt:variant>
        <vt:lpwstr/>
      </vt:variant>
      <vt:variant>
        <vt:i4>3211386</vt:i4>
      </vt:variant>
      <vt:variant>
        <vt:i4>117</vt:i4>
      </vt:variant>
      <vt:variant>
        <vt:i4>0</vt:i4>
      </vt:variant>
      <vt:variant>
        <vt:i4>5</vt:i4>
      </vt:variant>
      <vt:variant>
        <vt:lpwstr>http://www.nevo.co.il/case/5578132</vt:lpwstr>
      </vt:variant>
      <vt:variant>
        <vt:lpwstr/>
      </vt:variant>
      <vt:variant>
        <vt:i4>3473524</vt:i4>
      </vt:variant>
      <vt:variant>
        <vt:i4>114</vt:i4>
      </vt:variant>
      <vt:variant>
        <vt:i4>0</vt:i4>
      </vt:variant>
      <vt:variant>
        <vt:i4>5</vt:i4>
      </vt:variant>
      <vt:variant>
        <vt:lpwstr>http://www.nevo.co.il/case/5868204</vt:lpwstr>
      </vt:variant>
      <vt:variant>
        <vt:lpwstr/>
      </vt:variant>
      <vt:variant>
        <vt:i4>3932277</vt:i4>
      </vt:variant>
      <vt:variant>
        <vt:i4>111</vt:i4>
      </vt:variant>
      <vt:variant>
        <vt:i4>0</vt:i4>
      </vt:variant>
      <vt:variant>
        <vt:i4>5</vt:i4>
      </vt:variant>
      <vt:variant>
        <vt:lpwstr>http://www.nevo.co.il/case/17914703</vt:lpwstr>
      </vt:variant>
      <vt:variant>
        <vt:lpwstr/>
      </vt:variant>
      <vt:variant>
        <vt:i4>3932274</vt:i4>
      </vt:variant>
      <vt:variant>
        <vt:i4>108</vt:i4>
      </vt:variant>
      <vt:variant>
        <vt:i4>0</vt:i4>
      </vt:variant>
      <vt:variant>
        <vt:i4>5</vt:i4>
      </vt:variant>
      <vt:variant>
        <vt:lpwstr>http://www.nevo.co.il/case/5580839</vt:lpwstr>
      </vt:variant>
      <vt:variant>
        <vt:lpwstr/>
      </vt:variant>
      <vt:variant>
        <vt:i4>6619234</vt:i4>
      </vt:variant>
      <vt:variant>
        <vt:i4>105</vt:i4>
      </vt:variant>
      <vt:variant>
        <vt:i4>0</vt:i4>
      </vt:variant>
      <vt:variant>
        <vt:i4>5</vt:i4>
      </vt:variant>
      <vt:variant>
        <vt:lpwstr>http://www.nevo.co.il/law/70301/305.1.</vt:lpwstr>
      </vt:variant>
      <vt:variant>
        <vt:lpwstr/>
      </vt:variant>
      <vt:variant>
        <vt:i4>3473520</vt:i4>
      </vt:variant>
      <vt:variant>
        <vt:i4>102</vt:i4>
      </vt:variant>
      <vt:variant>
        <vt:i4>0</vt:i4>
      </vt:variant>
      <vt:variant>
        <vt:i4>5</vt:i4>
      </vt:variant>
      <vt:variant>
        <vt:lpwstr>http://www.nevo.co.il/case/4506071</vt:lpwstr>
      </vt:variant>
      <vt:variant>
        <vt:lpwstr/>
      </vt:variant>
      <vt:variant>
        <vt:i4>6619235</vt:i4>
      </vt:variant>
      <vt:variant>
        <vt:i4>99</vt:i4>
      </vt:variant>
      <vt:variant>
        <vt:i4>0</vt:i4>
      </vt:variant>
      <vt:variant>
        <vt:i4>5</vt:i4>
      </vt:variant>
      <vt:variant>
        <vt:lpwstr>http://www.nevo.co.il/law/70301/40c.a.</vt:lpwstr>
      </vt:variant>
      <vt:variant>
        <vt:lpwstr/>
      </vt:variant>
      <vt:variant>
        <vt:i4>6619233</vt:i4>
      </vt:variant>
      <vt:variant>
        <vt:i4>96</vt:i4>
      </vt:variant>
      <vt:variant>
        <vt:i4>0</vt:i4>
      </vt:variant>
      <vt:variant>
        <vt:i4>5</vt:i4>
      </vt:variant>
      <vt:variant>
        <vt:lpwstr>http://www.nevo.co.il/law/70301/40b</vt:lpwstr>
      </vt:variant>
      <vt:variant>
        <vt:lpwstr/>
      </vt:variant>
      <vt:variant>
        <vt:i4>3211386</vt:i4>
      </vt:variant>
      <vt:variant>
        <vt:i4>93</vt:i4>
      </vt:variant>
      <vt:variant>
        <vt:i4>0</vt:i4>
      </vt:variant>
      <vt:variant>
        <vt:i4>5</vt:i4>
      </vt:variant>
      <vt:variant>
        <vt:lpwstr>http://www.nevo.co.il/case/5788915</vt:lpwstr>
      </vt:variant>
      <vt:variant>
        <vt:lpwstr/>
      </vt:variant>
      <vt:variant>
        <vt:i4>3407992</vt:i4>
      </vt:variant>
      <vt:variant>
        <vt:i4>90</vt:i4>
      </vt:variant>
      <vt:variant>
        <vt:i4>0</vt:i4>
      </vt:variant>
      <vt:variant>
        <vt:i4>5</vt:i4>
      </vt:variant>
      <vt:variant>
        <vt:lpwstr>http://www.nevo.co.il/case/5957024</vt:lpwstr>
      </vt:variant>
      <vt:variant>
        <vt:lpwstr/>
      </vt:variant>
      <vt:variant>
        <vt:i4>8257646</vt:i4>
      </vt:variant>
      <vt:variant>
        <vt:i4>87</vt:i4>
      </vt:variant>
      <vt:variant>
        <vt:i4>0</vt:i4>
      </vt:variant>
      <vt:variant>
        <vt:i4>5</vt:i4>
      </vt:variant>
      <vt:variant>
        <vt:lpwstr>http://www.nevo.co.il/law/74903</vt:lpwstr>
      </vt:variant>
      <vt:variant>
        <vt:lpwstr/>
      </vt:variant>
      <vt:variant>
        <vt:i4>6881388</vt:i4>
      </vt:variant>
      <vt:variant>
        <vt:i4>84</vt:i4>
      </vt:variant>
      <vt:variant>
        <vt:i4>0</vt:i4>
      </vt:variant>
      <vt:variant>
        <vt:i4>5</vt:i4>
      </vt:variant>
      <vt:variant>
        <vt:lpwstr>http://www.nevo.co.il/law/74903/186</vt:lpwstr>
      </vt:variant>
      <vt:variant>
        <vt:lpwstr/>
      </vt:variant>
      <vt:variant>
        <vt:i4>6619191</vt:i4>
      </vt:variant>
      <vt:variant>
        <vt:i4>81</vt:i4>
      </vt:variant>
      <vt:variant>
        <vt:i4>0</vt:i4>
      </vt:variant>
      <vt:variant>
        <vt:i4>5</vt:i4>
      </vt:variant>
      <vt:variant>
        <vt:lpwstr>http://www.nevo.co.il/law/70301/300.a.</vt:lpwstr>
      </vt:variant>
      <vt:variant>
        <vt:lpwstr/>
      </vt:variant>
      <vt:variant>
        <vt:i4>3407998</vt:i4>
      </vt:variant>
      <vt:variant>
        <vt:i4>78</vt:i4>
      </vt:variant>
      <vt:variant>
        <vt:i4>0</vt:i4>
      </vt:variant>
      <vt:variant>
        <vt:i4>5</vt:i4>
      </vt:variant>
      <vt:variant>
        <vt:lpwstr>http://www.nevo.co.il/case/5914979</vt:lpwstr>
      </vt:variant>
      <vt:variant>
        <vt:lpwstr/>
      </vt:variant>
      <vt:variant>
        <vt:i4>6291553</vt:i4>
      </vt:variant>
      <vt:variant>
        <vt:i4>75</vt:i4>
      </vt:variant>
      <vt:variant>
        <vt:i4>0</vt:i4>
      </vt:variant>
      <vt:variant>
        <vt:i4>5</vt:i4>
      </vt:variant>
      <vt:variant>
        <vt:lpwstr>http://www.nevo.co.il/law/70301/45a</vt:lpwstr>
      </vt:variant>
      <vt:variant>
        <vt:lpwstr/>
      </vt:variant>
      <vt:variant>
        <vt:i4>3473520</vt:i4>
      </vt:variant>
      <vt:variant>
        <vt:i4>72</vt:i4>
      </vt:variant>
      <vt:variant>
        <vt:i4>0</vt:i4>
      </vt:variant>
      <vt:variant>
        <vt:i4>5</vt:i4>
      </vt:variant>
      <vt:variant>
        <vt:lpwstr>http://www.nevo.co.il/case/4506071</vt:lpwstr>
      </vt:variant>
      <vt:variant>
        <vt:lpwstr/>
      </vt:variant>
      <vt:variant>
        <vt:i4>6357042</vt:i4>
      </vt:variant>
      <vt:variant>
        <vt:i4>69</vt:i4>
      </vt:variant>
      <vt:variant>
        <vt:i4>0</vt:i4>
      </vt:variant>
      <vt:variant>
        <vt:i4>5</vt:i4>
      </vt:variant>
      <vt:variant>
        <vt:lpwstr>http://www.nevo.co.il/law/70301/144.b.</vt:lpwstr>
      </vt:variant>
      <vt:variant>
        <vt:lpwstr/>
      </vt:variant>
      <vt:variant>
        <vt:i4>4325384</vt:i4>
      </vt:variant>
      <vt:variant>
        <vt:i4>66</vt:i4>
      </vt:variant>
      <vt:variant>
        <vt:i4>0</vt:i4>
      </vt:variant>
      <vt:variant>
        <vt:i4>5</vt:i4>
      </vt:variant>
      <vt:variant>
        <vt:lpwstr>http://www.nevo.co.il/law/70301/499.a.1.</vt:lpwstr>
      </vt:variant>
      <vt:variant>
        <vt:lpwstr/>
      </vt:variant>
      <vt:variant>
        <vt:i4>6684721</vt:i4>
      </vt:variant>
      <vt:variant>
        <vt:i4>63</vt:i4>
      </vt:variant>
      <vt:variant>
        <vt:i4>0</vt:i4>
      </vt:variant>
      <vt:variant>
        <vt:i4>5</vt:i4>
      </vt:variant>
      <vt:variant>
        <vt:lpwstr>http://www.nevo.co.il/law/70301/335.a.1.2.</vt:lpwstr>
      </vt:variant>
      <vt:variant>
        <vt:lpwstr/>
      </vt:variant>
      <vt:variant>
        <vt:i4>6684774</vt:i4>
      </vt:variant>
      <vt:variant>
        <vt:i4>60</vt:i4>
      </vt:variant>
      <vt:variant>
        <vt:i4>0</vt:i4>
      </vt:variant>
      <vt:variant>
        <vt:i4>5</vt:i4>
      </vt:variant>
      <vt:variant>
        <vt:lpwstr>http://www.nevo.co.il/law/70301/333</vt:lpwstr>
      </vt:variant>
      <vt:variant>
        <vt:lpwstr/>
      </vt:variant>
      <vt:variant>
        <vt:i4>6619234</vt:i4>
      </vt:variant>
      <vt:variant>
        <vt:i4>57</vt:i4>
      </vt:variant>
      <vt:variant>
        <vt:i4>0</vt:i4>
      </vt:variant>
      <vt:variant>
        <vt:i4>5</vt:i4>
      </vt:variant>
      <vt:variant>
        <vt:lpwstr>http://www.nevo.co.il/law/70301/305.1.</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4915205</vt:i4>
      </vt:variant>
      <vt:variant>
        <vt:i4>51</vt:i4>
      </vt:variant>
      <vt:variant>
        <vt:i4>0</vt:i4>
      </vt:variant>
      <vt:variant>
        <vt:i4>5</vt:i4>
      </vt:variant>
      <vt:variant>
        <vt:lpwstr>http://www.nevo.co.il/law/70301/300.a.2.</vt:lpwstr>
      </vt:variant>
      <vt:variant>
        <vt:lpwstr/>
      </vt:variant>
      <vt:variant>
        <vt:i4>8192103</vt:i4>
      </vt:variant>
      <vt:variant>
        <vt:i4>48</vt:i4>
      </vt:variant>
      <vt:variant>
        <vt:i4>0</vt:i4>
      </vt:variant>
      <vt:variant>
        <vt:i4>5</vt:i4>
      </vt:variant>
      <vt:variant>
        <vt:lpwstr>http://www.nevo.co.il/law/75025</vt:lpwstr>
      </vt:variant>
      <vt:variant>
        <vt:lpwstr/>
      </vt:variant>
      <vt:variant>
        <vt:i4>6881388</vt:i4>
      </vt:variant>
      <vt:variant>
        <vt:i4>45</vt:i4>
      </vt:variant>
      <vt:variant>
        <vt:i4>0</vt:i4>
      </vt:variant>
      <vt:variant>
        <vt:i4>5</vt:i4>
      </vt:variant>
      <vt:variant>
        <vt:lpwstr>http://www.nevo.co.il/law/74903/186</vt:lpwstr>
      </vt:variant>
      <vt:variant>
        <vt:lpwstr/>
      </vt:variant>
      <vt:variant>
        <vt:i4>8257646</vt:i4>
      </vt:variant>
      <vt:variant>
        <vt:i4>42</vt:i4>
      </vt:variant>
      <vt:variant>
        <vt:i4>0</vt:i4>
      </vt:variant>
      <vt:variant>
        <vt:i4>5</vt:i4>
      </vt:variant>
      <vt:variant>
        <vt:lpwstr>http://www.nevo.co.il/law/74903</vt:lpwstr>
      </vt:variant>
      <vt:variant>
        <vt:lpwstr/>
      </vt:variant>
      <vt:variant>
        <vt:i4>4325384</vt:i4>
      </vt:variant>
      <vt:variant>
        <vt:i4>39</vt:i4>
      </vt:variant>
      <vt:variant>
        <vt:i4>0</vt:i4>
      </vt:variant>
      <vt:variant>
        <vt:i4>5</vt:i4>
      </vt:variant>
      <vt:variant>
        <vt:lpwstr>http://www.nevo.co.il/law/70301/499.a.1.</vt:lpwstr>
      </vt:variant>
      <vt:variant>
        <vt:lpwstr/>
      </vt:variant>
      <vt:variant>
        <vt:i4>6553637</vt:i4>
      </vt:variant>
      <vt:variant>
        <vt:i4>36</vt:i4>
      </vt:variant>
      <vt:variant>
        <vt:i4>0</vt:i4>
      </vt:variant>
      <vt:variant>
        <vt:i4>5</vt:i4>
      </vt:variant>
      <vt:variant>
        <vt:lpwstr>http://www.nevo.co.il/law/70301/40jc.b.</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6684721</vt:i4>
      </vt:variant>
      <vt:variant>
        <vt:i4>30</vt:i4>
      </vt:variant>
      <vt:variant>
        <vt:i4>0</vt:i4>
      </vt:variant>
      <vt:variant>
        <vt:i4>5</vt:i4>
      </vt:variant>
      <vt:variant>
        <vt:lpwstr>http://www.nevo.co.il/law/70301/335.a.1.2.</vt:lpwstr>
      </vt:variant>
      <vt:variant>
        <vt:lpwstr/>
      </vt:variant>
      <vt:variant>
        <vt:i4>6684774</vt:i4>
      </vt:variant>
      <vt:variant>
        <vt:i4>27</vt:i4>
      </vt:variant>
      <vt:variant>
        <vt:i4>0</vt:i4>
      </vt:variant>
      <vt:variant>
        <vt:i4>5</vt:i4>
      </vt:variant>
      <vt:variant>
        <vt:lpwstr>http://www.nevo.co.il/law/70301/333</vt:lpwstr>
      </vt:variant>
      <vt:variant>
        <vt:lpwstr/>
      </vt:variant>
      <vt:variant>
        <vt:i4>6619234</vt:i4>
      </vt:variant>
      <vt:variant>
        <vt:i4>24</vt:i4>
      </vt:variant>
      <vt:variant>
        <vt:i4>0</vt:i4>
      </vt:variant>
      <vt:variant>
        <vt:i4>5</vt:i4>
      </vt:variant>
      <vt:variant>
        <vt:lpwstr>http://www.nevo.co.il/law/70301/305.1.</vt:lpwstr>
      </vt:variant>
      <vt:variant>
        <vt:lpwstr/>
      </vt:variant>
      <vt:variant>
        <vt:i4>4915205</vt:i4>
      </vt:variant>
      <vt:variant>
        <vt:i4>21</vt:i4>
      </vt:variant>
      <vt:variant>
        <vt:i4>0</vt:i4>
      </vt:variant>
      <vt:variant>
        <vt:i4>5</vt:i4>
      </vt:variant>
      <vt:variant>
        <vt:lpwstr>http://www.nevo.co.il/law/70301/300.a.2.</vt:lpwstr>
      </vt:variant>
      <vt:variant>
        <vt:lpwstr/>
      </vt:variant>
      <vt:variant>
        <vt:i4>6619191</vt:i4>
      </vt:variant>
      <vt:variant>
        <vt:i4>18</vt:i4>
      </vt:variant>
      <vt:variant>
        <vt:i4>0</vt:i4>
      </vt:variant>
      <vt:variant>
        <vt:i4>5</vt:i4>
      </vt:variant>
      <vt:variant>
        <vt:lpwstr>http://www.nevo.co.il/law/70301/300.a.</vt:lpwstr>
      </vt:variant>
      <vt:variant>
        <vt:lpwstr/>
      </vt:variant>
      <vt:variant>
        <vt:i4>6357042</vt:i4>
      </vt:variant>
      <vt:variant>
        <vt:i4>15</vt:i4>
      </vt:variant>
      <vt:variant>
        <vt:i4>0</vt:i4>
      </vt:variant>
      <vt:variant>
        <vt:i4>5</vt:i4>
      </vt:variant>
      <vt:variant>
        <vt:lpwstr>http://www.nevo.co.il/law/70301/144.b.</vt:lpwstr>
      </vt:variant>
      <vt:variant>
        <vt:lpwstr/>
      </vt:variant>
      <vt:variant>
        <vt:i4>6291553</vt:i4>
      </vt:variant>
      <vt:variant>
        <vt:i4>12</vt:i4>
      </vt:variant>
      <vt:variant>
        <vt:i4>0</vt:i4>
      </vt:variant>
      <vt:variant>
        <vt:i4>5</vt:i4>
      </vt:variant>
      <vt:variant>
        <vt:lpwstr>http://www.nevo.co.il/law/70301/45a</vt:lpwstr>
      </vt:variant>
      <vt:variant>
        <vt:lpwstr/>
      </vt:variant>
      <vt:variant>
        <vt:i4>6619235</vt:i4>
      </vt:variant>
      <vt:variant>
        <vt:i4>9</vt:i4>
      </vt:variant>
      <vt:variant>
        <vt:i4>0</vt:i4>
      </vt:variant>
      <vt:variant>
        <vt:i4>5</vt:i4>
      </vt:variant>
      <vt:variant>
        <vt:lpwstr>http://www.nevo.co.il/law/70301/40c.a.</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7995492</vt:i4>
      </vt:variant>
      <vt:variant>
        <vt:i4>3</vt:i4>
      </vt:variant>
      <vt:variant>
        <vt:i4>0</vt:i4>
      </vt:variant>
      <vt:variant>
        <vt:i4>5</vt:i4>
      </vt:variant>
      <vt:variant>
        <vt:lpwstr>http://www.nevo.co.il/law/70301</vt:lpwstr>
      </vt:variant>
      <vt:variant>
        <vt:lpwstr/>
      </vt:variant>
      <vt:variant>
        <vt:i4>3276922</vt:i4>
      </vt:variant>
      <vt:variant>
        <vt:i4>0</vt:i4>
      </vt:variant>
      <vt:variant>
        <vt:i4>0</vt:i4>
      </vt:variant>
      <vt:variant>
        <vt:i4>5</vt:i4>
      </vt:variant>
      <vt:variant>
        <vt:lpwstr>http://www.nevo.co.il/case/4235693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2025-01-19T15:34:00Z</dcterms:created>
  <dcterms:modified xsi:type="dcterms:W3CDTF">2025-01-19T15:34:00Z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APPELLANT">
    <vt:lpwstr>מדינת ישראל</vt:lpwstr>
  </property>
  <property fmtid="{D5CDD505-2E9C-101B-9397-08002B2CF9AE}" pid="5" name="APPELLEE">
    <vt:lpwstr>שיהאבאלדין אלאסד</vt:lpwstr>
  </property>
  <property fmtid="{D5CDD505-2E9C-101B-9397-08002B2CF9AE}" pid="6" name="LAWYER">
    <vt:lpwstr>ר' יוחנני- הר ציון;מ' נסאר;י' דוד</vt:lpwstr>
  </property>
  <property fmtid="{D5CDD505-2E9C-101B-9397-08002B2CF9AE}" pid="7" name="JUDGE">
    <vt:lpwstr>ר' יפה כ#ץ;א' ואגו י' צלקובניק</vt:lpwstr>
  </property>
  <property fmtid="{D5CDD505-2E9C-101B-9397-08002B2CF9AE}" pid="8" name="CITY">
    <vt:lpwstr>ב"ש</vt:lpwstr>
  </property>
  <property fmtid="{D5CDD505-2E9C-101B-9397-08002B2CF9AE}" pid="9" name="DATE">
    <vt:lpwstr>20140923</vt:lpwstr>
  </property>
  <property fmtid="{D5CDD505-2E9C-101B-9397-08002B2CF9AE}" pid="10" name="TYPE_N_DATE">
    <vt:lpwstr>39020140923</vt:lpwstr>
  </property>
  <property fmtid="{D5CDD505-2E9C-101B-9397-08002B2CF9AE}" pid="11" name="CASESLISTTMP1">
    <vt:lpwstr>4235693;4506071:3;5914979;5957024;5788915;5580839;17914703;5868204;5578132;17937515;6031891</vt:lpwstr>
  </property>
  <property fmtid="{D5CDD505-2E9C-101B-9397-08002B2CF9AE}" pid="12" name="WORDNUMPAGES">
    <vt:lpwstr>13</vt:lpwstr>
  </property>
  <property fmtid="{D5CDD505-2E9C-101B-9397-08002B2CF9AE}" pid="13" name="TYPE_ABS_DATE">
    <vt:lpwstr>390020140923</vt:lpwstr>
  </property>
  <property fmtid="{D5CDD505-2E9C-101B-9397-08002B2CF9AE}" pid="14" name="ISABSTRACT">
    <vt:lpwstr>Y</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NEWPROC">
    <vt:lpwstr>תפח</vt:lpwstr>
  </property>
  <property fmtid="{D5CDD505-2E9C-101B-9397-08002B2CF9AE}" pid="33" name="NEWPARTA">
    <vt:lpwstr>35646</vt:lpwstr>
  </property>
  <property fmtid="{D5CDD505-2E9C-101B-9397-08002B2CF9AE}" pid="34" name="NEWPARTB">
    <vt:lpwstr>03</vt:lpwstr>
  </property>
  <property fmtid="{D5CDD505-2E9C-101B-9397-08002B2CF9AE}" pid="35" name="NEWPARTC">
    <vt:lpwstr>11</vt:lpwstr>
  </property>
  <property fmtid="{D5CDD505-2E9C-101B-9397-08002B2CF9AE}" pid="36" name="LAWLISTTMP1">
    <vt:lpwstr>70301/300.a.2.:2;305.1.:3;333:2;335.a.1.2.:2;499.a.1.:2;144.b.:2;045a:4;300.a.:2;040b:2;040c.a.:2;40jc.b.:2;40ja:2</vt:lpwstr>
  </property>
  <property fmtid="{D5CDD505-2E9C-101B-9397-08002B2CF9AE}" pid="37" name="LAWLISTTMP2">
    <vt:lpwstr>74903/186:2</vt:lpwstr>
  </property>
  <property fmtid="{D5CDD505-2E9C-101B-9397-08002B2CF9AE}" pid="38" name="LAWLISTTMP3">
    <vt:lpwstr>75025:2</vt:lpwstr>
  </property>
</Properties>
</file>