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0873AB" w:rsidRPr="009676CB" w14:paraId="63F02755" w14:textId="77777777">
        <w:trPr>
          <w:trHeight w:hRule="exact" w:val="418"/>
          <w:jc w:val="center"/>
        </w:trPr>
        <w:tc>
          <w:tcPr>
            <w:tcW w:w="8721" w:type="dxa"/>
            <w:gridSpan w:val="2"/>
          </w:tcPr>
          <w:p w14:paraId="05B09FD3" w14:textId="77777777" w:rsidR="000873AB" w:rsidRPr="009676CB" w:rsidRDefault="009676CB">
            <w:pPr>
              <w:pStyle w:val="a3"/>
              <w:jc w:val="center"/>
              <w:rPr>
                <w:rFonts w:ascii="Tahoma" w:hAnsi="Tahoma" w:cs="Tahoma"/>
                <w:color w:val="000080"/>
                <w:rtl/>
              </w:rPr>
            </w:pPr>
            <w:r w:rsidRPr="009676CB">
              <w:rPr>
                <w:rFonts w:ascii="Tahoma" w:hAnsi="Tahoma" w:cs="Tahoma"/>
                <w:b/>
                <w:bCs/>
                <w:color w:val="000080"/>
                <w:rtl/>
              </w:rPr>
              <w:t>בית המשפט המחוזי בבאר שבע</w:t>
            </w:r>
          </w:p>
        </w:tc>
      </w:tr>
      <w:tr w:rsidR="000873AB" w:rsidRPr="009676CB" w14:paraId="19151036" w14:textId="77777777">
        <w:trPr>
          <w:trHeight w:val="337"/>
          <w:jc w:val="center"/>
        </w:trPr>
        <w:tc>
          <w:tcPr>
            <w:tcW w:w="5048" w:type="dxa"/>
          </w:tcPr>
          <w:p w14:paraId="0F21E53D" w14:textId="77777777" w:rsidR="000873AB" w:rsidRPr="009676CB" w:rsidRDefault="009676CB">
            <w:pPr>
              <w:rPr>
                <w:rFonts w:ascii="Arial" w:hAnsi="Arial" w:cs="Arial"/>
                <w:b/>
                <w:bCs/>
              </w:rPr>
            </w:pPr>
            <w:r w:rsidRPr="009676CB">
              <w:rPr>
                <w:rFonts w:ascii="Arial" w:hAnsi="Arial" w:cs="Arial"/>
                <w:b/>
                <w:bCs/>
                <w:rtl/>
              </w:rPr>
              <w:t>בפני:</w:t>
            </w:r>
            <w:r w:rsidRPr="009676CB">
              <w:rPr>
                <w:rFonts w:cs="FrankRuehl" w:hint="cs"/>
                <w:sz w:val="28"/>
                <w:szCs w:val="28"/>
                <w:rtl/>
              </w:rPr>
              <w:t xml:space="preserve"> </w:t>
            </w:r>
            <w:r w:rsidRPr="009676CB">
              <w:rPr>
                <w:rFonts w:ascii="Arial" w:hAnsi="Arial" w:cs="Arial"/>
                <w:b/>
                <w:bCs/>
                <w:rtl/>
              </w:rPr>
              <w:t>כב' ס. הנשיא השופטת ר. יפה-כ"ץ,אב"ד</w:t>
            </w:r>
          </w:p>
          <w:p w14:paraId="22640438" w14:textId="77777777" w:rsidR="000873AB" w:rsidRPr="009676CB" w:rsidRDefault="009676CB">
            <w:pPr>
              <w:rPr>
                <w:rFonts w:ascii="Arial" w:hAnsi="Arial" w:cs="Arial"/>
                <w:b/>
                <w:bCs/>
                <w:rtl/>
              </w:rPr>
            </w:pPr>
            <w:r w:rsidRPr="009676CB">
              <w:rPr>
                <w:rFonts w:ascii="Arial" w:hAnsi="Arial" w:cs="Arial" w:hint="cs"/>
                <w:b/>
                <w:bCs/>
                <w:rtl/>
              </w:rPr>
              <w:t xml:space="preserve">         </w:t>
            </w:r>
            <w:r w:rsidRPr="009676CB">
              <w:rPr>
                <w:rFonts w:ascii="Arial" w:hAnsi="Arial" w:cs="Arial"/>
                <w:b/>
                <w:bCs/>
                <w:rtl/>
              </w:rPr>
              <w:t>כב' השופט א. ואגו</w:t>
            </w:r>
          </w:p>
          <w:p w14:paraId="72028E84" w14:textId="77777777" w:rsidR="000873AB" w:rsidRPr="009676CB" w:rsidRDefault="009676CB">
            <w:pPr>
              <w:pStyle w:val="a3"/>
              <w:rPr>
                <w:rFonts w:cs="FrankRuehl"/>
                <w:sz w:val="28"/>
                <w:szCs w:val="28"/>
                <w:rtl/>
              </w:rPr>
            </w:pPr>
            <w:r w:rsidRPr="009676CB">
              <w:rPr>
                <w:rFonts w:ascii="Arial" w:hAnsi="Arial" w:cs="Arial" w:hint="cs"/>
                <w:b/>
                <w:bCs/>
                <w:rtl/>
              </w:rPr>
              <w:t xml:space="preserve">         </w:t>
            </w:r>
            <w:r w:rsidRPr="009676CB">
              <w:rPr>
                <w:rFonts w:ascii="Arial" w:hAnsi="Arial" w:cs="Arial"/>
                <w:b/>
                <w:bCs/>
                <w:rtl/>
              </w:rPr>
              <w:t>כב' השופט י. צלקובניק</w:t>
            </w:r>
          </w:p>
        </w:tc>
        <w:tc>
          <w:tcPr>
            <w:tcW w:w="3673" w:type="dxa"/>
          </w:tcPr>
          <w:p w14:paraId="6722444E" w14:textId="77777777" w:rsidR="000873AB" w:rsidRPr="009676CB" w:rsidRDefault="009676CB">
            <w:pPr>
              <w:jc w:val="right"/>
              <w:rPr>
                <w:rFonts w:ascii="Arial" w:hAnsi="Arial" w:cs="Arial"/>
                <w:b/>
                <w:bCs/>
                <w:rtl/>
              </w:rPr>
            </w:pPr>
            <w:r w:rsidRPr="009676CB">
              <w:rPr>
                <w:rFonts w:ascii="Arial" w:hAnsi="Arial" w:cs="Arial"/>
                <w:b/>
                <w:bCs/>
                <w:rtl/>
              </w:rPr>
              <w:t xml:space="preserve">תפ"ח 52251-05-11 </w:t>
            </w:r>
          </w:p>
          <w:p w14:paraId="28A342F9" w14:textId="77777777" w:rsidR="000873AB" w:rsidRPr="009676CB" w:rsidRDefault="000873AB">
            <w:pPr>
              <w:pStyle w:val="a3"/>
              <w:jc w:val="right"/>
              <w:rPr>
                <w:rFonts w:ascii="Arial" w:hAnsi="Arial" w:cs="Arial"/>
                <w:b/>
                <w:bCs/>
                <w:rtl/>
              </w:rPr>
            </w:pPr>
          </w:p>
          <w:p w14:paraId="1A4D0DBF" w14:textId="77777777" w:rsidR="000873AB" w:rsidRPr="009676CB" w:rsidRDefault="000873AB"/>
        </w:tc>
      </w:tr>
    </w:tbl>
    <w:p w14:paraId="581BA774" w14:textId="77777777" w:rsidR="000873AB" w:rsidRPr="009676CB" w:rsidRDefault="009676CB">
      <w:pPr>
        <w:pStyle w:val="a3"/>
      </w:pPr>
      <w:bookmarkStart w:id="0" w:name="LastJudge"/>
      <w:bookmarkEnd w:id="0"/>
      <w:r w:rsidRPr="009676CB">
        <w:rPr>
          <w:rFonts w:hint="cs"/>
          <w:rtl/>
        </w:rPr>
        <w:t xml:space="preserve"> </w:t>
      </w:r>
    </w:p>
    <w:p w14:paraId="37F4040D" w14:textId="77777777" w:rsidR="000873AB" w:rsidRPr="009676CB" w:rsidRDefault="000873AB">
      <w:pPr>
        <w:spacing w:line="360" w:lineRule="auto"/>
        <w:rPr>
          <w:rFonts w:ascii="Arial" w:hAnsi="Arial" w:cs="Arial"/>
          <w:sz w:val="6"/>
          <w:szCs w:val="6"/>
          <w:rtl/>
        </w:rPr>
      </w:pPr>
    </w:p>
    <w:tbl>
      <w:tblPr>
        <w:bidiVisual/>
        <w:tblW w:w="0" w:type="auto"/>
        <w:tblInd w:w="-28" w:type="dxa"/>
        <w:tblLayout w:type="fixed"/>
        <w:tblLook w:val="01E0" w:firstRow="1" w:lastRow="1" w:firstColumn="1" w:lastColumn="1" w:noHBand="0" w:noVBand="0"/>
      </w:tblPr>
      <w:tblGrid>
        <w:gridCol w:w="1620"/>
        <w:gridCol w:w="3960"/>
        <w:gridCol w:w="3222"/>
      </w:tblGrid>
      <w:tr w:rsidR="000873AB" w:rsidRPr="009676CB" w14:paraId="297BAB29" w14:textId="77777777">
        <w:trPr>
          <w:trHeight w:val="593"/>
        </w:trPr>
        <w:tc>
          <w:tcPr>
            <w:tcW w:w="1620" w:type="dxa"/>
          </w:tcPr>
          <w:p w14:paraId="274C4AAE" w14:textId="77777777" w:rsidR="000873AB" w:rsidRPr="009676CB" w:rsidRDefault="000873AB">
            <w:pPr>
              <w:spacing w:line="360" w:lineRule="auto"/>
              <w:ind w:left="26"/>
              <w:rPr>
                <w:rFonts w:ascii="Arial" w:eastAsia="David" w:hAnsi="Arial" w:cs="Arial"/>
                <w:b/>
                <w:bCs/>
                <w:sz w:val="26"/>
                <w:szCs w:val="26"/>
              </w:rPr>
            </w:pPr>
            <w:bookmarkStart w:id="1" w:name="FirstAppellant"/>
            <w:bookmarkStart w:id="2" w:name="FirstLawyer"/>
          </w:p>
        </w:tc>
        <w:tc>
          <w:tcPr>
            <w:tcW w:w="3960" w:type="dxa"/>
          </w:tcPr>
          <w:p w14:paraId="34D9B487" w14:textId="77777777" w:rsidR="000873AB" w:rsidRPr="009676CB" w:rsidRDefault="009676CB">
            <w:pPr>
              <w:spacing w:line="360" w:lineRule="auto"/>
              <w:rPr>
                <w:rFonts w:ascii="Arial" w:eastAsia="David" w:hAnsi="Arial" w:cs="Arial"/>
                <w:b/>
                <w:bCs/>
                <w:sz w:val="26"/>
                <w:szCs w:val="26"/>
                <w:rtl/>
              </w:rPr>
            </w:pPr>
            <w:r w:rsidRPr="009676CB">
              <w:rPr>
                <w:rFonts w:ascii="Arial" w:hAnsi="Arial" w:cs="Arial"/>
                <w:b/>
                <w:bCs/>
                <w:sz w:val="26"/>
                <w:szCs w:val="26"/>
                <w:rtl/>
              </w:rPr>
              <w:t>מדינת ישראל</w:t>
            </w:r>
          </w:p>
          <w:p w14:paraId="1EEF652E" w14:textId="77777777" w:rsidR="000873AB" w:rsidRPr="009676CB" w:rsidRDefault="009676CB">
            <w:pPr>
              <w:spacing w:line="360" w:lineRule="auto"/>
              <w:rPr>
                <w:rFonts w:ascii="Arial" w:eastAsia="David" w:hAnsi="Arial" w:cs="Arial"/>
                <w:b/>
                <w:bCs/>
                <w:sz w:val="26"/>
                <w:szCs w:val="26"/>
              </w:rPr>
            </w:pPr>
            <w:r w:rsidRPr="009676CB">
              <w:rPr>
                <w:rFonts w:ascii="Arial" w:eastAsia="David" w:hAnsi="Arial" w:cs="Arial" w:hint="cs"/>
                <w:b/>
                <w:bCs/>
                <w:sz w:val="26"/>
                <w:szCs w:val="26"/>
                <w:rtl/>
              </w:rPr>
              <w:t>ע"י ב"כ פמ"ד</w:t>
            </w:r>
          </w:p>
        </w:tc>
        <w:tc>
          <w:tcPr>
            <w:tcW w:w="3222" w:type="dxa"/>
          </w:tcPr>
          <w:p w14:paraId="610949C9" w14:textId="77777777" w:rsidR="000873AB" w:rsidRPr="009676CB" w:rsidRDefault="000873AB">
            <w:pPr>
              <w:spacing w:line="360" w:lineRule="auto"/>
              <w:rPr>
                <w:rFonts w:ascii="Arial" w:eastAsia="David" w:hAnsi="Arial" w:cs="Arial"/>
                <w:b/>
                <w:bCs/>
                <w:sz w:val="26"/>
                <w:szCs w:val="26"/>
                <w:rtl/>
              </w:rPr>
            </w:pPr>
          </w:p>
          <w:p w14:paraId="3C608713" w14:textId="77777777" w:rsidR="000873AB" w:rsidRPr="009676CB" w:rsidRDefault="000873AB">
            <w:pPr>
              <w:spacing w:line="360" w:lineRule="auto"/>
              <w:rPr>
                <w:rFonts w:ascii="Arial" w:hAnsi="Arial" w:cs="Arial"/>
                <w:b/>
                <w:bCs/>
                <w:sz w:val="26"/>
                <w:szCs w:val="26"/>
                <w:rtl/>
              </w:rPr>
            </w:pPr>
          </w:p>
          <w:p w14:paraId="5E2AC2AF" w14:textId="77777777" w:rsidR="000873AB" w:rsidRPr="009676CB" w:rsidRDefault="009676CB">
            <w:pPr>
              <w:spacing w:line="360" w:lineRule="auto"/>
              <w:rPr>
                <w:rFonts w:ascii="Arial" w:eastAsia="David" w:hAnsi="Arial" w:cs="Arial"/>
                <w:b/>
                <w:bCs/>
                <w:sz w:val="26"/>
                <w:szCs w:val="26"/>
              </w:rPr>
            </w:pPr>
            <w:r w:rsidRPr="009676CB">
              <w:rPr>
                <w:rFonts w:ascii="Arial" w:hAnsi="Arial" w:cs="Arial"/>
                <w:b/>
                <w:bCs/>
                <w:sz w:val="26"/>
                <w:szCs w:val="26"/>
                <w:rtl/>
              </w:rPr>
              <w:t>המאשימה</w:t>
            </w:r>
          </w:p>
        </w:tc>
      </w:tr>
      <w:bookmarkEnd w:id="1"/>
      <w:bookmarkEnd w:id="2"/>
      <w:tr w:rsidR="000873AB" w:rsidRPr="009676CB" w14:paraId="36860DB2" w14:textId="77777777">
        <w:tc>
          <w:tcPr>
            <w:tcW w:w="8802" w:type="dxa"/>
            <w:gridSpan w:val="3"/>
          </w:tcPr>
          <w:p w14:paraId="086219D7" w14:textId="77777777" w:rsidR="000873AB" w:rsidRPr="009676CB" w:rsidRDefault="009676CB">
            <w:pPr>
              <w:spacing w:line="360" w:lineRule="auto"/>
              <w:jc w:val="center"/>
              <w:rPr>
                <w:rFonts w:ascii="Arial" w:eastAsia="David" w:hAnsi="Arial" w:cs="Arial"/>
                <w:b/>
                <w:bCs/>
                <w:sz w:val="26"/>
                <w:szCs w:val="26"/>
              </w:rPr>
            </w:pPr>
            <w:r w:rsidRPr="009676CB">
              <w:rPr>
                <w:rFonts w:ascii="Arial" w:hAnsi="Arial" w:cs="Arial"/>
                <w:b/>
                <w:bCs/>
                <w:sz w:val="26"/>
                <w:szCs w:val="26"/>
                <w:rtl/>
              </w:rPr>
              <w:t>נגד</w:t>
            </w:r>
          </w:p>
        </w:tc>
      </w:tr>
      <w:tr w:rsidR="000873AB" w:rsidRPr="009676CB" w14:paraId="24564A1F" w14:textId="77777777">
        <w:tc>
          <w:tcPr>
            <w:tcW w:w="1620" w:type="dxa"/>
          </w:tcPr>
          <w:p w14:paraId="4FC82F2B" w14:textId="77777777" w:rsidR="000873AB" w:rsidRPr="009676CB" w:rsidRDefault="000873AB">
            <w:pPr>
              <w:spacing w:line="360" w:lineRule="auto"/>
              <w:ind w:left="26"/>
              <w:rPr>
                <w:rFonts w:ascii="Arial" w:eastAsia="David" w:hAnsi="Arial" w:cs="Arial" w:hint="cs"/>
                <w:b/>
                <w:bCs/>
                <w:sz w:val="26"/>
                <w:szCs w:val="26"/>
              </w:rPr>
            </w:pPr>
          </w:p>
        </w:tc>
        <w:tc>
          <w:tcPr>
            <w:tcW w:w="3960" w:type="dxa"/>
          </w:tcPr>
          <w:p w14:paraId="4DC665BA" w14:textId="77777777" w:rsidR="000873AB" w:rsidRPr="009676CB" w:rsidRDefault="009676CB">
            <w:pPr>
              <w:spacing w:line="360" w:lineRule="auto"/>
              <w:rPr>
                <w:rFonts w:ascii="Arial" w:hAnsi="Arial" w:cs="Arial"/>
                <w:b/>
                <w:bCs/>
                <w:sz w:val="26"/>
                <w:szCs w:val="26"/>
                <w:rtl/>
              </w:rPr>
            </w:pPr>
            <w:r w:rsidRPr="009676CB">
              <w:rPr>
                <w:rFonts w:ascii="Arial" w:hAnsi="Arial" w:cs="Arial"/>
                <w:b/>
                <w:bCs/>
                <w:sz w:val="26"/>
                <w:szCs w:val="26"/>
                <w:rtl/>
              </w:rPr>
              <w:t>חאלד סילאוי</w:t>
            </w:r>
          </w:p>
          <w:p w14:paraId="4F3979FE" w14:textId="77777777" w:rsidR="000873AB" w:rsidRPr="009676CB" w:rsidRDefault="009676CB">
            <w:pPr>
              <w:spacing w:line="360" w:lineRule="auto"/>
              <w:rPr>
                <w:rFonts w:ascii="Arial" w:eastAsia="David" w:hAnsi="Arial" w:cs="Arial"/>
                <w:b/>
                <w:bCs/>
                <w:sz w:val="26"/>
                <w:szCs w:val="26"/>
              </w:rPr>
            </w:pPr>
            <w:r w:rsidRPr="009676CB">
              <w:rPr>
                <w:rFonts w:ascii="Arial" w:hAnsi="Arial" w:cs="Arial" w:hint="cs"/>
                <w:b/>
                <w:bCs/>
                <w:sz w:val="26"/>
                <w:szCs w:val="26"/>
                <w:rtl/>
              </w:rPr>
              <w:t>ע"י ב"כ עו"ד ג'אברין</w:t>
            </w:r>
            <w:r w:rsidRPr="009676CB">
              <w:rPr>
                <w:rFonts w:ascii="Arial" w:hAnsi="Arial" w:cs="Arial"/>
                <w:b/>
                <w:bCs/>
                <w:sz w:val="26"/>
                <w:szCs w:val="26"/>
                <w:rtl/>
              </w:rPr>
              <w:t xml:space="preserve"> </w:t>
            </w:r>
          </w:p>
        </w:tc>
        <w:tc>
          <w:tcPr>
            <w:tcW w:w="3222" w:type="dxa"/>
          </w:tcPr>
          <w:p w14:paraId="6B09F4EA" w14:textId="77777777" w:rsidR="000873AB" w:rsidRPr="009676CB" w:rsidRDefault="000873AB">
            <w:pPr>
              <w:spacing w:line="360" w:lineRule="auto"/>
              <w:rPr>
                <w:rFonts w:ascii="Arial" w:eastAsia="David" w:hAnsi="Arial" w:cs="Arial"/>
                <w:b/>
                <w:bCs/>
                <w:sz w:val="26"/>
                <w:szCs w:val="26"/>
                <w:rtl/>
              </w:rPr>
            </w:pPr>
          </w:p>
          <w:p w14:paraId="7805A792" w14:textId="77777777" w:rsidR="000873AB" w:rsidRPr="009676CB" w:rsidRDefault="000873AB">
            <w:pPr>
              <w:spacing w:line="360" w:lineRule="auto"/>
              <w:rPr>
                <w:rFonts w:ascii="Arial" w:eastAsia="David" w:hAnsi="Arial" w:cs="Arial"/>
                <w:b/>
                <w:bCs/>
                <w:sz w:val="26"/>
                <w:szCs w:val="26"/>
                <w:rtl/>
              </w:rPr>
            </w:pPr>
          </w:p>
          <w:p w14:paraId="0BFA81E8" w14:textId="77777777" w:rsidR="000873AB" w:rsidRPr="009676CB" w:rsidRDefault="009676CB">
            <w:pPr>
              <w:spacing w:line="360" w:lineRule="auto"/>
              <w:rPr>
                <w:rFonts w:ascii="Arial" w:eastAsia="David" w:hAnsi="Arial" w:cs="Arial"/>
                <w:b/>
                <w:bCs/>
                <w:sz w:val="26"/>
                <w:szCs w:val="26"/>
              </w:rPr>
            </w:pPr>
            <w:r w:rsidRPr="009676CB">
              <w:rPr>
                <w:rFonts w:ascii="Arial" w:hAnsi="Arial" w:cs="Arial"/>
                <w:b/>
                <w:bCs/>
                <w:sz w:val="26"/>
                <w:szCs w:val="26"/>
                <w:rtl/>
              </w:rPr>
              <w:t>הנאשם</w:t>
            </w:r>
          </w:p>
        </w:tc>
      </w:tr>
    </w:tbl>
    <w:p w14:paraId="1D663A84" w14:textId="77777777" w:rsidR="000873AB" w:rsidRPr="009676CB" w:rsidRDefault="000873AB">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73AB" w:rsidRPr="009676CB" w14:paraId="1DA5F699" w14:textId="77777777">
        <w:trPr>
          <w:trHeight w:val="355"/>
          <w:jc w:val="center"/>
        </w:trPr>
        <w:tc>
          <w:tcPr>
            <w:tcW w:w="8820" w:type="dxa"/>
            <w:tcBorders>
              <w:top w:val="nil"/>
              <w:left w:val="nil"/>
              <w:bottom w:val="nil"/>
              <w:right w:val="nil"/>
            </w:tcBorders>
          </w:tcPr>
          <w:p w14:paraId="75DF96B8" w14:textId="77777777" w:rsidR="000873AB" w:rsidRPr="009676CB" w:rsidRDefault="009676CB">
            <w:pPr>
              <w:jc w:val="center"/>
              <w:rPr>
                <w:rFonts w:ascii="Arial" w:hAnsi="Arial" w:cs="Arial"/>
                <w:sz w:val="28"/>
                <w:szCs w:val="28"/>
                <w:rtl/>
              </w:rPr>
            </w:pPr>
            <w:bookmarkStart w:id="3" w:name="PsakDin"/>
            <w:r w:rsidRPr="009676CB">
              <w:rPr>
                <w:rFonts w:ascii="Arial" w:hAnsi="Arial" w:cs="Arial"/>
                <w:b/>
                <w:bCs/>
                <w:sz w:val="28"/>
                <w:szCs w:val="28"/>
                <w:rtl/>
              </w:rPr>
              <w:t>ג</w:t>
            </w:r>
            <w:r w:rsidRPr="009676CB">
              <w:rPr>
                <w:rFonts w:ascii="Arial" w:hAnsi="Arial" w:cs="Arial" w:hint="cs"/>
                <w:b/>
                <w:bCs/>
                <w:sz w:val="28"/>
                <w:szCs w:val="28"/>
                <w:rtl/>
              </w:rPr>
              <w:t xml:space="preserve"> </w:t>
            </w:r>
            <w:r w:rsidRPr="009676CB">
              <w:rPr>
                <w:rFonts w:ascii="Arial" w:hAnsi="Arial" w:cs="Arial"/>
                <w:b/>
                <w:bCs/>
                <w:sz w:val="28"/>
                <w:szCs w:val="28"/>
                <w:rtl/>
              </w:rPr>
              <w:t>ז</w:t>
            </w:r>
            <w:r w:rsidRPr="009676CB">
              <w:rPr>
                <w:rFonts w:ascii="Arial" w:hAnsi="Arial" w:cs="Arial" w:hint="cs"/>
                <w:b/>
                <w:bCs/>
                <w:sz w:val="28"/>
                <w:szCs w:val="28"/>
                <w:rtl/>
              </w:rPr>
              <w:t xml:space="preserve"> </w:t>
            </w:r>
            <w:r w:rsidRPr="009676CB">
              <w:rPr>
                <w:rFonts w:ascii="Arial" w:hAnsi="Arial" w:cs="Arial"/>
                <w:b/>
                <w:bCs/>
                <w:sz w:val="28"/>
                <w:szCs w:val="28"/>
                <w:rtl/>
              </w:rPr>
              <w:t xml:space="preserve">ר </w:t>
            </w:r>
            <w:r w:rsidRPr="009676CB">
              <w:rPr>
                <w:rFonts w:ascii="Arial" w:hAnsi="Arial" w:cs="Arial" w:hint="cs"/>
                <w:b/>
                <w:bCs/>
                <w:sz w:val="28"/>
                <w:szCs w:val="28"/>
                <w:rtl/>
              </w:rPr>
              <w:t xml:space="preserve">  -   </w:t>
            </w:r>
            <w:r w:rsidRPr="009676CB">
              <w:rPr>
                <w:rFonts w:ascii="Arial" w:hAnsi="Arial" w:cs="Arial"/>
                <w:b/>
                <w:bCs/>
                <w:sz w:val="28"/>
                <w:szCs w:val="28"/>
                <w:rtl/>
              </w:rPr>
              <w:t>ד</w:t>
            </w:r>
            <w:r w:rsidRPr="009676CB">
              <w:rPr>
                <w:rFonts w:ascii="Arial" w:hAnsi="Arial" w:cs="Arial" w:hint="cs"/>
                <w:b/>
                <w:bCs/>
                <w:sz w:val="28"/>
                <w:szCs w:val="28"/>
                <w:rtl/>
              </w:rPr>
              <w:t xml:space="preserve"> </w:t>
            </w:r>
            <w:r w:rsidRPr="009676CB">
              <w:rPr>
                <w:rFonts w:ascii="Arial" w:hAnsi="Arial" w:cs="Arial"/>
                <w:b/>
                <w:bCs/>
                <w:sz w:val="28"/>
                <w:szCs w:val="28"/>
                <w:rtl/>
              </w:rPr>
              <w:t>י</w:t>
            </w:r>
            <w:r w:rsidRPr="009676CB">
              <w:rPr>
                <w:rFonts w:ascii="Arial" w:hAnsi="Arial" w:cs="Arial" w:hint="cs"/>
                <w:b/>
                <w:bCs/>
                <w:sz w:val="28"/>
                <w:szCs w:val="28"/>
                <w:rtl/>
              </w:rPr>
              <w:t xml:space="preserve"> </w:t>
            </w:r>
            <w:r w:rsidRPr="009676CB">
              <w:rPr>
                <w:rFonts w:ascii="Arial" w:hAnsi="Arial" w:cs="Arial"/>
                <w:b/>
                <w:bCs/>
                <w:sz w:val="28"/>
                <w:szCs w:val="28"/>
                <w:rtl/>
              </w:rPr>
              <w:t>ן</w:t>
            </w:r>
            <w:bookmarkEnd w:id="3"/>
          </w:p>
        </w:tc>
      </w:tr>
    </w:tbl>
    <w:p w14:paraId="02F218D6" w14:textId="77777777" w:rsidR="000873AB" w:rsidRPr="009676CB" w:rsidRDefault="000873AB">
      <w:pPr>
        <w:rPr>
          <w:rFonts w:ascii="Arial" w:hAnsi="Arial" w:cs="Arial"/>
          <w:rtl/>
        </w:rPr>
      </w:pPr>
    </w:p>
    <w:p w14:paraId="1CAF87A3" w14:textId="77777777" w:rsidR="000873AB" w:rsidRPr="009676CB" w:rsidRDefault="000873AB">
      <w:pPr>
        <w:rPr>
          <w:rFonts w:ascii="Arial" w:hAnsi="Arial" w:cs="Arial"/>
          <w:rtl/>
        </w:rPr>
      </w:pPr>
    </w:p>
    <w:p w14:paraId="14F32D0B" w14:textId="77777777" w:rsidR="000873AB" w:rsidRPr="009676CB" w:rsidRDefault="009676CB">
      <w:pPr>
        <w:spacing w:line="360" w:lineRule="auto"/>
        <w:ind w:left="720" w:hanging="720"/>
        <w:jc w:val="both"/>
        <w:rPr>
          <w:rFonts w:ascii="Arial" w:hAnsi="Arial" w:cs="Arial"/>
          <w:rtl/>
        </w:rPr>
      </w:pPr>
      <w:r w:rsidRPr="009676CB">
        <w:rPr>
          <w:rFonts w:ascii="Arial" w:hAnsi="Arial" w:cs="Arial" w:hint="cs"/>
          <w:rtl/>
        </w:rPr>
        <w:t>1.</w:t>
      </w:r>
      <w:r w:rsidRPr="009676CB">
        <w:rPr>
          <w:rFonts w:ascii="Arial" w:hAnsi="Arial" w:cs="Arial" w:hint="cs"/>
          <w:rtl/>
        </w:rPr>
        <w:tab/>
        <w:t xml:space="preserve">במסגרת הסדר טיעון שנערך בין הצדדים, תוקן כתב האישום המקורי שהוגש כנגד הנאשם, הוא הודה בעובדות שבכתב האישום המתוקן ובהתאם הורשע בארבעה אישומים שונים של עבירות כנגד בטחון המדינה. הסדר הטיעון כלל גם עתירה משותפת לגזור על הנאשם 18 שנות מאסר לריצוי בפועל. </w:t>
      </w:r>
    </w:p>
    <w:p w14:paraId="5013CBA6" w14:textId="77777777" w:rsidR="000873AB" w:rsidRPr="009676CB" w:rsidRDefault="000873AB">
      <w:pPr>
        <w:rPr>
          <w:rFonts w:ascii="Arial" w:hAnsi="Arial" w:cs="Arial"/>
          <w:rtl/>
        </w:rPr>
      </w:pPr>
    </w:p>
    <w:p w14:paraId="2278722D" w14:textId="77777777" w:rsidR="000873AB" w:rsidRPr="009676CB" w:rsidRDefault="009676CB">
      <w:pPr>
        <w:spacing w:line="360" w:lineRule="auto"/>
        <w:ind w:left="720" w:hanging="720"/>
        <w:jc w:val="both"/>
        <w:rPr>
          <w:rFonts w:ascii="Arial" w:hAnsi="Arial" w:cs="Arial"/>
          <w:rtl/>
        </w:rPr>
      </w:pPr>
      <w:r w:rsidRPr="009676CB">
        <w:rPr>
          <w:rFonts w:ascii="Arial" w:hAnsi="Arial" w:cs="Arial" w:hint="cs"/>
          <w:rtl/>
        </w:rPr>
        <w:t>2.</w:t>
      </w:r>
      <w:r w:rsidRPr="009676CB">
        <w:rPr>
          <w:rFonts w:ascii="Arial" w:hAnsi="Arial" w:cs="Arial" w:hint="cs"/>
          <w:rtl/>
        </w:rPr>
        <w:tab/>
        <w:t xml:space="preserve">מעובדות כתב האישום המתוקן בהן הורשע הנאשם עולה, כי במהלך שנת 2007, פגש הנאשם את מי שכונה "אבו סאעד", אשר שימש כאחראי על חטיבות נאסר צאלח-א-דין, שהינן הזרוע הצבאית של וועדות ההתנגדות (ארגון שהוכרז כהתאחדות בלתי מותרת על ידי שר הבטחון), וביקש לגייס אותו לחטיבות. בעקבות פניה זו, אכן גוייס הנאשם לחטיבות, והחל לפעול בחוליה צבאית, שפעלה ברצועת עזה, ביחד עם אחרים. </w:t>
      </w:r>
    </w:p>
    <w:p w14:paraId="01C0FE25" w14:textId="77777777" w:rsidR="000873AB" w:rsidRPr="009676CB" w:rsidRDefault="009676CB">
      <w:pPr>
        <w:spacing w:line="360" w:lineRule="auto"/>
        <w:ind w:left="720"/>
        <w:jc w:val="both"/>
        <w:rPr>
          <w:rFonts w:ascii="Arial" w:hAnsi="Arial" w:cs="Arial"/>
          <w:rtl/>
        </w:rPr>
      </w:pPr>
      <w:r w:rsidRPr="009676CB">
        <w:rPr>
          <w:rFonts w:ascii="Arial" w:hAnsi="Arial" w:cs="Arial" w:hint="cs"/>
          <w:rtl/>
        </w:rPr>
        <w:t xml:space="preserve">כשבוע לאחר גיוסו, הצטרף הנאשם, יחד עם חבריו לחוליה, לאימון צבאי מטעם החטיבות, בו השתתפו כ-60 פעילים נוספים, כולם רעולי פנים. האימון נמשך כ-15 יום ובמסגרתו, עבר הנאשם קורסי "הכנת הלוחם נגד האוייב", פירוק והרכבה של רוס"ר קלצ'ניקוב, אימוני כושר ואימוני ירי באש חיה. </w:t>
      </w:r>
    </w:p>
    <w:p w14:paraId="63E28417" w14:textId="77777777" w:rsidR="000873AB" w:rsidRPr="009676CB" w:rsidRDefault="009676CB">
      <w:pPr>
        <w:spacing w:line="360" w:lineRule="auto"/>
        <w:ind w:left="720" w:hanging="720"/>
        <w:jc w:val="both"/>
        <w:rPr>
          <w:rFonts w:ascii="Arial" w:hAnsi="Arial" w:cs="Arial"/>
          <w:rtl/>
        </w:rPr>
      </w:pPr>
      <w:r w:rsidRPr="009676CB">
        <w:rPr>
          <w:rFonts w:ascii="Arial" w:hAnsi="Arial" w:cs="Arial" w:hint="cs"/>
          <w:rtl/>
        </w:rPr>
        <w:tab/>
        <w:t>נוכח מעשיו אלה, הורשע הנאשם ב</w:t>
      </w:r>
      <w:bookmarkStart w:id="4" w:name="ABSTRACT_START"/>
      <w:bookmarkEnd w:id="4"/>
      <w:r w:rsidRPr="009676CB">
        <w:rPr>
          <w:rFonts w:ascii="Arial" w:hAnsi="Arial" w:cs="Arial" w:hint="cs"/>
          <w:rtl/>
        </w:rPr>
        <w:t>עבירה של חברות ופעילות בהתאחדות בלתי מותרת לפי סעיף 85(1)(א) ל</w:t>
      </w:r>
      <w:hyperlink r:id="rId6" w:history="1">
        <w:r w:rsidRPr="009676CB">
          <w:rPr>
            <w:rFonts w:ascii="Arial" w:hAnsi="Arial" w:cs="Arial"/>
            <w:color w:val="0000FF"/>
            <w:u w:val="single"/>
            <w:rtl/>
          </w:rPr>
          <w:t>תקנות ההגנה (שעת חירום)</w:t>
        </w:r>
      </w:hyperlink>
      <w:r w:rsidRPr="009676CB">
        <w:rPr>
          <w:rFonts w:ascii="Arial" w:hAnsi="Arial" w:cs="Arial" w:hint="cs"/>
          <w:rtl/>
        </w:rPr>
        <w:t>, 1945</w:t>
      </w:r>
      <w:bookmarkStart w:id="5" w:name="ABSTRACT_END"/>
      <w:bookmarkEnd w:id="5"/>
      <w:r w:rsidRPr="009676CB">
        <w:rPr>
          <w:rFonts w:ascii="Arial" w:hAnsi="Arial" w:cs="Arial" w:hint="cs"/>
          <w:rtl/>
        </w:rPr>
        <w:t xml:space="preserve">. </w:t>
      </w:r>
    </w:p>
    <w:p w14:paraId="03F25E79" w14:textId="77777777" w:rsidR="000873AB" w:rsidRPr="009676CB" w:rsidRDefault="000873AB">
      <w:pPr>
        <w:rPr>
          <w:rFonts w:ascii="Arial" w:hAnsi="Arial" w:cs="Arial"/>
          <w:rtl/>
        </w:rPr>
      </w:pPr>
    </w:p>
    <w:p w14:paraId="041EF298" w14:textId="77777777" w:rsidR="000873AB" w:rsidRPr="009676CB" w:rsidRDefault="009676CB">
      <w:pPr>
        <w:spacing w:line="360" w:lineRule="auto"/>
        <w:ind w:left="720" w:hanging="720"/>
        <w:jc w:val="both"/>
        <w:rPr>
          <w:rFonts w:ascii="Arial" w:hAnsi="Arial" w:cs="Arial"/>
          <w:rtl/>
        </w:rPr>
      </w:pPr>
      <w:r w:rsidRPr="009676CB">
        <w:rPr>
          <w:rFonts w:ascii="Arial" w:hAnsi="Arial" w:cs="Arial" w:hint="cs"/>
          <w:rtl/>
        </w:rPr>
        <w:lastRenderedPageBreak/>
        <w:tab/>
        <w:t xml:space="preserve">במסגרת האישום השני של כתב האישום המתוקן (הוא האישום הרביעי בכתב האישום המקורי), הודה הנאשם, כי במהלך שנת 2007, במסגרת פעילותו בחטיבות, פנו אליו והציעו לו להשתתף בירי טילים לעבר תחומי מדינת ישראל והנאשם הסכים. </w:t>
      </w:r>
    </w:p>
    <w:p w14:paraId="324D7242" w14:textId="77777777" w:rsidR="000873AB" w:rsidRPr="009676CB" w:rsidRDefault="000873AB">
      <w:pPr>
        <w:spacing w:line="360" w:lineRule="auto"/>
        <w:ind w:left="720" w:hanging="720"/>
        <w:jc w:val="both"/>
        <w:rPr>
          <w:rFonts w:ascii="Arial" w:hAnsi="Arial" w:cs="Arial"/>
          <w:rtl/>
        </w:rPr>
      </w:pPr>
    </w:p>
    <w:p w14:paraId="60251AED" w14:textId="77777777" w:rsidR="000873AB" w:rsidRPr="009676CB" w:rsidRDefault="000873AB">
      <w:pPr>
        <w:spacing w:line="360" w:lineRule="auto"/>
        <w:ind w:left="720" w:hanging="720"/>
        <w:jc w:val="both"/>
        <w:rPr>
          <w:rFonts w:ascii="Arial" w:hAnsi="Arial" w:cs="Arial"/>
          <w:rtl/>
        </w:rPr>
      </w:pPr>
    </w:p>
    <w:p w14:paraId="0A86E4D8" w14:textId="77777777" w:rsidR="000873AB" w:rsidRPr="009676CB" w:rsidRDefault="009676CB">
      <w:pPr>
        <w:spacing w:line="360" w:lineRule="auto"/>
        <w:ind w:left="720"/>
        <w:jc w:val="both"/>
        <w:rPr>
          <w:rFonts w:ascii="Arial" w:hAnsi="Arial" w:cs="Arial"/>
          <w:rtl/>
        </w:rPr>
      </w:pPr>
      <w:r w:rsidRPr="009676CB">
        <w:rPr>
          <w:rFonts w:ascii="Arial" w:hAnsi="Arial" w:cs="Arial" w:hint="cs"/>
          <w:rtl/>
        </w:rPr>
        <w:t xml:space="preserve">בעקבות זאת, הנאשם קשר קשר עם אחרים לבצע ירי טילים לעבר מדינת ישראל, ובמסגרת זו גם למד כיצד להרכיב שעון עצר לטיל ולכוונו לזמן השיגור הרצוי. לאחר מכן, יצאו הנאשם והאחר עמו קשר את הקשר, כשהם נושאים שני טילים שאורכם כמטר וחצי לערך, לאזור הסמוך לכפר בג'בליה, שם הורידו את הטילים מהרכב, ייצבו שני משגרי טילים באדמה והניחו כל טיל במשגר. השניים כיוונו את הטילים לעבר העיר שדרות, הרכיבו שעון עצר, וכיוונו אותו ל-15 דקות. מיד לאחר מכן, עזבו את המקום והתמקמו במקום סמוך, שם המתינו לשיגור. לאחר כ-15 דקות, אכן שוגרו שני הטילים בהצלחה. </w:t>
      </w:r>
    </w:p>
    <w:p w14:paraId="7405F7C6" w14:textId="77777777" w:rsidR="000873AB" w:rsidRPr="009676CB" w:rsidRDefault="009676CB">
      <w:pPr>
        <w:spacing w:line="360" w:lineRule="auto"/>
        <w:ind w:left="720" w:hanging="720"/>
        <w:jc w:val="both"/>
        <w:rPr>
          <w:rFonts w:ascii="Arial" w:hAnsi="Arial" w:cs="Arial"/>
          <w:rtl/>
        </w:rPr>
      </w:pPr>
      <w:r w:rsidRPr="009676CB">
        <w:rPr>
          <w:rFonts w:ascii="Arial" w:hAnsi="Arial" w:cs="Arial" w:hint="cs"/>
          <w:rtl/>
        </w:rPr>
        <w:tab/>
        <w:t>נוכח מעשיו אלה, הורשע הנאשם בעבירות של פעילות בהתאחדות בלתי מותרת לפי סעיף 85(1)(א) ל</w:t>
      </w:r>
      <w:hyperlink r:id="rId7" w:history="1">
        <w:r w:rsidRPr="009676CB">
          <w:rPr>
            <w:rFonts w:ascii="Arial" w:hAnsi="Arial" w:cs="Arial"/>
            <w:color w:val="0000FF"/>
            <w:u w:val="single"/>
            <w:rtl/>
          </w:rPr>
          <w:t>תקנות ההגנה</w:t>
        </w:r>
      </w:hyperlink>
      <w:r w:rsidRPr="009676CB">
        <w:rPr>
          <w:rFonts w:ascii="Arial" w:hAnsi="Arial" w:cs="Arial" w:hint="cs"/>
          <w:rtl/>
        </w:rPr>
        <w:t>, עבירות בנשק (הובלת נשק) לפי סעיף 144(ב) ל</w:t>
      </w:r>
      <w:hyperlink r:id="rId8" w:history="1">
        <w:r w:rsidRPr="009676CB">
          <w:rPr>
            <w:rFonts w:ascii="Arial" w:hAnsi="Arial" w:cs="Arial"/>
            <w:color w:val="0000FF"/>
            <w:u w:val="single"/>
            <w:rtl/>
          </w:rPr>
          <w:t>חוק העונשין</w:t>
        </w:r>
      </w:hyperlink>
      <w:r w:rsidRPr="009676CB">
        <w:rPr>
          <w:rFonts w:ascii="Arial" w:hAnsi="Arial" w:cs="Arial" w:hint="cs"/>
          <w:rtl/>
        </w:rPr>
        <w:t xml:space="preserve">, תשל"ז </w:t>
      </w:r>
      <w:r w:rsidRPr="009676CB">
        <w:rPr>
          <w:rFonts w:ascii="Arial" w:hAnsi="Arial" w:cs="Arial"/>
          <w:rtl/>
        </w:rPr>
        <w:t>–</w:t>
      </w:r>
      <w:r w:rsidRPr="009676CB">
        <w:rPr>
          <w:rFonts w:ascii="Arial" w:hAnsi="Arial" w:cs="Arial" w:hint="cs"/>
          <w:rtl/>
        </w:rPr>
        <w:t xml:space="preserve"> 1977, קשירת קשר לפשע (רצח) לפי סעיף 499(א)(1) לחוק העונשין, וניסיון לרצח לפי סעיף 305(1) לחוק העונשין. </w:t>
      </w:r>
    </w:p>
    <w:p w14:paraId="23FF67CF" w14:textId="77777777" w:rsidR="000873AB" w:rsidRPr="009676CB" w:rsidRDefault="000873AB">
      <w:pPr>
        <w:spacing w:line="360" w:lineRule="auto"/>
        <w:ind w:left="720" w:hanging="720"/>
        <w:jc w:val="both"/>
        <w:rPr>
          <w:rFonts w:ascii="Arial" w:hAnsi="Arial" w:cs="Arial"/>
          <w:rtl/>
        </w:rPr>
      </w:pPr>
    </w:p>
    <w:p w14:paraId="183E33DD" w14:textId="77777777" w:rsidR="000873AB" w:rsidRPr="009676CB" w:rsidRDefault="009676CB">
      <w:pPr>
        <w:spacing w:line="360" w:lineRule="auto"/>
        <w:ind w:left="720" w:hanging="720"/>
        <w:jc w:val="both"/>
        <w:rPr>
          <w:rFonts w:ascii="Arial" w:hAnsi="Arial" w:cs="Arial"/>
          <w:rtl/>
        </w:rPr>
      </w:pPr>
      <w:r w:rsidRPr="009676CB">
        <w:rPr>
          <w:rFonts w:ascii="Arial" w:hAnsi="Arial" w:cs="Arial" w:hint="cs"/>
          <w:rtl/>
        </w:rPr>
        <w:tab/>
        <w:t xml:space="preserve">במסגרת האישום השלישי של כתב האישום המתוקן (הוא האישום החמישי בכתב האישום המקורי) הודה הנאשם, כי במהלך שנת 2007, סמוך לאחר גיוסו לחטיבות, הציעו לו לשגר, טיל יחד עם פעיל אחר בחטיבות, לעבר תחומי מדינת ישראל. הנאשם הסכים, ויצא בשעת לילה ביחד עם אחר, כשהם נושאים עמם טיל על עגלה הרתומה לחמור, אל מקום הנמצא בקרבת כפר בג'בליה. הם מיקמו משגר טילים לעבר העיר שדרות, הציבו את הטיל על המשגר וביצעו שיגור של הטיל כדי לגרום למותם של תושבי העיר שדרות. </w:t>
      </w:r>
    </w:p>
    <w:p w14:paraId="25585996" w14:textId="77777777" w:rsidR="000873AB" w:rsidRDefault="009676CB">
      <w:pPr>
        <w:spacing w:line="360" w:lineRule="auto"/>
        <w:ind w:left="720" w:hanging="720"/>
        <w:jc w:val="both"/>
        <w:rPr>
          <w:rFonts w:ascii="Arial" w:hAnsi="Arial" w:cs="Arial"/>
          <w:rtl/>
        </w:rPr>
      </w:pPr>
      <w:r>
        <w:rPr>
          <w:rFonts w:ascii="Arial" w:hAnsi="Arial" w:cs="Arial" w:hint="cs"/>
          <w:rtl/>
        </w:rPr>
        <w:tab/>
        <w:t>נוכח מעשיו אלה, הורשע הנאשם בעבירות של פעילות בהתאחדות בלתי מותרת לפי סעיף 85(1)(א) ל</w:t>
      </w:r>
      <w:hyperlink r:id="rId9" w:history="1">
        <w:r w:rsidRPr="009676CB">
          <w:rPr>
            <w:rFonts w:ascii="Arial" w:hAnsi="Arial" w:cs="Arial"/>
            <w:color w:val="0000FF"/>
            <w:u w:val="single"/>
            <w:rtl/>
          </w:rPr>
          <w:t>תקנות ההגנה</w:t>
        </w:r>
      </w:hyperlink>
      <w:r>
        <w:rPr>
          <w:rFonts w:ascii="Arial" w:hAnsi="Arial" w:cs="Arial" w:hint="cs"/>
          <w:rtl/>
        </w:rPr>
        <w:t>, עבירות בנשק (הובלת נשק) לפי סעיף 144(ב) ל</w:t>
      </w:r>
      <w:hyperlink r:id="rId10" w:history="1">
        <w:r w:rsidRPr="009676CB">
          <w:rPr>
            <w:rFonts w:ascii="Arial" w:hAnsi="Arial" w:cs="Arial"/>
            <w:color w:val="0000FF"/>
            <w:u w:val="single"/>
            <w:rtl/>
          </w:rPr>
          <w:t>חוק העונשין</w:t>
        </w:r>
      </w:hyperlink>
      <w:r>
        <w:rPr>
          <w:rFonts w:ascii="Arial" w:hAnsi="Arial" w:cs="Arial" w:hint="cs"/>
          <w:rtl/>
        </w:rPr>
        <w:t xml:space="preserve">, תשל"ז </w:t>
      </w:r>
      <w:r>
        <w:rPr>
          <w:rFonts w:ascii="Arial" w:hAnsi="Arial" w:cs="Arial"/>
          <w:rtl/>
        </w:rPr>
        <w:t>–</w:t>
      </w:r>
      <w:r>
        <w:rPr>
          <w:rFonts w:ascii="Arial" w:hAnsi="Arial" w:cs="Arial" w:hint="cs"/>
          <w:rtl/>
        </w:rPr>
        <w:t xml:space="preserve"> 1977, קשירת קשר לפשע (רצח) לפי סעיף 499(א)(1) לחוק העונשין, וניסיון לרצח לפי סעיף 305(1) לחוק העונשין. </w:t>
      </w:r>
    </w:p>
    <w:p w14:paraId="4971A117" w14:textId="77777777" w:rsidR="000873AB" w:rsidRDefault="000873AB">
      <w:pPr>
        <w:spacing w:line="360" w:lineRule="auto"/>
        <w:ind w:left="720" w:hanging="720"/>
        <w:jc w:val="both"/>
        <w:rPr>
          <w:rFonts w:ascii="Arial" w:hAnsi="Arial" w:cs="Arial"/>
          <w:rtl/>
        </w:rPr>
      </w:pPr>
    </w:p>
    <w:p w14:paraId="273DC1C7" w14:textId="77777777" w:rsidR="000873AB" w:rsidRDefault="009676CB">
      <w:pPr>
        <w:spacing w:line="360" w:lineRule="auto"/>
        <w:ind w:left="720" w:hanging="720"/>
        <w:jc w:val="both"/>
        <w:rPr>
          <w:rFonts w:ascii="Arial" w:hAnsi="Arial" w:cs="Arial"/>
          <w:rtl/>
        </w:rPr>
      </w:pPr>
      <w:r>
        <w:rPr>
          <w:rFonts w:ascii="Arial" w:hAnsi="Arial" w:cs="Arial" w:hint="cs"/>
          <w:rtl/>
        </w:rPr>
        <w:tab/>
        <w:t xml:space="preserve">במסגרת האישום הרביעי של כתב האישום המתוקן (הוא האישום השבעה עשר בכתב האישום המקורי) הודה הנאשם, שהוא תושב רצועת עזה ואשר לא היו בידיו אישורי כניסה לישראל, כי בתאריך 30/4/11, יצא לאזור גדר הגבול כדי לאסוף מידע על תנועת כוחות צה"ל, כדי למסור אותו לפעילי טרור, לשם ביצוע פעולות כנגד כוחות </w:t>
      </w:r>
      <w:r>
        <w:rPr>
          <w:rFonts w:ascii="Arial" w:hAnsi="Arial" w:cs="Arial" w:hint="cs"/>
          <w:rtl/>
        </w:rPr>
        <w:lastRenderedPageBreak/>
        <w:t xml:space="preserve">צה"ל. הנאשם יצא לפעילות זו כאשר בכליו סכין. כאשר הגיע אל גדר הגבול, הוא חצה אותה, כדי לתצפת מעבר לגבעה הקיימת במקום, ונעצר בסמוך לאחר מכן על ידי כוחות צה"ל. </w:t>
      </w:r>
    </w:p>
    <w:p w14:paraId="073FC1A5" w14:textId="77777777" w:rsidR="000873AB" w:rsidRDefault="009676CB">
      <w:pPr>
        <w:spacing w:line="360" w:lineRule="auto"/>
        <w:ind w:left="720" w:hanging="720"/>
        <w:jc w:val="both"/>
        <w:rPr>
          <w:rFonts w:ascii="Arial" w:hAnsi="Arial" w:cs="Arial"/>
          <w:rtl/>
        </w:rPr>
      </w:pPr>
      <w:r>
        <w:rPr>
          <w:rFonts w:ascii="Arial" w:hAnsi="Arial" w:cs="Arial" w:hint="cs"/>
          <w:rtl/>
        </w:rPr>
        <w:tab/>
      </w:r>
    </w:p>
    <w:p w14:paraId="33F47BF5" w14:textId="77777777" w:rsidR="000873AB" w:rsidRDefault="000873AB">
      <w:pPr>
        <w:spacing w:line="360" w:lineRule="auto"/>
        <w:ind w:left="720" w:hanging="720"/>
        <w:jc w:val="both"/>
        <w:rPr>
          <w:rFonts w:ascii="Arial" w:hAnsi="Arial" w:cs="Arial"/>
          <w:rtl/>
        </w:rPr>
      </w:pPr>
    </w:p>
    <w:p w14:paraId="45443581" w14:textId="77777777" w:rsidR="000873AB" w:rsidRDefault="009676CB">
      <w:pPr>
        <w:spacing w:line="360" w:lineRule="auto"/>
        <w:ind w:left="720"/>
        <w:jc w:val="both"/>
        <w:rPr>
          <w:rFonts w:ascii="Arial" w:hAnsi="Arial" w:cs="Arial"/>
          <w:rtl/>
        </w:rPr>
      </w:pPr>
      <w:r>
        <w:rPr>
          <w:rFonts w:ascii="Arial" w:hAnsi="Arial" w:cs="Arial" w:hint="cs"/>
          <w:rtl/>
        </w:rPr>
        <w:t>נוכח מעשיו אלה, הורשע הנאשם בעבירות של ניסיון להשגת ידיעות בעלות ערך צבאי לפי סעיף 136(1)(א) ל</w:t>
      </w:r>
      <w:hyperlink r:id="rId11" w:history="1">
        <w:r w:rsidRPr="009676CB">
          <w:rPr>
            <w:rFonts w:ascii="Arial" w:hAnsi="Arial" w:cs="Arial"/>
            <w:color w:val="0000FF"/>
            <w:u w:val="single"/>
            <w:rtl/>
          </w:rPr>
          <w:t>תקנות ההגנה</w:t>
        </w:r>
      </w:hyperlink>
      <w:r>
        <w:rPr>
          <w:rFonts w:ascii="Arial" w:hAnsi="Arial" w:cs="Arial" w:hint="cs"/>
          <w:rtl/>
        </w:rPr>
        <w:t xml:space="preserve"> בצירוף סעיף 25 ל</w:t>
      </w:r>
      <w:hyperlink r:id="rId12" w:history="1">
        <w:r w:rsidRPr="009676CB">
          <w:rPr>
            <w:rFonts w:ascii="Arial" w:hAnsi="Arial" w:cs="Arial"/>
            <w:color w:val="0000FF"/>
            <w:u w:val="single"/>
            <w:rtl/>
          </w:rPr>
          <w:t>חוק העונשין</w:t>
        </w:r>
      </w:hyperlink>
      <w:r>
        <w:rPr>
          <w:rFonts w:ascii="Arial" w:hAnsi="Arial" w:cs="Arial" w:hint="cs"/>
          <w:rtl/>
        </w:rPr>
        <w:t xml:space="preserve"> ו-הסתננות מזויינת לפי סעיף 4 רישא ל</w:t>
      </w:r>
      <w:hyperlink r:id="rId13" w:history="1">
        <w:r w:rsidRPr="009676CB">
          <w:rPr>
            <w:rFonts w:ascii="Arial" w:hAnsi="Arial" w:cs="Arial"/>
            <w:color w:val="0000FF"/>
            <w:u w:val="single"/>
            <w:rtl/>
          </w:rPr>
          <w:t>חוק למניעת הסתננות</w:t>
        </w:r>
      </w:hyperlink>
      <w:r>
        <w:rPr>
          <w:rFonts w:ascii="Arial" w:hAnsi="Arial" w:cs="Arial" w:hint="cs"/>
          <w:rtl/>
        </w:rPr>
        <w:t xml:space="preserve"> (עבירות ושיפוט) תשי"ד </w:t>
      </w:r>
      <w:r>
        <w:rPr>
          <w:rFonts w:ascii="Arial" w:hAnsi="Arial" w:cs="Arial"/>
          <w:rtl/>
        </w:rPr>
        <w:t>–</w:t>
      </w:r>
      <w:r>
        <w:rPr>
          <w:rFonts w:ascii="Arial" w:hAnsi="Arial" w:cs="Arial" w:hint="cs"/>
          <w:rtl/>
        </w:rPr>
        <w:t xml:space="preserve"> 1954. </w:t>
      </w:r>
    </w:p>
    <w:p w14:paraId="64C564FC" w14:textId="77777777" w:rsidR="000873AB" w:rsidRDefault="000873AB">
      <w:pPr>
        <w:rPr>
          <w:rFonts w:ascii="Arial" w:hAnsi="Arial" w:cs="Arial"/>
          <w:rtl/>
        </w:rPr>
      </w:pPr>
    </w:p>
    <w:p w14:paraId="03C0108F" w14:textId="77777777" w:rsidR="000873AB" w:rsidRDefault="000873AB">
      <w:pPr>
        <w:rPr>
          <w:rFonts w:ascii="Arial" w:hAnsi="Arial" w:cs="Arial"/>
          <w:rtl/>
        </w:rPr>
      </w:pPr>
    </w:p>
    <w:p w14:paraId="7A47FED5" w14:textId="77777777" w:rsidR="000873AB" w:rsidRDefault="009676CB">
      <w:pPr>
        <w:spacing w:line="360" w:lineRule="auto"/>
        <w:ind w:left="720" w:hanging="720"/>
        <w:jc w:val="both"/>
        <w:rPr>
          <w:rFonts w:ascii="Arial" w:hAnsi="Arial" w:cs="Arial"/>
          <w:rtl/>
        </w:rPr>
      </w:pPr>
      <w:r>
        <w:rPr>
          <w:rFonts w:ascii="Arial" w:hAnsi="Arial" w:cs="Arial" w:hint="cs"/>
          <w:rtl/>
        </w:rPr>
        <w:t>3.</w:t>
      </w:r>
      <w:r>
        <w:rPr>
          <w:rFonts w:ascii="Arial" w:hAnsi="Arial" w:cs="Arial" w:hint="cs"/>
          <w:rtl/>
        </w:rPr>
        <w:tab/>
        <w:t xml:space="preserve">ב"כ הצדדים נימקו את הסדר הטיעון, ואת העונש המוצע, בחסכון בזמן השיפוטי ובצורך להעיד עדים רבים. לעמדתם, מדובר בעונש סביר נוכח הפסיקה של ביהמ"ש העליון, וזאת בעקבות תיקון כתב האישום, כאשר נלקח בחשבון שהנאשם הודה כבר בשלב מוקדם יחסית של ניהול התיק. </w:t>
      </w:r>
    </w:p>
    <w:p w14:paraId="37083D1F" w14:textId="77777777" w:rsidR="000873AB" w:rsidRDefault="000873AB">
      <w:pPr>
        <w:spacing w:line="360" w:lineRule="auto"/>
        <w:ind w:left="720" w:hanging="720"/>
        <w:jc w:val="both"/>
        <w:rPr>
          <w:rFonts w:ascii="Arial" w:hAnsi="Arial" w:cs="Arial"/>
          <w:rtl/>
        </w:rPr>
      </w:pPr>
    </w:p>
    <w:p w14:paraId="521D9EF5" w14:textId="77777777" w:rsidR="000873AB" w:rsidRDefault="009676CB">
      <w:pPr>
        <w:spacing w:line="360" w:lineRule="auto"/>
        <w:ind w:left="720"/>
        <w:jc w:val="both"/>
        <w:rPr>
          <w:rFonts w:ascii="Arial" w:hAnsi="Arial" w:cs="Arial"/>
          <w:rtl/>
        </w:rPr>
      </w:pPr>
      <w:r>
        <w:rPr>
          <w:rFonts w:ascii="Arial" w:hAnsi="Arial" w:cs="Arial" w:hint="cs"/>
          <w:rtl/>
        </w:rPr>
        <w:t xml:space="preserve">הסנגור הוסיף, כי הודאת הנאשם חסכה </w:t>
      </w:r>
      <w:bookmarkStart w:id="6" w:name="_GoBack"/>
      <w:bookmarkEnd w:id="6"/>
      <w:r>
        <w:rPr>
          <w:rFonts w:ascii="Arial" w:hAnsi="Arial" w:cs="Arial" w:hint="cs"/>
          <w:rtl/>
        </w:rPr>
        <w:t xml:space="preserve">העדת שני אנשים שאינם אנשי מרות וחוקרי שב"כ; כי בשני האירועים העיקריים בהם הודה הנאשם, לא נגרם נזק כתוצאה מירי הטילים; וכי גם בתיק החקירה עצמו, אין בדל של ראיה שמעשי הנאשם הביאו לתוצאות או לנזקים כלשהם. </w:t>
      </w:r>
    </w:p>
    <w:p w14:paraId="55680EE5" w14:textId="77777777" w:rsidR="000873AB" w:rsidRDefault="000873AB">
      <w:pPr>
        <w:spacing w:line="360" w:lineRule="auto"/>
        <w:ind w:left="720" w:hanging="720"/>
        <w:jc w:val="both"/>
        <w:rPr>
          <w:rFonts w:ascii="Arial" w:hAnsi="Arial" w:cs="Arial"/>
          <w:rtl/>
        </w:rPr>
      </w:pPr>
    </w:p>
    <w:p w14:paraId="141044A1" w14:textId="77777777" w:rsidR="000873AB" w:rsidRDefault="009676CB">
      <w:pPr>
        <w:spacing w:line="360" w:lineRule="auto"/>
        <w:ind w:left="720" w:hanging="720"/>
        <w:jc w:val="both"/>
        <w:rPr>
          <w:rFonts w:ascii="Arial" w:hAnsi="Arial" w:cs="Arial"/>
          <w:rtl/>
        </w:rPr>
      </w:pPr>
      <w:r>
        <w:rPr>
          <w:rFonts w:ascii="Arial" w:hAnsi="Arial" w:cs="Arial" w:hint="cs"/>
          <w:rtl/>
        </w:rPr>
        <w:tab/>
        <w:t xml:space="preserve">הסנגור הוסיף וציין, כי מדובר בנאשם שבעת ביצוע העבירות היה צעיר בן 21 (הוא יליד 26/7/1990). </w:t>
      </w:r>
    </w:p>
    <w:p w14:paraId="4F259B5F" w14:textId="77777777" w:rsidR="000873AB" w:rsidRDefault="000873AB">
      <w:pPr>
        <w:spacing w:line="360" w:lineRule="auto"/>
        <w:ind w:left="720" w:hanging="720"/>
        <w:jc w:val="both"/>
        <w:rPr>
          <w:rFonts w:ascii="Arial" w:hAnsi="Arial" w:cs="Arial"/>
          <w:rtl/>
        </w:rPr>
      </w:pPr>
    </w:p>
    <w:p w14:paraId="70C65EE7" w14:textId="77777777" w:rsidR="000873AB" w:rsidRDefault="009676CB">
      <w:pPr>
        <w:spacing w:line="360" w:lineRule="auto"/>
        <w:ind w:left="720" w:hanging="720"/>
        <w:jc w:val="both"/>
        <w:rPr>
          <w:rFonts w:ascii="Arial" w:hAnsi="Arial" w:cs="Arial"/>
          <w:rtl/>
        </w:rPr>
      </w:pPr>
      <w:r>
        <w:rPr>
          <w:rFonts w:ascii="Arial" w:hAnsi="Arial" w:cs="Arial" w:hint="cs"/>
          <w:rtl/>
        </w:rPr>
        <w:tab/>
        <w:t xml:space="preserve">הנאשם הסתפק בדברי בא כוחו. </w:t>
      </w:r>
    </w:p>
    <w:p w14:paraId="0533CA7E" w14:textId="77777777" w:rsidR="000873AB" w:rsidRDefault="000873AB">
      <w:pPr>
        <w:spacing w:line="360" w:lineRule="auto"/>
        <w:ind w:left="720" w:hanging="720"/>
        <w:jc w:val="both"/>
        <w:rPr>
          <w:rFonts w:ascii="Arial" w:hAnsi="Arial" w:cs="Arial"/>
          <w:rtl/>
        </w:rPr>
      </w:pPr>
    </w:p>
    <w:p w14:paraId="2EEBFFF1" w14:textId="77777777" w:rsidR="000873AB" w:rsidRDefault="009676CB">
      <w:pPr>
        <w:spacing w:line="360" w:lineRule="auto"/>
        <w:ind w:left="720" w:hanging="720"/>
        <w:jc w:val="both"/>
        <w:rPr>
          <w:rFonts w:ascii="Arial" w:hAnsi="Arial" w:cs="Arial"/>
          <w:rtl/>
        </w:rPr>
      </w:pPr>
      <w:r>
        <w:rPr>
          <w:rFonts w:ascii="Arial" w:hAnsi="Arial" w:cs="Arial" w:hint="cs"/>
          <w:rtl/>
        </w:rPr>
        <w:t>4.</w:t>
      </w:r>
      <w:r>
        <w:rPr>
          <w:rFonts w:ascii="Arial" w:hAnsi="Arial" w:cs="Arial" w:hint="cs"/>
          <w:rtl/>
        </w:rPr>
        <w:tab/>
        <w:t xml:space="preserve">אין מחלוקת, כי מעשי הנאשם קשים וחמורים ביותר, כאשר בפעילותו סיכן את תושבי מדינת ישראל מספר פעמים, רק בשל היותם ישראלים. הוא פעל במסגרת ארגון טרור, אליו הצטרף מיוזמתו ולבקשתו, והיווה חוליה חשובה, גם אם לא עיקרית, בארגון הטרור אליו הצטרף.  </w:t>
      </w:r>
    </w:p>
    <w:p w14:paraId="2EC694EC" w14:textId="77777777" w:rsidR="000873AB" w:rsidRDefault="009676CB">
      <w:pPr>
        <w:spacing w:line="360" w:lineRule="auto"/>
        <w:ind w:left="720"/>
        <w:jc w:val="both"/>
        <w:rPr>
          <w:rFonts w:ascii="Arial" w:hAnsi="Arial" w:cs="Arial"/>
          <w:rtl/>
        </w:rPr>
      </w:pPr>
      <w:r>
        <w:rPr>
          <w:rFonts w:ascii="Arial" w:hAnsi="Arial" w:cs="Arial" w:hint="cs"/>
          <w:rtl/>
        </w:rPr>
        <w:t xml:space="preserve">אין גם מחלוקת, כי תחילה כפר בכתב האישום ועל כן נשמעו 7 עדי תביעה; אך גם אין מחלוקת שהודאתו, גם אם בשלב שאינו ראשוני, חסכה זמן שיפוטי יקר והעדת עדים רבים נוספים. </w:t>
      </w:r>
    </w:p>
    <w:p w14:paraId="134BE972" w14:textId="77777777" w:rsidR="000873AB" w:rsidRDefault="009676CB">
      <w:pPr>
        <w:spacing w:line="360" w:lineRule="auto"/>
        <w:ind w:left="720" w:hanging="720"/>
        <w:jc w:val="both"/>
        <w:rPr>
          <w:rFonts w:ascii="Arial" w:hAnsi="Arial" w:cs="Arial"/>
          <w:rtl/>
        </w:rPr>
      </w:pPr>
      <w:r>
        <w:rPr>
          <w:rFonts w:ascii="Arial" w:hAnsi="Arial" w:cs="Arial" w:hint="cs"/>
          <w:rtl/>
        </w:rPr>
        <w:tab/>
        <w:t xml:space="preserve">לאור האמור, ולאור התיקון של כתב האישום, הרי שהסדר הטיעון אליו הגיעו הצדדים הינו סביר גם ובעיקר נוכח פסיקת ביהמ"ש העליון ורמת הענישה שנקבעה על ידו בעבירות דוגמת אלה שעבר הנאשם. </w:t>
      </w:r>
    </w:p>
    <w:p w14:paraId="6247675F" w14:textId="77777777" w:rsidR="000873AB" w:rsidRDefault="009676CB">
      <w:pPr>
        <w:spacing w:line="360" w:lineRule="auto"/>
        <w:ind w:left="720" w:hanging="720"/>
        <w:jc w:val="both"/>
        <w:rPr>
          <w:rFonts w:ascii="Arial" w:hAnsi="Arial" w:cs="Arial"/>
          <w:rtl/>
        </w:rPr>
      </w:pPr>
      <w:r>
        <w:rPr>
          <w:rFonts w:ascii="Arial" w:hAnsi="Arial" w:cs="Arial" w:hint="cs"/>
          <w:rtl/>
        </w:rPr>
        <w:t>5.</w:t>
      </w:r>
      <w:r>
        <w:rPr>
          <w:rFonts w:ascii="Arial" w:hAnsi="Arial" w:cs="Arial" w:hint="cs"/>
          <w:rtl/>
        </w:rPr>
        <w:tab/>
        <w:t xml:space="preserve">אשר על כן, אנו דנים את הנאשם לעונש מאסר בפועל של 18 שנה החל מיום המעצר, היינו, החל מיום 30/4/2011. </w:t>
      </w:r>
    </w:p>
    <w:p w14:paraId="685580C0" w14:textId="77777777" w:rsidR="000873AB" w:rsidRDefault="000873AB">
      <w:pPr>
        <w:spacing w:line="360" w:lineRule="auto"/>
        <w:ind w:left="720" w:hanging="720"/>
        <w:jc w:val="both"/>
        <w:rPr>
          <w:rFonts w:ascii="Arial" w:hAnsi="Arial" w:cs="Arial"/>
          <w:rtl/>
        </w:rPr>
      </w:pPr>
    </w:p>
    <w:p w14:paraId="33392C67" w14:textId="77777777" w:rsidR="000873AB" w:rsidRDefault="000873AB">
      <w:pPr>
        <w:spacing w:line="360" w:lineRule="auto"/>
        <w:ind w:left="720" w:hanging="720"/>
        <w:jc w:val="both"/>
        <w:rPr>
          <w:rFonts w:ascii="Arial" w:hAnsi="Arial" w:cs="Arial"/>
          <w:rtl/>
        </w:rPr>
      </w:pPr>
    </w:p>
    <w:p w14:paraId="33693F6A" w14:textId="77777777" w:rsidR="000873AB" w:rsidRDefault="000873AB">
      <w:pPr>
        <w:rPr>
          <w:rFonts w:ascii="Arial" w:hAnsi="Arial" w:cs="Arial"/>
          <w:rtl/>
        </w:rPr>
      </w:pPr>
    </w:p>
    <w:p w14:paraId="67B290BC" w14:textId="77777777" w:rsidR="000873AB" w:rsidRDefault="009676CB">
      <w:pPr>
        <w:rPr>
          <w:rFonts w:ascii="Arial" w:hAnsi="Arial" w:cs="Arial"/>
          <w:b/>
          <w:bCs/>
          <w:rtl/>
        </w:rPr>
      </w:pPr>
      <w:r>
        <w:rPr>
          <w:rFonts w:ascii="Arial" w:hAnsi="Arial" w:cs="Arial" w:hint="cs"/>
          <w:b/>
          <w:bCs/>
          <w:rtl/>
        </w:rPr>
        <w:t xml:space="preserve">זכות ערעור תוך 45 יום לביהמ"ש העליון. </w:t>
      </w:r>
    </w:p>
    <w:p w14:paraId="48676439" w14:textId="77777777" w:rsidR="000873AB" w:rsidRDefault="000873AB">
      <w:pPr>
        <w:rPr>
          <w:rFonts w:ascii="Arial" w:hAnsi="Arial" w:cs="Arial"/>
          <w:rtl/>
        </w:rPr>
      </w:pPr>
    </w:p>
    <w:p w14:paraId="417CB613" w14:textId="77777777" w:rsidR="000873AB" w:rsidRDefault="000873AB">
      <w:pPr>
        <w:rPr>
          <w:rFonts w:ascii="Arial" w:hAnsi="Arial" w:cs="Arial"/>
          <w:rtl/>
        </w:rPr>
      </w:pPr>
    </w:p>
    <w:p w14:paraId="6861C8CC" w14:textId="77777777" w:rsidR="000873AB" w:rsidRDefault="000873AB">
      <w:pPr>
        <w:rPr>
          <w:rFonts w:ascii="Arial" w:hAnsi="Arial" w:cs="Arial"/>
          <w:rtl/>
        </w:rPr>
      </w:pPr>
    </w:p>
    <w:p w14:paraId="0A612868" w14:textId="77777777" w:rsidR="000873AB" w:rsidRDefault="000873AB">
      <w:pPr>
        <w:rPr>
          <w:rFonts w:ascii="Arial" w:hAnsi="Arial" w:cs="Arial"/>
          <w:rtl/>
        </w:rPr>
      </w:pPr>
    </w:p>
    <w:p w14:paraId="4C57DFA5" w14:textId="77777777" w:rsidR="000873AB" w:rsidRDefault="009676CB">
      <w:pPr>
        <w:spacing w:line="360" w:lineRule="auto"/>
        <w:jc w:val="both"/>
        <w:rPr>
          <w:rFonts w:ascii="Arial" w:hAnsi="Arial" w:cs="Arial"/>
          <w:b/>
          <w:bCs/>
          <w:rtl/>
        </w:rPr>
      </w:pPr>
      <w:r>
        <w:rPr>
          <w:rFonts w:ascii="Arial" w:hAnsi="Arial" w:cs="Arial"/>
          <w:b/>
          <w:bCs/>
          <w:rtl/>
        </w:rPr>
        <w:t xml:space="preserve">ניתן היום,  ז'' ניסן תשע"ג, 18 מרץ 2013, במעמד הצדדים. </w:t>
      </w:r>
    </w:p>
    <w:p w14:paraId="622B89D1" w14:textId="77777777" w:rsidR="000873AB" w:rsidRDefault="000873AB">
      <w:pPr>
        <w:spacing w:line="360" w:lineRule="auto"/>
        <w:jc w:val="both"/>
        <w:rPr>
          <w:rFonts w:ascii="Arial" w:hAnsi="Arial" w:cs="Arial"/>
          <w:b/>
          <w:bCs/>
          <w:rtl/>
        </w:rPr>
      </w:pPr>
    </w:p>
    <w:p w14:paraId="3B52FEB4" w14:textId="77777777" w:rsidR="000873AB" w:rsidRDefault="000873AB">
      <w:pPr>
        <w:spacing w:line="360" w:lineRule="auto"/>
        <w:jc w:val="both"/>
        <w:rPr>
          <w:rFonts w:ascii="Arial" w:hAnsi="Arial" w:cs="Arial"/>
          <w:b/>
          <w:bCs/>
        </w:rPr>
      </w:pPr>
    </w:p>
    <w:p w14:paraId="7A0208D1" w14:textId="77777777" w:rsidR="000873AB" w:rsidRDefault="000873AB">
      <w:pPr>
        <w:rPr>
          <w:rtl/>
        </w:rPr>
      </w:pPr>
    </w:p>
    <w:tbl>
      <w:tblPr>
        <w:bidiVisual/>
        <w:tblW w:w="0" w:type="auto"/>
        <w:tblLook w:val="01E0" w:firstRow="1" w:lastRow="1" w:firstColumn="1" w:lastColumn="1" w:noHBand="0" w:noVBand="0"/>
      </w:tblPr>
      <w:tblGrid>
        <w:gridCol w:w="2654"/>
        <w:gridCol w:w="236"/>
        <w:gridCol w:w="2104"/>
        <w:gridCol w:w="236"/>
        <w:gridCol w:w="2464"/>
      </w:tblGrid>
      <w:tr w:rsidR="000873AB" w14:paraId="260EE48D" w14:textId="77777777">
        <w:tc>
          <w:tcPr>
            <w:tcW w:w="2654" w:type="dxa"/>
            <w:tcBorders>
              <w:top w:val="nil"/>
              <w:left w:val="nil"/>
              <w:bottom w:val="single" w:sz="4" w:space="0" w:color="auto"/>
              <w:right w:val="nil"/>
            </w:tcBorders>
            <w:vAlign w:val="center"/>
          </w:tcPr>
          <w:p w14:paraId="3B193A6E" w14:textId="77777777" w:rsidR="000873AB" w:rsidRDefault="000873AB">
            <w:pPr>
              <w:jc w:val="center"/>
              <w:rPr>
                <w:rFonts w:ascii="Courier New" w:hAnsi="Courier New"/>
                <w:b/>
                <w:bCs/>
              </w:rPr>
            </w:pPr>
          </w:p>
        </w:tc>
        <w:tc>
          <w:tcPr>
            <w:tcW w:w="236" w:type="dxa"/>
            <w:vAlign w:val="center"/>
          </w:tcPr>
          <w:p w14:paraId="51E35538" w14:textId="77777777" w:rsidR="000873AB" w:rsidRDefault="000873AB">
            <w:pPr>
              <w:jc w:val="center"/>
              <w:rPr>
                <w:rFonts w:ascii="Courier New" w:hAnsi="Courier New"/>
                <w:b/>
                <w:bCs/>
              </w:rPr>
            </w:pPr>
          </w:p>
        </w:tc>
        <w:tc>
          <w:tcPr>
            <w:tcW w:w="2104" w:type="dxa"/>
            <w:tcBorders>
              <w:top w:val="nil"/>
              <w:left w:val="nil"/>
              <w:bottom w:val="single" w:sz="4" w:space="0" w:color="auto"/>
              <w:right w:val="nil"/>
            </w:tcBorders>
            <w:vAlign w:val="center"/>
          </w:tcPr>
          <w:p w14:paraId="19491538" w14:textId="77777777" w:rsidR="000873AB" w:rsidRDefault="000873AB">
            <w:pPr>
              <w:jc w:val="center"/>
              <w:rPr>
                <w:rFonts w:ascii="Courier New" w:hAnsi="Courier New"/>
                <w:b/>
                <w:bCs/>
                <w:sz w:val="20"/>
                <w:szCs w:val="20"/>
              </w:rPr>
            </w:pPr>
          </w:p>
        </w:tc>
        <w:tc>
          <w:tcPr>
            <w:tcW w:w="236" w:type="dxa"/>
            <w:vAlign w:val="center"/>
          </w:tcPr>
          <w:p w14:paraId="23BFD0F3" w14:textId="77777777" w:rsidR="000873AB" w:rsidRDefault="000873AB">
            <w:pPr>
              <w:jc w:val="center"/>
              <w:rPr>
                <w:rFonts w:ascii="Courier New" w:hAnsi="Courier New"/>
                <w:b/>
                <w:bCs/>
              </w:rPr>
            </w:pPr>
          </w:p>
        </w:tc>
        <w:tc>
          <w:tcPr>
            <w:tcW w:w="2464" w:type="dxa"/>
            <w:tcBorders>
              <w:top w:val="nil"/>
              <w:left w:val="nil"/>
              <w:bottom w:val="single" w:sz="4" w:space="0" w:color="auto"/>
              <w:right w:val="nil"/>
            </w:tcBorders>
            <w:vAlign w:val="center"/>
          </w:tcPr>
          <w:p w14:paraId="10BFB852" w14:textId="77777777" w:rsidR="000873AB" w:rsidRDefault="000873AB">
            <w:pPr>
              <w:jc w:val="center"/>
              <w:rPr>
                <w:rFonts w:ascii="Courier New" w:hAnsi="Courier New"/>
                <w:b/>
                <w:bCs/>
                <w:sz w:val="20"/>
                <w:szCs w:val="20"/>
              </w:rPr>
            </w:pPr>
          </w:p>
        </w:tc>
      </w:tr>
      <w:tr w:rsidR="000873AB" w14:paraId="760C882C" w14:textId="77777777">
        <w:tc>
          <w:tcPr>
            <w:tcW w:w="2654" w:type="dxa"/>
            <w:tcBorders>
              <w:top w:val="single" w:sz="4" w:space="0" w:color="auto"/>
              <w:left w:val="nil"/>
              <w:bottom w:val="nil"/>
              <w:right w:val="nil"/>
            </w:tcBorders>
            <w:vAlign w:val="bottom"/>
          </w:tcPr>
          <w:p w14:paraId="2462C8FF" w14:textId="77777777" w:rsidR="000873AB" w:rsidRDefault="009676CB">
            <w:pPr>
              <w:jc w:val="center"/>
            </w:pPr>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7CC594F5" w14:textId="77777777" w:rsidR="000873AB" w:rsidRDefault="009676CB">
            <w:pPr>
              <w:jc w:val="center"/>
              <w:rPr>
                <w:rtl/>
              </w:rPr>
            </w:pPr>
            <w:r>
              <w:rPr>
                <w:rFonts w:ascii="Arial" w:hAnsi="Arial" w:cs="Arial"/>
                <w:b/>
                <w:bCs/>
                <w:rtl/>
              </w:rPr>
              <w:t>אב"ד</w:t>
            </w:r>
          </w:p>
          <w:p w14:paraId="42F06F4B" w14:textId="77777777" w:rsidR="000873AB" w:rsidRDefault="000873AB">
            <w:pPr>
              <w:jc w:val="center"/>
              <w:rPr>
                <w:rFonts w:ascii="Courier New" w:hAnsi="Courier New"/>
                <w:b/>
                <w:bCs/>
              </w:rPr>
            </w:pPr>
          </w:p>
        </w:tc>
        <w:tc>
          <w:tcPr>
            <w:tcW w:w="236" w:type="dxa"/>
            <w:vAlign w:val="bottom"/>
          </w:tcPr>
          <w:p w14:paraId="1CEA667E" w14:textId="77777777" w:rsidR="000873AB" w:rsidRDefault="000873AB">
            <w:pPr>
              <w:jc w:val="center"/>
              <w:rPr>
                <w:rFonts w:ascii="Courier New" w:hAnsi="Courier New"/>
                <w:b/>
                <w:bCs/>
              </w:rPr>
            </w:pPr>
          </w:p>
        </w:tc>
        <w:tc>
          <w:tcPr>
            <w:tcW w:w="2104" w:type="dxa"/>
            <w:tcBorders>
              <w:top w:val="single" w:sz="4" w:space="0" w:color="auto"/>
              <w:left w:val="nil"/>
              <w:bottom w:val="nil"/>
              <w:right w:val="nil"/>
            </w:tcBorders>
          </w:tcPr>
          <w:p w14:paraId="676AA5DF" w14:textId="77777777" w:rsidR="000873AB" w:rsidRDefault="009676CB">
            <w:pPr>
              <w:jc w:val="center"/>
              <w:rPr>
                <w:rFonts w:ascii="Arial" w:hAnsi="Arial" w:cs="Arial"/>
                <w:b/>
                <w:bCs/>
              </w:rPr>
            </w:pPr>
            <w:r>
              <w:rPr>
                <w:rFonts w:ascii="Arial" w:hAnsi="Arial" w:cs="Arial"/>
                <w:b/>
                <w:bCs/>
                <w:rtl/>
              </w:rPr>
              <w:t>אריאל ואגו, שופט</w:t>
            </w:r>
          </w:p>
        </w:tc>
        <w:tc>
          <w:tcPr>
            <w:tcW w:w="236" w:type="dxa"/>
          </w:tcPr>
          <w:p w14:paraId="016A3B66" w14:textId="77777777" w:rsidR="000873AB" w:rsidRDefault="000873AB">
            <w:pPr>
              <w:jc w:val="center"/>
              <w:rPr>
                <w:rFonts w:ascii="Arial" w:hAnsi="Arial" w:cs="Arial"/>
                <w:b/>
                <w:bCs/>
              </w:rPr>
            </w:pPr>
          </w:p>
        </w:tc>
        <w:tc>
          <w:tcPr>
            <w:tcW w:w="2464" w:type="dxa"/>
            <w:tcBorders>
              <w:top w:val="single" w:sz="4" w:space="0" w:color="auto"/>
              <w:left w:val="nil"/>
              <w:bottom w:val="nil"/>
              <w:right w:val="nil"/>
            </w:tcBorders>
          </w:tcPr>
          <w:p w14:paraId="6375744C" w14:textId="77777777" w:rsidR="009676CB" w:rsidRDefault="009676CB">
            <w:pPr>
              <w:jc w:val="center"/>
              <w:rPr>
                <w:rFonts w:ascii="Arial" w:hAnsi="Arial" w:cs="Arial"/>
                <w:b/>
                <w:bCs/>
              </w:rPr>
            </w:pPr>
            <w:r>
              <w:rPr>
                <w:rFonts w:ascii="Arial" w:hAnsi="Arial" w:cs="Arial"/>
                <w:b/>
                <w:bCs/>
                <w:rtl/>
              </w:rPr>
              <w:t>יורם צלקובניק, שופט</w:t>
            </w:r>
          </w:p>
          <w:p w14:paraId="2BFB62F3" w14:textId="77777777" w:rsidR="009676CB" w:rsidRDefault="009676CB">
            <w:pPr>
              <w:jc w:val="center"/>
              <w:rPr>
                <w:rFonts w:ascii="Arial" w:hAnsi="Arial" w:cs="Arial"/>
                <w:b/>
                <w:bCs/>
                <w:rtl/>
              </w:rPr>
            </w:pPr>
          </w:p>
          <w:p w14:paraId="660FD353" w14:textId="77777777" w:rsidR="007B2BF7" w:rsidRDefault="007B2BF7">
            <w:pPr>
              <w:jc w:val="center"/>
              <w:rPr>
                <w:rFonts w:ascii="Arial" w:hAnsi="Arial" w:cs="Arial"/>
                <w:b/>
                <w:bCs/>
                <w:rtl/>
              </w:rPr>
            </w:pPr>
          </w:p>
          <w:p w14:paraId="082B0932" w14:textId="77777777" w:rsidR="000873AB" w:rsidRDefault="000873AB">
            <w:pPr>
              <w:jc w:val="center"/>
              <w:rPr>
                <w:rFonts w:ascii="Arial" w:hAnsi="Arial" w:cs="Arial"/>
                <w:b/>
                <w:bCs/>
              </w:rPr>
            </w:pPr>
          </w:p>
        </w:tc>
      </w:tr>
    </w:tbl>
    <w:p w14:paraId="59D0E4FD" w14:textId="77777777" w:rsidR="007B2BF7" w:rsidRPr="007B2BF7" w:rsidRDefault="007B2BF7" w:rsidP="007B2BF7">
      <w:pPr>
        <w:keepNext/>
        <w:rPr>
          <w:rFonts w:ascii="David" w:hAnsi="David"/>
          <w:color w:val="000000"/>
          <w:sz w:val="22"/>
          <w:szCs w:val="22"/>
          <w:rtl/>
        </w:rPr>
      </w:pPr>
    </w:p>
    <w:p w14:paraId="3DED920E" w14:textId="77777777" w:rsidR="007B2BF7" w:rsidRPr="007B2BF7" w:rsidRDefault="007B2BF7" w:rsidP="007B2BF7">
      <w:pPr>
        <w:keepNext/>
        <w:rPr>
          <w:rFonts w:ascii="David" w:hAnsi="David"/>
          <w:color w:val="000000"/>
          <w:sz w:val="22"/>
          <w:szCs w:val="22"/>
          <w:rtl/>
        </w:rPr>
      </w:pPr>
      <w:r w:rsidRPr="007B2BF7">
        <w:rPr>
          <w:rFonts w:ascii="David" w:hAnsi="David"/>
          <w:color w:val="000000"/>
          <w:sz w:val="22"/>
          <w:szCs w:val="22"/>
          <w:rtl/>
        </w:rPr>
        <w:t>ר. יפה כ#ץ 54678313-/</w:t>
      </w:r>
    </w:p>
    <w:p w14:paraId="5E08FC40" w14:textId="77777777" w:rsidR="009676CB" w:rsidRPr="009676CB" w:rsidRDefault="009676CB" w:rsidP="009676CB">
      <w:pPr>
        <w:keepNext/>
        <w:rPr>
          <w:rFonts w:ascii="David" w:hAnsi="David"/>
          <w:color w:val="000000"/>
          <w:sz w:val="22"/>
          <w:szCs w:val="22"/>
          <w:rtl/>
        </w:rPr>
      </w:pPr>
    </w:p>
    <w:p w14:paraId="19C202F0" w14:textId="77777777" w:rsidR="000873AB" w:rsidRPr="009676CB" w:rsidRDefault="007B2BF7">
      <w:pPr>
        <w:rPr>
          <w:color w:val="FFFFFF"/>
          <w:sz w:val="2"/>
          <w:szCs w:val="2"/>
        </w:rPr>
      </w:pPr>
      <w:r w:rsidRPr="007B2BF7">
        <w:rPr>
          <w:color w:val="FFFFFF"/>
          <w:sz w:val="2"/>
          <w:szCs w:val="2"/>
          <w:rtl/>
        </w:rPr>
        <w:t>54678313</w:t>
      </w:r>
      <w:r w:rsidR="009676CB" w:rsidRPr="009676CB">
        <w:rPr>
          <w:color w:val="FFFFFF"/>
          <w:sz w:val="2"/>
          <w:szCs w:val="2"/>
          <w:rtl/>
        </w:rPr>
        <w:t>5129371</w:t>
      </w:r>
    </w:p>
    <w:p w14:paraId="42F762F1" w14:textId="77777777" w:rsidR="000873AB" w:rsidRPr="009676CB" w:rsidRDefault="009676CB">
      <w:pPr>
        <w:rPr>
          <w:rFonts w:ascii="Arial" w:hAnsi="Arial" w:cs="Arial"/>
          <w:color w:val="FFFFFF"/>
          <w:sz w:val="2"/>
          <w:szCs w:val="2"/>
          <w:rtl/>
        </w:rPr>
      </w:pPr>
      <w:r w:rsidRPr="009676CB">
        <w:rPr>
          <w:rFonts w:ascii="Arial" w:hAnsi="Arial" w:cs="Arial"/>
          <w:color w:val="FFFFFF"/>
          <w:sz w:val="2"/>
          <w:szCs w:val="2"/>
          <w:rtl/>
        </w:rPr>
        <w:t>54678313</w:t>
      </w:r>
    </w:p>
    <w:p w14:paraId="279B8268" w14:textId="77777777" w:rsidR="009676CB" w:rsidRDefault="009676CB" w:rsidP="009676CB">
      <w:r w:rsidRPr="009676CB">
        <w:rPr>
          <w:color w:val="000000"/>
          <w:rtl/>
        </w:rPr>
        <w:t>נוסח מסמך זה כפוף לשינויי ניסוח ועריכה</w:t>
      </w:r>
    </w:p>
    <w:p w14:paraId="13E694DE" w14:textId="77777777" w:rsidR="009676CB" w:rsidRDefault="009676CB" w:rsidP="009676CB">
      <w:pPr>
        <w:rPr>
          <w:rtl/>
        </w:rPr>
      </w:pPr>
    </w:p>
    <w:p w14:paraId="0FE9CE43" w14:textId="77777777" w:rsidR="009676CB" w:rsidRDefault="009676CB" w:rsidP="009676CB">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sectPr w:rsidR="009676CB" w:rsidSect="007B2BF7">
      <w:headerReference w:type="even" r:id="rId15"/>
      <w:headerReference w:type="default" r:id="rId16"/>
      <w:footerReference w:type="even" r:id="rId17"/>
      <w:footerReference w:type="default" r:id="rId18"/>
      <w:pgSz w:w="11907" w:h="16840" w:code="9"/>
      <w:pgMar w:top="1701" w:right="1701" w:bottom="567"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0EC9F" w14:textId="77777777" w:rsidR="00ED237B" w:rsidRDefault="00ED237B">
      <w:r>
        <w:separator/>
      </w:r>
    </w:p>
  </w:endnote>
  <w:endnote w:type="continuationSeparator" w:id="0">
    <w:p w14:paraId="7ABBDC02" w14:textId="77777777" w:rsidR="00ED237B" w:rsidRDefault="00ED2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FFCCB" w14:textId="77777777" w:rsidR="007B2BF7" w:rsidRDefault="007B2BF7" w:rsidP="007B2BF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791CAC5" w14:textId="77777777" w:rsidR="009676CB" w:rsidRPr="007B2BF7" w:rsidRDefault="007B2BF7" w:rsidP="007B2BF7">
    <w:pPr>
      <w:pStyle w:val="a4"/>
      <w:pBdr>
        <w:top w:val="single" w:sz="4" w:space="1" w:color="auto"/>
        <w:between w:val="single" w:sz="4" w:space="0" w:color="auto"/>
      </w:pBdr>
      <w:spacing w:after="60"/>
      <w:jc w:val="center"/>
      <w:rPr>
        <w:rFonts w:ascii="FrankRuehl" w:hAnsi="FrankRuehl" w:cs="FrankRuehl"/>
        <w:color w:val="000000"/>
      </w:rPr>
    </w:pPr>
    <w:r w:rsidRPr="007B2B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0359A" w14:textId="77777777" w:rsidR="007B2BF7" w:rsidRDefault="007B2BF7" w:rsidP="007B2BF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7AEB">
      <w:rPr>
        <w:rFonts w:ascii="FrankRuehl" w:hAnsi="FrankRuehl" w:cs="FrankRuehl"/>
        <w:rtl/>
      </w:rPr>
      <w:t>1</w:t>
    </w:r>
    <w:r>
      <w:rPr>
        <w:rFonts w:ascii="FrankRuehl" w:hAnsi="FrankRuehl" w:cs="FrankRuehl"/>
        <w:rtl/>
      </w:rPr>
      <w:fldChar w:fldCharType="end"/>
    </w:r>
  </w:p>
  <w:p w14:paraId="0245013B" w14:textId="77777777" w:rsidR="009676CB" w:rsidRPr="007B2BF7" w:rsidRDefault="007B2BF7" w:rsidP="007B2BF7">
    <w:pPr>
      <w:pStyle w:val="a4"/>
      <w:pBdr>
        <w:top w:val="single" w:sz="4" w:space="1" w:color="auto"/>
        <w:between w:val="single" w:sz="4" w:space="0" w:color="auto"/>
      </w:pBdr>
      <w:spacing w:after="60"/>
      <w:jc w:val="center"/>
      <w:rPr>
        <w:rFonts w:ascii="FrankRuehl" w:hAnsi="FrankRuehl" w:cs="FrankRuehl"/>
        <w:color w:val="000000"/>
      </w:rPr>
    </w:pPr>
    <w:r w:rsidRPr="007B2BF7">
      <w:rPr>
        <w:rFonts w:ascii="FrankRuehl" w:hAnsi="FrankRuehl" w:cs="FrankRuehl"/>
        <w:color w:val="000000"/>
      </w:rPr>
      <w:pict w14:anchorId="1480C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CFB8B" w14:textId="77777777" w:rsidR="00ED237B" w:rsidRDefault="00ED237B">
      <w:r>
        <w:separator/>
      </w:r>
    </w:p>
  </w:footnote>
  <w:footnote w:type="continuationSeparator" w:id="0">
    <w:p w14:paraId="00E35C20" w14:textId="77777777" w:rsidR="00ED237B" w:rsidRDefault="00ED2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98680" w14:textId="77777777" w:rsidR="009676CB" w:rsidRPr="007B2BF7" w:rsidRDefault="007B2BF7" w:rsidP="007B2B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52251-05-11</w:t>
    </w:r>
    <w:r>
      <w:rPr>
        <w:rFonts w:ascii="David" w:hAnsi="David"/>
        <w:color w:val="000000"/>
        <w:sz w:val="22"/>
        <w:szCs w:val="22"/>
        <w:rtl/>
      </w:rPr>
      <w:tab/>
      <w:t xml:space="preserve"> מדינת ישראל נ' חאלד סילאוי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5E7A1" w14:textId="77777777" w:rsidR="009676CB" w:rsidRPr="007B2BF7" w:rsidRDefault="007B2BF7" w:rsidP="007B2BF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52251-05-11</w:t>
    </w:r>
    <w:r>
      <w:rPr>
        <w:rFonts w:ascii="David" w:hAnsi="David"/>
        <w:color w:val="000000"/>
        <w:sz w:val="22"/>
        <w:szCs w:val="22"/>
        <w:rtl/>
      </w:rPr>
      <w:tab/>
      <w:t xml:space="preserve"> מדינת ישראל נ' חאלד סילאוי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73AB"/>
    <w:rsid w:val="000873AB"/>
    <w:rsid w:val="001375D5"/>
    <w:rsid w:val="00332D20"/>
    <w:rsid w:val="00747AEB"/>
    <w:rsid w:val="007B2BF7"/>
    <w:rsid w:val="009676CB"/>
    <w:rsid w:val="00ED2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F3F667"/>
  <w15:chartTrackingRefBased/>
  <w15:docId w15:val="{5068ABE9-A39D-4611-9BE2-72DA4309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73AB"/>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73AB"/>
    <w:pPr>
      <w:tabs>
        <w:tab w:val="center" w:pos="4153"/>
        <w:tab w:val="right" w:pos="8306"/>
      </w:tabs>
    </w:pPr>
  </w:style>
  <w:style w:type="paragraph" w:styleId="a4">
    <w:name w:val="footer"/>
    <w:basedOn w:val="a"/>
    <w:rsid w:val="000873AB"/>
    <w:pPr>
      <w:tabs>
        <w:tab w:val="center" w:pos="4153"/>
        <w:tab w:val="right" w:pos="8306"/>
      </w:tabs>
    </w:pPr>
  </w:style>
  <w:style w:type="character" w:styleId="a5">
    <w:name w:val="page number"/>
    <w:basedOn w:val="a0"/>
    <w:rsid w:val="009676CB"/>
  </w:style>
  <w:style w:type="character" w:styleId="Hyperlink">
    <w:name w:val="Hyperlink"/>
    <w:basedOn w:val="a0"/>
    <w:rsid w:val="009676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73_002.htm" TargetMode="External"/><Relationship Id="rId13" Type="http://schemas.openxmlformats.org/officeDocument/2006/relationships/hyperlink" Target="http://www.nevo.co.il/law_html/law01/247_001.htm"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inks/law/?link=&#1514;&#1511;&#1504;&#1493;&#1514;%20&#1492;&#1492;&#1490;&#1504;&#1492;" TargetMode="External"/><Relationship Id="rId12" Type="http://schemas.openxmlformats.org/officeDocument/2006/relationships/hyperlink" Target="http://www.nevo.co.il/law_html/law01/073_002.htm"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html/law01/999_194.htm" TargetMode="External"/><Relationship Id="rId11" Type="http://schemas.openxmlformats.org/officeDocument/2006/relationships/hyperlink" Target="http://www.nevo.co.il/links/law/?link=&#1514;&#1511;&#1504;&#1493;&#1514;%20&#1492;&#1492;&#1490;&#1504;&#1492;"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html/law01/073_002.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inks/law/?link=&#1514;&#1511;&#1504;&#1493;&#1514;%20&#1492;&#1492;&#1490;&#1504;&#1492;"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5868</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3735605</vt:i4>
      </vt:variant>
      <vt:variant>
        <vt:i4>21</vt:i4>
      </vt:variant>
      <vt:variant>
        <vt:i4>0</vt:i4>
      </vt:variant>
      <vt:variant>
        <vt:i4>5</vt:i4>
      </vt:variant>
      <vt:variant>
        <vt:lpwstr>http://www.nevo.co.il/law_html/law01/247_001.htm</vt:lpwstr>
      </vt:variant>
      <vt:variant>
        <vt:lpwstr/>
      </vt:variant>
      <vt:variant>
        <vt:i4>3932214</vt:i4>
      </vt:variant>
      <vt:variant>
        <vt:i4>18</vt:i4>
      </vt:variant>
      <vt:variant>
        <vt:i4>0</vt:i4>
      </vt:variant>
      <vt:variant>
        <vt:i4>5</vt:i4>
      </vt:variant>
      <vt:variant>
        <vt:lpwstr>http://www.nevo.co.il/law_html/law01/073_002.htm</vt:lpwstr>
      </vt:variant>
      <vt:variant>
        <vt:lpwstr/>
      </vt:variant>
      <vt:variant>
        <vt:i4>5113290</vt:i4>
      </vt:variant>
      <vt:variant>
        <vt:i4>15</vt:i4>
      </vt:variant>
      <vt:variant>
        <vt:i4>0</vt:i4>
      </vt:variant>
      <vt:variant>
        <vt:i4>5</vt:i4>
      </vt:variant>
      <vt:variant>
        <vt:lpwstr>http://www.nevo.co.il/links/law/?link=תקנות ההגנה</vt:lpwstr>
      </vt:variant>
      <vt:variant>
        <vt:lpwstr/>
      </vt:variant>
      <vt:variant>
        <vt:i4>3932214</vt:i4>
      </vt:variant>
      <vt:variant>
        <vt:i4>12</vt:i4>
      </vt:variant>
      <vt:variant>
        <vt:i4>0</vt:i4>
      </vt:variant>
      <vt:variant>
        <vt:i4>5</vt:i4>
      </vt:variant>
      <vt:variant>
        <vt:lpwstr>http://www.nevo.co.il/law_html/law01/073_002.htm</vt:lpwstr>
      </vt:variant>
      <vt:variant>
        <vt:lpwstr/>
      </vt:variant>
      <vt:variant>
        <vt:i4>5113290</vt:i4>
      </vt:variant>
      <vt:variant>
        <vt:i4>9</vt:i4>
      </vt:variant>
      <vt:variant>
        <vt:i4>0</vt:i4>
      </vt:variant>
      <vt:variant>
        <vt:i4>5</vt:i4>
      </vt:variant>
      <vt:variant>
        <vt:lpwstr>http://www.nevo.co.il/links/law/?link=תקנות ההגנה</vt:lpwstr>
      </vt:variant>
      <vt:variant>
        <vt:lpwstr/>
      </vt:variant>
      <vt:variant>
        <vt:i4>3932214</vt:i4>
      </vt:variant>
      <vt:variant>
        <vt:i4>6</vt:i4>
      </vt:variant>
      <vt:variant>
        <vt:i4>0</vt:i4>
      </vt:variant>
      <vt:variant>
        <vt:i4>5</vt:i4>
      </vt:variant>
      <vt:variant>
        <vt:lpwstr>http://www.nevo.co.il/law_html/law01/073_002.htm</vt:lpwstr>
      </vt:variant>
      <vt:variant>
        <vt:lpwstr/>
      </vt:variant>
      <vt:variant>
        <vt:i4>5113290</vt:i4>
      </vt:variant>
      <vt:variant>
        <vt:i4>3</vt:i4>
      </vt:variant>
      <vt:variant>
        <vt:i4>0</vt:i4>
      </vt:variant>
      <vt:variant>
        <vt:i4>5</vt:i4>
      </vt:variant>
      <vt:variant>
        <vt:lpwstr>http://www.nevo.co.il/links/law/?link=תקנות ההגנה</vt:lpwstr>
      </vt:variant>
      <vt:variant>
        <vt:lpwstr/>
      </vt:variant>
      <vt:variant>
        <vt:i4>3670065</vt:i4>
      </vt:variant>
      <vt:variant>
        <vt:i4>0</vt:i4>
      </vt:variant>
      <vt:variant>
        <vt:i4>0</vt:i4>
      </vt:variant>
      <vt:variant>
        <vt:i4>5</vt:i4>
      </vt:variant>
      <vt:variant>
        <vt:lpwstr>http://www.nevo.co.il/law_html/law01/999_194.htm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52251</vt:lpwstr>
  </property>
  <property fmtid="{D5CDD505-2E9C-101B-9397-08002B2CF9AE}" pid="6" name="NEWPARTB">
    <vt:lpwstr>05</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חאלד סילאוי</vt:lpwstr>
  </property>
  <property fmtid="{D5CDD505-2E9C-101B-9397-08002B2CF9AE}" pid="10" name="LAWYER">
    <vt:lpwstr>ג'אברין</vt:lpwstr>
  </property>
  <property fmtid="{D5CDD505-2E9C-101B-9397-08002B2CF9AE}" pid="11" name="JUDGE">
    <vt:lpwstr>ר. יפה כ#ץ;א. ואגו;י. צלקובניק</vt:lpwstr>
  </property>
  <property fmtid="{D5CDD505-2E9C-101B-9397-08002B2CF9AE}" pid="12" name="CITY">
    <vt:lpwstr>ב"ש</vt:lpwstr>
  </property>
  <property fmtid="{D5CDD505-2E9C-101B-9397-08002B2CF9AE}" pid="13" name="DATE">
    <vt:lpwstr>20130318</vt:lpwstr>
  </property>
  <property fmtid="{D5CDD505-2E9C-101B-9397-08002B2CF9AE}" pid="14" name="TYPE_N_DATE">
    <vt:lpwstr>39020130318</vt:lpwstr>
  </property>
  <property fmtid="{D5CDD505-2E9C-101B-9397-08002B2CF9AE}" pid="15" name="WORDNUMPAGES">
    <vt:lpwstr>4</vt:lpwstr>
  </property>
  <property fmtid="{D5CDD505-2E9C-101B-9397-08002B2CF9AE}" pid="16" name="TYPE_ABS_DATE">
    <vt:lpwstr>390020130318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