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0"/>
        <w:gridCol w:w="3671"/>
      </w:tblGrid>
      <w:tr w:rsidR="008136A5" w:rsidRPr="00DF5213" w14:paraId="1394BFC9" w14:textId="77777777">
        <w:trPr>
          <w:trHeight w:hRule="exact" w:val="418"/>
          <w:jc w:val="center"/>
        </w:trPr>
        <w:tc>
          <w:tcPr>
            <w:tcW w:w="8721" w:type="dxa"/>
            <w:gridSpan w:val="2"/>
          </w:tcPr>
          <w:p w14:paraId="4C59295D" w14:textId="77777777" w:rsidR="008136A5" w:rsidRPr="00DF5213" w:rsidRDefault="00DF5213">
            <w:pPr>
              <w:pStyle w:val="a3"/>
              <w:jc w:val="center"/>
              <w:rPr>
                <w:rFonts w:ascii="Tahoma" w:hAnsi="Tahoma" w:cs="Tahoma"/>
                <w:color w:val="000080"/>
                <w:rtl/>
              </w:rPr>
            </w:pPr>
            <w:bookmarkStart w:id="0" w:name="LastJudge"/>
            <w:r w:rsidRPr="00DF5213">
              <w:rPr>
                <w:rFonts w:ascii="Tahoma" w:hAnsi="Tahoma" w:cs="Tahoma"/>
                <w:b/>
                <w:bCs/>
                <w:color w:val="000080"/>
                <w:rtl/>
              </w:rPr>
              <w:t>בית המשפט המחוזי בחיפה</w:t>
            </w:r>
          </w:p>
        </w:tc>
      </w:tr>
      <w:tr w:rsidR="008136A5" w:rsidRPr="00DF5213" w14:paraId="00D9E6D4" w14:textId="77777777">
        <w:trPr>
          <w:trHeight w:val="337"/>
          <w:jc w:val="center"/>
        </w:trPr>
        <w:tc>
          <w:tcPr>
            <w:tcW w:w="5050" w:type="dxa"/>
          </w:tcPr>
          <w:p w14:paraId="4C8E442E" w14:textId="77777777" w:rsidR="008136A5" w:rsidRPr="00DF5213" w:rsidRDefault="00DF5213">
            <w:pPr>
              <w:rPr>
                <w:rFonts w:cs="FrankRuehl"/>
                <w:sz w:val="28"/>
                <w:szCs w:val="28"/>
                <w:rtl/>
              </w:rPr>
            </w:pPr>
            <w:r w:rsidRPr="00DF5213">
              <w:rPr>
                <w:rFonts w:cs="FrankRuehl"/>
                <w:sz w:val="28"/>
                <w:szCs w:val="28"/>
                <w:rtl/>
              </w:rPr>
              <w:t>ת"פ</w:t>
            </w:r>
            <w:r w:rsidRPr="00DF5213">
              <w:rPr>
                <w:rFonts w:cs="FrankRuehl" w:hint="cs"/>
                <w:sz w:val="28"/>
                <w:szCs w:val="28"/>
                <w:rtl/>
              </w:rPr>
              <w:t xml:space="preserve"> </w:t>
            </w:r>
            <w:r w:rsidRPr="00DF5213">
              <w:rPr>
                <w:rFonts w:cs="FrankRuehl"/>
                <w:sz w:val="28"/>
                <w:szCs w:val="28"/>
                <w:rtl/>
              </w:rPr>
              <w:t>265-07-11</w:t>
            </w:r>
            <w:r w:rsidRPr="00DF5213">
              <w:rPr>
                <w:rFonts w:cs="FrankRuehl" w:hint="cs"/>
                <w:sz w:val="28"/>
                <w:szCs w:val="28"/>
                <w:rtl/>
              </w:rPr>
              <w:t xml:space="preserve"> </w:t>
            </w:r>
            <w:r w:rsidRPr="00DF5213">
              <w:rPr>
                <w:rFonts w:cs="FrankRuehl"/>
                <w:sz w:val="28"/>
                <w:szCs w:val="28"/>
                <w:rtl/>
              </w:rPr>
              <w:t>מדינת ישראל נ' נפתלייב</w:t>
            </w:r>
          </w:p>
          <w:p w14:paraId="08DA8177" w14:textId="77777777" w:rsidR="008136A5" w:rsidRPr="00DF5213" w:rsidRDefault="008136A5">
            <w:pPr>
              <w:pStyle w:val="a3"/>
              <w:rPr>
                <w:rFonts w:cs="FrankRuehl"/>
                <w:sz w:val="28"/>
                <w:szCs w:val="28"/>
                <w:rtl/>
              </w:rPr>
            </w:pPr>
          </w:p>
        </w:tc>
        <w:tc>
          <w:tcPr>
            <w:tcW w:w="3671" w:type="dxa"/>
          </w:tcPr>
          <w:p w14:paraId="41A56329" w14:textId="77777777" w:rsidR="008136A5" w:rsidRPr="00DF5213" w:rsidRDefault="00DF5213">
            <w:pPr>
              <w:pStyle w:val="a3"/>
              <w:jc w:val="right"/>
              <w:rPr>
                <w:rFonts w:cs="FrankRuehl"/>
                <w:sz w:val="28"/>
                <w:szCs w:val="28"/>
                <w:rtl/>
              </w:rPr>
            </w:pPr>
            <w:r w:rsidRPr="00DF5213">
              <w:rPr>
                <w:rFonts w:cs="FrankRuehl" w:hint="cs"/>
                <w:sz w:val="28"/>
                <w:szCs w:val="28"/>
                <w:rtl/>
              </w:rPr>
              <w:t>3 ביוני 2013</w:t>
            </w:r>
          </w:p>
        </w:tc>
      </w:tr>
    </w:tbl>
    <w:p w14:paraId="4278F8B4" w14:textId="77777777" w:rsidR="008136A5" w:rsidRPr="00DF5213" w:rsidRDefault="00DF5213">
      <w:pPr>
        <w:pStyle w:val="a3"/>
        <w:rPr>
          <w:rtl/>
        </w:rPr>
      </w:pPr>
      <w:r w:rsidRPr="00DF5213">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136A5" w:rsidRPr="00DF5213" w14:paraId="19F9CB05" w14:textId="77777777">
        <w:trPr>
          <w:trHeight w:val="295"/>
          <w:jc w:val="center"/>
        </w:trPr>
        <w:tc>
          <w:tcPr>
            <w:tcW w:w="923" w:type="dxa"/>
            <w:tcBorders>
              <w:top w:val="nil"/>
              <w:left w:val="nil"/>
              <w:bottom w:val="nil"/>
              <w:right w:val="nil"/>
            </w:tcBorders>
          </w:tcPr>
          <w:p w14:paraId="35E9F93E" w14:textId="77777777" w:rsidR="008136A5" w:rsidRPr="00DF5213" w:rsidRDefault="00DF5213">
            <w:pPr>
              <w:jc w:val="both"/>
              <w:rPr>
                <w:rFonts w:ascii="Arial" w:hAnsi="Arial" w:cs="FrankRuehl"/>
                <w:sz w:val="28"/>
                <w:szCs w:val="28"/>
              </w:rPr>
            </w:pPr>
            <w:r w:rsidRPr="00DF5213">
              <w:rPr>
                <w:rFonts w:hint="cs"/>
                <w:rtl/>
              </w:rPr>
              <w:t xml:space="preserve"> </w:t>
            </w:r>
            <w:r w:rsidRPr="00DF5213">
              <w:rPr>
                <w:rFonts w:ascii="Arial" w:hAnsi="Arial" w:cs="FrankRuehl" w:hint="cs"/>
                <w:sz w:val="28"/>
                <w:szCs w:val="28"/>
                <w:rtl/>
              </w:rPr>
              <w:t>ב</w:t>
            </w:r>
            <w:r w:rsidRPr="00DF5213">
              <w:rPr>
                <w:rFonts w:ascii="Arial" w:hAnsi="Arial" w:cs="FrankRuehl"/>
                <w:sz w:val="28"/>
                <w:szCs w:val="28"/>
                <w:rtl/>
              </w:rPr>
              <w:t xml:space="preserve">פני </w:t>
            </w:r>
          </w:p>
        </w:tc>
        <w:tc>
          <w:tcPr>
            <w:tcW w:w="7897" w:type="dxa"/>
            <w:gridSpan w:val="2"/>
            <w:tcBorders>
              <w:top w:val="nil"/>
              <w:left w:val="nil"/>
              <w:bottom w:val="nil"/>
              <w:right w:val="nil"/>
            </w:tcBorders>
          </w:tcPr>
          <w:p w14:paraId="6C0B9B62" w14:textId="77777777" w:rsidR="008136A5" w:rsidRPr="00DF5213" w:rsidRDefault="00DF5213" w:rsidP="00011A09">
            <w:pPr>
              <w:rPr>
                <w:rtl/>
              </w:rPr>
            </w:pPr>
            <w:r w:rsidRPr="00DF5213">
              <w:rPr>
                <w:rFonts w:ascii="Arial" w:hAnsi="Arial" w:hint="cs"/>
                <w:b/>
                <w:bCs/>
                <w:rtl/>
              </w:rPr>
              <w:t>כב' ה</w:t>
            </w:r>
            <w:r w:rsidRPr="00DF5213">
              <w:rPr>
                <w:rFonts w:hint="cs"/>
                <w:rtl/>
              </w:rPr>
              <w:t>שופטת</w:t>
            </w:r>
            <w:r w:rsidRPr="00DF5213">
              <w:rPr>
                <w:rFonts w:ascii="Arial" w:hAnsi="Arial" w:hint="cs"/>
                <w:b/>
                <w:bCs/>
                <w:rtl/>
              </w:rPr>
              <w:t xml:space="preserve">  </w:t>
            </w:r>
            <w:r w:rsidRPr="00DF5213">
              <w:rPr>
                <w:rFonts w:hint="cs"/>
                <w:rtl/>
              </w:rPr>
              <w:t>חני הורוביץ</w:t>
            </w:r>
          </w:p>
          <w:p w14:paraId="1454F2F8" w14:textId="77777777" w:rsidR="008136A5" w:rsidRPr="00DF5213" w:rsidRDefault="008136A5">
            <w:pPr>
              <w:jc w:val="both"/>
              <w:rPr>
                <w:rFonts w:ascii="Arial" w:hAnsi="Arial" w:cs="FrankRuehl"/>
                <w:sz w:val="28"/>
                <w:szCs w:val="28"/>
              </w:rPr>
            </w:pPr>
          </w:p>
        </w:tc>
      </w:tr>
      <w:tr w:rsidR="008136A5" w:rsidRPr="00DF5213" w14:paraId="11C4F4DE" w14:textId="77777777">
        <w:trPr>
          <w:trHeight w:val="355"/>
          <w:jc w:val="center"/>
        </w:trPr>
        <w:tc>
          <w:tcPr>
            <w:tcW w:w="923" w:type="dxa"/>
            <w:tcBorders>
              <w:top w:val="nil"/>
              <w:left w:val="nil"/>
              <w:bottom w:val="nil"/>
              <w:right w:val="nil"/>
            </w:tcBorders>
          </w:tcPr>
          <w:p w14:paraId="1EEE37C4" w14:textId="77777777" w:rsidR="008136A5" w:rsidRPr="00DF5213" w:rsidRDefault="00DF5213">
            <w:pPr>
              <w:jc w:val="both"/>
              <w:rPr>
                <w:rFonts w:ascii="Arial" w:hAnsi="Arial" w:cs="FrankRuehl"/>
                <w:sz w:val="28"/>
                <w:szCs w:val="28"/>
              </w:rPr>
            </w:pPr>
            <w:bookmarkStart w:id="1" w:name="FirstAppellant"/>
            <w:r w:rsidRPr="00DF5213">
              <w:rPr>
                <w:rFonts w:ascii="Arial" w:hAnsi="Arial" w:cs="FrankRuehl" w:hint="cs"/>
                <w:sz w:val="28"/>
                <w:szCs w:val="28"/>
                <w:rtl/>
              </w:rPr>
              <w:t>בעניין:</w:t>
            </w:r>
          </w:p>
        </w:tc>
        <w:tc>
          <w:tcPr>
            <w:tcW w:w="4126" w:type="dxa"/>
            <w:tcBorders>
              <w:top w:val="nil"/>
              <w:left w:val="nil"/>
              <w:bottom w:val="nil"/>
              <w:right w:val="nil"/>
            </w:tcBorders>
          </w:tcPr>
          <w:p w14:paraId="33DE0F7A" w14:textId="77777777" w:rsidR="008136A5" w:rsidRPr="00DF5213" w:rsidRDefault="00DF5213">
            <w:pPr>
              <w:rPr>
                <w:rtl/>
              </w:rPr>
            </w:pPr>
            <w:r w:rsidRPr="00DF5213">
              <w:rPr>
                <w:rFonts w:hint="cs"/>
                <w:rtl/>
              </w:rPr>
              <w:t>מדינת ישראל</w:t>
            </w:r>
          </w:p>
          <w:p w14:paraId="69049AC7" w14:textId="77777777" w:rsidR="008136A5" w:rsidRPr="00DF5213" w:rsidRDefault="00DF5213">
            <w:r w:rsidRPr="00DF5213">
              <w:rPr>
                <w:rFonts w:hint="cs"/>
                <w:rtl/>
              </w:rPr>
              <w:t>באמצעות פרקליטות מחוז חיפה</w:t>
            </w:r>
          </w:p>
        </w:tc>
        <w:tc>
          <w:tcPr>
            <w:tcW w:w="3771" w:type="dxa"/>
            <w:tcBorders>
              <w:top w:val="nil"/>
              <w:left w:val="nil"/>
              <w:bottom w:val="nil"/>
              <w:right w:val="nil"/>
            </w:tcBorders>
          </w:tcPr>
          <w:p w14:paraId="70B2ADDD" w14:textId="77777777" w:rsidR="008136A5" w:rsidRPr="00DF5213" w:rsidRDefault="008136A5">
            <w:pPr>
              <w:jc w:val="both"/>
              <w:rPr>
                <w:rFonts w:ascii="Arial" w:hAnsi="Arial" w:cs="FrankRuehl"/>
                <w:sz w:val="28"/>
                <w:szCs w:val="28"/>
              </w:rPr>
            </w:pPr>
          </w:p>
        </w:tc>
      </w:tr>
      <w:bookmarkEnd w:id="1"/>
      <w:tr w:rsidR="008136A5" w:rsidRPr="00DF5213" w14:paraId="5FD834D5" w14:textId="77777777">
        <w:trPr>
          <w:trHeight w:val="355"/>
          <w:jc w:val="center"/>
        </w:trPr>
        <w:tc>
          <w:tcPr>
            <w:tcW w:w="923" w:type="dxa"/>
            <w:tcBorders>
              <w:top w:val="nil"/>
              <w:left w:val="nil"/>
              <w:bottom w:val="nil"/>
              <w:right w:val="nil"/>
            </w:tcBorders>
          </w:tcPr>
          <w:p w14:paraId="4BF2AC9C" w14:textId="77777777" w:rsidR="008136A5" w:rsidRPr="00DF5213" w:rsidRDefault="008136A5">
            <w:pPr>
              <w:jc w:val="both"/>
              <w:rPr>
                <w:rFonts w:ascii="Arial" w:hAnsi="Arial" w:cs="FrankRuehl"/>
                <w:sz w:val="28"/>
                <w:szCs w:val="28"/>
                <w:rtl/>
              </w:rPr>
            </w:pPr>
          </w:p>
        </w:tc>
        <w:tc>
          <w:tcPr>
            <w:tcW w:w="4126" w:type="dxa"/>
            <w:tcBorders>
              <w:top w:val="nil"/>
              <w:left w:val="nil"/>
              <w:bottom w:val="nil"/>
              <w:right w:val="nil"/>
            </w:tcBorders>
          </w:tcPr>
          <w:p w14:paraId="37D4ACD9" w14:textId="77777777" w:rsidR="008136A5" w:rsidRPr="00DF5213" w:rsidRDefault="008136A5">
            <w:pPr>
              <w:jc w:val="both"/>
              <w:rPr>
                <w:rtl/>
              </w:rPr>
            </w:pPr>
          </w:p>
        </w:tc>
        <w:tc>
          <w:tcPr>
            <w:tcW w:w="3771" w:type="dxa"/>
            <w:tcBorders>
              <w:top w:val="nil"/>
              <w:left w:val="nil"/>
              <w:bottom w:val="nil"/>
              <w:right w:val="nil"/>
            </w:tcBorders>
          </w:tcPr>
          <w:p w14:paraId="74F7C1F1" w14:textId="77777777" w:rsidR="008136A5" w:rsidRPr="00DF5213" w:rsidRDefault="00DF5213">
            <w:pPr>
              <w:jc w:val="right"/>
              <w:rPr>
                <w:rFonts w:ascii="Arial" w:hAnsi="Arial" w:cs="FrankRuehl"/>
                <w:sz w:val="28"/>
                <w:szCs w:val="28"/>
                <w:rtl/>
              </w:rPr>
            </w:pPr>
            <w:r w:rsidRPr="00DF5213">
              <w:rPr>
                <w:rFonts w:ascii="Arial" w:hAnsi="Arial" w:cs="FrankRuehl" w:hint="cs"/>
                <w:sz w:val="28"/>
                <w:szCs w:val="28"/>
                <w:rtl/>
              </w:rPr>
              <w:t>ה</w:t>
            </w:r>
            <w:r w:rsidRPr="00DF5213">
              <w:rPr>
                <w:rFonts w:hint="cs"/>
                <w:rtl/>
              </w:rPr>
              <w:t>מאשימה</w:t>
            </w:r>
          </w:p>
        </w:tc>
      </w:tr>
      <w:tr w:rsidR="008136A5" w:rsidRPr="00DF5213" w14:paraId="7C4F7011" w14:textId="77777777">
        <w:trPr>
          <w:trHeight w:val="355"/>
          <w:jc w:val="center"/>
        </w:trPr>
        <w:tc>
          <w:tcPr>
            <w:tcW w:w="923" w:type="dxa"/>
            <w:tcBorders>
              <w:top w:val="nil"/>
              <w:left w:val="nil"/>
              <w:bottom w:val="nil"/>
              <w:right w:val="nil"/>
            </w:tcBorders>
          </w:tcPr>
          <w:p w14:paraId="046FBA01" w14:textId="77777777" w:rsidR="008136A5" w:rsidRPr="00DF5213" w:rsidRDefault="008136A5">
            <w:pPr>
              <w:jc w:val="both"/>
              <w:rPr>
                <w:rFonts w:ascii="Arial" w:hAnsi="Arial" w:cs="FrankRuehl"/>
                <w:sz w:val="28"/>
                <w:szCs w:val="28"/>
                <w:rtl/>
              </w:rPr>
            </w:pPr>
          </w:p>
        </w:tc>
        <w:tc>
          <w:tcPr>
            <w:tcW w:w="7897" w:type="dxa"/>
            <w:gridSpan w:val="2"/>
            <w:tcBorders>
              <w:top w:val="nil"/>
              <w:left w:val="nil"/>
              <w:bottom w:val="nil"/>
              <w:right w:val="nil"/>
            </w:tcBorders>
          </w:tcPr>
          <w:p w14:paraId="4D3F7E0C" w14:textId="77777777" w:rsidR="008136A5" w:rsidRPr="00DF5213" w:rsidRDefault="008136A5">
            <w:pPr>
              <w:jc w:val="center"/>
              <w:rPr>
                <w:rFonts w:ascii="Arial" w:hAnsi="Arial" w:cs="FrankRuehl"/>
                <w:b/>
                <w:bCs/>
                <w:sz w:val="28"/>
                <w:szCs w:val="28"/>
                <w:rtl/>
              </w:rPr>
            </w:pPr>
          </w:p>
          <w:p w14:paraId="17D3695B" w14:textId="77777777" w:rsidR="008136A5" w:rsidRPr="00DF5213" w:rsidRDefault="00DF5213">
            <w:pPr>
              <w:jc w:val="center"/>
              <w:rPr>
                <w:rFonts w:ascii="Arial" w:hAnsi="Arial" w:cs="FrankRuehl"/>
                <w:b/>
                <w:bCs/>
                <w:sz w:val="28"/>
                <w:szCs w:val="28"/>
                <w:rtl/>
              </w:rPr>
            </w:pPr>
            <w:r w:rsidRPr="00DF5213">
              <w:rPr>
                <w:rFonts w:ascii="Arial" w:hAnsi="Arial" w:cs="FrankRuehl"/>
                <w:b/>
                <w:bCs/>
                <w:sz w:val="28"/>
                <w:szCs w:val="28"/>
                <w:rtl/>
              </w:rPr>
              <w:t>נגד</w:t>
            </w:r>
          </w:p>
          <w:p w14:paraId="247D771E" w14:textId="77777777" w:rsidR="008136A5" w:rsidRPr="00DF5213" w:rsidRDefault="008136A5">
            <w:pPr>
              <w:jc w:val="both"/>
              <w:rPr>
                <w:rFonts w:ascii="Arial" w:hAnsi="Arial" w:cs="FrankRuehl"/>
                <w:sz w:val="28"/>
                <w:szCs w:val="28"/>
              </w:rPr>
            </w:pPr>
          </w:p>
        </w:tc>
      </w:tr>
      <w:tr w:rsidR="008136A5" w:rsidRPr="00DF5213" w14:paraId="3370BFFE" w14:textId="77777777">
        <w:trPr>
          <w:trHeight w:val="355"/>
          <w:jc w:val="center"/>
        </w:trPr>
        <w:tc>
          <w:tcPr>
            <w:tcW w:w="923" w:type="dxa"/>
            <w:tcBorders>
              <w:top w:val="nil"/>
              <w:left w:val="nil"/>
              <w:bottom w:val="nil"/>
              <w:right w:val="nil"/>
            </w:tcBorders>
          </w:tcPr>
          <w:p w14:paraId="0E8B48E5" w14:textId="77777777" w:rsidR="008136A5" w:rsidRPr="00DF5213" w:rsidRDefault="008136A5">
            <w:pPr>
              <w:rPr>
                <w:rFonts w:ascii="Arial" w:hAnsi="Arial" w:cs="FrankRuehl"/>
                <w:sz w:val="28"/>
                <w:szCs w:val="28"/>
                <w:rtl/>
              </w:rPr>
            </w:pPr>
            <w:bookmarkStart w:id="2" w:name="FirstLawyer"/>
          </w:p>
        </w:tc>
        <w:tc>
          <w:tcPr>
            <w:tcW w:w="4126" w:type="dxa"/>
            <w:tcBorders>
              <w:top w:val="nil"/>
              <w:left w:val="nil"/>
              <w:bottom w:val="nil"/>
              <w:right w:val="nil"/>
            </w:tcBorders>
          </w:tcPr>
          <w:p w14:paraId="10783177" w14:textId="77777777" w:rsidR="008136A5" w:rsidRPr="00DF5213" w:rsidRDefault="00DF5213">
            <w:pPr>
              <w:rPr>
                <w:rtl/>
              </w:rPr>
            </w:pPr>
            <w:r w:rsidRPr="00DF5213">
              <w:rPr>
                <w:rFonts w:hint="cs"/>
                <w:rtl/>
              </w:rPr>
              <w:t>נפתלי נפתלייב</w:t>
            </w:r>
          </w:p>
          <w:p w14:paraId="6E0E6583" w14:textId="77777777" w:rsidR="008136A5" w:rsidRPr="00DF5213" w:rsidRDefault="00DF5213">
            <w:pPr>
              <w:rPr>
                <w:rtl/>
              </w:rPr>
            </w:pPr>
            <w:r w:rsidRPr="00DF5213">
              <w:rPr>
                <w:rFonts w:hint="cs"/>
                <w:rtl/>
              </w:rPr>
              <w:t>ע"י ב"כ עו"ד גב' אסיל מצארווה</w:t>
            </w:r>
          </w:p>
        </w:tc>
        <w:tc>
          <w:tcPr>
            <w:tcW w:w="3771" w:type="dxa"/>
            <w:tcBorders>
              <w:top w:val="nil"/>
              <w:left w:val="nil"/>
              <w:bottom w:val="nil"/>
              <w:right w:val="nil"/>
            </w:tcBorders>
          </w:tcPr>
          <w:p w14:paraId="39595724" w14:textId="77777777" w:rsidR="008136A5" w:rsidRPr="00DF5213" w:rsidRDefault="008136A5">
            <w:pPr>
              <w:jc w:val="right"/>
              <w:rPr>
                <w:rFonts w:ascii="Arial" w:hAnsi="Arial" w:cs="FrankRuehl"/>
                <w:sz w:val="28"/>
                <w:szCs w:val="28"/>
              </w:rPr>
            </w:pPr>
          </w:p>
        </w:tc>
      </w:tr>
      <w:bookmarkEnd w:id="2"/>
      <w:tr w:rsidR="008136A5" w:rsidRPr="00DF5213" w14:paraId="4CA0AEE1" w14:textId="77777777">
        <w:trPr>
          <w:trHeight w:val="355"/>
          <w:jc w:val="center"/>
        </w:trPr>
        <w:tc>
          <w:tcPr>
            <w:tcW w:w="923" w:type="dxa"/>
            <w:tcBorders>
              <w:top w:val="nil"/>
              <w:left w:val="nil"/>
              <w:bottom w:val="nil"/>
              <w:right w:val="nil"/>
            </w:tcBorders>
          </w:tcPr>
          <w:p w14:paraId="07824ACB" w14:textId="77777777" w:rsidR="008136A5" w:rsidRPr="00DF5213" w:rsidRDefault="008136A5">
            <w:pPr>
              <w:jc w:val="both"/>
              <w:rPr>
                <w:rFonts w:ascii="Arial" w:hAnsi="Arial" w:cs="FrankRuehl"/>
                <w:sz w:val="28"/>
                <w:szCs w:val="28"/>
                <w:rtl/>
              </w:rPr>
            </w:pPr>
          </w:p>
        </w:tc>
        <w:tc>
          <w:tcPr>
            <w:tcW w:w="4126" w:type="dxa"/>
            <w:tcBorders>
              <w:top w:val="nil"/>
              <w:left w:val="nil"/>
              <w:bottom w:val="nil"/>
              <w:right w:val="nil"/>
            </w:tcBorders>
          </w:tcPr>
          <w:p w14:paraId="2C7C0738" w14:textId="77777777" w:rsidR="008136A5" w:rsidRPr="00DF5213" w:rsidRDefault="008136A5">
            <w:pPr>
              <w:jc w:val="both"/>
              <w:rPr>
                <w:rtl/>
              </w:rPr>
            </w:pPr>
          </w:p>
        </w:tc>
        <w:tc>
          <w:tcPr>
            <w:tcW w:w="3771" w:type="dxa"/>
            <w:tcBorders>
              <w:top w:val="nil"/>
              <w:left w:val="nil"/>
              <w:bottom w:val="nil"/>
              <w:right w:val="nil"/>
            </w:tcBorders>
          </w:tcPr>
          <w:p w14:paraId="2D2DAF09" w14:textId="77777777" w:rsidR="008136A5" w:rsidRPr="00DF5213" w:rsidRDefault="00DF5213">
            <w:pPr>
              <w:jc w:val="right"/>
              <w:rPr>
                <w:rFonts w:ascii="Arial" w:hAnsi="Arial" w:cs="FrankRuehl"/>
                <w:sz w:val="28"/>
                <w:szCs w:val="28"/>
              </w:rPr>
            </w:pPr>
            <w:r w:rsidRPr="00DF5213">
              <w:rPr>
                <w:rFonts w:ascii="Arial" w:hAnsi="Arial" w:cs="FrankRuehl" w:hint="cs"/>
                <w:sz w:val="28"/>
                <w:szCs w:val="28"/>
                <w:rtl/>
              </w:rPr>
              <w:t>ה</w:t>
            </w:r>
            <w:r w:rsidRPr="00DF5213">
              <w:rPr>
                <w:rFonts w:hint="cs"/>
                <w:rtl/>
              </w:rPr>
              <w:t>נאשם</w:t>
            </w:r>
          </w:p>
        </w:tc>
      </w:tr>
    </w:tbl>
    <w:p w14:paraId="4B61D9EF" w14:textId="77777777" w:rsidR="00610172" w:rsidRDefault="00610172">
      <w:pPr>
        <w:rPr>
          <w:rtl/>
        </w:rPr>
      </w:pPr>
      <w:bookmarkStart w:id="3" w:name="LawTable"/>
      <w:bookmarkEnd w:id="3"/>
    </w:p>
    <w:p w14:paraId="03F28AC2" w14:textId="77777777" w:rsidR="00610172" w:rsidRPr="00610172" w:rsidRDefault="00610172" w:rsidP="00610172">
      <w:pPr>
        <w:spacing w:after="120" w:line="240" w:lineRule="exact"/>
        <w:ind w:left="283" w:hanging="283"/>
        <w:jc w:val="both"/>
        <w:rPr>
          <w:rFonts w:ascii="FrankRuehl" w:hAnsi="FrankRuehl" w:cs="FrankRuehl"/>
          <w:rtl/>
        </w:rPr>
      </w:pPr>
    </w:p>
    <w:p w14:paraId="0AC1DB4B" w14:textId="77777777" w:rsidR="00610172" w:rsidRPr="00610172" w:rsidRDefault="00610172" w:rsidP="00610172">
      <w:pPr>
        <w:spacing w:after="120" w:line="240" w:lineRule="exact"/>
        <w:ind w:left="283" w:hanging="283"/>
        <w:jc w:val="both"/>
        <w:rPr>
          <w:rFonts w:ascii="FrankRuehl" w:hAnsi="FrankRuehl" w:cs="FrankRuehl"/>
          <w:rtl/>
        </w:rPr>
      </w:pPr>
      <w:r w:rsidRPr="00610172">
        <w:rPr>
          <w:rFonts w:ascii="FrankRuehl" w:hAnsi="FrankRuehl" w:cs="FrankRuehl"/>
          <w:rtl/>
        </w:rPr>
        <w:t xml:space="preserve">חקיקה שאוזכרה: </w:t>
      </w:r>
    </w:p>
    <w:p w14:paraId="4A06832B" w14:textId="77777777" w:rsidR="00610172" w:rsidRPr="00610172" w:rsidRDefault="00610172" w:rsidP="00610172">
      <w:pPr>
        <w:spacing w:after="120" w:line="240" w:lineRule="exact"/>
        <w:ind w:left="283" w:hanging="283"/>
        <w:jc w:val="both"/>
        <w:rPr>
          <w:rFonts w:ascii="FrankRuehl" w:hAnsi="FrankRuehl" w:cs="FrankRuehl"/>
          <w:color w:val="0000FF"/>
          <w:u w:val="single"/>
          <w:rtl/>
        </w:rPr>
      </w:pPr>
      <w:hyperlink r:id="rId6" w:history="1">
        <w:r w:rsidRPr="00610172">
          <w:rPr>
            <w:rStyle w:val="Hyperlink"/>
            <w:rFonts w:ascii="FrankRuehl" w:hAnsi="FrankRuehl" w:cs="FrankRuehl"/>
            <w:rtl/>
          </w:rPr>
          <w:t>חוק העונשין, תשל"ז-1977</w:t>
        </w:r>
      </w:hyperlink>
      <w:r w:rsidRPr="00610172">
        <w:rPr>
          <w:rFonts w:ascii="FrankRuehl" w:hAnsi="FrankRuehl" w:cs="FrankRuehl"/>
          <w:color w:val="0000FF"/>
          <w:u w:val="single"/>
          <w:rtl/>
        </w:rPr>
        <w:t xml:space="preserve">: סע'  </w:t>
      </w:r>
      <w:hyperlink r:id="rId7" w:history="1">
        <w:r w:rsidRPr="00610172">
          <w:rPr>
            <w:rStyle w:val="Hyperlink"/>
            <w:rFonts w:ascii="FrankRuehl" w:hAnsi="FrankRuehl" w:cs="FrankRuehl"/>
          </w:rPr>
          <w:t>144</w:t>
        </w:r>
      </w:hyperlink>
      <w:r w:rsidRPr="00610172">
        <w:rPr>
          <w:rFonts w:ascii="FrankRuehl" w:hAnsi="FrankRuehl" w:cs="FrankRuehl"/>
          <w:color w:val="0000FF"/>
          <w:u w:val="single"/>
          <w:rtl/>
        </w:rPr>
        <w:t xml:space="preserve">, </w:t>
      </w:r>
      <w:hyperlink r:id="rId8" w:history="1">
        <w:r w:rsidRPr="00610172">
          <w:rPr>
            <w:rStyle w:val="Hyperlink"/>
            <w:rFonts w:ascii="FrankRuehl" w:hAnsi="FrankRuehl" w:cs="FrankRuehl"/>
          </w:rPr>
          <w:t>144(</w:t>
        </w:r>
        <w:r w:rsidRPr="00610172">
          <w:rPr>
            <w:rStyle w:val="Hyperlink"/>
            <w:rFonts w:ascii="FrankRuehl" w:hAnsi="FrankRuehl" w:cs="FrankRuehl"/>
            <w:rtl/>
          </w:rPr>
          <w:t>א</w:t>
        </w:r>
        <w:r w:rsidRPr="00610172">
          <w:rPr>
            <w:rStyle w:val="Hyperlink"/>
            <w:rFonts w:ascii="FrankRuehl" w:hAnsi="FrankRuehl" w:cs="FrankRuehl"/>
          </w:rPr>
          <w:t>)</w:t>
        </w:r>
      </w:hyperlink>
      <w:r w:rsidRPr="00610172">
        <w:rPr>
          <w:rFonts w:ascii="FrankRuehl" w:hAnsi="FrankRuehl" w:cs="FrankRuehl"/>
          <w:color w:val="0000FF"/>
          <w:u w:val="single"/>
          <w:rtl/>
        </w:rPr>
        <w:t xml:space="preserve">, </w:t>
      </w:r>
      <w:hyperlink r:id="rId9" w:history="1">
        <w:r w:rsidRPr="00610172">
          <w:rPr>
            <w:rStyle w:val="Hyperlink"/>
            <w:rFonts w:ascii="FrankRuehl" w:hAnsi="FrankRuehl" w:cs="FrankRuehl"/>
          </w:rPr>
          <w:t>144(</w:t>
        </w:r>
        <w:r w:rsidRPr="00610172">
          <w:rPr>
            <w:rStyle w:val="Hyperlink"/>
            <w:rFonts w:ascii="FrankRuehl" w:hAnsi="FrankRuehl" w:cs="FrankRuehl"/>
            <w:rtl/>
          </w:rPr>
          <w:t>ב</w:t>
        </w:r>
        <w:r w:rsidRPr="00610172">
          <w:rPr>
            <w:rStyle w:val="Hyperlink"/>
            <w:rFonts w:ascii="FrankRuehl" w:hAnsi="FrankRuehl" w:cs="FrankRuehl"/>
          </w:rPr>
          <w:t>)</w:t>
        </w:r>
      </w:hyperlink>
    </w:p>
    <w:p w14:paraId="76E2E7ED" w14:textId="77777777" w:rsidR="00610172" w:rsidRPr="00610172" w:rsidRDefault="00610172" w:rsidP="00610172">
      <w:pPr>
        <w:spacing w:after="120" w:line="240" w:lineRule="exact"/>
        <w:ind w:left="283" w:hanging="283"/>
        <w:jc w:val="both"/>
        <w:rPr>
          <w:rFonts w:ascii="FrankRuehl" w:hAnsi="FrankRuehl" w:cs="FrankRuehl"/>
          <w:rtl/>
        </w:rPr>
      </w:pPr>
    </w:p>
    <w:p w14:paraId="79E87118" w14:textId="77777777" w:rsidR="00610172" w:rsidRPr="00610172" w:rsidRDefault="00610172">
      <w:pPr>
        <w:rPr>
          <w:rtl/>
        </w:rPr>
      </w:pPr>
      <w:bookmarkStart w:id="4" w:name="LawTable_End"/>
      <w:bookmarkEnd w:id="4"/>
    </w:p>
    <w:p w14:paraId="6547AB9D" w14:textId="77777777" w:rsidR="00383626" w:rsidRPr="00383626" w:rsidRDefault="00383626">
      <w:pPr>
        <w:rPr>
          <w:rtl/>
        </w:rPr>
      </w:pPr>
    </w:p>
    <w:p w14:paraId="098F96A8" w14:textId="77777777" w:rsidR="00383626" w:rsidRPr="00383626" w:rsidRDefault="00383626">
      <w:pPr>
        <w:rPr>
          <w:rtl/>
        </w:rPr>
      </w:pPr>
    </w:p>
    <w:p w14:paraId="64935EBB" w14:textId="77777777" w:rsidR="008136A5" w:rsidRPr="00383626" w:rsidRDefault="008136A5"/>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136A5" w14:paraId="75EE94BF" w14:textId="77777777">
        <w:trPr>
          <w:trHeight w:val="355"/>
          <w:jc w:val="center"/>
        </w:trPr>
        <w:tc>
          <w:tcPr>
            <w:tcW w:w="8820" w:type="dxa"/>
            <w:tcBorders>
              <w:top w:val="nil"/>
              <w:left w:val="nil"/>
              <w:bottom w:val="nil"/>
              <w:right w:val="nil"/>
            </w:tcBorders>
          </w:tcPr>
          <w:p w14:paraId="04A61284" w14:textId="77777777" w:rsidR="00DF5213" w:rsidRPr="00DF5213" w:rsidRDefault="00DF5213" w:rsidP="00DF5213">
            <w:pPr>
              <w:jc w:val="center"/>
              <w:rPr>
                <w:rFonts w:ascii="Arial" w:hAnsi="Arial" w:cs="FrankRuehl"/>
                <w:b/>
                <w:bCs/>
                <w:sz w:val="32"/>
                <w:szCs w:val="32"/>
                <w:u w:val="single"/>
                <w:rtl/>
              </w:rPr>
            </w:pPr>
            <w:bookmarkStart w:id="5" w:name="PsakDin" w:colFirst="0" w:colLast="0"/>
            <w:bookmarkEnd w:id="0"/>
            <w:r w:rsidRPr="00DF5213">
              <w:rPr>
                <w:rFonts w:ascii="Arial" w:hAnsi="Arial" w:cs="FrankRuehl"/>
                <w:b/>
                <w:bCs/>
                <w:sz w:val="32"/>
                <w:szCs w:val="32"/>
                <w:u w:val="single"/>
                <w:rtl/>
              </w:rPr>
              <w:t>גזר דין</w:t>
            </w:r>
          </w:p>
          <w:p w14:paraId="7220F89D" w14:textId="77777777" w:rsidR="008136A5" w:rsidRPr="00DF5213" w:rsidRDefault="008136A5" w:rsidP="00DF5213">
            <w:pPr>
              <w:jc w:val="center"/>
              <w:rPr>
                <w:rFonts w:ascii="Arial" w:hAnsi="Arial" w:cs="FrankRuehl"/>
                <w:bCs/>
                <w:sz w:val="32"/>
                <w:szCs w:val="32"/>
                <w:u w:val="single"/>
                <w:rtl/>
              </w:rPr>
            </w:pPr>
          </w:p>
        </w:tc>
      </w:tr>
      <w:bookmarkEnd w:id="5"/>
    </w:tbl>
    <w:p w14:paraId="5CCD4B03" w14:textId="77777777" w:rsidR="008136A5" w:rsidRDefault="008136A5">
      <w:pPr>
        <w:rPr>
          <w:rFonts w:ascii="Arial" w:hAnsi="Arial"/>
          <w:rtl/>
        </w:rPr>
      </w:pPr>
    </w:p>
    <w:p w14:paraId="4AC39405" w14:textId="77777777" w:rsidR="008136A5" w:rsidRDefault="00DF5213">
      <w:pPr>
        <w:spacing w:line="360" w:lineRule="auto"/>
        <w:jc w:val="both"/>
        <w:rPr>
          <w:b/>
          <w:bCs/>
          <w:u w:val="single"/>
          <w:rtl/>
        </w:rPr>
      </w:pPr>
      <w:r>
        <w:rPr>
          <w:rFonts w:hint="cs"/>
          <w:rtl/>
        </w:rPr>
        <w:t xml:space="preserve">הדיון התנהל בפני חברי, סגן הנשיאה, השופט שיף [השופט]. בהסכמת הצדדים, הועבר התיק לטיפולי וזאת עקב יציאתו לחופשה לקראת סיום כהונתו. </w:t>
      </w:r>
    </w:p>
    <w:p w14:paraId="4C126D2A" w14:textId="77777777" w:rsidR="008136A5" w:rsidRDefault="008136A5">
      <w:pPr>
        <w:spacing w:line="360" w:lineRule="auto"/>
        <w:ind w:left="720" w:hanging="720"/>
        <w:jc w:val="both"/>
        <w:rPr>
          <w:rtl/>
        </w:rPr>
      </w:pPr>
    </w:p>
    <w:p w14:paraId="79F2CCEE" w14:textId="77777777" w:rsidR="008136A5" w:rsidRDefault="00DF5213">
      <w:pPr>
        <w:spacing w:line="360" w:lineRule="auto"/>
        <w:ind w:left="720" w:hanging="720"/>
        <w:jc w:val="both"/>
        <w:rPr>
          <w:b/>
          <w:bCs/>
          <w:u w:val="single"/>
          <w:rtl/>
        </w:rPr>
      </w:pPr>
      <w:r>
        <w:rPr>
          <w:rFonts w:hint="cs"/>
          <w:b/>
          <w:bCs/>
          <w:rtl/>
        </w:rPr>
        <w:t>א.</w:t>
      </w:r>
      <w:r>
        <w:rPr>
          <w:rFonts w:hint="cs"/>
          <w:b/>
          <w:bCs/>
          <w:rtl/>
        </w:rPr>
        <w:tab/>
      </w:r>
      <w:r>
        <w:rPr>
          <w:rFonts w:hint="cs"/>
          <w:b/>
          <w:bCs/>
          <w:u w:val="single"/>
          <w:rtl/>
        </w:rPr>
        <w:t>תמצית הכרעת הדין</w:t>
      </w:r>
    </w:p>
    <w:p w14:paraId="72ACBD25" w14:textId="77777777" w:rsidR="008136A5" w:rsidRDefault="00DF5213">
      <w:pPr>
        <w:spacing w:line="360" w:lineRule="auto"/>
        <w:jc w:val="both"/>
        <w:rPr>
          <w:b/>
          <w:bCs/>
          <w:noProof/>
          <w:rtl/>
        </w:rPr>
      </w:pPr>
      <w:bookmarkStart w:id="6" w:name="ABSTRACT_START"/>
      <w:bookmarkEnd w:id="6"/>
      <w:r>
        <w:rPr>
          <w:rFonts w:hint="cs"/>
          <w:rtl/>
        </w:rPr>
        <w:t xml:space="preserve">בעקבות הודיית הנאשם במיוחס לו בכתב האישום, הוא הורשע </w:t>
      </w:r>
      <w:r>
        <w:rPr>
          <w:rFonts w:hint="cs"/>
          <w:b/>
          <w:bCs/>
          <w:rtl/>
        </w:rPr>
        <w:t>בעבירות בנשק</w:t>
      </w:r>
      <w:r>
        <w:rPr>
          <w:rFonts w:hint="cs"/>
          <w:rtl/>
        </w:rPr>
        <w:t xml:space="preserve"> לפי </w:t>
      </w:r>
      <w:hyperlink r:id="rId10" w:history="1">
        <w:r w:rsidR="00610172" w:rsidRPr="00610172">
          <w:rPr>
            <w:rStyle w:val="Hyperlink"/>
            <w:rFonts w:hint="eastAsia"/>
            <w:rtl/>
          </w:rPr>
          <w:t>סעיפים</w:t>
        </w:r>
        <w:r w:rsidR="00610172" w:rsidRPr="00610172">
          <w:rPr>
            <w:rStyle w:val="Hyperlink"/>
            <w:rtl/>
          </w:rPr>
          <w:t xml:space="preserve">  144(א)</w:t>
        </w:r>
      </w:hyperlink>
      <w:r>
        <w:rPr>
          <w:rFonts w:hint="cs"/>
          <w:rtl/>
        </w:rPr>
        <w:t xml:space="preserve"> רישא ו-</w:t>
      </w:r>
      <w:hyperlink r:id="rId11" w:history="1">
        <w:r w:rsidR="00610172" w:rsidRPr="00610172">
          <w:rPr>
            <w:rStyle w:val="Hyperlink"/>
            <w:rtl/>
          </w:rPr>
          <w:t>144(ב)</w:t>
        </w:r>
      </w:hyperlink>
      <w:r>
        <w:rPr>
          <w:rFonts w:hint="cs"/>
          <w:rtl/>
        </w:rPr>
        <w:t xml:space="preserve"> רישא ל</w:t>
      </w:r>
      <w:hyperlink r:id="rId12" w:history="1">
        <w:r w:rsidR="00383626" w:rsidRPr="00383626">
          <w:rPr>
            <w:rStyle w:val="Hyperlink"/>
            <w:rtl/>
          </w:rPr>
          <w:t>חוק העונשין</w:t>
        </w:r>
      </w:hyperlink>
      <w:r>
        <w:rPr>
          <w:rFonts w:hint="cs"/>
          <w:rtl/>
        </w:rPr>
        <w:t>, התשל"ז-1977 [החוק].</w:t>
      </w:r>
    </w:p>
    <w:p w14:paraId="67E129DA" w14:textId="77777777" w:rsidR="008136A5" w:rsidRDefault="008136A5">
      <w:pPr>
        <w:spacing w:line="360" w:lineRule="auto"/>
        <w:jc w:val="both"/>
      </w:pPr>
      <w:bookmarkStart w:id="7" w:name="ABSTRACT_END"/>
      <w:bookmarkEnd w:id="7"/>
    </w:p>
    <w:p w14:paraId="440F8250" w14:textId="77777777" w:rsidR="008136A5" w:rsidRDefault="00DF5213">
      <w:pPr>
        <w:spacing w:line="360" w:lineRule="auto"/>
        <w:jc w:val="both"/>
        <w:rPr>
          <w:u w:val="single"/>
          <w:rtl/>
        </w:rPr>
      </w:pPr>
      <w:r>
        <w:rPr>
          <w:rFonts w:hint="cs"/>
          <w:u w:val="single"/>
          <w:rtl/>
        </w:rPr>
        <w:t>מכתב האישום ומהודיית הנאשם עולה כדלקמן</w:t>
      </w:r>
      <w:r>
        <w:rPr>
          <w:rFonts w:hint="cs"/>
          <w:rtl/>
        </w:rPr>
        <w:t>:</w:t>
      </w:r>
    </w:p>
    <w:p w14:paraId="2207030B" w14:textId="77777777" w:rsidR="008136A5" w:rsidRDefault="00DF5213">
      <w:pPr>
        <w:spacing w:line="360" w:lineRule="auto"/>
        <w:jc w:val="both"/>
        <w:rPr>
          <w:rtl/>
        </w:rPr>
      </w:pPr>
      <w:r>
        <w:rPr>
          <w:rFonts w:hint="cs"/>
          <w:rtl/>
        </w:rPr>
        <w:t>בלילה שבין 23/6/2011 לבין 24/6/2011 נשא הנאשם והוביל שני רימוני יד הלם / סינוור 7290</w:t>
      </w:r>
      <w:r>
        <w:t>M</w:t>
      </w:r>
      <w:r>
        <w:rPr>
          <w:rFonts w:hint="cs"/>
          <w:rtl/>
        </w:rPr>
        <w:t>, אשר בכוחם לגרום לפציעה בעת הפעלתם בכפוף לקרבה למוקד הפעולה, והביאם לגן ציבורי באור עקיבא.</w:t>
      </w:r>
    </w:p>
    <w:p w14:paraId="020C7785" w14:textId="77777777" w:rsidR="008136A5" w:rsidRDefault="00DF5213">
      <w:pPr>
        <w:spacing w:line="360" w:lineRule="auto"/>
        <w:jc w:val="both"/>
        <w:rPr>
          <w:rtl/>
        </w:rPr>
      </w:pPr>
      <w:r>
        <w:rPr>
          <w:rFonts w:hint="cs"/>
          <w:rtl/>
        </w:rPr>
        <w:t>ב-24/6/2011 בשעה 01:00 שהה הנאשם בגן הציבורי והחזיק בשני הרימונים אשר היו עטופים בחולצה, הטמינם מתחת לשיח וישב על ספסל בסמוך לשיח.</w:t>
      </w:r>
    </w:p>
    <w:p w14:paraId="3351D779" w14:textId="77777777" w:rsidR="008136A5" w:rsidRDefault="008136A5">
      <w:pPr>
        <w:spacing w:line="360" w:lineRule="auto"/>
        <w:jc w:val="both"/>
        <w:rPr>
          <w:u w:val="single"/>
          <w:rtl/>
        </w:rPr>
      </w:pPr>
    </w:p>
    <w:p w14:paraId="65C4129A" w14:textId="77777777" w:rsidR="008136A5" w:rsidRDefault="00DF5213">
      <w:pPr>
        <w:tabs>
          <w:tab w:val="num" w:pos="386"/>
        </w:tabs>
        <w:spacing w:line="360" w:lineRule="auto"/>
        <w:ind w:left="386" w:hanging="386"/>
        <w:jc w:val="both"/>
        <w:rPr>
          <w:b/>
          <w:bCs/>
          <w:u w:val="single"/>
          <w:rtl/>
        </w:rPr>
      </w:pPr>
      <w:r>
        <w:rPr>
          <w:rFonts w:hint="cs"/>
          <w:b/>
          <w:bCs/>
          <w:rtl/>
        </w:rPr>
        <w:t>ב.</w:t>
      </w:r>
      <w:r>
        <w:rPr>
          <w:rFonts w:hint="cs"/>
          <w:b/>
          <w:bCs/>
          <w:rtl/>
        </w:rPr>
        <w:tab/>
      </w:r>
      <w:r>
        <w:rPr>
          <w:rFonts w:hint="cs"/>
          <w:b/>
          <w:bCs/>
          <w:rtl/>
        </w:rPr>
        <w:tab/>
      </w:r>
      <w:r>
        <w:rPr>
          <w:rFonts w:hint="cs"/>
          <w:b/>
          <w:bCs/>
          <w:u w:val="single"/>
          <w:rtl/>
        </w:rPr>
        <w:t>תסקיר שירות המבחן</w:t>
      </w:r>
    </w:p>
    <w:p w14:paraId="2E0A8007" w14:textId="77777777" w:rsidR="008136A5" w:rsidRDefault="00DF5213">
      <w:pPr>
        <w:spacing w:line="360" w:lineRule="auto"/>
        <w:jc w:val="both"/>
        <w:rPr>
          <w:rtl/>
        </w:rPr>
      </w:pPr>
      <w:r>
        <w:rPr>
          <w:rFonts w:hint="cs"/>
          <w:rtl/>
        </w:rPr>
        <w:t>התסקיר שהוגש לבית המשפט הנו ארוך, מקיף ומפורט ולהלן יובאו עיקריו.</w:t>
      </w:r>
    </w:p>
    <w:p w14:paraId="63DE5D77" w14:textId="77777777" w:rsidR="008136A5" w:rsidRDefault="00DF5213">
      <w:pPr>
        <w:spacing w:line="360" w:lineRule="auto"/>
        <w:jc w:val="both"/>
        <w:rPr>
          <w:rtl/>
        </w:rPr>
      </w:pPr>
      <w:r>
        <w:rPr>
          <w:rFonts w:hint="cs"/>
          <w:rtl/>
        </w:rPr>
        <w:t>הנאשם בן 24, רווק, עד למעצרו עבד. משפחתו שרויה במצוקה כלכלית קשה עקב נסיבות משפחתיות, כמתואר בתסקיר.</w:t>
      </w:r>
    </w:p>
    <w:p w14:paraId="64B47EA9" w14:textId="77777777" w:rsidR="008136A5" w:rsidRDefault="00DF5213">
      <w:pPr>
        <w:spacing w:line="360" w:lineRule="auto"/>
        <w:jc w:val="both"/>
        <w:rPr>
          <w:rtl/>
        </w:rPr>
      </w:pPr>
      <w:r>
        <w:rPr>
          <w:rFonts w:hint="cs"/>
          <w:rtl/>
        </w:rPr>
        <w:t xml:space="preserve">לדעת קצינת המבחן, מכלול מצוקותיו, שתוארו בתסקיר, עומד ברקע ביצוע מעשיו הנדונים. </w:t>
      </w:r>
    </w:p>
    <w:p w14:paraId="7B6C10D4" w14:textId="77777777" w:rsidR="008136A5" w:rsidRDefault="008136A5">
      <w:pPr>
        <w:spacing w:line="360" w:lineRule="auto"/>
        <w:jc w:val="both"/>
        <w:rPr>
          <w:rtl/>
        </w:rPr>
      </w:pPr>
    </w:p>
    <w:p w14:paraId="7BCE8362" w14:textId="77777777" w:rsidR="008136A5" w:rsidRDefault="00DF5213">
      <w:pPr>
        <w:spacing w:line="360" w:lineRule="auto"/>
        <w:jc w:val="both"/>
        <w:rPr>
          <w:rtl/>
        </w:rPr>
      </w:pPr>
      <w:r>
        <w:rPr>
          <w:rFonts w:hint="cs"/>
          <w:rtl/>
        </w:rPr>
        <w:t xml:space="preserve">הנאשם נטל אחריות וחש חרטה עמוקה. </w:t>
      </w:r>
    </w:p>
    <w:p w14:paraId="3C9335DF" w14:textId="77777777" w:rsidR="008136A5" w:rsidRDefault="00DF5213">
      <w:pPr>
        <w:spacing w:line="360" w:lineRule="auto"/>
        <w:jc w:val="both"/>
        <w:rPr>
          <w:rtl/>
        </w:rPr>
      </w:pPr>
      <w:r>
        <w:rPr>
          <w:rFonts w:hint="cs"/>
          <w:rtl/>
        </w:rPr>
        <w:t xml:space="preserve">עוד התרשמה קצינת המבחן, כי הנאשם פיתח תלות בצריכת סמים שונים, כאמצעי להפחתת תחושותיו הקשות, במשך תקופת זמן ממושכת. </w:t>
      </w:r>
    </w:p>
    <w:p w14:paraId="76867BCF" w14:textId="77777777" w:rsidR="008136A5" w:rsidRDefault="008136A5">
      <w:pPr>
        <w:spacing w:line="360" w:lineRule="auto"/>
        <w:jc w:val="both"/>
        <w:rPr>
          <w:rtl/>
        </w:rPr>
      </w:pPr>
    </w:p>
    <w:p w14:paraId="20489F33" w14:textId="77777777" w:rsidR="008136A5" w:rsidRDefault="00DF5213">
      <w:pPr>
        <w:spacing w:line="360" w:lineRule="auto"/>
        <w:jc w:val="both"/>
        <w:rPr>
          <w:rtl/>
        </w:rPr>
      </w:pPr>
      <w:r>
        <w:rPr>
          <w:rFonts w:hint="cs"/>
          <w:rtl/>
        </w:rPr>
        <w:t xml:space="preserve">קצינת המבחן העריכה כי לא קיימים דפוסים וערכים עבריינים המנחים את התנהלות הנאשם. לדעתה, בהיעדר טיפול אינטנסיבי, קיים סיכון ממשי להמשך הידרדרות במצבו וסיכון להישנות ביצוע העבירה. </w:t>
      </w:r>
    </w:p>
    <w:p w14:paraId="1D1029B1" w14:textId="77777777" w:rsidR="008136A5" w:rsidRDefault="008136A5">
      <w:pPr>
        <w:spacing w:line="360" w:lineRule="auto"/>
        <w:jc w:val="both"/>
        <w:rPr>
          <w:rtl/>
        </w:rPr>
      </w:pPr>
    </w:p>
    <w:p w14:paraId="101C2DB1" w14:textId="77777777" w:rsidR="008136A5" w:rsidRDefault="00DF5213">
      <w:pPr>
        <w:spacing w:line="360" w:lineRule="auto"/>
        <w:jc w:val="both"/>
        <w:rPr>
          <w:rtl/>
        </w:rPr>
      </w:pPr>
      <w:r>
        <w:rPr>
          <w:rFonts w:hint="cs"/>
          <w:rtl/>
        </w:rPr>
        <w:t xml:space="preserve">עוד צוין כי הנאשם ביטא מוטיבציה לשיקום ובקשר שלו עם שירות המבחן באו לידי ביטוי שיתוף פעולה, פתיחות והבעת נכונות לשינוי דפוסי התנהלותו הקלוקלים. </w:t>
      </w:r>
    </w:p>
    <w:p w14:paraId="2411903B" w14:textId="77777777" w:rsidR="008136A5" w:rsidRDefault="008136A5">
      <w:pPr>
        <w:spacing w:line="360" w:lineRule="auto"/>
        <w:jc w:val="both"/>
        <w:rPr>
          <w:rtl/>
        </w:rPr>
      </w:pPr>
    </w:p>
    <w:p w14:paraId="50D6F25C" w14:textId="77777777" w:rsidR="008136A5" w:rsidRDefault="00DF5213">
      <w:pPr>
        <w:spacing w:line="360" w:lineRule="auto"/>
        <w:jc w:val="both"/>
        <w:rPr>
          <w:rtl/>
        </w:rPr>
      </w:pPr>
      <w:r>
        <w:rPr>
          <w:rFonts w:hint="cs"/>
          <w:rtl/>
        </w:rPr>
        <w:t xml:space="preserve">לדעת </w:t>
      </w:r>
      <w:r>
        <w:rPr>
          <w:rFonts w:hint="cs"/>
          <w:u w:val="single"/>
          <w:rtl/>
        </w:rPr>
        <w:t>קצינת המבחן יש להעדיף את הפן השיקומי</w:t>
      </w:r>
      <w:r>
        <w:rPr>
          <w:rFonts w:hint="cs"/>
          <w:rtl/>
        </w:rPr>
        <w:t xml:space="preserve">, ובהתאם המליצה על דחיית הדיון בחודש ימים לצורך בחינת השתלבות הנאשם בקהילה טיפולית סגורה לגמילה, בפנימיית "מלכישוע". </w:t>
      </w:r>
    </w:p>
    <w:p w14:paraId="611CA5D6" w14:textId="77777777" w:rsidR="008136A5" w:rsidRDefault="008136A5">
      <w:pPr>
        <w:spacing w:line="360" w:lineRule="auto"/>
        <w:jc w:val="both"/>
        <w:rPr>
          <w:rtl/>
        </w:rPr>
      </w:pPr>
    </w:p>
    <w:p w14:paraId="2312EA98" w14:textId="77777777" w:rsidR="008136A5" w:rsidRDefault="00DF5213">
      <w:pPr>
        <w:spacing w:line="360" w:lineRule="auto"/>
        <w:ind w:left="720" w:hanging="720"/>
        <w:jc w:val="both"/>
        <w:rPr>
          <w:rtl/>
        </w:rPr>
      </w:pPr>
      <w:r>
        <w:rPr>
          <w:rFonts w:hint="cs"/>
          <w:rtl/>
        </w:rPr>
        <w:t xml:space="preserve">השופט  נעתר לבקשה בהחלטתו מיום 23/11/11 והורה על הכנת תסקיר משלים של שירות המבחן. </w:t>
      </w:r>
    </w:p>
    <w:p w14:paraId="27BE999E" w14:textId="77777777" w:rsidR="008136A5" w:rsidRDefault="008136A5">
      <w:pPr>
        <w:spacing w:line="360" w:lineRule="auto"/>
        <w:ind w:left="720" w:hanging="720"/>
        <w:jc w:val="both"/>
        <w:rPr>
          <w:rtl/>
        </w:rPr>
      </w:pPr>
    </w:p>
    <w:p w14:paraId="5618186A" w14:textId="77777777" w:rsidR="008136A5" w:rsidRDefault="00DF5213">
      <w:pPr>
        <w:spacing w:line="360" w:lineRule="auto"/>
        <w:ind w:left="45"/>
        <w:jc w:val="both"/>
        <w:rPr>
          <w:rtl/>
        </w:rPr>
      </w:pPr>
      <w:r>
        <w:rPr>
          <w:rFonts w:hint="cs"/>
          <w:rtl/>
        </w:rPr>
        <w:t>ביום 21/12/11 ביקש שירות המבחן דחייה נוספת, על מנת לקבל את ממצאי ועדת הקבלה בעניינו של</w:t>
      </w:r>
      <w:r>
        <w:rPr>
          <w:rFonts w:hint="cs"/>
        </w:rPr>
        <w:t xml:space="preserve"> </w:t>
      </w:r>
      <w:r>
        <w:rPr>
          <w:rFonts w:hint="cs"/>
          <w:rtl/>
        </w:rPr>
        <w:t xml:space="preserve">הנאשם, ולגבש המלצותיו בהתאם. השופט נעתר לבקשה והדיון נדחה  ל-12/1/12. </w:t>
      </w:r>
    </w:p>
    <w:p w14:paraId="756D886D" w14:textId="77777777" w:rsidR="008136A5" w:rsidRDefault="008136A5">
      <w:pPr>
        <w:spacing w:line="360" w:lineRule="auto"/>
        <w:ind w:left="720"/>
        <w:jc w:val="both"/>
        <w:rPr>
          <w:rtl/>
        </w:rPr>
      </w:pPr>
    </w:p>
    <w:p w14:paraId="0617A959" w14:textId="77777777" w:rsidR="008136A5" w:rsidRDefault="00DF5213">
      <w:pPr>
        <w:spacing w:line="360" w:lineRule="auto"/>
        <w:jc w:val="both"/>
        <w:rPr>
          <w:b/>
          <w:bCs/>
          <w:u w:val="single"/>
          <w:rtl/>
        </w:rPr>
      </w:pPr>
      <w:r>
        <w:rPr>
          <w:rFonts w:hint="cs"/>
          <w:b/>
          <w:bCs/>
          <w:rtl/>
        </w:rPr>
        <w:t>ג.</w:t>
      </w:r>
      <w:r>
        <w:rPr>
          <w:rFonts w:hint="cs"/>
          <w:b/>
          <w:bCs/>
          <w:rtl/>
        </w:rPr>
        <w:tab/>
      </w:r>
      <w:r>
        <w:rPr>
          <w:rFonts w:hint="cs"/>
          <w:b/>
          <w:bCs/>
          <w:u w:val="single"/>
          <w:rtl/>
        </w:rPr>
        <w:t>התסקיר המשלים</w:t>
      </w:r>
    </w:p>
    <w:p w14:paraId="54C87699" w14:textId="77777777" w:rsidR="008136A5" w:rsidRDefault="00DF5213">
      <w:pPr>
        <w:spacing w:line="360" w:lineRule="auto"/>
        <w:jc w:val="both"/>
        <w:rPr>
          <w:rtl/>
        </w:rPr>
      </w:pPr>
      <w:r>
        <w:rPr>
          <w:rFonts w:hint="cs"/>
          <w:rtl/>
        </w:rPr>
        <w:t xml:space="preserve">לאחר סדרת ראיונות ובדיקות, </w:t>
      </w:r>
      <w:r>
        <w:rPr>
          <w:rFonts w:hint="cs"/>
          <w:u w:val="single"/>
          <w:rtl/>
        </w:rPr>
        <w:t>הנאשם נמצא מתאים לקליטתו בקהילה טיפולית</w:t>
      </w:r>
      <w:r>
        <w:rPr>
          <w:rFonts w:hint="cs"/>
          <w:rtl/>
        </w:rPr>
        <w:t xml:space="preserve">. קצינת המבחן המליצה על שילובו במסגרת "אפיק", החל מיום 15/1/2012. </w:t>
      </w:r>
    </w:p>
    <w:p w14:paraId="297ABF6C" w14:textId="77777777" w:rsidR="008136A5" w:rsidRDefault="008136A5">
      <w:pPr>
        <w:spacing w:line="360" w:lineRule="auto"/>
        <w:jc w:val="both"/>
        <w:rPr>
          <w:rtl/>
        </w:rPr>
      </w:pPr>
    </w:p>
    <w:p w14:paraId="650E6507" w14:textId="77777777" w:rsidR="008136A5" w:rsidRDefault="00DF5213">
      <w:pPr>
        <w:spacing w:line="360" w:lineRule="auto"/>
        <w:jc w:val="both"/>
        <w:rPr>
          <w:rtl/>
        </w:rPr>
      </w:pPr>
      <w:r>
        <w:rPr>
          <w:rFonts w:hint="cs"/>
          <w:rtl/>
        </w:rPr>
        <w:t xml:space="preserve">ק. המבחן המליצה על דחיית הדיון המשפטי בעניינו של הנאשם ב-3 חודשים, במהלכם ישתלב הנאשם בטיפול המוצע. </w:t>
      </w:r>
    </w:p>
    <w:p w14:paraId="7446B2BA" w14:textId="77777777" w:rsidR="008136A5" w:rsidRDefault="008136A5">
      <w:pPr>
        <w:spacing w:line="360" w:lineRule="auto"/>
        <w:jc w:val="both"/>
        <w:rPr>
          <w:rtl/>
        </w:rPr>
      </w:pPr>
    </w:p>
    <w:p w14:paraId="57438D12" w14:textId="77777777" w:rsidR="008136A5" w:rsidRDefault="00DF5213">
      <w:pPr>
        <w:spacing w:line="360" w:lineRule="auto"/>
        <w:jc w:val="both"/>
        <w:rPr>
          <w:rtl/>
        </w:rPr>
      </w:pPr>
      <w:r>
        <w:rPr>
          <w:rFonts w:hint="cs"/>
          <w:rtl/>
        </w:rPr>
        <w:t xml:space="preserve">כן ביקשה קצינת המבחן להורות על ביטול האיזוק האלקטרוני ועל שינוי בתנאי המעצר, כך שתקבע עבור הנאשם חלופת מעצר במסגרת "אפיק", בתנאים המתאימים. </w:t>
      </w:r>
    </w:p>
    <w:p w14:paraId="5587BCFC" w14:textId="77777777" w:rsidR="008136A5" w:rsidRDefault="008136A5">
      <w:pPr>
        <w:spacing w:line="360" w:lineRule="auto"/>
        <w:jc w:val="both"/>
        <w:rPr>
          <w:rtl/>
        </w:rPr>
      </w:pPr>
    </w:p>
    <w:p w14:paraId="5369FA65" w14:textId="77777777" w:rsidR="008136A5" w:rsidRDefault="00DF5213">
      <w:pPr>
        <w:spacing w:line="360" w:lineRule="auto"/>
        <w:jc w:val="both"/>
        <w:rPr>
          <w:rtl/>
        </w:rPr>
      </w:pPr>
      <w:r>
        <w:rPr>
          <w:rFonts w:hint="cs"/>
          <w:rtl/>
        </w:rPr>
        <w:t xml:space="preserve">בהחלטתו מיום 12/1/12 נעתר השופט להמלצת שירות המבחן. </w:t>
      </w:r>
    </w:p>
    <w:p w14:paraId="23B7CF48" w14:textId="77777777" w:rsidR="008136A5" w:rsidRDefault="008136A5">
      <w:pPr>
        <w:spacing w:line="360" w:lineRule="auto"/>
        <w:jc w:val="both"/>
        <w:rPr>
          <w:rtl/>
        </w:rPr>
      </w:pPr>
    </w:p>
    <w:p w14:paraId="5D97C7C9" w14:textId="77777777" w:rsidR="008136A5" w:rsidRDefault="00DF5213">
      <w:pPr>
        <w:spacing w:line="360" w:lineRule="auto"/>
        <w:jc w:val="both"/>
        <w:rPr>
          <w:rtl/>
        </w:rPr>
      </w:pPr>
      <w:r>
        <w:rPr>
          <w:rFonts w:hint="cs"/>
          <w:u w:val="single"/>
          <w:rtl/>
        </w:rPr>
        <w:t>מהתסקיר המשלים מיום 11.4.12</w:t>
      </w:r>
      <w:r>
        <w:rPr>
          <w:rFonts w:hint="cs"/>
          <w:rtl/>
        </w:rPr>
        <w:t xml:space="preserve"> עלה כי במהלך תקופת הדחייה נקלט הנאשם ביחידה האישפוזית שבמסגרת קהילת "אפיק", למשך 4 שבועות, לצורך תהליך של גמילה פיזית מסמים. בסיום תקופה זו החל הנאשם בהליך טיפול במסגרת קהילת "אפיק", שמשכו כשנה.</w:t>
      </w:r>
    </w:p>
    <w:p w14:paraId="22D84090" w14:textId="77777777" w:rsidR="008136A5" w:rsidRDefault="008136A5">
      <w:pPr>
        <w:spacing w:line="360" w:lineRule="auto"/>
        <w:jc w:val="both"/>
        <w:rPr>
          <w:rtl/>
        </w:rPr>
      </w:pPr>
    </w:p>
    <w:p w14:paraId="5D31A648" w14:textId="77777777" w:rsidR="008136A5" w:rsidRDefault="00DF5213">
      <w:pPr>
        <w:spacing w:line="360" w:lineRule="auto"/>
        <w:jc w:val="both"/>
        <w:rPr>
          <w:rtl/>
        </w:rPr>
      </w:pPr>
      <w:r>
        <w:rPr>
          <w:rFonts w:hint="cs"/>
          <w:rtl/>
        </w:rPr>
        <w:t>מהדיווחים שהתקבלו אז אודות הנאשם, עלה כי הוא נמצא בקהילה מזה חודשיים, קרי, בשלב הראשוני של תקופת טיפול ממושכת. תפקודו הוגדר כחיובי, הוא נענה לכללי המסגרת הנהוגים בקהילה ועומד במטלות הטיפוליות. בהמשך יועד הנאשם לעבור לשלב מתקדם בטיפול, בהתאם למידת היענותו והתקדמותו בהליכי הטיפול.</w:t>
      </w:r>
    </w:p>
    <w:p w14:paraId="54C50D6B" w14:textId="77777777" w:rsidR="008136A5" w:rsidRDefault="008136A5">
      <w:pPr>
        <w:spacing w:line="360" w:lineRule="auto"/>
        <w:jc w:val="both"/>
        <w:rPr>
          <w:rtl/>
        </w:rPr>
      </w:pPr>
    </w:p>
    <w:p w14:paraId="26A0A5FA" w14:textId="77777777" w:rsidR="008136A5" w:rsidRDefault="00DF5213">
      <w:pPr>
        <w:spacing w:line="360" w:lineRule="auto"/>
        <w:jc w:val="both"/>
        <w:rPr>
          <w:rtl/>
        </w:rPr>
      </w:pPr>
      <w:r>
        <w:rPr>
          <w:rFonts w:hint="cs"/>
          <w:rtl/>
        </w:rPr>
        <w:t xml:space="preserve">מהערכת הצוות הטיפולי בקהילה עלה כי בשל העובדה שהנאשם מצוי בראשית הליך הטיפול, לא ניתן היה לחזות את מידת הצלחתו להתמיד בדרישות הטיפול לאורך תקופה ממושכת. </w:t>
      </w:r>
    </w:p>
    <w:p w14:paraId="7C0C3511" w14:textId="77777777" w:rsidR="008136A5" w:rsidRDefault="008136A5">
      <w:pPr>
        <w:spacing w:line="360" w:lineRule="auto"/>
        <w:jc w:val="both"/>
        <w:rPr>
          <w:rtl/>
        </w:rPr>
      </w:pPr>
    </w:p>
    <w:p w14:paraId="7B5CD7CA" w14:textId="77777777" w:rsidR="008136A5" w:rsidRDefault="00DF5213">
      <w:pPr>
        <w:spacing w:line="360" w:lineRule="auto"/>
        <w:jc w:val="both"/>
        <w:rPr>
          <w:rtl/>
        </w:rPr>
      </w:pPr>
      <w:r>
        <w:rPr>
          <w:rFonts w:hint="cs"/>
          <w:rtl/>
        </w:rPr>
        <w:t>להתרשמות קצינת המבחן, ההליך המשפטי מהווה גורם מדרבן עבור הנאשם ועל כן המליצה  לדחות את מתן גזר הדין בעניינו של הנאשם ל-4 חודשים נוספים, במהלכם תמשיך לעקוב אחר התקדמותו ומידת היענותו להליך הטיפולי ובהתאם תוגש המלצתה.</w:t>
      </w:r>
    </w:p>
    <w:p w14:paraId="33CF6216" w14:textId="77777777" w:rsidR="008136A5" w:rsidRDefault="008136A5">
      <w:pPr>
        <w:spacing w:line="360" w:lineRule="auto"/>
        <w:jc w:val="both"/>
        <w:rPr>
          <w:rtl/>
        </w:rPr>
      </w:pPr>
    </w:p>
    <w:p w14:paraId="35F2A9A7" w14:textId="77777777" w:rsidR="008136A5" w:rsidRDefault="00DF5213">
      <w:pPr>
        <w:spacing w:line="360" w:lineRule="auto"/>
        <w:jc w:val="both"/>
        <w:rPr>
          <w:b/>
          <w:bCs/>
          <w:u w:val="single"/>
          <w:rtl/>
        </w:rPr>
      </w:pPr>
      <w:r>
        <w:rPr>
          <w:rFonts w:hint="cs"/>
          <w:b/>
          <w:bCs/>
          <w:rtl/>
        </w:rPr>
        <w:t>ד.</w:t>
      </w:r>
      <w:r>
        <w:rPr>
          <w:rFonts w:hint="cs"/>
          <w:b/>
          <w:bCs/>
          <w:rtl/>
        </w:rPr>
        <w:tab/>
      </w:r>
      <w:r>
        <w:rPr>
          <w:rFonts w:hint="cs"/>
          <w:b/>
          <w:bCs/>
          <w:u w:val="single"/>
          <w:rtl/>
        </w:rPr>
        <w:t>תסקיר משלים נוסף</w:t>
      </w:r>
    </w:p>
    <w:p w14:paraId="39634655" w14:textId="77777777" w:rsidR="008136A5" w:rsidRDefault="00DF5213">
      <w:pPr>
        <w:spacing w:line="360" w:lineRule="auto"/>
        <w:jc w:val="both"/>
        <w:rPr>
          <w:rtl/>
        </w:rPr>
      </w:pPr>
      <w:r>
        <w:rPr>
          <w:rFonts w:hint="cs"/>
          <w:rtl/>
        </w:rPr>
        <w:t xml:space="preserve">בתסקיר מ-20/9/12 ביקש שירות המבחן לדחות את מועד סיום ההליך המשפטי לחודש דצמבר 2012. </w:t>
      </w:r>
    </w:p>
    <w:p w14:paraId="308DFC7A" w14:textId="77777777" w:rsidR="008136A5" w:rsidRDefault="008136A5">
      <w:pPr>
        <w:spacing w:line="360" w:lineRule="auto"/>
        <w:jc w:val="both"/>
        <w:rPr>
          <w:rtl/>
        </w:rPr>
      </w:pPr>
    </w:p>
    <w:p w14:paraId="521BA6BE" w14:textId="77777777" w:rsidR="008136A5" w:rsidRDefault="00DF5213">
      <w:pPr>
        <w:spacing w:line="360" w:lineRule="auto"/>
        <w:jc w:val="both"/>
        <w:rPr>
          <w:rtl/>
        </w:rPr>
      </w:pPr>
      <w:r>
        <w:rPr>
          <w:rFonts w:hint="cs"/>
          <w:rtl/>
        </w:rPr>
        <w:t xml:space="preserve">קצינת המבחן ציינה את התקדמותו של הנאשם בהליך הטיפולי, ואת תפקודו המאוזן והיציב. היא ביקשה לאפשר לו לעבור לשלב מתקדם, המסיים את ההליך השיקומי בקהילה וציינה את חשיבות קיומו של ההליך השיפוטי בד בבד עם סיום ההליך השיקומי. </w:t>
      </w:r>
    </w:p>
    <w:p w14:paraId="09D89960" w14:textId="77777777" w:rsidR="008136A5" w:rsidRDefault="008136A5">
      <w:pPr>
        <w:spacing w:line="360" w:lineRule="auto"/>
        <w:jc w:val="both"/>
        <w:rPr>
          <w:rtl/>
        </w:rPr>
      </w:pPr>
    </w:p>
    <w:p w14:paraId="55809CE3" w14:textId="77777777" w:rsidR="008136A5" w:rsidRDefault="00DF5213">
      <w:pPr>
        <w:spacing w:line="360" w:lineRule="auto"/>
        <w:jc w:val="both"/>
        <w:rPr>
          <w:rtl/>
        </w:rPr>
      </w:pPr>
      <w:r>
        <w:rPr>
          <w:rFonts w:hint="cs"/>
          <w:rtl/>
        </w:rPr>
        <w:t xml:space="preserve">מהתסקיר המשלים מ-28/11/12 עלה כי חל שיפור בדפוסי תפקודו ברמת ההתארגנות ובהפחתת דפוסיו האימפולסיביים, לצד שיפור בתפקודי הלמידה. הוא סיים קורס מחשוב בסיסי והשתלב בלימודי השלמת בחינות הבגרות. </w:t>
      </w:r>
    </w:p>
    <w:p w14:paraId="420FA654" w14:textId="77777777" w:rsidR="008136A5" w:rsidRDefault="008136A5">
      <w:pPr>
        <w:spacing w:line="360" w:lineRule="auto"/>
        <w:jc w:val="both"/>
        <w:rPr>
          <w:rtl/>
        </w:rPr>
      </w:pPr>
    </w:p>
    <w:p w14:paraId="6D6CB3A3" w14:textId="77777777" w:rsidR="008136A5" w:rsidRDefault="00DF5213">
      <w:pPr>
        <w:spacing w:line="360" w:lineRule="auto"/>
        <w:jc w:val="both"/>
        <w:rPr>
          <w:rtl/>
        </w:rPr>
      </w:pPr>
      <w:r>
        <w:rPr>
          <w:rFonts w:hint="cs"/>
          <w:rtl/>
        </w:rPr>
        <w:t xml:space="preserve">ההליך השיפוטי הווה גורם מדרבן להליך השיקום ולפיכך המליצה קצינת המבחן לדחות את מועד גזר הדין ב-4 חודשים. במהלך תקופה זו יועבר לטיפול בהוסטל ויבחנו תיפקודיו השונים ומסוגלותו ליישם את הכלים הטיפוליים שרכש. </w:t>
      </w:r>
    </w:p>
    <w:p w14:paraId="7E346D38" w14:textId="77777777" w:rsidR="008136A5" w:rsidRDefault="008136A5">
      <w:pPr>
        <w:spacing w:line="360" w:lineRule="auto"/>
        <w:jc w:val="both"/>
        <w:rPr>
          <w:rtl/>
        </w:rPr>
      </w:pPr>
    </w:p>
    <w:p w14:paraId="3C4F0B09" w14:textId="77777777" w:rsidR="008136A5" w:rsidRDefault="00DF5213">
      <w:pPr>
        <w:spacing w:line="360" w:lineRule="auto"/>
        <w:ind w:firstLine="45"/>
        <w:jc w:val="both"/>
        <w:rPr>
          <w:rtl/>
        </w:rPr>
      </w:pPr>
      <w:r>
        <w:rPr>
          <w:rFonts w:hint="cs"/>
          <w:rtl/>
        </w:rPr>
        <w:t xml:space="preserve">עוד הומלץ על הסרת התנאים המגבילים שהוטלו עליו במסגרת הליכי השחרור ממעצר. </w:t>
      </w:r>
    </w:p>
    <w:p w14:paraId="3F671E54" w14:textId="77777777" w:rsidR="008136A5" w:rsidRDefault="00DF5213">
      <w:pPr>
        <w:spacing w:line="360" w:lineRule="auto"/>
        <w:ind w:left="45" w:hanging="720"/>
        <w:jc w:val="both"/>
        <w:rPr>
          <w:rtl/>
        </w:rPr>
      </w:pPr>
      <w:r>
        <w:rPr>
          <w:rFonts w:hint="cs"/>
          <w:rtl/>
        </w:rPr>
        <w:tab/>
        <w:t xml:space="preserve">בתחילת דצמבר 2012 הורחק הנאשם מהקהילה הטיפולית בשל "אי עמידה בחוקי המקום". לדברי הנאשם, הוא התוודה ביוזמתו בפני הגורמים הטיפוליים, כי גנב סיגריות. הנאשם ביקש מייד לחזור לקהילה הטיפולית ומילא אחר ההנחיות שקיבל מהם. לפיכך נקלט שוב בקהילת "אפיק". </w:t>
      </w:r>
    </w:p>
    <w:p w14:paraId="72034FFC" w14:textId="77777777" w:rsidR="008136A5" w:rsidRDefault="008136A5">
      <w:pPr>
        <w:spacing w:line="360" w:lineRule="auto"/>
        <w:ind w:left="720" w:hanging="720"/>
        <w:jc w:val="both"/>
        <w:rPr>
          <w:rtl/>
        </w:rPr>
      </w:pPr>
    </w:p>
    <w:p w14:paraId="04205DBA" w14:textId="77777777" w:rsidR="008136A5" w:rsidRDefault="00DF5213">
      <w:pPr>
        <w:spacing w:line="360" w:lineRule="auto"/>
        <w:ind w:left="45"/>
        <w:jc w:val="both"/>
        <w:rPr>
          <w:rtl/>
        </w:rPr>
      </w:pPr>
      <w:r>
        <w:rPr>
          <w:rFonts w:hint="cs"/>
          <w:rtl/>
        </w:rPr>
        <w:t xml:space="preserve">בתסקיר משלים שהועבר על ידי שירות המבחן ב- </w:t>
      </w:r>
      <w:r>
        <w:rPr>
          <w:rFonts w:hint="cs"/>
          <w:u w:val="single"/>
          <w:rtl/>
        </w:rPr>
        <w:t>27.1.13</w:t>
      </w:r>
      <w:r>
        <w:rPr>
          <w:rFonts w:hint="cs"/>
          <w:rtl/>
        </w:rPr>
        <w:t xml:space="preserve"> נכתב, כי הנאשם ממשיך לקבל טיפול ועומד במשימות המוטלות עליו. יחד עם זאת, חזרתו לקהילה הנה מורכבת. לדעת קצינת המבחן, נדרש פרק זמן נוסף לבחינה השתלבותו מחדש באפיק הטיפולי ולפיכך התבקשה דחייה בת 3 חודשים. </w:t>
      </w:r>
    </w:p>
    <w:p w14:paraId="68B860B0" w14:textId="77777777" w:rsidR="008136A5" w:rsidRDefault="008136A5">
      <w:pPr>
        <w:spacing w:line="360" w:lineRule="auto"/>
        <w:ind w:left="720"/>
        <w:jc w:val="both"/>
        <w:rPr>
          <w:rtl/>
        </w:rPr>
      </w:pPr>
    </w:p>
    <w:p w14:paraId="04624204" w14:textId="77777777" w:rsidR="008136A5" w:rsidRDefault="00DF5213">
      <w:pPr>
        <w:spacing w:line="360" w:lineRule="auto"/>
        <w:ind w:left="45"/>
        <w:jc w:val="both"/>
        <w:rPr>
          <w:rtl/>
        </w:rPr>
      </w:pPr>
      <w:r>
        <w:rPr>
          <w:rFonts w:hint="cs"/>
          <w:rtl/>
        </w:rPr>
        <w:t xml:space="preserve">בהודעתה בישיבה מיום 29.1.13, חזרה קצינת המבחן על המלצתה וחיוותה דעה אופטימית באשר לסיכויי ההצלחה של הליך שיקומו של הנאשם. </w:t>
      </w:r>
    </w:p>
    <w:p w14:paraId="488B5384" w14:textId="77777777" w:rsidR="008136A5" w:rsidRDefault="008136A5">
      <w:pPr>
        <w:spacing w:line="360" w:lineRule="auto"/>
        <w:ind w:left="720"/>
        <w:jc w:val="both"/>
        <w:rPr>
          <w:rtl/>
        </w:rPr>
      </w:pPr>
    </w:p>
    <w:p w14:paraId="240FD468" w14:textId="77777777" w:rsidR="008136A5" w:rsidRDefault="00DF5213">
      <w:pPr>
        <w:spacing w:line="360" w:lineRule="auto"/>
        <w:ind w:left="45"/>
        <w:jc w:val="both"/>
        <w:rPr>
          <w:rtl/>
        </w:rPr>
      </w:pPr>
      <w:r>
        <w:rPr>
          <w:rFonts w:hint="cs"/>
          <w:rtl/>
        </w:rPr>
        <w:t xml:space="preserve">בשל האמור לעיל, נעתר השופט להמלצת שירות המבחן ודחה את מועד הטיעונים לעונש </w:t>
      </w:r>
      <w:r>
        <w:rPr>
          <w:rFonts w:hint="cs"/>
          <w:u w:val="single"/>
          <w:rtl/>
        </w:rPr>
        <w:t>ליום 1.5.13</w:t>
      </w:r>
      <w:r>
        <w:rPr>
          <w:rFonts w:hint="cs"/>
          <w:rtl/>
        </w:rPr>
        <w:t xml:space="preserve">. </w:t>
      </w:r>
      <w:r>
        <w:rPr>
          <w:rFonts w:hint="cs"/>
          <w:rtl/>
        </w:rPr>
        <w:tab/>
      </w:r>
    </w:p>
    <w:p w14:paraId="0E547160" w14:textId="77777777" w:rsidR="008136A5" w:rsidRDefault="008136A5">
      <w:pPr>
        <w:spacing w:line="360" w:lineRule="auto"/>
        <w:ind w:left="45"/>
        <w:jc w:val="both"/>
        <w:rPr>
          <w:rtl/>
        </w:rPr>
      </w:pPr>
    </w:p>
    <w:p w14:paraId="588E3050" w14:textId="77777777" w:rsidR="008136A5" w:rsidRDefault="00DF5213">
      <w:pPr>
        <w:spacing w:line="360" w:lineRule="auto"/>
        <w:ind w:left="45"/>
        <w:jc w:val="both"/>
        <w:rPr>
          <w:u w:val="single"/>
          <w:rtl/>
        </w:rPr>
      </w:pPr>
      <w:r>
        <w:rPr>
          <w:rFonts w:hint="cs"/>
          <w:b/>
          <w:bCs/>
          <w:rtl/>
        </w:rPr>
        <w:t>ה.</w:t>
      </w:r>
      <w:r>
        <w:rPr>
          <w:rFonts w:hint="cs"/>
          <w:b/>
          <w:bCs/>
          <w:rtl/>
        </w:rPr>
        <w:tab/>
      </w:r>
      <w:r>
        <w:rPr>
          <w:rFonts w:hint="cs"/>
          <w:b/>
          <w:bCs/>
          <w:u w:val="single"/>
          <w:rtl/>
        </w:rPr>
        <w:t>תסקיר משלים מיום</w:t>
      </w:r>
      <w:r>
        <w:rPr>
          <w:rFonts w:hint="cs"/>
          <w:u w:val="single"/>
          <w:rtl/>
        </w:rPr>
        <w:t xml:space="preserve"> </w:t>
      </w:r>
      <w:r>
        <w:rPr>
          <w:rFonts w:hint="cs"/>
          <w:b/>
          <w:bCs/>
          <w:u w:val="single"/>
          <w:rtl/>
        </w:rPr>
        <w:t>19.3.13</w:t>
      </w:r>
    </w:p>
    <w:p w14:paraId="61E04EFE" w14:textId="77777777" w:rsidR="008136A5" w:rsidRDefault="00DF5213">
      <w:pPr>
        <w:spacing w:line="360" w:lineRule="auto"/>
        <w:ind w:left="45"/>
        <w:jc w:val="both"/>
        <w:rPr>
          <w:rtl/>
        </w:rPr>
      </w:pPr>
      <w:r>
        <w:rPr>
          <w:rFonts w:hint="cs"/>
          <w:rtl/>
        </w:rPr>
        <w:t xml:space="preserve">קצינת המבחן דווחה שהנאשם עתיד לסיים את תקופת הטיפול, שנה וחודש, בקהילת "אפיק" ביום 19.3.13. הוחלט שלא לאפשר השתלבותו במסגרת ההוסטל, בשל אי התאמתו למסגרת זו. </w:t>
      </w:r>
    </w:p>
    <w:p w14:paraId="75434F9F" w14:textId="77777777" w:rsidR="008136A5" w:rsidRDefault="00DF5213">
      <w:pPr>
        <w:spacing w:line="360" w:lineRule="auto"/>
        <w:ind w:left="45"/>
        <w:jc w:val="both"/>
        <w:rPr>
          <w:rtl/>
        </w:rPr>
      </w:pPr>
      <w:r>
        <w:rPr>
          <w:rFonts w:hint="cs"/>
          <w:rtl/>
        </w:rPr>
        <w:t>מסיכום הדיווח מההוסטל עלה שהנאשם עמד בתפקוד היומיומי בקהילה, אך התקשה לגייס עצמו לטיפול באופן כן ולקחת אחריות אמיתית על התנהגותו. הוצע שימשיך את הטיפול ביחידה לנפגעי סמים במקום מגוריו.</w:t>
      </w:r>
    </w:p>
    <w:p w14:paraId="32526F70" w14:textId="77777777" w:rsidR="008136A5" w:rsidRDefault="00DF5213">
      <w:pPr>
        <w:spacing w:line="360" w:lineRule="auto"/>
        <w:ind w:left="45"/>
        <w:jc w:val="both"/>
        <w:rPr>
          <w:rtl/>
        </w:rPr>
      </w:pPr>
      <w:r>
        <w:rPr>
          <w:rFonts w:hint="cs"/>
          <w:rtl/>
        </w:rPr>
        <w:t xml:space="preserve">קצינת המבחן המליצה על שילובו של הנאשם במסגרת תעסוקתית, הן נוכח המצוקה הכלכלית של משפחתו "והן לצורך בחינת יכולותיו בתפקוד עצמאי ומאוזן".  </w:t>
      </w:r>
    </w:p>
    <w:p w14:paraId="1F89EC16" w14:textId="77777777" w:rsidR="008136A5" w:rsidRDefault="008136A5">
      <w:pPr>
        <w:spacing w:line="360" w:lineRule="auto"/>
        <w:jc w:val="both"/>
        <w:rPr>
          <w:rtl/>
        </w:rPr>
      </w:pPr>
    </w:p>
    <w:p w14:paraId="0932DE03" w14:textId="77777777" w:rsidR="008136A5" w:rsidRDefault="00DF5213">
      <w:pPr>
        <w:spacing w:line="360" w:lineRule="auto"/>
        <w:jc w:val="both"/>
        <w:rPr>
          <w:b/>
          <w:bCs/>
          <w:u w:val="single"/>
          <w:rtl/>
        </w:rPr>
      </w:pPr>
      <w:r>
        <w:rPr>
          <w:rFonts w:hint="cs"/>
          <w:b/>
          <w:bCs/>
          <w:rtl/>
        </w:rPr>
        <w:t>ו.</w:t>
      </w:r>
      <w:r>
        <w:rPr>
          <w:rFonts w:hint="cs"/>
          <w:b/>
          <w:bCs/>
          <w:rtl/>
        </w:rPr>
        <w:tab/>
      </w:r>
      <w:r>
        <w:rPr>
          <w:rFonts w:hint="cs"/>
          <w:b/>
          <w:bCs/>
          <w:u w:val="single"/>
          <w:rtl/>
        </w:rPr>
        <w:t>טיעוני הצדדים לעונש</w:t>
      </w:r>
    </w:p>
    <w:p w14:paraId="7F7BE0A5" w14:textId="77777777" w:rsidR="008136A5" w:rsidRDefault="00DF5213">
      <w:pPr>
        <w:spacing w:line="360" w:lineRule="auto"/>
        <w:jc w:val="both"/>
        <w:rPr>
          <w:rtl/>
        </w:rPr>
      </w:pPr>
      <w:r>
        <w:rPr>
          <w:rFonts w:hint="cs"/>
          <w:u w:val="single"/>
          <w:rtl/>
        </w:rPr>
        <w:t>ב"כ המאשימה</w:t>
      </w:r>
      <w:r>
        <w:rPr>
          <w:rFonts w:hint="cs"/>
          <w:rtl/>
        </w:rPr>
        <w:t xml:space="preserve"> הגישה טיעוניה בכתב. היא הפנתה לפסיקה המתייחסת לחומרה הנשקפת משימוש ברימוני הלם. </w:t>
      </w:r>
    </w:p>
    <w:p w14:paraId="4E6605B0" w14:textId="77777777" w:rsidR="008136A5" w:rsidRDefault="00DF5213">
      <w:pPr>
        <w:spacing w:line="360" w:lineRule="auto"/>
        <w:jc w:val="both"/>
        <w:rPr>
          <w:rtl/>
        </w:rPr>
      </w:pPr>
      <w:r>
        <w:rPr>
          <w:rFonts w:hint="cs"/>
          <w:rtl/>
        </w:rPr>
        <w:t xml:space="preserve">הפרקליטה טענה כי חמורה במיוחד היא העובדה שעסקינן ברימונים משטרתיים, אשר נסיבות הגעתם לידי הנאשם נותרו עלומות. לדידה, סירוב הנאשם לחשוף כיצד התגלגלו הרימונים לידיו, מחזק את הרושם שישנו סיכון להישנות מקרים דומים בעתיד. </w:t>
      </w:r>
    </w:p>
    <w:p w14:paraId="3AF51292" w14:textId="77777777" w:rsidR="008136A5" w:rsidRDefault="00DF5213">
      <w:pPr>
        <w:spacing w:line="360" w:lineRule="auto"/>
        <w:jc w:val="both"/>
        <w:rPr>
          <w:rtl/>
        </w:rPr>
      </w:pPr>
      <w:r>
        <w:rPr>
          <w:rFonts w:hint="cs"/>
          <w:rtl/>
        </w:rPr>
        <w:t xml:space="preserve">עוד לדבריה, הנאשם היה אדיש לנזק אשר היה עלול להיגרם ולאפשרות שיעשה ברימונים שימוש ע"י גורמים עבריינים כאלה ואחרים. היא הפנתה לאמירתו בחקירה מה-26.6.11 כי ימשיך לעסוק בפשע כל עוד לא ימצא פתרון למצוקתו הכלכלית וטענה כי הדבר משקף כוונתו של הנאשם למכור את הרימונים. כמו כן, לטעמה, יש באמירה זו להעיד על מסוכנותו ועל העדרה של חרטה כנה. </w:t>
      </w:r>
    </w:p>
    <w:p w14:paraId="66D63883" w14:textId="77777777" w:rsidR="008136A5" w:rsidRDefault="00DF5213">
      <w:pPr>
        <w:spacing w:line="360" w:lineRule="auto"/>
        <w:jc w:val="both"/>
        <w:rPr>
          <w:rtl/>
        </w:rPr>
      </w:pPr>
      <w:r>
        <w:rPr>
          <w:rFonts w:hint="cs"/>
          <w:rtl/>
        </w:rPr>
        <w:t>עוד טענה כנסיבה לחומרה, העובדה שהנאשם שימש בעבר כלוחם משמר הגבול, קרי אדם בעל ידע והבנה בנשקים, המודע לנזק העלול להיגרם מהם.</w:t>
      </w:r>
    </w:p>
    <w:p w14:paraId="4342F2C0" w14:textId="77777777" w:rsidR="008136A5" w:rsidRDefault="008136A5">
      <w:pPr>
        <w:spacing w:line="360" w:lineRule="auto"/>
        <w:jc w:val="both"/>
        <w:rPr>
          <w:rtl/>
        </w:rPr>
      </w:pPr>
    </w:p>
    <w:p w14:paraId="7A677E92" w14:textId="77777777" w:rsidR="008136A5" w:rsidRDefault="00DF5213">
      <w:pPr>
        <w:spacing w:line="360" w:lineRule="auto"/>
        <w:jc w:val="both"/>
        <w:rPr>
          <w:rtl/>
        </w:rPr>
      </w:pPr>
      <w:r>
        <w:rPr>
          <w:rFonts w:hint="cs"/>
          <w:rtl/>
        </w:rPr>
        <w:t xml:space="preserve">אשר להליך שיקומו, הפרקליטה טענה כי חומרת העבירה ונסיבות ביצועה מלכתחילה לא הצדיקו הפנייתו של הנאשם לאפיק שיקומי. זאת ועוד, מהשוואה בין התסקירים שהוגשו לתסקיר המעצר, עולה כי הנאשם לא דייק ואף מסר פרטים סותרים בכל הקשור במניע ובשימוש שלו בסמים. </w:t>
      </w:r>
    </w:p>
    <w:p w14:paraId="6F6FAA89" w14:textId="77777777" w:rsidR="008136A5" w:rsidRDefault="008136A5">
      <w:pPr>
        <w:spacing w:line="360" w:lineRule="auto"/>
        <w:jc w:val="both"/>
        <w:rPr>
          <w:rtl/>
        </w:rPr>
      </w:pPr>
    </w:p>
    <w:p w14:paraId="29EE4195" w14:textId="77777777" w:rsidR="008136A5" w:rsidRDefault="00DF5213">
      <w:pPr>
        <w:spacing w:line="360" w:lineRule="auto"/>
        <w:jc w:val="both"/>
        <w:rPr>
          <w:rtl/>
        </w:rPr>
      </w:pPr>
      <w:r>
        <w:rPr>
          <w:rFonts w:hint="cs"/>
          <w:rtl/>
        </w:rPr>
        <w:t xml:space="preserve">עוד טענה כי ב- 2.1.12, בעת ששהה במעצר בית והיה בעיצומם של הליכי קליטה לקהילה הטיפולית, נתפס בחדרו סם מסוכן מסוג חשיש. גם לאחר שילובו בקהילה הטיפולית הוא הורחק בשל אי עמידה בכללי המסגרת ובתסקיר מה- 17.12.12 עלו "קומבינות" בדרך התנהלותו במקום. </w:t>
      </w:r>
    </w:p>
    <w:p w14:paraId="3456B5B0" w14:textId="77777777" w:rsidR="008136A5" w:rsidRDefault="00DF5213">
      <w:pPr>
        <w:spacing w:line="360" w:lineRule="auto"/>
        <w:jc w:val="both"/>
        <w:rPr>
          <w:rtl/>
        </w:rPr>
      </w:pPr>
      <w:r>
        <w:rPr>
          <w:rFonts w:hint="cs"/>
          <w:rtl/>
        </w:rPr>
        <w:t xml:space="preserve">ב"כ המאשימה טענה כי בניגוד לחוות דעת הגורמים המטפלים לפיה, הנאשם איננו מגויס לתהליך באופן אמיתי, שירות המבחן סבור וממשיך לטעון אחרת. גם הסירוב לקלוט את הנאשם להוסטל, מסגרת המשך שבה רמת הפיקוח יורדת, מדברת בעד עצמה. </w:t>
      </w:r>
    </w:p>
    <w:p w14:paraId="7D85027E" w14:textId="77777777" w:rsidR="008136A5" w:rsidRDefault="00DF5213">
      <w:pPr>
        <w:spacing w:line="360" w:lineRule="auto"/>
        <w:jc w:val="both"/>
        <w:rPr>
          <w:rtl/>
        </w:rPr>
      </w:pPr>
      <w:r>
        <w:rPr>
          <w:rFonts w:hint="cs"/>
          <w:rtl/>
        </w:rPr>
        <w:t xml:space="preserve">משכך לטענת המאשימה, אין לזקוף לזכותו את התהליך השיקומי שעבר, בהיותו רצוף חוסר אמינות מצידו. </w:t>
      </w:r>
    </w:p>
    <w:p w14:paraId="72BD88A4" w14:textId="77777777" w:rsidR="008136A5" w:rsidRDefault="008136A5">
      <w:pPr>
        <w:spacing w:line="360" w:lineRule="auto"/>
        <w:jc w:val="both"/>
        <w:rPr>
          <w:rtl/>
        </w:rPr>
      </w:pPr>
    </w:p>
    <w:p w14:paraId="6C2FF8EE" w14:textId="77777777" w:rsidR="008136A5" w:rsidRDefault="00DF5213">
      <w:pPr>
        <w:spacing w:line="360" w:lineRule="auto"/>
        <w:jc w:val="both"/>
        <w:rPr>
          <w:rtl/>
        </w:rPr>
      </w:pPr>
      <w:r>
        <w:rPr>
          <w:rFonts w:hint="cs"/>
          <w:rtl/>
        </w:rPr>
        <w:t>המאשימה עתרה להעניק משקל נכבד לשיקולי ההרתעה ולדחות בהתאמה המלצות שירות המבחן. בין השאר, הפנתה ל</w:t>
      </w:r>
      <w:hyperlink r:id="rId13" w:history="1">
        <w:r w:rsidR="00383626" w:rsidRPr="00383626">
          <w:rPr>
            <w:rStyle w:val="Hyperlink"/>
            <w:rtl/>
          </w:rPr>
          <w:t>ת"פ 6003/07</w:t>
        </w:r>
      </w:hyperlink>
      <w:r>
        <w:rPr>
          <w:rFonts w:hint="cs"/>
          <w:rtl/>
        </w:rPr>
        <w:t xml:space="preserve"> (מחוזי-חי') </w:t>
      </w:r>
      <w:r>
        <w:rPr>
          <w:rFonts w:hint="cs"/>
          <w:b/>
          <w:bCs/>
          <w:rtl/>
        </w:rPr>
        <w:t>מי' נ' יעקב טובלי</w:t>
      </w:r>
      <w:r>
        <w:rPr>
          <w:rFonts w:hint="cs"/>
          <w:rtl/>
        </w:rPr>
        <w:t xml:space="preserve">, בו נגזר על קטין עם נסיבות חיים קשות, עונש של 10 חודשי מאסר בפועל בגין החזקה, הובלה ומכירה של רימוני הלם. </w:t>
      </w:r>
    </w:p>
    <w:p w14:paraId="076DBE52" w14:textId="77777777" w:rsidR="008136A5" w:rsidRDefault="008136A5">
      <w:pPr>
        <w:spacing w:line="360" w:lineRule="auto"/>
        <w:jc w:val="both"/>
        <w:rPr>
          <w:rtl/>
        </w:rPr>
      </w:pPr>
    </w:p>
    <w:p w14:paraId="182B0D02" w14:textId="77777777" w:rsidR="008136A5" w:rsidRDefault="00DF5213">
      <w:pPr>
        <w:spacing w:line="360" w:lineRule="auto"/>
        <w:jc w:val="both"/>
        <w:rPr>
          <w:rtl/>
        </w:rPr>
      </w:pPr>
      <w:r>
        <w:rPr>
          <w:rFonts w:hint="cs"/>
          <w:rtl/>
        </w:rPr>
        <w:t xml:space="preserve">לטענת הפרקליטה, לנאשם ניתנו הזדמנויות אין ספור לשנות דרכיו אך בסופו של דבר, לאחר שנפלט מהקהילה הטיפולית ולא סיים הטיפול, השינוי שחל בו קטן וזאת לדעת הגורמים המקצועיים. </w:t>
      </w:r>
    </w:p>
    <w:p w14:paraId="469EC890" w14:textId="77777777" w:rsidR="008136A5" w:rsidRDefault="00DF5213">
      <w:pPr>
        <w:spacing w:line="360" w:lineRule="auto"/>
        <w:jc w:val="both"/>
        <w:rPr>
          <w:rtl/>
        </w:rPr>
      </w:pPr>
      <w:r>
        <w:rPr>
          <w:rFonts w:hint="cs"/>
          <w:rtl/>
        </w:rPr>
        <w:t xml:space="preserve">בדיון מה- 1.5.13 הוסיפה כי מהתסקיר שנתקבל בפרקליטות יום קודם, עולה שהנאשם כן סיים את הטיפול. עוד לדבריה, הוא הורשע ב- 11.9.11 לפני כניסתו לתוקף של תיקון 113 וזה אינו חל בעניינו. </w:t>
      </w:r>
    </w:p>
    <w:p w14:paraId="5481170D" w14:textId="77777777" w:rsidR="008136A5" w:rsidRDefault="00DF5213">
      <w:pPr>
        <w:spacing w:line="360" w:lineRule="auto"/>
        <w:jc w:val="both"/>
        <w:rPr>
          <w:rtl/>
        </w:rPr>
      </w:pPr>
      <w:r>
        <w:rPr>
          <w:rFonts w:hint="cs"/>
          <w:rtl/>
        </w:rPr>
        <w:t xml:space="preserve">בשים לב לחומרת העבירות, לנסיבות ולהתנהלותו בהליך השיקומי, עתרה להטיל עליו עונש מאסר בפועל ועונש על תנאי. </w:t>
      </w:r>
    </w:p>
    <w:p w14:paraId="775E2649" w14:textId="77777777" w:rsidR="008136A5" w:rsidRDefault="008136A5">
      <w:pPr>
        <w:spacing w:line="360" w:lineRule="auto"/>
        <w:jc w:val="both"/>
        <w:rPr>
          <w:rtl/>
        </w:rPr>
      </w:pPr>
    </w:p>
    <w:p w14:paraId="71EFB32E" w14:textId="77777777" w:rsidR="008136A5" w:rsidRDefault="00DF5213">
      <w:pPr>
        <w:spacing w:line="360" w:lineRule="auto"/>
        <w:jc w:val="both"/>
        <w:rPr>
          <w:rtl/>
        </w:rPr>
      </w:pPr>
      <w:r>
        <w:rPr>
          <w:rFonts w:hint="cs"/>
          <w:u w:val="single"/>
          <w:rtl/>
        </w:rPr>
        <w:t>ב"כ הנאשם</w:t>
      </w:r>
      <w:r>
        <w:rPr>
          <w:rFonts w:hint="cs"/>
          <w:rtl/>
        </w:rPr>
        <w:t xml:space="preserve"> טענה כי הנאשם בחור צעיר, ללא עבר פלילי וזו הסתבכותו הראשונה עם החוק. העבירה נעברה לפני קרוב לשנתיים. הנאשם הודה בהזדמנות הראשונה, בהקראה הראשונה, לקח אחריות והביע חרטה. היא הדגישה כי כבר בעת שנחקר במשטרה הודה הנאשם במיוחס לו. </w:t>
      </w:r>
    </w:p>
    <w:p w14:paraId="13B9E4DF" w14:textId="77777777" w:rsidR="008136A5" w:rsidRDefault="008136A5">
      <w:pPr>
        <w:spacing w:line="360" w:lineRule="auto"/>
        <w:jc w:val="both"/>
        <w:rPr>
          <w:rtl/>
        </w:rPr>
      </w:pPr>
    </w:p>
    <w:p w14:paraId="5D8E0DE9" w14:textId="77777777" w:rsidR="008136A5" w:rsidRDefault="00DF5213">
      <w:pPr>
        <w:spacing w:line="360" w:lineRule="auto"/>
        <w:jc w:val="both"/>
        <w:rPr>
          <w:rtl/>
        </w:rPr>
      </w:pPr>
      <w:r>
        <w:rPr>
          <w:rFonts w:hint="cs"/>
          <w:rtl/>
        </w:rPr>
        <w:t xml:space="preserve">אכן תיקון 113 לא חל על המקרה אך יש מקום להתחשב בהנחיות שראה המחוקק להדגיש בתיקון 113 ובפרט למעמד הבכורה שנתן לשיקולי השיקום. </w:t>
      </w:r>
    </w:p>
    <w:p w14:paraId="2DB887C0" w14:textId="77777777" w:rsidR="008136A5" w:rsidRDefault="00DF5213">
      <w:pPr>
        <w:spacing w:line="360" w:lineRule="auto"/>
        <w:jc w:val="both"/>
        <w:rPr>
          <w:rtl/>
        </w:rPr>
      </w:pPr>
      <w:r>
        <w:rPr>
          <w:rFonts w:hint="cs"/>
          <w:rtl/>
        </w:rPr>
        <w:t xml:space="preserve">כיום חלפו קרוב לשנה וחצי מאז שהנאשם עבר הליך שיקומי שצלח, כעולה מהתסקיר המסכם האחרון מיום 29.4.13. </w:t>
      </w:r>
    </w:p>
    <w:p w14:paraId="1B3C9E01" w14:textId="77777777" w:rsidR="008136A5" w:rsidRDefault="008136A5">
      <w:pPr>
        <w:spacing w:line="360" w:lineRule="auto"/>
        <w:jc w:val="both"/>
        <w:rPr>
          <w:rtl/>
        </w:rPr>
      </w:pPr>
    </w:p>
    <w:p w14:paraId="7F864A40" w14:textId="77777777" w:rsidR="008136A5" w:rsidRDefault="00DF5213">
      <w:pPr>
        <w:spacing w:line="360" w:lineRule="auto"/>
        <w:jc w:val="both"/>
        <w:rPr>
          <w:rtl/>
        </w:rPr>
      </w:pPr>
      <w:r>
        <w:rPr>
          <w:rFonts w:hint="cs"/>
          <w:rtl/>
        </w:rPr>
        <w:t xml:space="preserve">הסנגורית הפנתה למצב המשפחתי המורכב ובמיוחד ליחסי הנאשם ואביו וכן למצוקה הכלכלית הקשה, שהמשפחה נקלעה אליה. העובדה שהיו חייבים כספים לגורמים "לא נורמטיביים" כלשונה. חובות, שלנאשם לא הייתה יד בהם אך הוא ראה עצמו מחויב לעזור לבני משפחתו. מדובר במצוקה אמיתית של הגעה לפת לחם ומחיה הודות לתרומות מזון. </w:t>
      </w:r>
    </w:p>
    <w:p w14:paraId="5DDB7ACD" w14:textId="77777777" w:rsidR="008136A5" w:rsidRDefault="00DF5213">
      <w:pPr>
        <w:spacing w:line="360" w:lineRule="auto"/>
        <w:jc w:val="both"/>
        <w:rPr>
          <w:rtl/>
        </w:rPr>
      </w:pPr>
      <w:r>
        <w:rPr>
          <w:rFonts w:hint="cs"/>
          <w:rtl/>
        </w:rPr>
        <w:t xml:space="preserve">עוד הפנתה הסנגורית לתוצאות האבחונים השונים שנערכו לנאשם, לרבות הגילוי שהוא סובל  מהפרעת קשב וריכוז וזקוק לטיפול תרופתי, אותו הוא נוטל מאז. </w:t>
      </w:r>
    </w:p>
    <w:p w14:paraId="4802E68F" w14:textId="77777777" w:rsidR="008136A5" w:rsidRDefault="008136A5">
      <w:pPr>
        <w:spacing w:line="360" w:lineRule="auto"/>
        <w:jc w:val="both"/>
        <w:rPr>
          <w:rtl/>
        </w:rPr>
      </w:pPr>
    </w:p>
    <w:p w14:paraId="3253DEDB" w14:textId="77777777" w:rsidR="008136A5" w:rsidRDefault="00DF5213">
      <w:pPr>
        <w:spacing w:line="360" w:lineRule="auto"/>
        <w:jc w:val="both"/>
        <w:rPr>
          <w:rtl/>
        </w:rPr>
      </w:pPr>
      <w:r>
        <w:rPr>
          <w:rFonts w:hint="cs"/>
          <w:rtl/>
        </w:rPr>
        <w:t>ב"כ הנאשם טענה כי הנאשם גילה מוטיבציה ללימודים, כאשר במהלך תקופת השיקום הצליח להמשיך בלימודיו ולעבור בחינות. לא פעם אנו עדים לדבריה, לכך שרשויות החוק והמדינה מצפות מנאשם הפונה להליך שיקומי, להפוך באורח פלא ל"סופר אדם" ללא חולשות. אלא שלא כך הם פני הדברים. השאלה היא האם האדם הספציפי הזה הפיק את המקסימום ממה שהוא יכול, האם יש לו מוטיבציה, והאם הוא אכן מתחרט ומפנים. והתשובה במקרה זה, בהחלט חיובית.</w:t>
      </w:r>
    </w:p>
    <w:p w14:paraId="56994868" w14:textId="77777777" w:rsidR="008136A5" w:rsidRDefault="00DF5213">
      <w:pPr>
        <w:spacing w:line="360" w:lineRule="auto"/>
        <w:jc w:val="both"/>
        <w:rPr>
          <w:rtl/>
        </w:rPr>
      </w:pPr>
      <w:r>
        <w:rPr>
          <w:rFonts w:hint="cs"/>
          <w:rtl/>
        </w:rPr>
        <w:t xml:space="preserve">לא ניתן לומר שנשקפת סכנה כלשהי, שהנאשם יחזור לבצע העבירות אותן עבר ולא נשקפת ממנו מסוכנות לשלום הציבור. והראיה, שמאז שעבר לקהילה הטיפולית במלכישוע לא עבר עבירות ולא נפתחו נגדו הליכים חדשים. </w:t>
      </w:r>
    </w:p>
    <w:p w14:paraId="517B973F" w14:textId="77777777" w:rsidR="008136A5" w:rsidRDefault="008136A5">
      <w:pPr>
        <w:spacing w:line="360" w:lineRule="auto"/>
        <w:jc w:val="both"/>
        <w:rPr>
          <w:rtl/>
        </w:rPr>
      </w:pPr>
    </w:p>
    <w:p w14:paraId="0D662115" w14:textId="77777777" w:rsidR="008136A5" w:rsidRDefault="00DF5213">
      <w:pPr>
        <w:spacing w:line="360" w:lineRule="auto"/>
        <w:jc w:val="both"/>
        <w:rPr>
          <w:rtl/>
        </w:rPr>
      </w:pPr>
      <w:r>
        <w:rPr>
          <w:rFonts w:hint="cs"/>
          <w:rtl/>
        </w:rPr>
        <w:t xml:space="preserve">הנאשם היה לוחם משמר הגבול ואף קיבל אות הערכה על עוז ליבו. הוא לא המשיך את השירות הצבאי עקב המצוקה הכלכלית הקשה של משפחתו. </w:t>
      </w:r>
    </w:p>
    <w:p w14:paraId="220FEA43" w14:textId="77777777" w:rsidR="008136A5" w:rsidRDefault="008136A5">
      <w:pPr>
        <w:spacing w:line="360" w:lineRule="auto"/>
        <w:jc w:val="both"/>
        <w:rPr>
          <w:rtl/>
        </w:rPr>
      </w:pPr>
    </w:p>
    <w:p w14:paraId="579AD8B1" w14:textId="77777777" w:rsidR="008136A5" w:rsidRDefault="00DF5213">
      <w:pPr>
        <w:spacing w:line="360" w:lineRule="auto"/>
        <w:jc w:val="both"/>
        <w:rPr>
          <w:rtl/>
        </w:rPr>
      </w:pPr>
      <w:r>
        <w:rPr>
          <w:rFonts w:hint="cs"/>
          <w:rtl/>
        </w:rPr>
        <w:t xml:space="preserve">ב"כ הנאשם עתרה לאמץ את המלצות שירות המבחן במלואן. היא איבחנה בין נסיבות המקרה וחומרתו לבין הפסיקה המחמירה, אליה הפנתה ב"כ המאשימה, שם דובר בנשק ממש וברימון שנעשה בו שימוש ובנוסף, שם היה יעד ספציפי והייתה מסוכנות, שלא כמו בענייננו. אשר לפסיקה בעניינו של הקטין, שם לא הייתה לקיחת אחריות ולא היה שיקום. מקרים אלה אינם דומים למקרה דנן. </w:t>
      </w:r>
    </w:p>
    <w:p w14:paraId="6A77DBA9" w14:textId="77777777" w:rsidR="008136A5" w:rsidRDefault="008136A5">
      <w:pPr>
        <w:spacing w:line="360" w:lineRule="auto"/>
        <w:jc w:val="both"/>
        <w:rPr>
          <w:rtl/>
        </w:rPr>
      </w:pPr>
    </w:p>
    <w:p w14:paraId="1332C8AD" w14:textId="77777777" w:rsidR="008136A5" w:rsidRDefault="00DF5213">
      <w:pPr>
        <w:spacing w:line="360" w:lineRule="auto"/>
        <w:jc w:val="both"/>
        <w:rPr>
          <w:rtl/>
        </w:rPr>
      </w:pPr>
      <w:r>
        <w:rPr>
          <w:rFonts w:hint="cs"/>
          <w:rtl/>
        </w:rPr>
        <w:t>עוד טענה הסנגורית כי רף הענישה העליון בנסיבות הרגילות של החזקת רימון הלם או נשיאת נשק, עומד על מספר חודשי עבודות שירות ולעיתים פחות מ-6 חודשי עבודות שירות. זאת, מבלי לקחת בחשבון את הנסיבות המיוחדות והשיקום שעבר הנאשם.</w:t>
      </w:r>
    </w:p>
    <w:p w14:paraId="1E494601" w14:textId="77777777" w:rsidR="008136A5" w:rsidRDefault="00DF5213">
      <w:pPr>
        <w:spacing w:line="360" w:lineRule="auto"/>
        <w:jc w:val="both"/>
        <w:rPr>
          <w:rtl/>
        </w:rPr>
      </w:pPr>
      <w:r>
        <w:rPr>
          <w:rFonts w:hint="cs"/>
          <w:rtl/>
        </w:rPr>
        <w:t xml:space="preserve">הנאשם שהה מאחורי סורג ובריח ובנוסף, עד כניסתו לקהילה הטיפולית שהה במשך קרוב לחצי שנה במעצר בית מלא עם איזוק אלקטרוני, ללא יציאה להתאווררות - מה שבהחלט מספק את שיקולי הגמול. </w:t>
      </w:r>
    </w:p>
    <w:p w14:paraId="7C0F4DD4" w14:textId="77777777" w:rsidR="008136A5" w:rsidRDefault="00DF5213">
      <w:pPr>
        <w:spacing w:line="360" w:lineRule="auto"/>
        <w:jc w:val="both"/>
        <w:rPr>
          <w:rtl/>
        </w:rPr>
      </w:pPr>
      <w:r>
        <w:rPr>
          <w:rFonts w:hint="cs"/>
          <w:rtl/>
        </w:rPr>
        <w:t xml:space="preserve">כך שככל שיוחלט על אימוץ המלצות שירות המבחן, לא ניתן לומר שהנאשם יצא בלא עונש נוכח  משך המעצר, מעצר הבית וההליך הטיפולי. כידוע, התנאים בקהילה הטיפולית ב"מלכישוע", מחמירים והשהות שם איננה פרס. </w:t>
      </w:r>
    </w:p>
    <w:p w14:paraId="7229CA6E" w14:textId="77777777" w:rsidR="008136A5" w:rsidRDefault="00DF5213">
      <w:pPr>
        <w:spacing w:line="360" w:lineRule="auto"/>
        <w:jc w:val="both"/>
        <w:rPr>
          <w:rtl/>
        </w:rPr>
      </w:pPr>
      <w:r>
        <w:rPr>
          <w:rFonts w:hint="cs"/>
          <w:rtl/>
        </w:rPr>
        <w:t xml:space="preserve">ב"כ הנאשם הפנתה עוד לאמור בתסקיר, מדוע אין מקום להטיל עונש מאסר בעבודות שירות אלא של"צ בלבד. היא ציינה כי הנאשם גילה אחריות וחרדה רצינית לגבי גורלו, כבר כשסיים את ההליך הטיפולי במלכישוע דאג ליצור איתה קשר, חידש את הקשר עם שירות המבחן, הגיע מיוזמתו ומבלי שאיש ביקש זאת ממנו ליחידה להתמכרויות וממשיך לספק בדיקות שתן נקיות. מדובר באינטרס אישי, ציבורי וחברתי להמשיך בשיקומו של הנאשם. </w:t>
      </w:r>
    </w:p>
    <w:p w14:paraId="4847C716" w14:textId="77777777" w:rsidR="008136A5" w:rsidRDefault="008136A5">
      <w:pPr>
        <w:spacing w:line="360" w:lineRule="auto"/>
        <w:jc w:val="both"/>
        <w:rPr>
          <w:rtl/>
        </w:rPr>
      </w:pPr>
    </w:p>
    <w:p w14:paraId="04AD6AD7" w14:textId="77777777" w:rsidR="008136A5" w:rsidRDefault="00DF5213">
      <w:pPr>
        <w:spacing w:line="360" w:lineRule="auto"/>
        <w:jc w:val="both"/>
        <w:rPr>
          <w:rtl/>
        </w:rPr>
      </w:pPr>
      <w:r>
        <w:rPr>
          <w:rFonts w:hint="cs"/>
          <w:u w:val="single"/>
          <w:rtl/>
        </w:rPr>
        <w:t>הנאשם</w:t>
      </w:r>
      <w:r>
        <w:rPr>
          <w:rFonts w:hint="cs"/>
          <w:rtl/>
        </w:rPr>
        <w:t xml:space="preserve">, ב"דברו האחרון" תיאר בקצרה את הקורות אותו מאז סיים את ההליך הטיפולי ב"מלכישוע" ואת שאיפותיו לעתיד. לדבריו, הוא לוקח אחריות מלאה על מה שעשה. אין שום הצדקה למעשה ולזה שסיכן חיי אנשים. הוא רוצה לסיים את התיק, שזה ייגמר. קשה לו להשתלב בחברה בגלל זה והוא מתבייש. הוא מבין שהוא צריך לעזוב את הבית כי מדובר בסביבה מסוכנת עבורו ושצריך לעבוד ולקחת אחריות. </w:t>
      </w:r>
    </w:p>
    <w:p w14:paraId="0BE87766" w14:textId="77777777" w:rsidR="008136A5" w:rsidRDefault="008136A5">
      <w:pPr>
        <w:spacing w:line="360" w:lineRule="auto"/>
        <w:jc w:val="both"/>
      </w:pPr>
    </w:p>
    <w:p w14:paraId="70394DDB" w14:textId="77777777" w:rsidR="008136A5" w:rsidRDefault="00DF5213">
      <w:pPr>
        <w:spacing w:line="360" w:lineRule="auto"/>
        <w:jc w:val="both"/>
        <w:rPr>
          <w:b/>
          <w:bCs/>
          <w:u w:val="single"/>
          <w:rtl/>
        </w:rPr>
      </w:pPr>
      <w:r>
        <w:rPr>
          <w:rFonts w:hint="cs"/>
          <w:b/>
          <w:bCs/>
          <w:u w:val="single"/>
          <w:rtl/>
        </w:rPr>
        <w:t xml:space="preserve">דיון </w:t>
      </w:r>
    </w:p>
    <w:p w14:paraId="616CC78A" w14:textId="77777777" w:rsidR="008136A5" w:rsidRDefault="00DF5213">
      <w:pPr>
        <w:spacing w:line="360" w:lineRule="auto"/>
        <w:jc w:val="both"/>
        <w:rPr>
          <w:rtl/>
        </w:rPr>
      </w:pPr>
      <w:r>
        <w:rPr>
          <w:rFonts w:hint="cs"/>
          <w:rtl/>
        </w:rPr>
        <w:t xml:space="preserve">הנאשם הורשע על ידי חברי, השופט שיף בעבירה חמורה, עבירה בנשק. </w:t>
      </w:r>
    </w:p>
    <w:p w14:paraId="252FD213" w14:textId="77777777" w:rsidR="008136A5" w:rsidRDefault="00DF5213">
      <w:pPr>
        <w:spacing w:line="360" w:lineRule="auto"/>
        <w:jc w:val="both"/>
        <w:rPr>
          <w:rtl/>
        </w:rPr>
      </w:pPr>
      <w:r>
        <w:rPr>
          <w:rFonts w:hint="cs"/>
          <w:rtl/>
        </w:rPr>
        <w:t xml:space="preserve">אין לכחד כי תפיסת שני רימוני יד/הלם, מהסוג בו עושה שימוש המשטרה, ברשות הנאשם ובנסיבות כמתואר בכתב האישום היא חמורה ומדאיגה. </w:t>
      </w:r>
    </w:p>
    <w:p w14:paraId="369AEDAF" w14:textId="77777777" w:rsidR="008136A5" w:rsidRDefault="008136A5">
      <w:pPr>
        <w:spacing w:line="360" w:lineRule="auto"/>
        <w:jc w:val="both"/>
        <w:rPr>
          <w:rtl/>
        </w:rPr>
      </w:pPr>
    </w:p>
    <w:p w14:paraId="709D10B0" w14:textId="77777777" w:rsidR="008136A5" w:rsidRDefault="00DF5213">
      <w:pPr>
        <w:spacing w:line="360" w:lineRule="auto"/>
        <w:jc w:val="both"/>
        <w:rPr>
          <w:rtl/>
        </w:rPr>
      </w:pPr>
      <w:r>
        <w:rPr>
          <w:rFonts w:hint="cs"/>
          <w:rtl/>
        </w:rPr>
        <w:t xml:space="preserve">מצד אחד, הפוטנציאל העצום לגרימת נזק לגוף ולרכוש, הקלות הבלתי נסבלת שבה נשק מתגלגל לרחוב, ריבוי המקרים בעת האחרונה בהם גם אזרחים "נורמטיביים" נעדרי עבר נתפסים בכף כשברשותם נשק לא מורשה, החזקה כי נשק כזה עלול להגיע לידי עבריינים וגורמים לאומניים ולשמש אמצעי קטלני וכפועל יוצא, המגמה השלטת בפסיקה להחמיר בעונשם של המבצעים עבירות בנשק - כל אלה, מחייבים תגובה עונשית הולמת. </w:t>
      </w:r>
    </w:p>
    <w:p w14:paraId="54962007" w14:textId="77777777" w:rsidR="008136A5" w:rsidRDefault="008136A5">
      <w:pPr>
        <w:spacing w:line="360" w:lineRule="auto"/>
        <w:jc w:val="both"/>
        <w:rPr>
          <w:rtl/>
        </w:rPr>
      </w:pPr>
    </w:p>
    <w:p w14:paraId="1E57A28F" w14:textId="77777777" w:rsidR="008136A5" w:rsidRDefault="00DF5213">
      <w:pPr>
        <w:spacing w:line="360" w:lineRule="auto"/>
        <w:jc w:val="both"/>
        <w:rPr>
          <w:rtl/>
        </w:rPr>
      </w:pPr>
      <w:r>
        <w:rPr>
          <w:rFonts w:hint="cs"/>
          <w:rtl/>
        </w:rPr>
        <w:t xml:space="preserve">מצד שני, הליך שיקומו של הנאשם, שעל אף שידע עליות ומורדות נראה כי בסופו של דבר, נחל הצלחה. הליך שיקום שהצליח יש בו תרומה גם לטובת הציבור. </w:t>
      </w:r>
    </w:p>
    <w:p w14:paraId="2303FEA6" w14:textId="77777777" w:rsidR="008136A5" w:rsidRDefault="008136A5">
      <w:pPr>
        <w:spacing w:line="360" w:lineRule="auto"/>
        <w:jc w:val="both"/>
        <w:rPr>
          <w:rtl/>
        </w:rPr>
      </w:pPr>
    </w:p>
    <w:p w14:paraId="6B4CF0B5" w14:textId="77777777" w:rsidR="008136A5" w:rsidRDefault="00DF5213">
      <w:pPr>
        <w:spacing w:line="360" w:lineRule="auto"/>
        <w:jc w:val="both"/>
        <w:rPr>
          <w:rtl/>
        </w:rPr>
      </w:pPr>
      <w:r>
        <w:rPr>
          <w:rFonts w:hint="cs"/>
          <w:rtl/>
        </w:rPr>
        <w:t xml:space="preserve">בענייננו, עברו הנקי של הנאשם, גילו הצעיר, נסיבותיו המשפחתיות המורכבות כמתואר בהרחבה בתסקירי שירות המבחן וכברת הדרך שעשה - תקופת המעצר הממושכת, תנאי הקהילה הטיפולית הסגורה שבה שהה שוודאי אינם מן הקלים, תפקודו החיובי על-פי רוב בהליך הטיפולי ומאז, גמילתו מסמים, הזמן הארוך שההליך מתנהל, לרבות העובדה שלא הסתבך מאז בעבירות נוספות, כל אלה והתקווה שלא ישוב למעוד וכדי שלא לגדוע את ההליך הטיפולי, הביאוני לקבל את המלצות שירות המבחן. </w:t>
      </w:r>
    </w:p>
    <w:p w14:paraId="01BB37C2" w14:textId="77777777" w:rsidR="008136A5" w:rsidRDefault="008136A5">
      <w:pPr>
        <w:spacing w:line="360" w:lineRule="auto"/>
        <w:jc w:val="both"/>
        <w:rPr>
          <w:rtl/>
        </w:rPr>
      </w:pPr>
    </w:p>
    <w:p w14:paraId="0656C574" w14:textId="77777777" w:rsidR="008136A5" w:rsidRDefault="00DF5213">
      <w:pPr>
        <w:spacing w:line="360" w:lineRule="auto"/>
        <w:jc w:val="both"/>
        <w:rPr>
          <w:rtl/>
        </w:rPr>
      </w:pPr>
      <w:r>
        <w:rPr>
          <w:rFonts w:hint="cs"/>
          <w:rtl/>
        </w:rPr>
        <w:t>בסיכומו של דבר החלטתי לגזור על הנאשם עונש כדלקמן:</w:t>
      </w:r>
    </w:p>
    <w:p w14:paraId="49E19A8E" w14:textId="77777777" w:rsidR="008136A5" w:rsidRDefault="008136A5">
      <w:pPr>
        <w:spacing w:line="360" w:lineRule="auto"/>
        <w:jc w:val="both"/>
        <w:rPr>
          <w:rtl/>
        </w:rPr>
      </w:pPr>
    </w:p>
    <w:p w14:paraId="6EF318E2" w14:textId="77777777" w:rsidR="008136A5" w:rsidRDefault="00DF5213">
      <w:pPr>
        <w:spacing w:line="360" w:lineRule="auto"/>
        <w:ind w:left="720" w:hanging="720"/>
        <w:jc w:val="both"/>
        <w:rPr>
          <w:rtl/>
        </w:rPr>
      </w:pPr>
      <w:r>
        <w:rPr>
          <w:rFonts w:hint="cs"/>
          <w:rtl/>
        </w:rPr>
        <w:t xml:space="preserve">א. </w:t>
      </w:r>
      <w:r>
        <w:rPr>
          <w:rFonts w:hint="cs"/>
          <w:rtl/>
        </w:rPr>
        <w:tab/>
        <w:t xml:space="preserve">400 שעות של"צ בהתאם למתווה שהוצג בתסקיר שירות המבחן מיום 30.5.13, לפיו הנאשם ישולב בעבודות אחזקה וגינון במסגרת עיריית חדרה ובפיקוח שירות המבחן. </w:t>
      </w:r>
    </w:p>
    <w:p w14:paraId="7F0E88D0" w14:textId="77777777" w:rsidR="008136A5" w:rsidRDefault="00DF5213">
      <w:pPr>
        <w:spacing w:line="360" w:lineRule="auto"/>
        <w:ind w:left="720" w:hanging="720"/>
        <w:jc w:val="both"/>
        <w:rPr>
          <w:rtl/>
        </w:rPr>
      </w:pPr>
      <w:r>
        <w:rPr>
          <w:rFonts w:hint="cs"/>
          <w:rtl/>
        </w:rPr>
        <w:t>ב.</w:t>
      </w:r>
      <w:r>
        <w:rPr>
          <w:rFonts w:hint="cs"/>
          <w:rtl/>
        </w:rPr>
        <w:tab/>
        <w:t xml:space="preserve">צו מבחן למשך 12 חודשים מהיום. </w:t>
      </w:r>
    </w:p>
    <w:p w14:paraId="6BA3975C" w14:textId="77777777" w:rsidR="008136A5" w:rsidRDefault="00DF5213">
      <w:pPr>
        <w:spacing w:line="360" w:lineRule="auto"/>
        <w:ind w:left="720" w:hanging="720"/>
        <w:jc w:val="both"/>
        <w:rPr>
          <w:rtl/>
        </w:rPr>
      </w:pPr>
      <w:r>
        <w:rPr>
          <w:rFonts w:hint="cs"/>
          <w:rtl/>
        </w:rPr>
        <w:t xml:space="preserve">ג. </w:t>
      </w:r>
      <w:r>
        <w:rPr>
          <w:rFonts w:hint="cs"/>
          <w:rtl/>
        </w:rPr>
        <w:tab/>
        <w:t xml:space="preserve">12 חודשי מאסר על תנאי, למשך 3 שנים לבל יבצע עבירה לפי </w:t>
      </w:r>
      <w:hyperlink r:id="rId14" w:history="1">
        <w:r w:rsidR="00610172" w:rsidRPr="00610172">
          <w:rPr>
            <w:rStyle w:val="Hyperlink"/>
            <w:rFonts w:hint="eastAsia"/>
            <w:rtl/>
          </w:rPr>
          <w:t>סעיף</w:t>
        </w:r>
        <w:r w:rsidR="00610172" w:rsidRPr="00610172">
          <w:rPr>
            <w:rStyle w:val="Hyperlink"/>
            <w:rtl/>
          </w:rPr>
          <w:t xml:space="preserve"> 144</w:t>
        </w:r>
      </w:hyperlink>
      <w:r>
        <w:rPr>
          <w:rFonts w:hint="cs"/>
          <w:rtl/>
        </w:rPr>
        <w:t xml:space="preserve"> ל</w:t>
      </w:r>
      <w:hyperlink r:id="rId15" w:history="1">
        <w:r w:rsidR="00383626" w:rsidRPr="00383626">
          <w:rPr>
            <w:rStyle w:val="Hyperlink"/>
            <w:rtl/>
          </w:rPr>
          <w:t>חוק העונשין</w:t>
        </w:r>
      </w:hyperlink>
      <w:r>
        <w:rPr>
          <w:rFonts w:hint="cs"/>
          <w:rtl/>
        </w:rPr>
        <w:t xml:space="preserve">, התשל"ז </w:t>
      </w:r>
      <w:r>
        <w:rPr>
          <w:rtl/>
        </w:rPr>
        <w:t>–</w:t>
      </w:r>
      <w:r>
        <w:rPr>
          <w:rFonts w:hint="cs"/>
          <w:rtl/>
        </w:rPr>
        <w:t xml:space="preserve"> 1977. </w:t>
      </w:r>
      <w:r>
        <w:t xml:space="preserve"> </w:t>
      </w:r>
    </w:p>
    <w:p w14:paraId="7DF291BD" w14:textId="77777777" w:rsidR="008136A5" w:rsidRDefault="00DF5213">
      <w:pPr>
        <w:spacing w:line="360" w:lineRule="auto"/>
        <w:ind w:left="720" w:hanging="720"/>
        <w:jc w:val="both"/>
        <w:rPr>
          <w:rtl/>
        </w:rPr>
      </w:pPr>
      <w:r>
        <w:rPr>
          <w:rFonts w:hint="cs"/>
          <w:rtl/>
        </w:rPr>
        <w:t xml:space="preserve">ג. </w:t>
      </w:r>
      <w:r>
        <w:rPr>
          <w:rFonts w:hint="cs"/>
          <w:rtl/>
        </w:rPr>
        <w:tab/>
        <w:t xml:space="preserve">התחייבות עצמית בסך 15,000 ₪ להימנע במשך 3 שנים מביצוע עבירות בנשק. לא יחתום הנאשם על התחייבות, ייאסר למשך חודש ימים. </w:t>
      </w:r>
    </w:p>
    <w:p w14:paraId="5DCE0076" w14:textId="77777777" w:rsidR="008136A5" w:rsidRDefault="008136A5">
      <w:pPr>
        <w:spacing w:line="360" w:lineRule="auto"/>
        <w:jc w:val="both"/>
        <w:rPr>
          <w:rtl/>
        </w:rPr>
      </w:pPr>
    </w:p>
    <w:p w14:paraId="42F491FF" w14:textId="77777777" w:rsidR="008136A5" w:rsidRDefault="00DF5213">
      <w:pPr>
        <w:spacing w:line="360" w:lineRule="auto"/>
        <w:jc w:val="both"/>
        <w:rPr>
          <w:rtl/>
        </w:rPr>
      </w:pPr>
      <w:r>
        <w:rPr>
          <w:rFonts w:hint="cs"/>
          <w:rtl/>
        </w:rPr>
        <w:t xml:space="preserve">הובהרו לנאשם תוצאות אי ביצוע הוראות שירות המבחן לרבות השלמת עבודות של"צ. </w:t>
      </w:r>
    </w:p>
    <w:p w14:paraId="3B91C964" w14:textId="77777777" w:rsidR="008136A5" w:rsidRDefault="008136A5">
      <w:pPr>
        <w:spacing w:line="360" w:lineRule="auto"/>
        <w:jc w:val="both"/>
        <w:rPr>
          <w:rtl/>
        </w:rPr>
      </w:pPr>
    </w:p>
    <w:p w14:paraId="62E7CE6D" w14:textId="77777777" w:rsidR="008136A5" w:rsidRDefault="00DF5213">
      <w:pPr>
        <w:rPr>
          <w:noProof/>
          <w:rtl/>
        </w:rPr>
      </w:pPr>
      <w:r>
        <w:rPr>
          <w:rFonts w:ascii="Arial" w:hAnsi="Arial" w:hint="cs"/>
          <w:rtl/>
        </w:rPr>
        <w:t xml:space="preserve">זכות ערעור לביהמ"ש העליון בתוך 45 יום. </w:t>
      </w:r>
    </w:p>
    <w:p w14:paraId="71E72847" w14:textId="77777777" w:rsidR="008136A5" w:rsidRDefault="008136A5">
      <w:pPr>
        <w:rPr>
          <w:rtl/>
        </w:rPr>
      </w:pPr>
    </w:p>
    <w:p w14:paraId="4C010F39" w14:textId="77777777" w:rsidR="008136A5" w:rsidRDefault="008136A5">
      <w:pPr>
        <w:rPr>
          <w:rtl/>
        </w:rPr>
      </w:pPr>
    </w:p>
    <w:p w14:paraId="5FB1D90B" w14:textId="77777777" w:rsidR="008136A5" w:rsidRPr="00DF5213" w:rsidRDefault="00DF5213">
      <w:pPr>
        <w:rPr>
          <w:color w:val="FFFFFF"/>
          <w:sz w:val="2"/>
          <w:szCs w:val="2"/>
          <w:rtl/>
        </w:rPr>
      </w:pPr>
      <w:r w:rsidRPr="00DF5213">
        <w:rPr>
          <w:color w:val="FFFFFF"/>
          <w:sz w:val="2"/>
          <w:szCs w:val="2"/>
          <w:rtl/>
        </w:rPr>
        <w:t>5129371</w:t>
      </w:r>
    </w:p>
    <w:p w14:paraId="44E064F2" w14:textId="77777777" w:rsidR="008136A5" w:rsidRDefault="00DF5213">
      <w:pPr>
        <w:rPr>
          <w:rFonts w:cs="FrankRuehl"/>
          <w:sz w:val="28"/>
          <w:szCs w:val="28"/>
          <w:rtl/>
        </w:rPr>
      </w:pPr>
      <w:r w:rsidRPr="00DF5213">
        <w:rPr>
          <w:rFonts w:ascii="Arial" w:hAnsi="Arial"/>
          <w:color w:val="FFFFFF"/>
          <w:sz w:val="2"/>
          <w:szCs w:val="2"/>
          <w:rtl/>
        </w:rPr>
        <w:t>54678313</w:t>
      </w:r>
      <w:r>
        <w:rPr>
          <w:rFonts w:ascii="Arial" w:hAnsi="Arial"/>
          <w:rtl/>
        </w:rPr>
        <w:t xml:space="preserve">ניתן היום,  כ"ה סיון תשע"ג, 03 יוני 2013, במעמד ב"כ המאשימה הנאשם וסנגוריתו. </w:t>
      </w:r>
    </w:p>
    <w:p w14:paraId="6F8D6B9B" w14:textId="77777777" w:rsidR="00DF5213" w:rsidRPr="00011A09" w:rsidRDefault="00011A09" w:rsidP="00DF5213">
      <w:pPr>
        <w:keepNext/>
        <w:rPr>
          <w:rFonts w:ascii="David" w:hAnsi="David" w:hint="cs"/>
          <w:color w:val="FFFFFF"/>
          <w:sz w:val="2"/>
          <w:szCs w:val="2"/>
          <w:rtl/>
        </w:rPr>
      </w:pPr>
      <w:r w:rsidRPr="00011A09">
        <w:rPr>
          <w:rFonts w:ascii="David" w:hAnsi="David"/>
          <w:color w:val="FFFFFF"/>
          <w:sz w:val="2"/>
          <w:szCs w:val="2"/>
          <w:rtl/>
        </w:rPr>
        <w:t>5129371</w:t>
      </w:r>
    </w:p>
    <w:p w14:paraId="1F661564" w14:textId="77777777" w:rsidR="00011A09" w:rsidRPr="00011A09" w:rsidRDefault="00011A09" w:rsidP="00011A09">
      <w:pPr>
        <w:keepNext/>
        <w:rPr>
          <w:rFonts w:ascii="David" w:hAnsi="David" w:hint="cs"/>
          <w:color w:val="000000"/>
          <w:sz w:val="22"/>
          <w:szCs w:val="22"/>
          <w:rtl/>
        </w:rPr>
      </w:pPr>
    </w:p>
    <w:p w14:paraId="2A4F6F60" w14:textId="77777777" w:rsidR="00011A09" w:rsidRPr="00011A09" w:rsidRDefault="00011A09" w:rsidP="00011A09">
      <w:pPr>
        <w:keepNext/>
        <w:rPr>
          <w:rFonts w:ascii="David" w:hAnsi="David"/>
          <w:color w:val="000000"/>
          <w:sz w:val="22"/>
          <w:szCs w:val="22"/>
          <w:rtl/>
        </w:rPr>
      </w:pPr>
      <w:r w:rsidRPr="00011A09">
        <w:rPr>
          <w:rFonts w:ascii="David" w:hAnsi="David"/>
          <w:color w:val="000000"/>
          <w:sz w:val="22"/>
          <w:szCs w:val="22"/>
          <w:rtl/>
        </w:rPr>
        <w:t>חני הורוביץ 54678313-/</w:t>
      </w:r>
    </w:p>
    <w:p w14:paraId="44708BBE" w14:textId="77777777" w:rsidR="008136A5" w:rsidRDefault="00DF5213">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CADD802" w14:textId="77777777" w:rsidR="00DF5213" w:rsidRDefault="00DF5213" w:rsidP="00DF5213">
      <w:bookmarkStart w:id="8" w:name="_GoBack"/>
      <w:bookmarkEnd w:id="8"/>
      <w:r w:rsidRPr="00DF5213">
        <w:rPr>
          <w:color w:val="000000"/>
          <w:rtl/>
        </w:rPr>
        <w:t>נוסח מסמך זה כפוף לשינויי ניסוח ועריכה</w:t>
      </w:r>
    </w:p>
    <w:p w14:paraId="2444925B" w14:textId="77777777" w:rsidR="00DF5213" w:rsidRDefault="00DF5213" w:rsidP="00DF5213">
      <w:pPr>
        <w:rPr>
          <w:rtl/>
        </w:rPr>
      </w:pPr>
    </w:p>
    <w:p w14:paraId="75AF676D" w14:textId="77777777" w:rsidR="00DF5213" w:rsidRDefault="00DF5213" w:rsidP="00DF5213">
      <w:pPr>
        <w:jc w:val="center"/>
        <w:rPr>
          <w:color w:val="0000FF"/>
          <w:u w:val="single"/>
        </w:rPr>
      </w:pPr>
      <w:r w:rsidRPr="00A766A9">
        <w:rPr>
          <w:color w:val="000000"/>
          <w:rtl/>
        </w:rPr>
        <w:t>בעניין עריכה ושינויים במסמכי פסיקה, חקיקה ועוד באתר נבו – הקש כאן</w:t>
      </w:r>
    </w:p>
    <w:sectPr w:rsidR="00DF5213" w:rsidSect="00011A09">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468293" w14:textId="77777777" w:rsidR="00A62A0F" w:rsidRPr="00E25081" w:rsidRDefault="00A62A0F">
      <w:pPr>
        <w:rPr>
          <w:rFonts w:cs="Arial"/>
          <w:szCs w:val="20"/>
        </w:rPr>
      </w:pPr>
      <w:r>
        <w:separator/>
      </w:r>
    </w:p>
  </w:endnote>
  <w:endnote w:type="continuationSeparator" w:id="0">
    <w:p w14:paraId="48F7284B" w14:textId="77777777" w:rsidR="00A62A0F" w:rsidRPr="00E25081" w:rsidRDefault="00A62A0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926FAB" w14:textId="77777777" w:rsidR="004A3B3D" w:rsidRDefault="004A3B3D" w:rsidP="00011A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0BD2A7CD" w14:textId="77777777" w:rsidR="004A3B3D" w:rsidRPr="00011A09" w:rsidRDefault="004A3B3D" w:rsidP="00011A09">
    <w:pPr>
      <w:pStyle w:val="a4"/>
      <w:pBdr>
        <w:top w:val="single" w:sz="4" w:space="1" w:color="auto"/>
        <w:between w:val="single" w:sz="4" w:space="0" w:color="auto"/>
      </w:pBdr>
      <w:spacing w:after="60"/>
      <w:jc w:val="center"/>
      <w:rPr>
        <w:rFonts w:ascii="FrankRuehl" w:hAnsi="FrankRuehl" w:cs="FrankRuehl"/>
        <w:color w:val="000000"/>
      </w:rPr>
    </w:pPr>
    <w:r w:rsidRPr="00011A0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5EE41" w14:textId="77777777" w:rsidR="004A3B3D" w:rsidRDefault="004A3B3D" w:rsidP="00011A0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56B91">
      <w:rPr>
        <w:rFonts w:ascii="FrankRuehl" w:hAnsi="FrankRuehl" w:cs="FrankRuehl"/>
        <w:noProof/>
        <w:rtl/>
      </w:rPr>
      <w:t>1</w:t>
    </w:r>
    <w:r>
      <w:rPr>
        <w:rFonts w:ascii="FrankRuehl" w:hAnsi="FrankRuehl" w:cs="FrankRuehl"/>
        <w:rtl/>
      </w:rPr>
      <w:fldChar w:fldCharType="end"/>
    </w:r>
  </w:p>
  <w:p w14:paraId="545207D5" w14:textId="77777777" w:rsidR="004A3B3D" w:rsidRPr="00011A09" w:rsidRDefault="004A3B3D" w:rsidP="00011A09">
    <w:pPr>
      <w:pStyle w:val="a4"/>
      <w:pBdr>
        <w:top w:val="single" w:sz="4" w:space="1" w:color="auto"/>
        <w:between w:val="single" w:sz="4" w:space="0" w:color="auto"/>
      </w:pBdr>
      <w:spacing w:after="60"/>
      <w:jc w:val="center"/>
      <w:rPr>
        <w:rFonts w:ascii="FrankRuehl" w:hAnsi="FrankRuehl" w:cs="FrankRuehl"/>
        <w:color w:val="000000"/>
      </w:rPr>
    </w:pPr>
    <w:r w:rsidRPr="00011A09">
      <w:rPr>
        <w:rFonts w:ascii="FrankRuehl" w:hAnsi="FrankRuehl" w:cs="FrankRuehl"/>
        <w:color w:val="000000"/>
      </w:rPr>
      <w:pict w14:anchorId="258A9F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518B89" w14:textId="77777777" w:rsidR="00A62A0F" w:rsidRPr="00E25081" w:rsidRDefault="00A62A0F">
      <w:pPr>
        <w:rPr>
          <w:rFonts w:cs="Arial"/>
          <w:szCs w:val="20"/>
        </w:rPr>
      </w:pPr>
      <w:r>
        <w:separator/>
      </w:r>
    </w:p>
  </w:footnote>
  <w:footnote w:type="continuationSeparator" w:id="0">
    <w:p w14:paraId="30537747" w14:textId="77777777" w:rsidR="00A62A0F" w:rsidRPr="00E25081" w:rsidRDefault="00A62A0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9B631" w14:textId="77777777" w:rsidR="004A3B3D" w:rsidRPr="00011A09" w:rsidRDefault="004A3B3D" w:rsidP="00011A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265-07-11</w:t>
    </w:r>
    <w:r>
      <w:rPr>
        <w:rFonts w:ascii="David" w:hAnsi="David"/>
        <w:color w:val="000000"/>
        <w:sz w:val="22"/>
        <w:szCs w:val="22"/>
        <w:rtl/>
      </w:rPr>
      <w:tab/>
      <w:t xml:space="preserve"> מדינת ישראל נ' נפתלי נפתלייב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D5E774" w14:textId="77777777" w:rsidR="004A3B3D" w:rsidRPr="00011A09" w:rsidRDefault="004A3B3D" w:rsidP="00011A0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265-07-11</w:t>
    </w:r>
    <w:r>
      <w:rPr>
        <w:rFonts w:ascii="David" w:hAnsi="David"/>
        <w:color w:val="000000"/>
        <w:sz w:val="22"/>
        <w:szCs w:val="22"/>
        <w:rtl/>
      </w:rPr>
      <w:tab/>
      <w:t xml:space="preserve"> מדינת ישראל נ' נפתלי נפתלייב</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136A5"/>
    <w:rsid w:val="00011A09"/>
    <w:rsid w:val="00056B91"/>
    <w:rsid w:val="001D3465"/>
    <w:rsid w:val="00383626"/>
    <w:rsid w:val="004A3B3D"/>
    <w:rsid w:val="00610172"/>
    <w:rsid w:val="008136A5"/>
    <w:rsid w:val="00935187"/>
    <w:rsid w:val="009C69F6"/>
    <w:rsid w:val="00A62A0F"/>
    <w:rsid w:val="00A766A9"/>
    <w:rsid w:val="00AD0187"/>
    <w:rsid w:val="00DF52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215FF6A"/>
  <w15:chartTrackingRefBased/>
  <w15:docId w15:val="{BA36C9D0-1307-4EC7-929B-A597672F8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136A5"/>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136A5"/>
    <w:pPr>
      <w:tabs>
        <w:tab w:val="center" w:pos="4153"/>
        <w:tab w:val="right" w:pos="8306"/>
      </w:tabs>
    </w:pPr>
  </w:style>
  <w:style w:type="paragraph" w:styleId="a4">
    <w:name w:val="footer"/>
    <w:basedOn w:val="a"/>
    <w:rsid w:val="008136A5"/>
    <w:pPr>
      <w:tabs>
        <w:tab w:val="center" w:pos="4153"/>
        <w:tab w:val="right" w:pos="8306"/>
      </w:tabs>
    </w:pPr>
  </w:style>
  <w:style w:type="character" w:styleId="a5">
    <w:name w:val="page number"/>
    <w:basedOn w:val="a0"/>
    <w:rsid w:val="008136A5"/>
  </w:style>
  <w:style w:type="character" w:styleId="Hyperlink">
    <w:name w:val="Hyperlink"/>
    <w:rsid w:val="00DF52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case/2241964" TargetMode="External"/><Relationship Id="rId18"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5" Type="http://schemas.openxmlformats.org/officeDocument/2006/relationships/endnotes" Target="endnotes.xml"/><Relationship Id="rId15" Type="http://schemas.openxmlformats.org/officeDocument/2006/relationships/hyperlink" Target="http://www.nevo.co.il/law/70301" TargetMode="External"/><Relationship Id="rId10" Type="http://schemas.openxmlformats.org/officeDocument/2006/relationships/hyperlink" Target="http://www.nevo.co.il/law/70301/144.a" TargetMode="External"/><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2248</Words>
  <Characters>11240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13462</CharactersWithSpaces>
  <SharedDoc>false</SharedDoc>
  <HLinks>
    <vt:vector size="60" baseType="variant">
      <vt:variant>
        <vt:i4>7995492</vt:i4>
      </vt:variant>
      <vt:variant>
        <vt:i4>27</vt:i4>
      </vt:variant>
      <vt:variant>
        <vt:i4>0</vt:i4>
      </vt:variant>
      <vt:variant>
        <vt:i4>5</vt:i4>
      </vt:variant>
      <vt:variant>
        <vt:lpwstr>http://www.nevo.co.il/law/70301</vt:lpwstr>
      </vt:variant>
      <vt:variant>
        <vt:lpwstr/>
      </vt:variant>
      <vt:variant>
        <vt:i4>6357092</vt:i4>
      </vt:variant>
      <vt:variant>
        <vt:i4>24</vt:i4>
      </vt:variant>
      <vt:variant>
        <vt:i4>0</vt:i4>
      </vt:variant>
      <vt:variant>
        <vt:i4>5</vt:i4>
      </vt:variant>
      <vt:variant>
        <vt:lpwstr>http://www.nevo.co.il/law/70301/144</vt:lpwstr>
      </vt:variant>
      <vt:variant>
        <vt:lpwstr/>
      </vt:variant>
      <vt:variant>
        <vt:i4>3866737</vt:i4>
      </vt:variant>
      <vt:variant>
        <vt:i4>21</vt:i4>
      </vt:variant>
      <vt:variant>
        <vt:i4>0</vt:i4>
      </vt:variant>
      <vt:variant>
        <vt:i4>5</vt:i4>
      </vt:variant>
      <vt:variant>
        <vt:lpwstr>http://www.nevo.co.il/case/2241964</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2025-04-25T10:25:00Z</dcterms:created>
  <dcterms:modified xsi:type="dcterms:W3CDTF">2025-04-25T10:25:00Z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נפתלי נפתלייב</vt:lpwstr>
  </property>
  <property fmtid="{D5CDD505-2E9C-101B-9397-08002B2CF9AE}" pid="10" name="LAWYER">
    <vt:lpwstr>אסיל מצארווה</vt:lpwstr>
  </property>
  <property fmtid="{D5CDD505-2E9C-101B-9397-08002B2CF9AE}" pid="11" name="JUDGE">
    <vt:lpwstr>חני הורוביץ</vt:lpwstr>
  </property>
  <property fmtid="{D5CDD505-2E9C-101B-9397-08002B2CF9AE}" pid="12" name="CITY">
    <vt:lpwstr>חי'</vt:lpwstr>
  </property>
  <property fmtid="{D5CDD505-2E9C-101B-9397-08002B2CF9AE}" pid="13" name="DATE">
    <vt:lpwstr>20130603</vt:lpwstr>
  </property>
  <property fmtid="{D5CDD505-2E9C-101B-9397-08002B2CF9AE}" pid="14" name="TYPE_N_DATE">
    <vt:lpwstr>39020130603</vt:lpwstr>
  </property>
  <property fmtid="{D5CDD505-2E9C-101B-9397-08002B2CF9AE}" pid="15" name="WORDNUMPAGES">
    <vt:lpwstr>8</vt:lpwstr>
  </property>
  <property fmtid="{D5CDD505-2E9C-101B-9397-08002B2CF9AE}" pid="16" name="TYPE_ABS_DATE">
    <vt:lpwstr>390020130603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2241964</vt:lpwstr>
  </property>
  <property fmtid="{D5CDD505-2E9C-101B-9397-08002B2CF9AE}" pid="36" name="LAWLISTTMP1">
    <vt:lpwstr>70301/144.a;144.b;144</vt:lpwstr>
  </property>
</Properties>
</file>