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9"/>
        <w:gridCol w:w="3672"/>
      </w:tblGrid>
      <w:tr w:rsidR="00A43EF6" w:rsidRPr="0034469C" w14:paraId="545F16EA" w14:textId="77777777">
        <w:trPr>
          <w:trHeight w:hRule="exact" w:val="418"/>
          <w:jc w:val="center"/>
        </w:trPr>
        <w:tc>
          <w:tcPr>
            <w:tcW w:w="8721" w:type="dxa"/>
            <w:gridSpan w:val="2"/>
          </w:tcPr>
          <w:p w14:paraId="651AE8BA" w14:textId="77777777" w:rsidR="00A43EF6" w:rsidRPr="0034469C" w:rsidRDefault="0034469C">
            <w:pPr>
              <w:pStyle w:val="a3"/>
              <w:jc w:val="center"/>
              <w:rPr>
                <w:rFonts w:ascii="Tahoma" w:hAnsi="Tahoma" w:cs="Tahoma"/>
                <w:color w:val="000080"/>
                <w:rtl/>
              </w:rPr>
            </w:pPr>
            <w:bookmarkStart w:id="0" w:name="FirstLawyer"/>
            <w:bookmarkStart w:id="1" w:name="LastJudge"/>
            <w:r w:rsidRPr="0034469C">
              <w:rPr>
                <w:rFonts w:ascii="Tahoma" w:hAnsi="Tahoma" w:cs="Tahoma"/>
                <w:b/>
                <w:bCs/>
                <w:color w:val="000080"/>
                <w:rtl/>
              </w:rPr>
              <w:t>בית המשפט המחוזי בתל אביב - יפו</w:t>
            </w:r>
          </w:p>
        </w:tc>
      </w:tr>
      <w:tr w:rsidR="00A43EF6" w:rsidRPr="0034469C" w14:paraId="63672765" w14:textId="77777777">
        <w:trPr>
          <w:trHeight w:val="337"/>
          <w:jc w:val="center"/>
        </w:trPr>
        <w:tc>
          <w:tcPr>
            <w:tcW w:w="5049" w:type="dxa"/>
          </w:tcPr>
          <w:p w14:paraId="5EFEE5B3" w14:textId="77777777" w:rsidR="00A43EF6" w:rsidRPr="0034469C" w:rsidRDefault="0034469C" w:rsidP="00030DA0">
            <w:pPr>
              <w:rPr>
                <w:rFonts w:cs="FrankRuehl"/>
                <w:sz w:val="28"/>
                <w:szCs w:val="28"/>
                <w:rtl/>
              </w:rPr>
            </w:pPr>
            <w:r w:rsidRPr="0034469C">
              <w:rPr>
                <w:rFonts w:cs="FrankRuehl"/>
                <w:sz w:val="28"/>
                <w:szCs w:val="28"/>
                <w:rtl/>
              </w:rPr>
              <w:t>ת"פ</w:t>
            </w:r>
            <w:r w:rsidRPr="0034469C">
              <w:rPr>
                <w:rFonts w:cs="FrankRuehl" w:hint="cs"/>
                <w:sz w:val="28"/>
                <w:szCs w:val="28"/>
                <w:rtl/>
              </w:rPr>
              <w:t xml:space="preserve"> </w:t>
            </w:r>
            <w:r w:rsidRPr="0034469C">
              <w:rPr>
                <w:rFonts w:cs="FrankRuehl"/>
                <w:sz w:val="28"/>
                <w:szCs w:val="28"/>
                <w:rtl/>
              </w:rPr>
              <w:t>3525-11-11</w:t>
            </w:r>
            <w:r w:rsidRPr="0034469C">
              <w:rPr>
                <w:rFonts w:cs="FrankRuehl" w:hint="cs"/>
                <w:sz w:val="28"/>
                <w:szCs w:val="28"/>
                <w:rtl/>
              </w:rPr>
              <w:t xml:space="preserve"> </w:t>
            </w:r>
          </w:p>
          <w:p w14:paraId="73BEE3EF" w14:textId="77777777" w:rsidR="00A43EF6" w:rsidRPr="0034469C" w:rsidRDefault="00A43EF6">
            <w:pPr>
              <w:pStyle w:val="a3"/>
              <w:rPr>
                <w:rFonts w:cs="FrankRuehl"/>
                <w:sz w:val="28"/>
                <w:szCs w:val="28"/>
                <w:rtl/>
              </w:rPr>
            </w:pPr>
          </w:p>
        </w:tc>
        <w:tc>
          <w:tcPr>
            <w:tcW w:w="3672" w:type="dxa"/>
          </w:tcPr>
          <w:p w14:paraId="7D3B34D7" w14:textId="77777777" w:rsidR="00A43EF6" w:rsidRPr="0034469C" w:rsidRDefault="0034469C">
            <w:pPr>
              <w:pStyle w:val="a3"/>
              <w:jc w:val="center"/>
              <w:rPr>
                <w:rFonts w:cs="FrankRuehl"/>
                <w:sz w:val="28"/>
                <w:szCs w:val="28"/>
                <w:rtl/>
              </w:rPr>
            </w:pPr>
            <w:r w:rsidRPr="0034469C">
              <w:rPr>
                <w:rFonts w:cs="FrankRuehl" w:hint="cs"/>
                <w:sz w:val="28"/>
                <w:szCs w:val="28"/>
                <w:rtl/>
              </w:rPr>
              <w:t>2 ביולי</w:t>
            </w:r>
            <w:r w:rsidRPr="0034469C">
              <w:rPr>
                <w:rFonts w:cs="FrankRuehl"/>
                <w:sz w:val="28"/>
                <w:szCs w:val="28"/>
                <w:rtl/>
              </w:rPr>
              <w:t xml:space="preserve"> 2013</w:t>
            </w:r>
          </w:p>
        </w:tc>
      </w:tr>
    </w:tbl>
    <w:p w14:paraId="075F414F" w14:textId="77777777" w:rsidR="00A43EF6" w:rsidRPr="0034469C" w:rsidRDefault="0034469C" w:rsidP="006B44F3">
      <w:pPr>
        <w:pStyle w:val="a3"/>
        <w:rPr>
          <w:rtl/>
        </w:rPr>
      </w:pPr>
      <w:r w:rsidRPr="0034469C">
        <w:rPr>
          <w:rFonts w:hint="cs"/>
          <w:rtl/>
        </w:rPr>
        <w:t xml:space="preserve"> </w:t>
      </w:r>
    </w:p>
    <w:tbl>
      <w:tblPr>
        <w:bidiVisual/>
        <w:tblW w:w="6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2100"/>
        <w:gridCol w:w="3307"/>
      </w:tblGrid>
      <w:tr w:rsidR="00A43EF6" w:rsidRPr="0034469C" w14:paraId="4B0F9389" w14:textId="77777777">
        <w:trPr>
          <w:trHeight w:val="295"/>
          <w:jc w:val="center"/>
        </w:trPr>
        <w:tc>
          <w:tcPr>
            <w:tcW w:w="923" w:type="dxa"/>
            <w:tcBorders>
              <w:top w:val="nil"/>
              <w:left w:val="nil"/>
              <w:bottom w:val="nil"/>
              <w:right w:val="nil"/>
            </w:tcBorders>
          </w:tcPr>
          <w:p w14:paraId="6C593196" w14:textId="77777777" w:rsidR="00A43EF6" w:rsidRPr="0034469C" w:rsidRDefault="0034469C">
            <w:pPr>
              <w:jc w:val="both"/>
              <w:rPr>
                <w:rFonts w:ascii="Arial" w:hAnsi="Arial" w:cs="FrankRuehl"/>
                <w:sz w:val="28"/>
                <w:szCs w:val="28"/>
              </w:rPr>
            </w:pPr>
            <w:r w:rsidRPr="0034469C">
              <w:rPr>
                <w:rFonts w:ascii="Arial" w:hAnsi="Arial" w:cs="FrankRuehl" w:hint="cs"/>
                <w:sz w:val="28"/>
                <w:szCs w:val="28"/>
                <w:rtl/>
              </w:rPr>
              <w:t>ב</w:t>
            </w:r>
            <w:r w:rsidRPr="0034469C">
              <w:rPr>
                <w:rFonts w:ascii="Arial" w:hAnsi="Arial" w:cs="FrankRuehl"/>
                <w:sz w:val="28"/>
                <w:szCs w:val="28"/>
                <w:rtl/>
              </w:rPr>
              <w:t xml:space="preserve">פני </w:t>
            </w:r>
          </w:p>
        </w:tc>
        <w:tc>
          <w:tcPr>
            <w:tcW w:w="5407" w:type="dxa"/>
            <w:gridSpan w:val="2"/>
            <w:tcBorders>
              <w:top w:val="nil"/>
              <w:left w:val="nil"/>
              <w:bottom w:val="nil"/>
              <w:right w:val="nil"/>
            </w:tcBorders>
          </w:tcPr>
          <w:p w14:paraId="34D0490B" w14:textId="77777777" w:rsidR="00A43EF6" w:rsidRPr="0034469C" w:rsidRDefault="0034469C" w:rsidP="006B44F3">
            <w:pPr>
              <w:rPr>
                <w:rtl/>
              </w:rPr>
            </w:pPr>
            <w:r w:rsidRPr="0034469C">
              <w:rPr>
                <w:rFonts w:ascii="Arial" w:hAnsi="Arial" w:hint="cs"/>
                <w:b/>
                <w:bCs/>
                <w:rtl/>
              </w:rPr>
              <w:t>כב' השופט הבכיר צבי גורפינקל</w:t>
            </w:r>
          </w:p>
          <w:p w14:paraId="358F0715" w14:textId="77777777" w:rsidR="00A43EF6" w:rsidRPr="0034469C" w:rsidRDefault="00A43EF6">
            <w:pPr>
              <w:jc w:val="both"/>
              <w:rPr>
                <w:rFonts w:ascii="Arial" w:hAnsi="Arial" w:cs="FrankRuehl"/>
                <w:sz w:val="28"/>
                <w:szCs w:val="28"/>
              </w:rPr>
            </w:pPr>
          </w:p>
        </w:tc>
      </w:tr>
      <w:tr w:rsidR="00A43EF6" w:rsidRPr="0034469C" w14:paraId="3C5A4CF2" w14:textId="77777777">
        <w:trPr>
          <w:trHeight w:val="355"/>
          <w:jc w:val="center"/>
        </w:trPr>
        <w:tc>
          <w:tcPr>
            <w:tcW w:w="923" w:type="dxa"/>
            <w:tcBorders>
              <w:top w:val="nil"/>
              <w:left w:val="nil"/>
              <w:bottom w:val="nil"/>
              <w:right w:val="nil"/>
            </w:tcBorders>
          </w:tcPr>
          <w:p w14:paraId="2F9BBF9E" w14:textId="77777777" w:rsidR="00A43EF6" w:rsidRPr="0034469C" w:rsidRDefault="00A43EF6">
            <w:pPr>
              <w:jc w:val="both"/>
              <w:rPr>
                <w:rFonts w:ascii="Arial" w:hAnsi="Arial" w:cs="FrankRuehl"/>
                <w:sz w:val="28"/>
                <w:szCs w:val="28"/>
                <w:rtl/>
              </w:rPr>
            </w:pPr>
            <w:bookmarkStart w:id="2" w:name="FirstAppellant"/>
          </w:p>
          <w:p w14:paraId="0512E9DE" w14:textId="77777777" w:rsidR="00A43EF6" w:rsidRPr="0034469C" w:rsidRDefault="0034469C">
            <w:pPr>
              <w:jc w:val="both"/>
              <w:rPr>
                <w:rFonts w:ascii="Arial" w:hAnsi="Arial" w:cs="FrankRuehl"/>
                <w:sz w:val="28"/>
                <w:szCs w:val="28"/>
              </w:rPr>
            </w:pPr>
            <w:r w:rsidRPr="0034469C">
              <w:rPr>
                <w:rFonts w:ascii="Arial" w:hAnsi="Arial" w:cs="FrankRuehl" w:hint="cs"/>
                <w:sz w:val="28"/>
                <w:szCs w:val="28"/>
                <w:rtl/>
              </w:rPr>
              <w:t>בעניין:</w:t>
            </w:r>
          </w:p>
        </w:tc>
        <w:tc>
          <w:tcPr>
            <w:tcW w:w="2100" w:type="dxa"/>
            <w:tcBorders>
              <w:top w:val="nil"/>
              <w:left w:val="nil"/>
              <w:bottom w:val="nil"/>
              <w:right w:val="nil"/>
            </w:tcBorders>
          </w:tcPr>
          <w:p w14:paraId="41A2987B" w14:textId="77777777" w:rsidR="00A43EF6" w:rsidRPr="0034469C" w:rsidRDefault="00A43EF6">
            <w:pPr>
              <w:jc w:val="both"/>
              <w:rPr>
                <w:rFonts w:ascii="Arial" w:hAnsi="Arial" w:cs="FrankRuehl"/>
                <w:sz w:val="28"/>
                <w:szCs w:val="28"/>
                <w:rtl/>
              </w:rPr>
            </w:pPr>
          </w:p>
          <w:p w14:paraId="15C06E51" w14:textId="77777777" w:rsidR="00A43EF6" w:rsidRPr="0034469C" w:rsidRDefault="0034469C">
            <w:r w:rsidRPr="0034469C">
              <w:rPr>
                <w:rFonts w:ascii="Arial" w:hAnsi="Arial" w:cs="FrankRuehl" w:hint="cs"/>
                <w:sz w:val="28"/>
                <w:szCs w:val="28"/>
                <w:rtl/>
              </w:rPr>
              <w:t xml:space="preserve"> </w:t>
            </w:r>
            <w:r w:rsidRPr="0034469C">
              <w:rPr>
                <w:rFonts w:hint="cs"/>
                <w:rtl/>
              </w:rPr>
              <w:t>מדינת ישראל</w:t>
            </w:r>
            <w:r w:rsidRPr="0034469C">
              <w:rPr>
                <w:rFonts w:hint="cs"/>
                <w:rtl/>
              </w:rPr>
              <w:br/>
              <w:t>ע"י ב"כ עו"ד פמיליה</w:t>
            </w:r>
          </w:p>
          <w:p w14:paraId="1254E5C8" w14:textId="77777777" w:rsidR="00A43EF6" w:rsidRPr="0034469C" w:rsidRDefault="00A43EF6">
            <w:pPr>
              <w:jc w:val="both"/>
              <w:rPr>
                <w:rFonts w:ascii="Arial" w:hAnsi="Arial" w:cs="FrankRuehl"/>
                <w:sz w:val="28"/>
                <w:szCs w:val="28"/>
              </w:rPr>
            </w:pPr>
          </w:p>
        </w:tc>
        <w:tc>
          <w:tcPr>
            <w:tcW w:w="3307" w:type="dxa"/>
            <w:tcBorders>
              <w:top w:val="nil"/>
              <w:left w:val="nil"/>
              <w:bottom w:val="nil"/>
              <w:right w:val="nil"/>
            </w:tcBorders>
          </w:tcPr>
          <w:p w14:paraId="5DFFE0A7" w14:textId="77777777" w:rsidR="00A43EF6" w:rsidRPr="0034469C" w:rsidRDefault="00A43EF6">
            <w:pPr>
              <w:jc w:val="both"/>
              <w:rPr>
                <w:rFonts w:ascii="Arial" w:hAnsi="Arial" w:cs="FrankRuehl"/>
                <w:sz w:val="28"/>
                <w:szCs w:val="28"/>
              </w:rPr>
            </w:pPr>
          </w:p>
        </w:tc>
      </w:tr>
      <w:bookmarkEnd w:id="2"/>
      <w:tr w:rsidR="00A43EF6" w:rsidRPr="0034469C" w14:paraId="0385CDF5" w14:textId="77777777">
        <w:trPr>
          <w:trHeight w:val="355"/>
          <w:jc w:val="center"/>
        </w:trPr>
        <w:tc>
          <w:tcPr>
            <w:tcW w:w="923" w:type="dxa"/>
            <w:tcBorders>
              <w:top w:val="nil"/>
              <w:left w:val="nil"/>
              <w:bottom w:val="nil"/>
              <w:right w:val="nil"/>
            </w:tcBorders>
          </w:tcPr>
          <w:p w14:paraId="6F46B76E" w14:textId="77777777" w:rsidR="00A43EF6" w:rsidRPr="0034469C" w:rsidRDefault="00A43EF6">
            <w:pPr>
              <w:jc w:val="both"/>
              <w:rPr>
                <w:rFonts w:ascii="Arial" w:hAnsi="Arial" w:cs="FrankRuehl"/>
                <w:sz w:val="28"/>
                <w:szCs w:val="28"/>
                <w:rtl/>
              </w:rPr>
            </w:pPr>
          </w:p>
        </w:tc>
        <w:tc>
          <w:tcPr>
            <w:tcW w:w="2100" w:type="dxa"/>
            <w:tcBorders>
              <w:top w:val="nil"/>
              <w:left w:val="nil"/>
              <w:bottom w:val="nil"/>
              <w:right w:val="nil"/>
            </w:tcBorders>
          </w:tcPr>
          <w:p w14:paraId="06F7D6CC" w14:textId="77777777" w:rsidR="00A43EF6" w:rsidRPr="0034469C" w:rsidRDefault="00A43EF6">
            <w:pPr>
              <w:jc w:val="both"/>
              <w:rPr>
                <w:rtl/>
              </w:rPr>
            </w:pPr>
          </w:p>
        </w:tc>
        <w:tc>
          <w:tcPr>
            <w:tcW w:w="3307" w:type="dxa"/>
            <w:tcBorders>
              <w:top w:val="nil"/>
              <w:left w:val="nil"/>
              <w:bottom w:val="nil"/>
              <w:right w:val="nil"/>
            </w:tcBorders>
          </w:tcPr>
          <w:p w14:paraId="6CF80FDF" w14:textId="77777777" w:rsidR="00A43EF6" w:rsidRPr="0034469C" w:rsidRDefault="0034469C">
            <w:pPr>
              <w:jc w:val="right"/>
              <w:rPr>
                <w:rFonts w:ascii="Arial" w:hAnsi="Arial" w:cs="FrankRuehl"/>
                <w:sz w:val="28"/>
                <w:szCs w:val="28"/>
                <w:rtl/>
              </w:rPr>
            </w:pPr>
            <w:r w:rsidRPr="0034469C">
              <w:rPr>
                <w:rFonts w:ascii="Arial" w:hAnsi="Arial" w:cs="FrankRuehl" w:hint="cs"/>
                <w:sz w:val="28"/>
                <w:szCs w:val="28"/>
                <w:rtl/>
              </w:rPr>
              <w:t>ה</w:t>
            </w:r>
            <w:r w:rsidRPr="0034469C">
              <w:rPr>
                <w:rFonts w:hint="cs"/>
                <w:rtl/>
              </w:rPr>
              <w:t>מאשימה</w:t>
            </w:r>
          </w:p>
        </w:tc>
      </w:tr>
      <w:tr w:rsidR="00A43EF6" w:rsidRPr="0034469C" w14:paraId="1E7009F7" w14:textId="77777777">
        <w:trPr>
          <w:trHeight w:val="355"/>
          <w:jc w:val="center"/>
        </w:trPr>
        <w:tc>
          <w:tcPr>
            <w:tcW w:w="923" w:type="dxa"/>
            <w:tcBorders>
              <w:top w:val="nil"/>
              <w:left w:val="nil"/>
              <w:bottom w:val="nil"/>
              <w:right w:val="nil"/>
            </w:tcBorders>
          </w:tcPr>
          <w:p w14:paraId="3F3AF1DE" w14:textId="77777777" w:rsidR="00A43EF6" w:rsidRPr="0034469C" w:rsidRDefault="00A43EF6">
            <w:pPr>
              <w:jc w:val="both"/>
              <w:rPr>
                <w:rFonts w:ascii="Arial" w:hAnsi="Arial" w:cs="FrankRuehl"/>
                <w:sz w:val="28"/>
                <w:szCs w:val="28"/>
                <w:rtl/>
              </w:rPr>
            </w:pPr>
          </w:p>
        </w:tc>
        <w:tc>
          <w:tcPr>
            <w:tcW w:w="5407" w:type="dxa"/>
            <w:gridSpan w:val="2"/>
            <w:tcBorders>
              <w:top w:val="nil"/>
              <w:left w:val="nil"/>
              <w:bottom w:val="nil"/>
              <w:right w:val="nil"/>
            </w:tcBorders>
          </w:tcPr>
          <w:p w14:paraId="535D9E86" w14:textId="77777777" w:rsidR="00A43EF6" w:rsidRPr="0034469C" w:rsidRDefault="00A43EF6">
            <w:pPr>
              <w:jc w:val="center"/>
              <w:rPr>
                <w:rFonts w:ascii="Arial" w:hAnsi="Arial" w:cs="FrankRuehl"/>
                <w:b/>
                <w:bCs/>
                <w:sz w:val="28"/>
                <w:szCs w:val="28"/>
                <w:rtl/>
              </w:rPr>
            </w:pPr>
          </w:p>
          <w:p w14:paraId="49976275" w14:textId="77777777" w:rsidR="00A43EF6" w:rsidRPr="0034469C" w:rsidRDefault="0034469C">
            <w:pPr>
              <w:jc w:val="center"/>
              <w:rPr>
                <w:rFonts w:ascii="Arial" w:hAnsi="Arial" w:cs="FrankRuehl"/>
                <w:b/>
                <w:bCs/>
                <w:sz w:val="28"/>
                <w:szCs w:val="28"/>
                <w:rtl/>
              </w:rPr>
            </w:pPr>
            <w:r w:rsidRPr="0034469C">
              <w:rPr>
                <w:rFonts w:ascii="Arial" w:hAnsi="Arial" w:cs="FrankRuehl"/>
                <w:b/>
                <w:bCs/>
                <w:sz w:val="28"/>
                <w:szCs w:val="28"/>
                <w:rtl/>
              </w:rPr>
              <w:t>נגד</w:t>
            </w:r>
          </w:p>
          <w:p w14:paraId="4FA8EBEF" w14:textId="77777777" w:rsidR="00A43EF6" w:rsidRPr="0034469C" w:rsidRDefault="00A43EF6">
            <w:pPr>
              <w:jc w:val="both"/>
              <w:rPr>
                <w:rFonts w:ascii="Arial" w:hAnsi="Arial" w:cs="FrankRuehl"/>
                <w:sz w:val="28"/>
                <w:szCs w:val="28"/>
              </w:rPr>
            </w:pPr>
          </w:p>
        </w:tc>
      </w:tr>
      <w:tr w:rsidR="00A43EF6" w:rsidRPr="0034469C" w14:paraId="2272F5F7" w14:textId="77777777">
        <w:trPr>
          <w:trHeight w:val="355"/>
          <w:jc w:val="center"/>
        </w:trPr>
        <w:tc>
          <w:tcPr>
            <w:tcW w:w="923" w:type="dxa"/>
            <w:tcBorders>
              <w:top w:val="nil"/>
              <w:left w:val="nil"/>
              <w:bottom w:val="nil"/>
              <w:right w:val="nil"/>
            </w:tcBorders>
          </w:tcPr>
          <w:p w14:paraId="4B3B0FE9" w14:textId="77777777" w:rsidR="00A43EF6" w:rsidRPr="0034469C" w:rsidRDefault="00A43EF6">
            <w:pPr>
              <w:jc w:val="both"/>
              <w:rPr>
                <w:rFonts w:ascii="Arial" w:hAnsi="Arial" w:cs="FrankRuehl"/>
                <w:sz w:val="28"/>
                <w:szCs w:val="28"/>
                <w:rtl/>
              </w:rPr>
            </w:pPr>
          </w:p>
        </w:tc>
        <w:tc>
          <w:tcPr>
            <w:tcW w:w="2100" w:type="dxa"/>
            <w:tcBorders>
              <w:top w:val="nil"/>
              <w:left w:val="nil"/>
              <w:bottom w:val="nil"/>
              <w:right w:val="nil"/>
            </w:tcBorders>
          </w:tcPr>
          <w:p w14:paraId="33DE4CEA" w14:textId="77777777" w:rsidR="00A43EF6" w:rsidRPr="0034469C" w:rsidRDefault="0034469C">
            <w:pPr>
              <w:jc w:val="both"/>
              <w:rPr>
                <w:rtl/>
              </w:rPr>
            </w:pPr>
            <w:r w:rsidRPr="0034469C">
              <w:rPr>
                <w:rFonts w:ascii="Arial" w:hAnsi="Arial" w:cs="FrankRuehl" w:hint="cs"/>
                <w:sz w:val="28"/>
                <w:szCs w:val="28"/>
                <w:rtl/>
              </w:rPr>
              <w:t xml:space="preserve"> </w:t>
            </w:r>
            <w:r w:rsidR="00E21C44">
              <w:rPr>
                <w:rFonts w:hint="cs"/>
                <w:rtl/>
              </w:rPr>
              <w:t xml:space="preserve">מיכאל ששון </w:t>
            </w:r>
            <w:r w:rsidRPr="0034469C">
              <w:rPr>
                <w:rFonts w:hint="cs"/>
                <w:rtl/>
              </w:rPr>
              <w:t>ע"י ב"כ עוה"ד עורקבי  ויערי</w:t>
            </w:r>
          </w:p>
        </w:tc>
        <w:tc>
          <w:tcPr>
            <w:tcW w:w="3307" w:type="dxa"/>
            <w:tcBorders>
              <w:top w:val="nil"/>
              <w:left w:val="nil"/>
              <w:bottom w:val="nil"/>
              <w:right w:val="nil"/>
            </w:tcBorders>
          </w:tcPr>
          <w:p w14:paraId="72397CBB" w14:textId="77777777" w:rsidR="00A43EF6" w:rsidRPr="0034469C" w:rsidRDefault="00A43EF6">
            <w:pPr>
              <w:jc w:val="right"/>
              <w:rPr>
                <w:rFonts w:ascii="Arial" w:hAnsi="Arial" w:cs="FrankRuehl"/>
                <w:sz w:val="28"/>
                <w:szCs w:val="28"/>
              </w:rPr>
            </w:pPr>
          </w:p>
        </w:tc>
      </w:tr>
      <w:tr w:rsidR="00A43EF6" w:rsidRPr="0034469C" w14:paraId="71822FBB" w14:textId="77777777">
        <w:trPr>
          <w:trHeight w:val="355"/>
          <w:jc w:val="center"/>
        </w:trPr>
        <w:tc>
          <w:tcPr>
            <w:tcW w:w="923" w:type="dxa"/>
            <w:tcBorders>
              <w:top w:val="nil"/>
              <w:left w:val="nil"/>
              <w:bottom w:val="nil"/>
              <w:right w:val="nil"/>
            </w:tcBorders>
          </w:tcPr>
          <w:p w14:paraId="2F52CB17" w14:textId="77777777" w:rsidR="00A43EF6" w:rsidRPr="0034469C" w:rsidRDefault="00A43EF6">
            <w:pPr>
              <w:jc w:val="both"/>
              <w:rPr>
                <w:rFonts w:ascii="Arial" w:hAnsi="Arial" w:cs="FrankRuehl"/>
                <w:sz w:val="28"/>
                <w:szCs w:val="28"/>
                <w:rtl/>
              </w:rPr>
            </w:pPr>
          </w:p>
        </w:tc>
        <w:tc>
          <w:tcPr>
            <w:tcW w:w="2100" w:type="dxa"/>
            <w:tcBorders>
              <w:top w:val="nil"/>
              <w:left w:val="nil"/>
              <w:bottom w:val="nil"/>
              <w:right w:val="nil"/>
            </w:tcBorders>
          </w:tcPr>
          <w:p w14:paraId="1645FA57" w14:textId="77777777" w:rsidR="00A43EF6" w:rsidRPr="0034469C" w:rsidRDefault="00A43EF6">
            <w:pPr>
              <w:jc w:val="both"/>
              <w:rPr>
                <w:rtl/>
              </w:rPr>
            </w:pPr>
          </w:p>
        </w:tc>
        <w:tc>
          <w:tcPr>
            <w:tcW w:w="3307" w:type="dxa"/>
            <w:tcBorders>
              <w:top w:val="nil"/>
              <w:left w:val="nil"/>
              <w:bottom w:val="nil"/>
              <w:right w:val="nil"/>
            </w:tcBorders>
          </w:tcPr>
          <w:p w14:paraId="15A18BF0" w14:textId="77777777" w:rsidR="00A43EF6" w:rsidRPr="0034469C" w:rsidRDefault="0034469C">
            <w:pPr>
              <w:jc w:val="right"/>
              <w:rPr>
                <w:rFonts w:ascii="Arial" w:hAnsi="Arial" w:cs="FrankRuehl"/>
                <w:sz w:val="28"/>
                <w:szCs w:val="28"/>
              </w:rPr>
            </w:pPr>
            <w:r w:rsidRPr="0034469C">
              <w:rPr>
                <w:rFonts w:ascii="Arial" w:hAnsi="Arial" w:cs="FrankRuehl" w:hint="cs"/>
                <w:sz w:val="28"/>
                <w:szCs w:val="28"/>
                <w:rtl/>
              </w:rPr>
              <w:t>ה</w:t>
            </w:r>
            <w:r w:rsidRPr="0034469C">
              <w:rPr>
                <w:rFonts w:hint="cs"/>
                <w:rtl/>
              </w:rPr>
              <w:t>נאשם</w:t>
            </w:r>
          </w:p>
        </w:tc>
      </w:tr>
    </w:tbl>
    <w:p w14:paraId="2A6E05F5" w14:textId="77777777" w:rsidR="00A43EF6" w:rsidRPr="0034469C" w:rsidRDefault="00A43EF6"/>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43EF6" w14:paraId="2BC64745" w14:textId="77777777">
        <w:trPr>
          <w:trHeight w:val="355"/>
          <w:jc w:val="center"/>
        </w:trPr>
        <w:tc>
          <w:tcPr>
            <w:tcW w:w="8820" w:type="dxa"/>
            <w:tcBorders>
              <w:top w:val="nil"/>
              <w:left w:val="nil"/>
              <w:bottom w:val="nil"/>
              <w:right w:val="nil"/>
            </w:tcBorders>
          </w:tcPr>
          <w:p w14:paraId="59E74691" w14:textId="77777777" w:rsidR="0034469C" w:rsidRPr="0034469C" w:rsidRDefault="0034469C" w:rsidP="0034469C">
            <w:pPr>
              <w:jc w:val="center"/>
              <w:rPr>
                <w:rFonts w:ascii="Arial" w:hAnsi="Arial" w:cs="FrankRuehl"/>
                <w:b/>
                <w:bCs/>
                <w:sz w:val="32"/>
                <w:szCs w:val="32"/>
                <w:u w:val="single"/>
                <w:rtl/>
              </w:rPr>
            </w:pPr>
            <w:bookmarkStart w:id="3" w:name="PsakDin" w:colFirst="0" w:colLast="0"/>
            <w:bookmarkEnd w:id="0"/>
            <w:bookmarkEnd w:id="1"/>
            <w:r w:rsidRPr="0034469C">
              <w:rPr>
                <w:rFonts w:ascii="Arial" w:hAnsi="Arial" w:cs="FrankRuehl"/>
                <w:b/>
                <w:bCs/>
                <w:sz w:val="32"/>
                <w:szCs w:val="32"/>
                <w:u w:val="single"/>
                <w:rtl/>
              </w:rPr>
              <w:t>גזר דין</w:t>
            </w:r>
          </w:p>
          <w:p w14:paraId="188B1C38" w14:textId="77777777" w:rsidR="00A43EF6" w:rsidRPr="0034469C" w:rsidRDefault="00A43EF6" w:rsidP="0034469C">
            <w:pPr>
              <w:jc w:val="center"/>
              <w:rPr>
                <w:rFonts w:ascii="Arial" w:hAnsi="Arial" w:cs="FrankRuehl"/>
                <w:bCs/>
                <w:sz w:val="32"/>
                <w:szCs w:val="32"/>
                <w:u w:val="single"/>
                <w:rtl/>
              </w:rPr>
            </w:pPr>
          </w:p>
        </w:tc>
      </w:tr>
      <w:bookmarkEnd w:id="3"/>
    </w:tbl>
    <w:p w14:paraId="70A8DB02" w14:textId="77777777" w:rsidR="00A43EF6" w:rsidRDefault="00A43EF6">
      <w:pPr>
        <w:rPr>
          <w:rFonts w:ascii="Arial" w:hAnsi="Arial" w:cs="FrankRuehl"/>
          <w:sz w:val="28"/>
          <w:szCs w:val="28"/>
          <w:rtl/>
        </w:rPr>
      </w:pPr>
    </w:p>
    <w:p w14:paraId="18E6DDBB" w14:textId="77777777" w:rsidR="00A43EF6" w:rsidRDefault="00A43EF6">
      <w:pPr>
        <w:rPr>
          <w:rFonts w:ascii="Arial" w:hAnsi="Arial" w:cs="FrankRuehl"/>
          <w:sz w:val="28"/>
          <w:szCs w:val="28"/>
          <w:rtl/>
        </w:rPr>
      </w:pPr>
    </w:p>
    <w:p w14:paraId="6BD5081A" w14:textId="77777777" w:rsidR="00A43EF6" w:rsidRDefault="0034469C">
      <w:pPr>
        <w:rPr>
          <w:rFonts w:cs="FrankRuehl"/>
          <w:sz w:val="28"/>
          <w:szCs w:val="28"/>
          <w:rtl/>
        </w:rPr>
      </w:pPr>
      <w:bookmarkStart w:id="4" w:name="ABSTRACT_START"/>
      <w:bookmarkEnd w:id="4"/>
      <w:r>
        <w:rPr>
          <w:rFonts w:cs="FrankRuehl" w:hint="cs"/>
          <w:sz w:val="28"/>
          <w:szCs w:val="28"/>
          <w:rtl/>
        </w:rPr>
        <w:t>בתאריך 13.4.98 נגנב אקדח מסוג ברטה 0.22 מ"מ מבית בגבעתיים.</w:t>
      </w:r>
    </w:p>
    <w:p w14:paraId="66A4BDFC" w14:textId="77777777" w:rsidR="00A43EF6" w:rsidRDefault="0034469C">
      <w:pPr>
        <w:rPr>
          <w:rFonts w:cs="FrankRuehl"/>
          <w:sz w:val="28"/>
          <w:szCs w:val="28"/>
          <w:rtl/>
        </w:rPr>
      </w:pPr>
      <w:r>
        <w:rPr>
          <w:rFonts w:cs="FrankRuehl" w:hint="cs"/>
          <w:sz w:val="28"/>
          <w:szCs w:val="28"/>
          <w:rtl/>
        </w:rPr>
        <w:t>הנאשם רכש נשק זה במועד לא ידוע, וביום 2.10.11, פנה שוטר שפעל כסוכן סמוי אל יצחק ששון וביקש ממנו להשיג עבורו אקדח.</w:t>
      </w:r>
    </w:p>
    <w:p w14:paraId="59196627" w14:textId="77777777" w:rsidR="00A43EF6" w:rsidRDefault="0034469C" w:rsidP="00E21C44">
      <w:pPr>
        <w:rPr>
          <w:rFonts w:cs="FrankRuehl"/>
          <w:sz w:val="28"/>
          <w:szCs w:val="28"/>
          <w:rtl/>
        </w:rPr>
      </w:pPr>
      <w:r>
        <w:rPr>
          <w:rFonts w:cs="FrankRuehl" w:hint="cs"/>
          <w:sz w:val="28"/>
          <w:szCs w:val="28"/>
          <w:rtl/>
        </w:rPr>
        <w:t>הנאשם, יצחק ששון ו</w:t>
      </w:r>
      <w:r w:rsidR="00E21C44">
        <w:rPr>
          <w:rFonts w:cs="FrankRuehl" w:hint="cs"/>
          <w:sz w:val="28"/>
          <w:szCs w:val="28"/>
          <w:rtl/>
        </w:rPr>
        <w:t xml:space="preserve">פלוני </w:t>
      </w:r>
      <w:r>
        <w:rPr>
          <w:rFonts w:cs="FrankRuehl" w:hint="cs"/>
          <w:sz w:val="28"/>
          <w:szCs w:val="28"/>
          <w:rtl/>
        </w:rPr>
        <w:t>קשרו קשר לסחור באקדח הברטה בכך שימכרוהו לסוכן תמורת 7,000 ₪.</w:t>
      </w:r>
    </w:p>
    <w:p w14:paraId="3E70DECE" w14:textId="77777777" w:rsidR="00A43EF6" w:rsidRDefault="0034469C" w:rsidP="00E21C44">
      <w:pPr>
        <w:rPr>
          <w:rFonts w:cs="FrankRuehl"/>
          <w:sz w:val="28"/>
          <w:szCs w:val="28"/>
          <w:rtl/>
        </w:rPr>
      </w:pPr>
      <w:r>
        <w:rPr>
          <w:rFonts w:cs="FrankRuehl" w:hint="cs"/>
          <w:sz w:val="28"/>
          <w:szCs w:val="28"/>
          <w:rtl/>
        </w:rPr>
        <w:t>הנאשם עדכן את יצחק ו</w:t>
      </w:r>
      <w:r w:rsidR="00E21C44">
        <w:rPr>
          <w:rFonts w:cs="FrankRuehl" w:hint="cs"/>
          <w:sz w:val="28"/>
          <w:szCs w:val="28"/>
          <w:rtl/>
        </w:rPr>
        <w:t>פלוני</w:t>
      </w:r>
      <w:r>
        <w:rPr>
          <w:rFonts w:cs="FrankRuehl" w:hint="cs"/>
          <w:sz w:val="28"/>
          <w:szCs w:val="28"/>
          <w:rtl/>
        </w:rPr>
        <w:t xml:space="preserve"> במקום הימצאו של האקדח בבור באור יהודה, ע"מ שימכרוהו לשוטר. </w:t>
      </w:r>
    </w:p>
    <w:p w14:paraId="0B204940" w14:textId="77777777" w:rsidR="00A43EF6" w:rsidRDefault="0034469C" w:rsidP="00E21C44">
      <w:pPr>
        <w:rPr>
          <w:rFonts w:cs="FrankRuehl"/>
          <w:sz w:val="28"/>
          <w:szCs w:val="28"/>
          <w:rtl/>
        </w:rPr>
      </w:pPr>
      <w:bookmarkStart w:id="5" w:name="ABSTRACT_END"/>
      <w:bookmarkEnd w:id="5"/>
      <w:r>
        <w:rPr>
          <w:rFonts w:cs="FrankRuehl" w:hint="cs"/>
          <w:sz w:val="28"/>
          <w:szCs w:val="28"/>
          <w:rtl/>
        </w:rPr>
        <w:t>ביום 10.10.11 בערב נפגשו יצחק ו</w:t>
      </w:r>
      <w:r w:rsidR="00E21C44">
        <w:rPr>
          <w:rFonts w:cs="FrankRuehl" w:hint="cs"/>
          <w:sz w:val="28"/>
          <w:szCs w:val="28"/>
          <w:rtl/>
        </w:rPr>
        <w:t>פלוני</w:t>
      </w:r>
      <w:r>
        <w:rPr>
          <w:rFonts w:cs="FrankRuehl" w:hint="cs"/>
          <w:sz w:val="28"/>
          <w:szCs w:val="28"/>
          <w:rtl/>
        </w:rPr>
        <w:t xml:space="preserve"> עם השוטר, והעבירו לו את האקדח, קיבלו ממנו 6,990 ₪, והעבירו את הכסף לנאשם.</w:t>
      </w:r>
    </w:p>
    <w:p w14:paraId="70A6C981" w14:textId="77777777" w:rsidR="00A43EF6" w:rsidRDefault="00A43EF6">
      <w:pPr>
        <w:rPr>
          <w:rFonts w:cs="FrankRuehl"/>
          <w:sz w:val="28"/>
          <w:szCs w:val="28"/>
          <w:rtl/>
        </w:rPr>
      </w:pPr>
    </w:p>
    <w:p w14:paraId="498D4EFA" w14:textId="77777777" w:rsidR="00A43EF6" w:rsidRDefault="0034469C">
      <w:pPr>
        <w:rPr>
          <w:rFonts w:cs="FrankRuehl"/>
          <w:sz w:val="28"/>
          <w:szCs w:val="28"/>
          <w:rtl/>
        </w:rPr>
      </w:pPr>
      <w:r>
        <w:rPr>
          <w:rFonts w:cs="FrankRuehl" w:hint="cs"/>
          <w:sz w:val="28"/>
          <w:szCs w:val="28"/>
          <w:rtl/>
        </w:rPr>
        <w:t>בגין זאת הורשע הנאשם על פי הודאתו בעבירות של קשירת קשר לביצוע פשע לפי סע' 499 (א)(1) ל</w:t>
      </w:r>
      <w:hyperlink r:id="rId6" w:history="1">
        <w:r w:rsidRPr="0034469C">
          <w:rPr>
            <w:rStyle w:val="Hyperlink"/>
            <w:rFonts w:cs="FrankRuehl" w:hint="eastAsia"/>
            <w:sz w:val="28"/>
            <w:szCs w:val="28"/>
            <w:rtl/>
          </w:rPr>
          <w:t>חוק</w:t>
        </w:r>
        <w:r w:rsidRPr="0034469C">
          <w:rPr>
            <w:rStyle w:val="Hyperlink"/>
            <w:rFonts w:cs="FrankRuehl"/>
            <w:sz w:val="28"/>
            <w:szCs w:val="28"/>
            <w:rtl/>
          </w:rPr>
          <w:t xml:space="preserve"> העונשין</w:t>
        </w:r>
      </w:hyperlink>
      <w:r>
        <w:rPr>
          <w:rFonts w:cs="FrankRuehl" w:hint="cs"/>
          <w:sz w:val="28"/>
          <w:szCs w:val="28"/>
          <w:rtl/>
        </w:rPr>
        <w:t xml:space="preserve">, תשל"ז-1977, סחר בנשק לפי סע' 144 (ב2) לחוק העונשין, והחזקת נשק לפי סע' 144 (א) לחוק העונשין, כמיוחס לו בפרט האישום הראשון, של כתב האישום המתוקן. </w:t>
      </w:r>
    </w:p>
    <w:p w14:paraId="4D1BA310" w14:textId="77777777" w:rsidR="00A43EF6" w:rsidRDefault="0034469C">
      <w:pPr>
        <w:rPr>
          <w:rFonts w:cs="FrankRuehl"/>
          <w:sz w:val="28"/>
          <w:szCs w:val="28"/>
          <w:rtl/>
        </w:rPr>
      </w:pPr>
      <w:r>
        <w:rPr>
          <w:rFonts w:cs="FrankRuehl" w:hint="cs"/>
          <w:sz w:val="28"/>
          <w:szCs w:val="28"/>
          <w:rtl/>
        </w:rPr>
        <w:t xml:space="preserve">  </w:t>
      </w:r>
    </w:p>
    <w:p w14:paraId="384B7946" w14:textId="77777777" w:rsidR="00A43EF6" w:rsidRDefault="0034469C" w:rsidP="00E21C44">
      <w:pPr>
        <w:rPr>
          <w:rFonts w:cs="FrankRuehl"/>
          <w:sz w:val="28"/>
          <w:szCs w:val="28"/>
          <w:rtl/>
        </w:rPr>
      </w:pPr>
      <w:r>
        <w:rPr>
          <w:rFonts w:cs="FrankRuehl" w:hint="cs"/>
          <w:sz w:val="28"/>
          <w:szCs w:val="28"/>
          <w:rtl/>
        </w:rPr>
        <w:t>ביום 11.10.11 ביקש השוטר מיצחק ו</w:t>
      </w:r>
      <w:r w:rsidR="00E21C44">
        <w:rPr>
          <w:rFonts w:cs="FrankRuehl" w:hint="cs"/>
          <w:sz w:val="28"/>
          <w:szCs w:val="28"/>
          <w:rtl/>
        </w:rPr>
        <w:t>פלוני</w:t>
      </w:r>
      <w:r>
        <w:rPr>
          <w:rFonts w:cs="FrankRuehl" w:hint="cs"/>
          <w:sz w:val="28"/>
          <w:szCs w:val="28"/>
          <w:rtl/>
        </w:rPr>
        <w:t xml:space="preserve"> כי יספקו לו סם כתמורה על כך שהאקדח שמכרו לו ישן, והנאשם ו</w:t>
      </w:r>
      <w:r w:rsidR="00E21C44">
        <w:rPr>
          <w:rFonts w:cs="FrankRuehl" w:hint="cs"/>
          <w:sz w:val="28"/>
          <w:szCs w:val="28"/>
          <w:rtl/>
        </w:rPr>
        <w:t>פלוני</w:t>
      </w:r>
      <w:r>
        <w:rPr>
          <w:rFonts w:cs="FrankRuehl" w:hint="cs"/>
          <w:sz w:val="28"/>
          <w:szCs w:val="28"/>
          <w:rtl/>
        </w:rPr>
        <w:t xml:space="preserve"> ביצעו עסקה אחרת בסם בכך שהעבירו לשוטר 7.85 ג' סם מסוג חשיש, בשווי 400 ₪.</w:t>
      </w:r>
    </w:p>
    <w:p w14:paraId="427851D0" w14:textId="77777777" w:rsidR="00A43EF6" w:rsidRDefault="00A43EF6">
      <w:pPr>
        <w:rPr>
          <w:rFonts w:cs="FrankRuehl"/>
          <w:sz w:val="28"/>
          <w:szCs w:val="28"/>
          <w:rtl/>
        </w:rPr>
      </w:pPr>
    </w:p>
    <w:p w14:paraId="1CE77B2C" w14:textId="77777777" w:rsidR="00A43EF6" w:rsidRDefault="0034469C">
      <w:pPr>
        <w:rPr>
          <w:rFonts w:cs="FrankRuehl"/>
          <w:sz w:val="28"/>
          <w:szCs w:val="28"/>
          <w:rtl/>
        </w:rPr>
      </w:pPr>
      <w:r>
        <w:rPr>
          <w:rFonts w:cs="FrankRuehl" w:hint="cs"/>
          <w:sz w:val="28"/>
          <w:szCs w:val="28"/>
          <w:rtl/>
        </w:rPr>
        <w:t>בגין זאת הורשע הנאשם על פי הודאתו בעבירה של עסקה אחרת בסם לפי סע' 13 ל</w:t>
      </w:r>
      <w:hyperlink r:id="rId7" w:history="1">
        <w:r w:rsidRPr="0034469C">
          <w:rPr>
            <w:rStyle w:val="Hyperlink"/>
            <w:rFonts w:cs="FrankRuehl" w:hint="eastAsia"/>
            <w:sz w:val="28"/>
            <w:szCs w:val="28"/>
            <w:rtl/>
          </w:rPr>
          <w:t>פקודת</w:t>
        </w:r>
        <w:r w:rsidRPr="0034469C">
          <w:rPr>
            <w:rStyle w:val="Hyperlink"/>
            <w:rFonts w:cs="FrankRuehl"/>
            <w:sz w:val="28"/>
            <w:szCs w:val="28"/>
            <w:rtl/>
          </w:rPr>
          <w:t xml:space="preserve"> הסמים המסוכנים</w:t>
        </w:r>
      </w:hyperlink>
      <w:r>
        <w:rPr>
          <w:rFonts w:cs="FrankRuehl" w:hint="cs"/>
          <w:sz w:val="28"/>
          <w:szCs w:val="28"/>
          <w:rtl/>
        </w:rPr>
        <w:t xml:space="preserve"> (נוסח חדש) תשל"ג-1973, כמיוחס לו בפרט האישום השני של כתב האישום המתוקן. </w:t>
      </w:r>
    </w:p>
    <w:p w14:paraId="776CFBF5" w14:textId="77777777" w:rsidR="00A43EF6" w:rsidRDefault="00A43EF6">
      <w:pPr>
        <w:rPr>
          <w:rFonts w:cs="FrankRuehl"/>
          <w:sz w:val="28"/>
          <w:szCs w:val="28"/>
          <w:rtl/>
        </w:rPr>
      </w:pPr>
    </w:p>
    <w:p w14:paraId="2B0ACFF4" w14:textId="77777777" w:rsidR="00A43EF6" w:rsidRDefault="0034469C">
      <w:pPr>
        <w:rPr>
          <w:rFonts w:cs="FrankRuehl"/>
          <w:sz w:val="28"/>
          <w:szCs w:val="28"/>
          <w:rtl/>
        </w:rPr>
      </w:pPr>
      <w:r>
        <w:rPr>
          <w:rFonts w:cs="FrankRuehl" w:hint="cs"/>
          <w:sz w:val="28"/>
          <w:szCs w:val="28"/>
          <w:rtl/>
        </w:rPr>
        <w:lastRenderedPageBreak/>
        <w:t>הרשעת הנאשם בכתב האישום המתוקן נעשתה מכח הסדר טיעון שעל פיו הסכימו הצדדים כי הנאשם ישלח לקבלת תסקיר שירות המבחן, אולם לא היה הסדר לענין העונש.</w:t>
      </w:r>
    </w:p>
    <w:p w14:paraId="58D8977C" w14:textId="77777777" w:rsidR="00A43EF6" w:rsidRDefault="00A43EF6">
      <w:pPr>
        <w:rPr>
          <w:rFonts w:cs="FrankRuehl"/>
          <w:sz w:val="28"/>
          <w:szCs w:val="28"/>
          <w:rtl/>
        </w:rPr>
      </w:pPr>
    </w:p>
    <w:p w14:paraId="083853B5" w14:textId="77777777" w:rsidR="00A43EF6" w:rsidRDefault="0034469C">
      <w:pPr>
        <w:rPr>
          <w:rFonts w:cs="FrankRuehl"/>
          <w:sz w:val="28"/>
          <w:szCs w:val="28"/>
          <w:rtl/>
        </w:rPr>
      </w:pPr>
      <w:r>
        <w:rPr>
          <w:rFonts w:cs="FrankRuehl" w:hint="cs"/>
          <w:sz w:val="28"/>
          <w:szCs w:val="28"/>
          <w:rtl/>
        </w:rPr>
        <w:t>שירות המבחן סקר בתסקירו הראשון את נסיבות חייו של הנאשם, שנכון ל- 10.6.12 היה בן 19, ומשולב מזה מחצית השנה בתהליך טיפולי בכפר הגמילה "מלכישוע".</w:t>
      </w:r>
    </w:p>
    <w:p w14:paraId="73EFEA31" w14:textId="77777777" w:rsidR="00A43EF6" w:rsidRDefault="00A43EF6">
      <w:pPr>
        <w:rPr>
          <w:rFonts w:cs="FrankRuehl"/>
          <w:sz w:val="28"/>
          <w:szCs w:val="28"/>
          <w:rtl/>
        </w:rPr>
      </w:pPr>
    </w:p>
    <w:p w14:paraId="55F856C8" w14:textId="77777777" w:rsidR="00A43EF6" w:rsidRDefault="0034469C">
      <w:pPr>
        <w:rPr>
          <w:rFonts w:cs="FrankRuehl"/>
          <w:sz w:val="28"/>
          <w:szCs w:val="28"/>
          <w:rtl/>
        </w:rPr>
      </w:pPr>
      <w:r>
        <w:rPr>
          <w:rFonts w:cs="FrankRuehl" w:hint="cs"/>
          <w:sz w:val="28"/>
          <w:szCs w:val="28"/>
          <w:rtl/>
        </w:rPr>
        <w:t>הנאשם הוא הבן הצעיר ומשפחתו מונה 6 ילדים, ניהל אורח חיים התמכרותי, אביו ריצה תקופות מאסר ממושכות והנאשם היה ללא השגחה ובהיותו בן 15, שולב במסגרת המיועדת לתלמידים בעלי קשיים התנהגותיים, אולם התקשה להסתגל ונשר משם.</w:t>
      </w:r>
    </w:p>
    <w:p w14:paraId="33260F99" w14:textId="77777777" w:rsidR="00A43EF6" w:rsidRDefault="0034469C">
      <w:pPr>
        <w:rPr>
          <w:rFonts w:cs="FrankRuehl"/>
          <w:sz w:val="28"/>
          <w:szCs w:val="28"/>
          <w:rtl/>
        </w:rPr>
      </w:pPr>
      <w:r>
        <w:rPr>
          <w:rFonts w:cs="FrankRuehl" w:hint="cs"/>
          <w:sz w:val="28"/>
          <w:szCs w:val="28"/>
          <w:rtl/>
        </w:rPr>
        <w:t>מצבו הדרדר  והוא חבר לחברה שלילית.</w:t>
      </w:r>
    </w:p>
    <w:p w14:paraId="56312B5C" w14:textId="77777777" w:rsidR="00A43EF6" w:rsidRDefault="00A43EF6">
      <w:pPr>
        <w:rPr>
          <w:rFonts w:cs="FrankRuehl"/>
          <w:sz w:val="28"/>
          <w:szCs w:val="28"/>
          <w:rtl/>
        </w:rPr>
      </w:pPr>
    </w:p>
    <w:p w14:paraId="37594CE7" w14:textId="77777777" w:rsidR="00A43EF6" w:rsidRDefault="0034469C">
      <w:pPr>
        <w:rPr>
          <w:rFonts w:cs="FrankRuehl"/>
          <w:sz w:val="28"/>
          <w:szCs w:val="28"/>
          <w:rtl/>
        </w:rPr>
      </w:pPr>
      <w:r>
        <w:rPr>
          <w:rFonts w:cs="FrankRuehl" w:hint="cs"/>
          <w:sz w:val="28"/>
          <w:szCs w:val="28"/>
          <w:rtl/>
        </w:rPr>
        <w:t>נכון  לעריכת התסקיר הראשון, העריך שירות המבחן כי הנאשם נמצא בסיכון להמשך מעורבות פלילית ולביצוע עבירות חמורות, אולם סבר שקיים פוטנציאל לשיקום אם יורחק מסביבתו החברתית, ולכן המליץ לשלבו במסגרת של קהילה טיפולית סגורה.</w:t>
      </w:r>
    </w:p>
    <w:p w14:paraId="77E803A5" w14:textId="77777777" w:rsidR="00A43EF6" w:rsidRDefault="00A43EF6">
      <w:pPr>
        <w:rPr>
          <w:rFonts w:cs="FrankRuehl"/>
          <w:sz w:val="28"/>
          <w:szCs w:val="28"/>
          <w:rtl/>
        </w:rPr>
      </w:pPr>
    </w:p>
    <w:p w14:paraId="1AE0C6F5" w14:textId="77777777" w:rsidR="00A43EF6" w:rsidRDefault="0034469C">
      <w:pPr>
        <w:rPr>
          <w:rFonts w:cs="FrankRuehl"/>
          <w:sz w:val="28"/>
          <w:szCs w:val="28"/>
          <w:rtl/>
        </w:rPr>
      </w:pPr>
      <w:r>
        <w:rPr>
          <w:rFonts w:cs="FrankRuehl" w:hint="cs"/>
          <w:sz w:val="28"/>
          <w:szCs w:val="28"/>
          <w:rtl/>
        </w:rPr>
        <w:t>הנאשם השתלב בקהילה זו, והחל לגלות תובנה ומודעות למצבו.</w:t>
      </w:r>
    </w:p>
    <w:p w14:paraId="3C3D5BC7" w14:textId="77777777" w:rsidR="00A43EF6" w:rsidRDefault="00A43EF6">
      <w:pPr>
        <w:rPr>
          <w:rFonts w:cs="FrankRuehl"/>
          <w:sz w:val="28"/>
          <w:szCs w:val="28"/>
          <w:rtl/>
        </w:rPr>
      </w:pPr>
    </w:p>
    <w:p w14:paraId="18F6B2AB" w14:textId="77777777" w:rsidR="00A43EF6" w:rsidRDefault="0034469C">
      <w:pPr>
        <w:rPr>
          <w:rFonts w:cs="FrankRuehl"/>
          <w:sz w:val="28"/>
          <w:szCs w:val="28"/>
          <w:rtl/>
        </w:rPr>
      </w:pPr>
      <w:r>
        <w:rPr>
          <w:rFonts w:cs="FrankRuehl" w:hint="cs"/>
          <w:sz w:val="28"/>
          <w:szCs w:val="28"/>
          <w:rtl/>
        </w:rPr>
        <w:t>נתבקשה דחיה בדיון, ובתסקיר שני מיום 16.10.12, מסר שירות המבחן כי בינתיים נידון הנאשם בבימ"ש לתעבורה בגין נהיגה בשכרות וללא רשיון נהיגה תקף, לצו מבחן למשך 18 חודשים.   שירות המבחן התרשם כי למרות קשיים אותם חווה בעבר, נתקל הנאשם לראשונה בחייו בדמויות סמכותיות, ושירות המבחן סבר כי הוא מגלה נכונות להשתלב בקהילה, והמליץ על דחיה  נוספת.</w:t>
      </w:r>
    </w:p>
    <w:p w14:paraId="4B3107A3" w14:textId="77777777" w:rsidR="00A43EF6" w:rsidRDefault="00A43EF6">
      <w:pPr>
        <w:rPr>
          <w:rFonts w:cs="FrankRuehl"/>
          <w:sz w:val="28"/>
          <w:szCs w:val="28"/>
          <w:rtl/>
        </w:rPr>
      </w:pPr>
    </w:p>
    <w:p w14:paraId="32FED6ED" w14:textId="77777777" w:rsidR="00A43EF6" w:rsidRDefault="0034469C">
      <w:pPr>
        <w:rPr>
          <w:rFonts w:cs="FrankRuehl"/>
          <w:sz w:val="28"/>
          <w:szCs w:val="28"/>
          <w:rtl/>
        </w:rPr>
      </w:pPr>
      <w:r>
        <w:rPr>
          <w:rFonts w:cs="FrankRuehl" w:hint="cs"/>
          <w:sz w:val="28"/>
          <w:szCs w:val="28"/>
          <w:rtl/>
        </w:rPr>
        <w:t>תסקיר שלישי מיום 17.1.13, מציין כי הנאשם סייים לשהות שנה במסגרת של נווה מלכישוע, ועבר לשלב טיפולי מתקדם, שבמסגרתו עבר לדירת מעבר, הוסטל בעפולה, ושם רכש מיומנויות להתמודדות במסגרת תעסוקתית.</w:t>
      </w:r>
    </w:p>
    <w:p w14:paraId="75880C59" w14:textId="77777777" w:rsidR="00A43EF6" w:rsidRDefault="00A43EF6">
      <w:pPr>
        <w:rPr>
          <w:rFonts w:cs="FrankRuehl"/>
          <w:sz w:val="28"/>
          <w:szCs w:val="28"/>
          <w:rtl/>
        </w:rPr>
      </w:pPr>
    </w:p>
    <w:p w14:paraId="7F4EB2C1" w14:textId="77777777" w:rsidR="00A43EF6" w:rsidRDefault="0034469C">
      <w:pPr>
        <w:rPr>
          <w:rFonts w:cs="FrankRuehl"/>
          <w:sz w:val="28"/>
          <w:szCs w:val="28"/>
          <w:rtl/>
        </w:rPr>
      </w:pPr>
      <w:r>
        <w:rPr>
          <w:rFonts w:cs="FrankRuehl" w:hint="cs"/>
          <w:sz w:val="28"/>
          <w:szCs w:val="28"/>
          <w:rtl/>
        </w:rPr>
        <w:t>שירות המבחן סבר כי ביצוע העבירות ע"י הנאשם היה על רקע מציאות משפחתית מורכבת וסביבה חברתית שולית, בנוסף לאישיות חלשה ובלתי בשלה, אולם ראה כגורם סיכוי את תהליך הטיפולי המשמעותי והממושך שעבר הנאשם, ולאור גילו הצעיר שהוא בן 20 סבר כי ניתן לסיים את הדיון, אולם הטלת מאסר בפועל עלולה להחליש את הנאשם, להביא לנסיגה לדפוסים שליליים שהיו בעבר ולחבל בהשגיו הטיפוליים ובתפקודו החיובי כפי שבא לידי ביטוי בקהילה.  לפיכך המליץ השרות על הטלת צו מבחן לשנה בתנאים של המשך טיפול בהוסטל והשתלבות בהליך טיפולי ביחידה לטיפול בהתמכרויות, זאת לצד  הטלת מאסר שתרוצה בעבודות שירות, אולם ביקש כי תחילת ריצוי העבודות יהיו רק כעבור חצי שנה כדי שהנאשם ימצה את ההליך הטיפולי במסגרת ההוסטל.</w:t>
      </w:r>
    </w:p>
    <w:p w14:paraId="092CA335" w14:textId="77777777" w:rsidR="00A43EF6" w:rsidRDefault="00A43EF6">
      <w:pPr>
        <w:rPr>
          <w:rFonts w:cs="FrankRuehl"/>
          <w:sz w:val="28"/>
          <w:szCs w:val="28"/>
          <w:rtl/>
        </w:rPr>
      </w:pPr>
    </w:p>
    <w:p w14:paraId="107DDCEF" w14:textId="77777777" w:rsidR="00A43EF6" w:rsidRDefault="0034469C">
      <w:pPr>
        <w:rPr>
          <w:rFonts w:cs="FrankRuehl"/>
          <w:sz w:val="28"/>
          <w:szCs w:val="28"/>
          <w:rtl/>
        </w:rPr>
      </w:pPr>
      <w:r>
        <w:rPr>
          <w:rFonts w:cs="FrankRuehl" w:hint="cs"/>
          <w:sz w:val="28"/>
          <w:szCs w:val="28"/>
          <w:rtl/>
        </w:rPr>
        <w:t>ביום 21.1.13 מצאתי שאין עוד מקום לסיים את הטיפול המשפטי, שכן אין טעם בהטלת מאסר בעבודות שירות שריצויו יידחה בששה חודשים, ולכן, דחיתי את הדיון בחצי שנה, כדי לאפשר מיצוי ההליך הטיפולי בהוסטל תוך שהנאשם מוסיף להיות בפיקוח של שירות המבחן.</w:t>
      </w:r>
    </w:p>
    <w:p w14:paraId="47916489" w14:textId="77777777" w:rsidR="00A43EF6" w:rsidRDefault="00A43EF6">
      <w:pPr>
        <w:rPr>
          <w:rFonts w:cs="FrankRuehl"/>
          <w:sz w:val="28"/>
          <w:szCs w:val="28"/>
          <w:rtl/>
        </w:rPr>
      </w:pPr>
    </w:p>
    <w:p w14:paraId="2FCABFF3" w14:textId="77777777" w:rsidR="00A43EF6" w:rsidRDefault="0034469C">
      <w:pPr>
        <w:rPr>
          <w:rFonts w:cs="FrankRuehl"/>
          <w:sz w:val="28"/>
          <w:szCs w:val="28"/>
          <w:rtl/>
        </w:rPr>
      </w:pPr>
      <w:r>
        <w:rPr>
          <w:rFonts w:cs="FrankRuehl" w:hint="cs"/>
          <w:sz w:val="28"/>
          <w:szCs w:val="28"/>
          <w:rtl/>
        </w:rPr>
        <w:t xml:space="preserve">לקראת הדיון בנושא הטיעונים לעונש, מסר שירות המבחן תסקיר רביעי מיום 23.5.13, שם צויין כי הנאשם סיים את התהליך הטיפולי במסגרת הסגורה, הוא מתגורר בהוסטל בעפולה, המדריך בהוסטל העריך את תפקודו החיובי והשתלבותו החברתית התקינה תוך יציאה מסודרת לעבודה, והנאשם הביע רצון להמשיך להתגורר באזור עפולה בשכירות יחד עם בוגר נוסף של ההוסטל. </w:t>
      </w:r>
    </w:p>
    <w:p w14:paraId="1032A180" w14:textId="77777777" w:rsidR="00A43EF6" w:rsidRDefault="00A43EF6">
      <w:pPr>
        <w:rPr>
          <w:rFonts w:cs="FrankRuehl"/>
          <w:sz w:val="28"/>
          <w:szCs w:val="28"/>
          <w:rtl/>
        </w:rPr>
      </w:pPr>
    </w:p>
    <w:p w14:paraId="016A6546" w14:textId="77777777" w:rsidR="00A43EF6" w:rsidRDefault="0034469C">
      <w:pPr>
        <w:rPr>
          <w:rFonts w:cs="FrankRuehl"/>
          <w:sz w:val="28"/>
          <w:szCs w:val="28"/>
          <w:rtl/>
        </w:rPr>
      </w:pPr>
      <w:r>
        <w:rPr>
          <w:rFonts w:cs="FrankRuehl" w:hint="cs"/>
          <w:sz w:val="28"/>
          <w:szCs w:val="28"/>
          <w:rtl/>
        </w:rPr>
        <w:t>שירות המבחן שב והמליץ להטיל על הנאשם צו מבחן לשנה ע"מ לשלבו בטיפול המיועד למכורים הנקיים מסמים, זאת לצד המלצה של הטלת מאסר בדרך של עבודות שירות.</w:t>
      </w:r>
    </w:p>
    <w:p w14:paraId="69BBE3A0" w14:textId="77777777" w:rsidR="00A43EF6" w:rsidRDefault="00A43EF6">
      <w:pPr>
        <w:rPr>
          <w:rFonts w:cs="FrankRuehl"/>
          <w:sz w:val="28"/>
          <w:szCs w:val="28"/>
          <w:rtl/>
        </w:rPr>
      </w:pPr>
    </w:p>
    <w:p w14:paraId="68186FFA" w14:textId="77777777" w:rsidR="00A43EF6" w:rsidRDefault="0034469C">
      <w:pPr>
        <w:rPr>
          <w:rFonts w:cs="FrankRuehl"/>
          <w:sz w:val="28"/>
          <w:szCs w:val="28"/>
          <w:rtl/>
        </w:rPr>
      </w:pPr>
      <w:r>
        <w:rPr>
          <w:rFonts w:cs="FrankRuehl" w:hint="cs"/>
          <w:sz w:val="28"/>
          <w:szCs w:val="28"/>
          <w:rtl/>
        </w:rPr>
        <w:t>למרות המלצות אלה של שירות המבחן עתרה התביעה להטלת עונש מאסר בפועל ממשי על הנאשם, לאור חומרת העבירות כמפורט בכתב האישום המתוקן ולאור העונש שהוטל על אחד מהשותפים לעבירה, יצחק ששון. ששון נידון בביהמ"ש המחוזי בפני הרכב אחר, בגין 8 עבירות, השתיים הראשונות  מתייחסות לעבירות משותפות לו ולנאשם. הוא נידון לעונש של  28 חודשי מאסר בפועל, 12 חודשי מאסר ע"ת, וקנס בסך 7,500 ₪.</w:t>
      </w:r>
    </w:p>
    <w:p w14:paraId="0C8CC2FC" w14:textId="77777777" w:rsidR="00A43EF6" w:rsidRDefault="00A43EF6">
      <w:pPr>
        <w:rPr>
          <w:rFonts w:cs="FrankRuehl"/>
          <w:sz w:val="28"/>
          <w:szCs w:val="28"/>
          <w:rtl/>
        </w:rPr>
      </w:pPr>
    </w:p>
    <w:p w14:paraId="0F20E603" w14:textId="77777777" w:rsidR="00A43EF6" w:rsidRDefault="0034469C">
      <w:pPr>
        <w:rPr>
          <w:rFonts w:cs="FrankRuehl"/>
          <w:sz w:val="28"/>
          <w:szCs w:val="28"/>
          <w:rtl/>
        </w:rPr>
      </w:pPr>
      <w:r>
        <w:rPr>
          <w:rFonts w:cs="FrankRuehl" w:hint="cs"/>
          <w:sz w:val="28"/>
          <w:szCs w:val="28"/>
          <w:rtl/>
        </w:rPr>
        <w:t>יצויין כי יצחק ששון היה בן 21 בזמן ביצוע העבירות, אולם נסיון להשתלב בטיפול של שירות המבחן לא צלח ולא ניתנה המלצה חיובית בעניינו.</w:t>
      </w:r>
    </w:p>
    <w:p w14:paraId="7C24B7DC" w14:textId="77777777" w:rsidR="00A43EF6" w:rsidRDefault="00A43EF6">
      <w:pPr>
        <w:rPr>
          <w:rFonts w:cs="FrankRuehl"/>
          <w:sz w:val="28"/>
          <w:szCs w:val="28"/>
          <w:rtl/>
        </w:rPr>
      </w:pPr>
    </w:p>
    <w:p w14:paraId="27AE6AA9" w14:textId="77777777" w:rsidR="00A43EF6" w:rsidRDefault="0034469C" w:rsidP="00E21C44">
      <w:pPr>
        <w:rPr>
          <w:rFonts w:cs="FrankRuehl"/>
          <w:sz w:val="28"/>
          <w:szCs w:val="28"/>
          <w:rtl/>
        </w:rPr>
      </w:pPr>
      <w:r>
        <w:rPr>
          <w:rFonts w:cs="FrankRuehl" w:hint="cs"/>
          <w:sz w:val="28"/>
          <w:szCs w:val="28"/>
          <w:rtl/>
        </w:rPr>
        <w:t xml:space="preserve">השותף השני לעבירה, </w:t>
      </w:r>
      <w:r w:rsidR="00E21C44">
        <w:rPr>
          <w:rFonts w:cs="FrankRuehl" w:hint="cs"/>
          <w:sz w:val="28"/>
          <w:szCs w:val="28"/>
          <w:rtl/>
        </w:rPr>
        <w:t>פלוני</w:t>
      </w:r>
      <w:r>
        <w:rPr>
          <w:rFonts w:cs="FrankRuehl" w:hint="cs"/>
          <w:sz w:val="28"/>
          <w:szCs w:val="28"/>
          <w:rtl/>
        </w:rPr>
        <w:t>, נידון בביהמ"ש לנוער בת"א, בגין 5 עבירות, שתיים מהן משותפות לו ולנאשם, אולם התביעה הסתפקה בעתירה לגזור עליו מאסר ע"ת בלבד, עקב היותו קטין, ונתנאל הורשע בדינו, נגזר עליו 10 חודשי מאסר ע"ת וצו פיקוח שירות מבחן.</w:t>
      </w:r>
    </w:p>
    <w:p w14:paraId="693E930F" w14:textId="77777777" w:rsidR="00A43EF6" w:rsidRDefault="00A43EF6">
      <w:pPr>
        <w:rPr>
          <w:rFonts w:cs="FrankRuehl"/>
          <w:sz w:val="28"/>
          <w:szCs w:val="28"/>
          <w:rtl/>
        </w:rPr>
      </w:pPr>
    </w:p>
    <w:p w14:paraId="209C9319" w14:textId="77777777" w:rsidR="00A43EF6" w:rsidRDefault="0034469C">
      <w:pPr>
        <w:rPr>
          <w:rFonts w:cs="FrankRuehl"/>
          <w:sz w:val="28"/>
          <w:szCs w:val="28"/>
          <w:rtl/>
        </w:rPr>
      </w:pPr>
      <w:r>
        <w:rPr>
          <w:rFonts w:cs="FrankRuehl" w:hint="cs"/>
          <w:sz w:val="28"/>
          <w:szCs w:val="28"/>
          <w:rtl/>
        </w:rPr>
        <w:t>אין לראות את מעשיו של הנאשם ברף התחתון של עבירות נשק כפי שנטען ע"י הסנגוריה שכן, הנאשם רכש את האקדח בידיעה שמדובר בנשק שאחזקתו אסורה, ולאחר מכן מכר את האקדח בלא שידע שהרוכש הינו סוכן סמוי של המשטרה, ומבחינתו לא היה זה משנה מי הוא הרוכש, וסביר להניח שמדובר בעבריין.</w:t>
      </w:r>
    </w:p>
    <w:p w14:paraId="31C3E818" w14:textId="77777777" w:rsidR="00A43EF6" w:rsidRDefault="00A43EF6">
      <w:pPr>
        <w:rPr>
          <w:rFonts w:cs="FrankRuehl"/>
          <w:sz w:val="28"/>
          <w:szCs w:val="28"/>
          <w:rtl/>
        </w:rPr>
      </w:pPr>
    </w:p>
    <w:p w14:paraId="43ABBB88" w14:textId="77777777" w:rsidR="00A43EF6" w:rsidRDefault="0034469C">
      <w:pPr>
        <w:rPr>
          <w:rFonts w:cs="FrankRuehl"/>
          <w:sz w:val="28"/>
          <w:szCs w:val="28"/>
          <w:rtl/>
        </w:rPr>
      </w:pPr>
      <w:r>
        <w:rPr>
          <w:rFonts w:cs="FrankRuehl" w:hint="cs"/>
          <w:sz w:val="28"/>
          <w:szCs w:val="28"/>
          <w:rtl/>
        </w:rPr>
        <w:t>הסיכון שבעבירות נשק גלוי, ועל כן אין מקום להענות לעתירת הסנגוריה להסתפק בהטלת של"צ על הנאשם.</w:t>
      </w:r>
    </w:p>
    <w:p w14:paraId="2E462FF1" w14:textId="77777777" w:rsidR="00A43EF6" w:rsidRDefault="00A43EF6">
      <w:pPr>
        <w:rPr>
          <w:rFonts w:cs="FrankRuehl"/>
          <w:sz w:val="28"/>
          <w:szCs w:val="28"/>
          <w:rtl/>
        </w:rPr>
      </w:pPr>
    </w:p>
    <w:p w14:paraId="55A9FABB" w14:textId="77777777" w:rsidR="00A43EF6" w:rsidRDefault="0034469C">
      <w:pPr>
        <w:rPr>
          <w:rFonts w:cs="FrankRuehl"/>
          <w:sz w:val="28"/>
          <w:szCs w:val="28"/>
          <w:rtl/>
        </w:rPr>
      </w:pPr>
      <w:r>
        <w:rPr>
          <w:rFonts w:cs="FrankRuehl" w:hint="cs"/>
          <w:sz w:val="28"/>
          <w:szCs w:val="28"/>
          <w:rtl/>
        </w:rPr>
        <w:t>העונש שנגזר על יצחק ששון משקף את רמת הענישה הראויה, אולם בעניינו של הנאשם יש לשקול אחרת את הדברים.</w:t>
      </w:r>
    </w:p>
    <w:p w14:paraId="7504AB07" w14:textId="77777777" w:rsidR="00A43EF6" w:rsidRDefault="0034469C">
      <w:pPr>
        <w:rPr>
          <w:rFonts w:cs="FrankRuehl"/>
          <w:sz w:val="28"/>
          <w:szCs w:val="28"/>
          <w:rtl/>
        </w:rPr>
      </w:pPr>
      <w:r>
        <w:rPr>
          <w:rFonts w:cs="FrankRuehl" w:hint="cs"/>
          <w:sz w:val="28"/>
          <w:szCs w:val="28"/>
          <w:rtl/>
        </w:rPr>
        <w:t>ראשית, גילו של הנאשם היה חצי שנה בלבד גדול יותר מזה של נתנאל שנידון למאסר ע"ת בלבד, אף שנידון כקטין בבימ"ש לנוער.</w:t>
      </w:r>
    </w:p>
    <w:p w14:paraId="4F22163E" w14:textId="77777777" w:rsidR="00A43EF6" w:rsidRDefault="0034469C">
      <w:pPr>
        <w:rPr>
          <w:rFonts w:cs="FrankRuehl"/>
          <w:sz w:val="28"/>
          <w:szCs w:val="28"/>
          <w:rtl/>
        </w:rPr>
      </w:pPr>
      <w:r>
        <w:rPr>
          <w:rFonts w:cs="FrankRuehl" w:hint="cs"/>
          <w:sz w:val="28"/>
          <w:szCs w:val="28"/>
          <w:rtl/>
        </w:rPr>
        <w:t>שנית, וזה העיקר, הנאשם עבר שינוי משמעותי ביותר בחייו. מנער שהתחבר לחברה שלילית וניהל אורח חיים של התחברות לחברה עבריינית, הפך למי שמעונין להשתלב בחברה, ובמשך 18 חודשים הוכיח את עצמו כאדם שרוצה לשנות באורח משמעותי את אורחות חייו.</w:t>
      </w:r>
    </w:p>
    <w:p w14:paraId="69BC152C" w14:textId="77777777" w:rsidR="00A43EF6" w:rsidRDefault="00A43EF6">
      <w:pPr>
        <w:rPr>
          <w:rFonts w:cs="FrankRuehl"/>
          <w:sz w:val="28"/>
          <w:szCs w:val="28"/>
          <w:rtl/>
        </w:rPr>
      </w:pPr>
    </w:p>
    <w:p w14:paraId="6F853237" w14:textId="77777777" w:rsidR="00A43EF6" w:rsidRDefault="0034469C">
      <w:pPr>
        <w:rPr>
          <w:rFonts w:cs="FrankRuehl"/>
          <w:sz w:val="28"/>
          <w:szCs w:val="28"/>
          <w:rtl/>
        </w:rPr>
      </w:pPr>
      <w:r>
        <w:rPr>
          <w:rFonts w:cs="FrankRuehl" w:hint="cs"/>
          <w:sz w:val="28"/>
          <w:szCs w:val="28"/>
          <w:rtl/>
        </w:rPr>
        <w:t>לא ניתן להתעלם מהמלצת שירות המבחן שלא לגזור עונש מאסר בפועל שידרדר את הנאשם ויחזירו למצבו הקודם, ויש לתת משקל רב להמלצה להטיל צו מבחן ומאסר בדרך של עבודות שירות.</w:t>
      </w:r>
    </w:p>
    <w:p w14:paraId="63E46423" w14:textId="77777777" w:rsidR="00A43EF6" w:rsidRDefault="00A43EF6">
      <w:pPr>
        <w:rPr>
          <w:rFonts w:cs="FrankRuehl"/>
          <w:sz w:val="28"/>
          <w:szCs w:val="28"/>
          <w:rtl/>
        </w:rPr>
      </w:pPr>
    </w:p>
    <w:p w14:paraId="4BE26BCE" w14:textId="77777777" w:rsidR="00A43EF6" w:rsidRDefault="0034469C">
      <w:pPr>
        <w:rPr>
          <w:rFonts w:cs="FrankRuehl"/>
          <w:sz w:val="28"/>
          <w:szCs w:val="28"/>
          <w:rtl/>
        </w:rPr>
      </w:pPr>
      <w:r>
        <w:rPr>
          <w:rFonts w:cs="FrankRuehl" w:hint="cs"/>
          <w:sz w:val="28"/>
          <w:szCs w:val="28"/>
          <w:rtl/>
        </w:rPr>
        <w:t>לפיכך החלטתי להמנע מהטלת מאסר ממשי על הנאשם, יחד עם זאת לא ניתן כאמור להסתפק בעונש של של"צ בגין עבירות חמורות שהפגיעה הנשקפת לציבור מהן גדולה, וקל לשער מה השימוש הפלילי שהיה עלול להיעשות בנשק אילו נמכר לעבריין ולא לסוכן סמוי, עובדה שהנאשם כמובן לא ידע.</w:t>
      </w:r>
    </w:p>
    <w:p w14:paraId="484E968D" w14:textId="77777777" w:rsidR="00A43EF6" w:rsidRDefault="00A43EF6">
      <w:pPr>
        <w:rPr>
          <w:rFonts w:cs="FrankRuehl"/>
          <w:sz w:val="28"/>
          <w:szCs w:val="28"/>
          <w:rtl/>
        </w:rPr>
      </w:pPr>
    </w:p>
    <w:p w14:paraId="09F27B77" w14:textId="77777777" w:rsidR="00A43EF6" w:rsidRDefault="0034469C">
      <w:pPr>
        <w:rPr>
          <w:rFonts w:cs="FrankRuehl"/>
          <w:sz w:val="28"/>
          <w:szCs w:val="28"/>
          <w:rtl/>
        </w:rPr>
      </w:pPr>
      <w:r>
        <w:rPr>
          <w:rFonts w:cs="FrankRuehl" w:hint="cs"/>
          <w:sz w:val="28"/>
          <w:szCs w:val="28"/>
          <w:rtl/>
        </w:rPr>
        <w:t>הנאשם ראוי איפוא כי יגזר עליו עונש של מאסר, אולם בהתחשב בהמלצת שירות המבחן וכן בעונש שנגזר על נתנאל הצעיר מהנאשם בששה חודשים בלבד, נראה כי המלצת שירות המבחן להסתפק במאסר בדרך של עבודות שירות, ראויה. יש להתחשב גם בעובדה שהנאשם היה במעצר ממשי במשך שלושה חודשים בגין תיק זה.</w:t>
      </w:r>
    </w:p>
    <w:p w14:paraId="36772859" w14:textId="77777777" w:rsidR="00A43EF6" w:rsidRDefault="00A43EF6">
      <w:pPr>
        <w:rPr>
          <w:rFonts w:cs="FrankRuehl"/>
          <w:sz w:val="28"/>
          <w:szCs w:val="28"/>
          <w:rtl/>
        </w:rPr>
      </w:pPr>
    </w:p>
    <w:p w14:paraId="1453A6F1" w14:textId="77777777" w:rsidR="00A43EF6" w:rsidRDefault="0034469C">
      <w:pPr>
        <w:rPr>
          <w:rFonts w:cs="FrankRuehl"/>
          <w:sz w:val="28"/>
          <w:szCs w:val="28"/>
          <w:rtl/>
        </w:rPr>
      </w:pPr>
      <w:r>
        <w:rPr>
          <w:rFonts w:cs="FrankRuehl" w:hint="cs"/>
          <w:sz w:val="28"/>
          <w:szCs w:val="28"/>
          <w:rtl/>
        </w:rPr>
        <w:t xml:space="preserve">לאור זאת, אני גוזר על הנאשם ששה חודשי מאסר בפועל שירוצו בעבודות שירות בחברה קדישא, רח' ארלוזורוב 32 עפולה,  חמישה ימים בשבוע, 8.5 שעות עבודה יומיות, החל מיום 28.7.13. המפקח האחראי </w:t>
      </w:r>
      <w:r>
        <w:rPr>
          <w:rFonts w:cs="FrankRuehl"/>
          <w:sz w:val="28"/>
          <w:szCs w:val="28"/>
          <w:rtl/>
        </w:rPr>
        <w:t>–</w:t>
      </w:r>
      <w:r>
        <w:rPr>
          <w:rFonts w:cs="FrankRuehl" w:hint="cs"/>
          <w:sz w:val="28"/>
          <w:szCs w:val="28"/>
          <w:rtl/>
        </w:rPr>
        <w:t xml:space="preserve"> ממן שלמה טלפון 0504074390.</w:t>
      </w:r>
    </w:p>
    <w:p w14:paraId="68381F66" w14:textId="77777777" w:rsidR="00A43EF6" w:rsidRDefault="0034469C">
      <w:pPr>
        <w:rPr>
          <w:rFonts w:cs="FrankRuehl"/>
          <w:sz w:val="28"/>
          <w:szCs w:val="28"/>
          <w:rtl/>
        </w:rPr>
      </w:pPr>
      <w:r>
        <w:rPr>
          <w:rFonts w:cs="FrankRuehl" w:hint="cs"/>
          <w:sz w:val="28"/>
          <w:szCs w:val="28"/>
          <w:rtl/>
        </w:rPr>
        <w:t xml:space="preserve">על הנאשם להתייצב ביום 28.7.13 שעה 08.00 במשרדי הממונה על עבודות שירות במפקדת מחוז צפון של שב"ס, כפר מג'אר. </w:t>
      </w:r>
    </w:p>
    <w:p w14:paraId="4C198091" w14:textId="77777777" w:rsidR="00A43EF6" w:rsidRDefault="0034469C">
      <w:pPr>
        <w:rPr>
          <w:rFonts w:cs="FrankRuehl"/>
          <w:sz w:val="28"/>
          <w:szCs w:val="28"/>
          <w:rtl/>
        </w:rPr>
      </w:pPr>
      <w:r>
        <w:rPr>
          <w:rFonts w:cs="FrankRuehl" w:hint="cs"/>
          <w:sz w:val="28"/>
          <w:szCs w:val="28"/>
          <w:rtl/>
        </w:rPr>
        <w:t>הנאשם מוזהר כי אם לא יתייצב במועד הנ"ל, או לא יתייצב לביצוע עבודות השרות, או  לא ימלא אחר ההוראות הניתנות לו במקום העבודה, תופסקנה עבודות השירות, ויהיה עליו לרצות את עונשו בבית סוהר.</w:t>
      </w:r>
    </w:p>
    <w:p w14:paraId="096625D4" w14:textId="77777777" w:rsidR="00A43EF6" w:rsidRDefault="0034469C">
      <w:pPr>
        <w:rPr>
          <w:rFonts w:cs="FrankRuehl"/>
          <w:b/>
          <w:bCs/>
          <w:sz w:val="28"/>
          <w:szCs w:val="28"/>
          <w:rtl/>
        </w:rPr>
      </w:pPr>
      <w:r>
        <w:rPr>
          <w:rFonts w:cs="FrankRuehl" w:hint="cs"/>
          <w:sz w:val="28"/>
          <w:szCs w:val="28"/>
          <w:rtl/>
        </w:rPr>
        <w:t xml:space="preserve">כמו כן הוא מוזהר כי יהיה עליו למסור דגימות שתן לגילוי סמים או אלכוהול וכי אין לשתות אלכוהול במקום העבודה או להגיע בגילופין </w:t>
      </w:r>
      <w:r>
        <w:rPr>
          <w:rFonts w:cs="FrankRuehl"/>
          <w:sz w:val="28"/>
          <w:szCs w:val="28"/>
          <w:rtl/>
        </w:rPr>
        <w:t>–</w:t>
      </w:r>
      <w:r>
        <w:rPr>
          <w:rFonts w:cs="FrankRuehl" w:hint="cs"/>
          <w:sz w:val="28"/>
          <w:szCs w:val="28"/>
          <w:rtl/>
        </w:rPr>
        <w:t xml:space="preserve"> דבר שיהווה עילה להפסקת עבודות השירות ולריצוי המאסר בבית סוהר.</w:t>
      </w:r>
    </w:p>
    <w:p w14:paraId="2EC5DFC1" w14:textId="77777777" w:rsidR="00A43EF6" w:rsidRDefault="00A43EF6">
      <w:pPr>
        <w:rPr>
          <w:rFonts w:cs="FrankRuehl"/>
          <w:sz w:val="28"/>
          <w:szCs w:val="28"/>
          <w:rtl/>
        </w:rPr>
      </w:pPr>
    </w:p>
    <w:p w14:paraId="7825A941" w14:textId="77777777" w:rsidR="00A43EF6" w:rsidRDefault="0034469C">
      <w:pPr>
        <w:rPr>
          <w:rFonts w:cs="FrankRuehl"/>
          <w:sz w:val="28"/>
          <w:szCs w:val="28"/>
          <w:rtl/>
        </w:rPr>
      </w:pPr>
      <w:r>
        <w:rPr>
          <w:rFonts w:cs="FrankRuehl" w:hint="cs"/>
          <w:sz w:val="28"/>
          <w:szCs w:val="28"/>
          <w:rtl/>
        </w:rPr>
        <w:t>כמו כן אני מטיל עליו שנה מאסר ע"ת שלא יעבור תוך 3 שנים עבירות שעניינן החזקת נשק, סחר בנשק או נשיאתו, וכן גוזר עליו ששה חודשי מאסר ע"ת שלא יעבור תוך 3 שנים עבירה בניגוד ל</w:t>
      </w:r>
      <w:hyperlink r:id="rId8" w:history="1">
        <w:r w:rsidRPr="0034469C">
          <w:rPr>
            <w:rStyle w:val="Hyperlink"/>
            <w:rFonts w:cs="FrankRuehl" w:hint="eastAsia"/>
            <w:sz w:val="28"/>
            <w:szCs w:val="28"/>
            <w:rtl/>
          </w:rPr>
          <w:t>פקודת</w:t>
        </w:r>
        <w:r w:rsidRPr="0034469C">
          <w:rPr>
            <w:rStyle w:val="Hyperlink"/>
            <w:rFonts w:cs="FrankRuehl"/>
            <w:sz w:val="28"/>
            <w:szCs w:val="28"/>
            <w:rtl/>
          </w:rPr>
          <w:t xml:space="preserve"> הסמים המסוכנים</w:t>
        </w:r>
      </w:hyperlink>
      <w:r>
        <w:rPr>
          <w:rFonts w:cs="FrankRuehl" w:hint="cs"/>
          <w:sz w:val="28"/>
          <w:szCs w:val="28"/>
          <w:rtl/>
        </w:rPr>
        <w:t>.</w:t>
      </w:r>
    </w:p>
    <w:p w14:paraId="57DB2104" w14:textId="77777777" w:rsidR="00A43EF6" w:rsidRDefault="00A43EF6">
      <w:pPr>
        <w:rPr>
          <w:rFonts w:cs="FrankRuehl"/>
          <w:sz w:val="28"/>
          <w:szCs w:val="28"/>
          <w:rtl/>
        </w:rPr>
      </w:pPr>
    </w:p>
    <w:p w14:paraId="0C8E80C8" w14:textId="77777777" w:rsidR="00A43EF6" w:rsidRDefault="0034469C">
      <w:pPr>
        <w:rPr>
          <w:rFonts w:cs="FrankRuehl"/>
          <w:sz w:val="28"/>
          <w:szCs w:val="28"/>
          <w:rtl/>
        </w:rPr>
      </w:pPr>
      <w:r>
        <w:rPr>
          <w:rFonts w:cs="FrankRuehl" w:hint="cs"/>
          <w:sz w:val="28"/>
          <w:szCs w:val="28"/>
          <w:rtl/>
        </w:rPr>
        <w:t>לאור העובדה שהנאשם עומד להתחיל בביצוע עבודות שירות וכתוצאה מכך יפסיק את עבודתו בה הוא עובד כרגע, אני נמנע מהטלת עונש של קנס.</w:t>
      </w:r>
    </w:p>
    <w:p w14:paraId="51EF2277" w14:textId="77777777" w:rsidR="00A43EF6" w:rsidRDefault="0034469C">
      <w:pPr>
        <w:rPr>
          <w:rFonts w:cs="FrankRuehl"/>
          <w:sz w:val="28"/>
          <w:szCs w:val="28"/>
          <w:rtl/>
        </w:rPr>
      </w:pPr>
      <w:r>
        <w:rPr>
          <w:rFonts w:cs="FrankRuehl" w:hint="cs"/>
          <w:sz w:val="28"/>
          <w:szCs w:val="28"/>
          <w:rtl/>
        </w:rPr>
        <w:t>עוד אני מטיל על הנאשם צו מבחן למשך שנה, על מנת שישולב בטיפול למכורים נקיים מסמים.</w:t>
      </w:r>
    </w:p>
    <w:p w14:paraId="5E0A16B4" w14:textId="77777777" w:rsidR="00A43EF6" w:rsidRDefault="00A43EF6">
      <w:pPr>
        <w:rPr>
          <w:rFonts w:cs="FrankRuehl"/>
          <w:sz w:val="28"/>
          <w:szCs w:val="28"/>
          <w:rtl/>
        </w:rPr>
      </w:pPr>
    </w:p>
    <w:p w14:paraId="4415F1AC" w14:textId="77777777" w:rsidR="00A43EF6" w:rsidRDefault="0034469C">
      <w:pPr>
        <w:rPr>
          <w:rFonts w:cs="FrankRuehl"/>
          <w:sz w:val="28"/>
          <w:szCs w:val="28"/>
          <w:rtl/>
        </w:rPr>
      </w:pPr>
      <w:r>
        <w:rPr>
          <w:rFonts w:cs="FrankRuehl" w:hint="cs"/>
          <w:sz w:val="28"/>
          <w:szCs w:val="28"/>
          <w:rtl/>
        </w:rPr>
        <w:t xml:space="preserve">לאור המלצת שירות המבחן שלא להחזיר את הנאשם למקום מגוריו ולאור ההמלצות שניתנו ע"י העו"ס של קהילת מלכישוע וע"י מנהל הרשות העירונית למלחמה בסמים ואלכוהול בעירית עפולה, ממליץ ביהמ"ש לשירות הרווחה, בעירית עפולה, לסייע לנאשם ככל האפשר בזמן ביצוע עבודות השירות במימון שכירות הדירה שהוא נמצא בה עתה בעפולה. </w:t>
      </w:r>
    </w:p>
    <w:p w14:paraId="18E53E1C" w14:textId="77777777" w:rsidR="00A43EF6" w:rsidRDefault="00A43EF6">
      <w:pPr>
        <w:rPr>
          <w:rFonts w:cs="FrankRuehl"/>
          <w:sz w:val="28"/>
          <w:szCs w:val="28"/>
          <w:rtl/>
        </w:rPr>
      </w:pPr>
    </w:p>
    <w:p w14:paraId="2D8C7DDB" w14:textId="77777777" w:rsidR="00A43EF6" w:rsidRDefault="00A43EF6">
      <w:pPr>
        <w:rPr>
          <w:rFonts w:cs="FrankRuehl"/>
          <w:sz w:val="28"/>
          <w:szCs w:val="28"/>
          <w:rtl/>
        </w:rPr>
      </w:pPr>
    </w:p>
    <w:p w14:paraId="01C5118E" w14:textId="77777777" w:rsidR="00A43EF6" w:rsidRDefault="00A43EF6">
      <w:pPr>
        <w:rPr>
          <w:rFonts w:cs="FrankRuehl"/>
          <w:sz w:val="28"/>
          <w:szCs w:val="28"/>
          <w:rtl/>
        </w:rPr>
      </w:pPr>
    </w:p>
    <w:p w14:paraId="003F23A5" w14:textId="77777777" w:rsidR="00A43EF6" w:rsidRDefault="00A43EF6">
      <w:pPr>
        <w:rPr>
          <w:rFonts w:cs="FrankRuehl"/>
          <w:sz w:val="28"/>
          <w:szCs w:val="28"/>
          <w:rtl/>
        </w:rPr>
      </w:pPr>
    </w:p>
    <w:p w14:paraId="1147271F" w14:textId="77777777" w:rsidR="00A43EF6" w:rsidRDefault="00A43EF6">
      <w:pPr>
        <w:rPr>
          <w:rFonts w:cs="FrankRuehl"/>
          <w:sz w:val="28"/>
          <w:szCs w:val="28"/>
          <w:rtl/>
        </w:rPr>
      </w:pPr>
    </w:p>
    <w:p w14:paraId="71B480E2" w14:textId="77777777" w:rsidR="00A43EF6" w:rsidRDefault="0034469C">
      <w:pPr>
        <w:rPr>
          <w:rFonts w:cs="FrankRuehl"/>
          <w:sz w:val="28"/>
          <w:szCs w:val="28"/>
          <w:rtl/>
        </w:rPr>
      </w:pPr>
      <w:r>
        <w:rPr>
          <w:rFonts w:cs="FrankRuehl" w:hint="cs"/>
          <w:sz w:val="28"/>
          <w:szCs w:val="28"/>
          <w:rtl/>
        </w:rPr>
        <w:t>העתק גזה"ד יועבר לממונה על עבודות שירות במפקדת מחוז צפון בשב"ס, ולשרות המבחן למבוגרים פתח תקוה, כמו כן יועבר העתק גזר הדין לאגף הרווחה בעירית עפולה.</w:t>
      </w:r>
    </w:p>
    <w:p w14:paraId="34C149A0" w14:textId="77777777" w:rsidR="00A43EF6" w:rsidRDefault="00A43EF6">
      <w:pPr>
        <w:rPr>
          <w:rFonts w:cs="FrankRuehl"/>
          <w:sz w:val="28"/>
          <w:szCs w:val="28"/>
          <w:rtl/>
        </w:rPr>
      </w:pPr>
    </w:p>
    <w:p w14:paraId="76324BC6" w14:textId="77777777" w:rsidR="00A43EF6" w:rsidRDefault="0034469C">
      <w:pPr>
        <w:rPr>
          <w:rFonts w:cs="FrankRuehl"/>
          <w:sz w:val="28"/>
          <w:szCs w:val="28"/>
          <w:rtl/>
        </w:rPr>
      </w:pPr>
      <w:r>
        <w:rPr>
          <w:rFonts w:cs="FrankRuehl" w:hint="cs"/>
          <w:sz w:val="28"/>
          <w:szCs w:val="28"/>
          <w:rtl/>
        </w:rPr>
        <w:t xml:space="preserve">זכות ערעור תוך 45 יום. </w:t>
      </w:r>
    </w:p>
    <w:p w14:paraId="0291E42B" w14:textId="77777777" w:rsidR="00A43EF6" w:rsidRPr="0034469C" w:rsidRDefault="0034469C">
      <w:pPr>
        <w:rPr>
          <w:rFonts w:cs="FrankRuehl"/>
          <w:color w:val="FFFFFF"/>
          <w:sz w:val="2"/>
          <w:szCs w:val="2"/>
          <w:rtl/>
        </w:rPr>
      </w:pPr>
      <w:r w:rsidRPr="0034469C">
        <w:rPr>
          <w:rFonts w:cs="FrankRuehl"/>
          <w:color w:val="FFFFFF"/>
          <w:sz w:val="2"/>
          <w:szCs w:val="2"/>
          <w:rtl/>
        </w:rPr>
        <w:t>5129371</w:t>
      </w:r>
    </w:p>
    <w:p w14:paraId="31EAF534" w14:textId="77777777" w:rsidR="00A43EF6" w:rsidRPr="0034469C" w:rsidRDefault="0034469C">
      <w:pPr>
        <w:rPr>
          <w:rFonts w:cs="FrankRuehl"/>
          <w:color w:val="FFFFFF"/>
          <w:sz w:val="2"/>
          <w:szCs w:val="2"/>
          <w:rtl/>
        </w:rPr>
      </w:pPr>
      <w:r w:rsidRPr="0034469C">
        <w:rPr>
          <w:rFonts w:cs="FrankRuehl"/>
          <w:color w:val="FFFFFF"/>
          <w:sz w:val="2"/>
          <w:szCs w:val="2"/>
          <w:rtl/>
        </w:rPr>
        <w:t>54678313</w:t>
      </w:r>
    </w:p>
    <w:p w14:paraId="1DCD8C7C" w14:textId="77777777" w:rsidR="00A43EF6" w:rsidRDefault="0034469C">
      <w:pPr>
        <w:pStyle w:val="a3"/>
        <w:jc w:val="center"/>
        <w:rPr>
          <w:rtl/>
        </w:rPr>
      </w:pPr>
      <w:r>
        <w:rPr>
          <w:rFonts w:ascii="Arial" w:hAnsi="Arial"/>
          <w:rtl/>
        </w:rPr>
        <w:t xml:space="preserve">ניתן היום,  כ"ד תמוז תשע"ג, 02 יולי 2013, במעמד הצדדים. </w:t>
      </w:r>
    </w:p>
    <w:p w14:paraId="71932B30" w14:textId="77777777" w:rsidR="00A43EF6" w:rsidRDefault="00A43EF6">
      <w:pPr>
        <w:pStyle w:val="a3"/>
        <w:jc w:val="center"/>
        <w:rPr>
          <w:rtl/>
        </w:rPr>
      </w:pPr>
    </w:p>
    <w:p w14:paraId="35ECCED8" w14:textId="77777777" w:rsidR="00A43EF6" w:rsidRDefault="0034469C">
      <w:pPr>
        <w:pStyle w:val="a3"/>
        <w:jc w:val="center"/>
        <w:rPr>
          <w:rtl/>
        </w:rPr>
      </w:pPr>
      <w:r>
        <w:rPr>
          <w:rFonts w:hint="cs"/>
          <w:rtl/>
        </w:rPr>
        <w:tab/>
        <w:t>____________________________</w:t>
      </w:r>
    </w:p>
    <w:p w14:paraId="58C7F86D" w14:textId="77777777" w:rsidR="0034469C" w:rsidRPr="006B44F3" w:rsidRDefault="006B44F3" w:rsidP="0034469C">
      <w:pPr>
        <w:pStyle w:val="a3"/>
        <w:keepNext/>
        <w:rPr>
          <w:rFonts w:ascii="David" w:hAnsi="David" w:hint="cs"/>
          <w:color w:val="FFFFFF"/>
          <w:sz w:val="2"/>
          <w:szCs w:val="2"/>
          <w:rtl/>
        </w:rPr>
      </w:pPr>
      <w:r w:rsidRPr="006B44F3">
        <w:rPr>
          <w:rFonts w:ascii="David" w:hAnsi="David"/>
          <w:color w:val="FFFFFF"/>
          <w:sz w:val="2"/>
          <w:szCs w:val="2"/>
          <w:rtl/>
        </w:rPr>
        <w:t>5129371</w:t>
      </w:r>
    </w:p>
    <w:p w14:paraId="0A926423" w14:textId="77777777" w:rsidR="006B44F3" w:rsidRPr="00030DA0" w:rsidRDefault="00030DA0" w:rsidP="006B44F3">
      <w:pPr>
        <w:pStyle w:val="a3"/>
        <w:keepNext/>
        <w:rPr>
          <w:rFonts w:ascii="David" w:hAnsi="David" w:hint="cs"/>
          <w:color w:val="FFFFFF"/>
          <w:sz w:val="2"/>
          <w:szCs w:val="2"/>
          <w:rtl/>
        </w:rPr>
      </w:pPr>
      <w:r w:rsidRPr="00030DA0">
        <w:rPr>
          <w:rFonts w:ascii="David" w:hAnsi="David"/>
          <w:color w:val="FFFFFF"/>
          <w:sz w:val="2"/>
          <w:szCs w:val="2"/>
          <w:rtl/>
        </w:rPr>
        <w:t>5129371</w:t>
      </w:r>
    </w:p>
    <w:p w14:paraId="2D1853D4" w14:textId="77777777" w:rsidR="00030DA0" w:rsidRPr="00030DA0" w:rsidRDefault="00030DA0" w:rsidP="00030DA0">
      <w:pPr>
        <w:pStyle w:val="a3"/>
        <w:keepNext/>
        <w:rPr>
          <w:rFonts w:ascii="David" w:hAnsi="David" w:hint="cs"/>
          <w:color w:val="000000"/>
          <w:sz w:val="22"/>
          <w:szCs w:val="22"/>
          <w:rtl/>
        </w:rPr>
      </w:pPr>
    </w:p>
    <w:p w14:paraId="1954BFF0" w14:textId="77777777" w:rsidR="00030DA0" w:rsidRPr="00030DA0" w:rsidRDefault="00030DA0" w:rsidP="00030DA0">
      <w:pPr>
        <w:pStyle w:val="a3"/>
        <w:keepNext/>
        <w:rPr>
          <w:rFonts w:ascii="David" w:hAnsi="David"/>
          <w:color w:val="000000"/>
          <w:sz w:val="22"/>
          <w:szCs w:val="22"/>
          <w:rtl/>
        </w:rPr>
      </w:pPr>
      <w:r w:rsidRPr="00030DA0">
        <w:rPr>
          <w:rFonts w:ascii="David" w:hAnsi="David"/>
          <w:color w:val="000000"/>
          <w:sz w:val="22"/>
          <w:szCs w:val="22"/>
          <w:rtl/>
        </w:rPr>
        <w:t>צבי גורפינקל 54678313-/</w:t>
      </w:r>
    </w:p>
    <w:p w14:paraId="63541E72" w14:textId="77777777" w:rsidR="00A43EF6" w:rsidRDefault="0034469C">
      <w:pPr>
        <w:pStyle w:val="a3"/>
        <w:jc w:val="center"/>
        <w:rPr>
          <w:rtl/>
        </w:rPr>
      </w:pPr>
      <w:r>
        <w:rPr>
          <w:rFonts w:hint="cs"/>
          <w:rtl/>
        </w:rPr>
        <w:tab/>
        <w:t>צבי גורפינקל, שופט בכיר</w:t>
      </w:r>
    </w:p>
    <w:p w14:paraId="2D20E776" w14:textId="77777777" w:rsidR="0034469C" w:rsidRDefault="0034469C" w:rsidP="0034469C">
      <w:pPr>
        <w:rPr>
          <w:rtl/>
        </w:rPr>
      </w:pPr>
    </w:p>
    <w:p w14:paraId="625C70DB" w14:textId="77777777" w:rsidR="00030DA0" w:rsidRPr="00030DA0" w:rsidRDefault="0034469C" w:rsidP="00030DA0">
      <w:pPr>
        <w:rPr>
          <w:color w:val="000000"/>
          <w:u w:val="single"/>
        </w:rPr>
      </w:pPr>
      <w:hyperlink r:id="rId9" w:history="1">
        <w:r>
          <w:rPr>
            <w:color w:val="0000FF"/>
            <w:u w:val="single"/>
            <w:rtl/>
          </w:rPr>
          <w:t>בעניין עריכה ושינויים במסמכי פסיקה, חקיקה ועוד באתר נבו – הקש כאן</w:t>
        </w:r>
      </w:hyperlink>
    </w:p>
    <w:p w14:paraId="0F627D58" w14:textId="77777777" w:rsidR="0034469C" w:rsidRDefault="00030DA0" w:rsidP="00030DA0">
      <w:pPr>
        <w:rPr>
          <w:color w:val="0000FF"/>
          <w:u w:val="single"/>
        </w:rPr>
      </w:pPr>
      <w:r w:rsidRPr="00030DA0">
        <w:rPr>
          <w:color w:val="000000"/>
          <w:u w:val="single"/>
          <w:rtl/>
        </w:rPr>
        <w:t>נוסח מסמך זה כפוף לשינויי ניסוח ועריכה</w:t>
      </w:r>
    </w:p>
    <w:sectPr w:rsidR="0034469C" w:rsidSect="00030DA0">
      <w:headerReference w:type="even" r:id="rId10"/>
      <w:headerReference w:type="default" r:id="rId11"/>
      <w:footerReference w:type="even" r:id="rId12"/>
      <w:footerReference w:type="default" r:id="rId1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66DB2D" w14:textId="77777777" w:rsidR="00174C8E" w:rsidRPr="003F013A" w:rsidRDefault="00174C8E">
      <w:pPr>
        <w:rPr>
          <w:rFonts w:cs="Arial"/>
          <w:szCs w:val="20"/>
        </w:rPr>
      </w:pPr>
      <w:r>
        <w:separator/>
      </w:r>
    </w:p>
  </w:endnote>
  <w:endnote w:type="continuationSeparator" w:id="0">
    <w:p w14:paraId="54E2B1BB" w14:textId="77777777" w:rsidR="00174C8E" w:rsidRPr="003F013A" w:rsidRDefault="00174C8E">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490A3D" w14:textId="77777777" w:rsidR="00030DA0" w:rsidRDefault="00030DA0" w:rsidP="00030DA0">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641A9B34" w14:textId="77777777" w:rsidR="0034469C" w:rsidRPr="00030DA0" w:rsidRDefault="00030DA0" w:rsidP="00030DA0">
    <w:pPr>
      <w:pStyle w:val="a4"/>
      <w:pBdr>
        <w:top w:val="single" w:sz="4" w:space="1" w:color="auto"/>
        <w:between w:val="single" w:sz="4" w:space="0" w:color="auto"/>
      </w:pBdr>
      <w:spacing w:after="60"/>
      <w:jc w:val="center"/>
      <w:rPr>
        <w:rFonts w:ascii="FrankRuehl" w:hAnsi="FrankRuehl" w:cs="FrankRuehl"/>
        <w:color w:val="000000"/>
      </w:rPr>
    </w:pPr>
    <w:r w:rsidRPr="00030DA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41B3DF" w14:textId="77777777" w:rsidR="00030DA0" w:rsidRDefault="00030DA0" w:rsidP="00030DA0">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21C44">
      <w:rPr>
        <w:rFonts w:ascii="FrankRuehl" w:hAnsi="FrankRuehl" w:cs="FrankRuehl"/>
        <w:rtl/>
      </w:rPr>
      <w:t>1</w:t>
    </w:r>
    <w:r>
      <w:rPr>
        <w:rFonts w:ascii="FrankRuehl" w:hAnsi="FrankRuehl" w:cs="FrankRuehl"/>
        <w:rtl/>
      </w:rPr>
      <w:fldChar w:fldCharType="end"/>
    </w:r>
  </w:p>
  <w:p w14:paraId="249E4EB3" w14:textId="77777777" w:rsidR="0034469C" w:rsidRPr="00030DA0" w:rsidRDefault="00030DA0" w:rsidP="00030DA0">
    <w:pPr>
      <w:pStyle w:val="a4"/>
      <w:pBdr>
        <w:top w:val="single" w:sz="4" w:space="1" w:color="auto"/>
        <w:between w:val="single" w:sz="4" w:space="0" w:color="auto"/>
      </w:pBdr>
      <w:spacing w:after="60"/>
      <w:jc w:val="center"/>
      <w:rPr>
        <w:rFonts w:ascii="FrankRuehl" w:hAnsi="FrankRuehl" w:cs="FrankRuehl"/>
        <w:color w:val="000000"/>
      </w:rPr>
    </w:pPr>
    <w:r w:rsidRPr="00030DA0">
      <w:rPr>
        <w:rFonts w:ascii="FrankRuehl" w:hAnsi="FrankRuehl" w:cs="FrankRuehl"/>
        <w:color w:val="000000"/>
      </w:rPr>
      <w:pict w14:anchorId="7288EE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3BFE6E" w14:textId="77777777" w:rsidR="00174C8E" w:rsidRPr="003F013A" w:rsidRDefault="00174C8E">
      <w:pPr>
        <w:rPr>
          <w:rFonts w:cs="Arial"/>
          <w:szCs w:val="20"/>
        </w:rPr>
      </w:pPr>
      <w:r>
        <w:separator/>
      </w:r>
    </w:p>
  </w:footnote>
  <w:footnote w:type="continuationSeparator" w:id="0">
    <w:p w14:paraId="2CC41121" w14:textId="77777777" w:rsidR="00174C8E" w:rsidRPr="003F013A" w:rsidRDefault="00174C8E">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C1B9DD" w14:textId="77777777" w:rsidR="0034469C" w:rsidRPr="00030DA0" w:rsidRDefault="00030DA0" w:rsidP="00030DA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3525-11-11</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AF2B10" w14:textId="77777777" w:rsidR="0034469C" w:rsidRPr="00030DA0" w:rsidRDefault="00030DA0" w:rsidP="00030DA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3525-11-11</w:t>
    </w:r>
    <w:r>
      <w:rPr>
        <w:rFonts w:ascii="David" w:hAnsi="David"/>
        <w:color w:val="000000"/>
        <w:sz w:val="22"/>
        <w:szCs w:val="22"/>
        <w:rtl/>
      </w:rPr>
      <w:tab/>
      <w:t xml:space="preserve"> מדינת ישראל נ' פלוני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43EF6"/>
    <w:rsid w:val="00030DA0"/>
    <w:rsid w:val="001016ED"/>
    <w:rsid w:val="00174C8E"/>
    <w:rsid w:val="0034469C"/>
    <w:rsid w:val="0041568D"/>
    <w:rsid w:val="006B44F3"/>
    <w:rsid w:val="007B3BD2"/>
    <w:rsid w:val="00A43EF6"/>
    <w:rsid w:val="00C41C1A"/>
    <w:rsid w:val="00D77AF3"/>
    <w:rsid w:val="00E21C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AF63459"/>
  <w15:chartTrackingRefBased/>
  <w15:docId w15:val="{C81F85D0-B70D-40D1-9017-8FF0ADA04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43EF6"/>
    <w:pPr>
      <w:bidi/>
    </w:pPr>
    <w:rPr>
      <w:rFonts w:cs="David"/>
      <w:noProof/>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A43EF6"/>
    <w:pPr>
      <w:tabs>
        <w:tab w:val="center" w:pos="4153"/>
        <w:tab w:val="right" w:pos="8306"/>
      </w:tabs>
    </w:pPr>
  </w:style>
  <w:style w:type="paragraph" w:styleId="a4">
    <w:name w:val="footer"/>
    <w:basedOn w:val="a"/>
    <w:rsid w:val="00A43EF6"/>
    <w:pPr>
      <w:tabs>
        <w:tab w:val="center" w:pos="4153"/>
        <w:tab w:val="right" w:pos="8306"/>
      </w:tabs>
    </w:pPr>
  </w:style>
  <w:style w:type="character" w:styleId="a5">
    <w:name w:val="page number"/>
    <w:basedOn w:val="a0"/>
    <w:rsid w:val="0034469C"/>
  </w:style>
  <w:style w:type="character" w:styleId="Hyperlink">
    <w:name w:val="Hyperlink"/>
    <w:basedOn w:val="a0"/>
    <w:rsid w:val="003446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html/law01/P170_001.htm"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_html/law01/P170_001.htm"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html/law01/073_002.htm"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1386</Words>
  <Characters>6931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בית המשפט המחוזי בתל אביב - יפו</vt:lpstr>
    </vt:vector>
  </TitlesOfParts>
  <Company> </Company>
  <LinksUpToDate>false</LinksUpToDate>
  <CharactersWithSpaces>8301</CharactersWithSpaces>
  <SharedDoc>false</SharedDoc>
  <HLinks>
    <vt:vector size="24" baseType="variant">
      <vt:variant>
        <vt:i4>393283</vt:i4>
      </vt:variant>
      <vt:variant>
        <vt:i4>9</vt:i4>
      </vt:variant>
      <vt:variant>
        <vt:i4>0</vt:i4>
      </vt:variant>
      <vt:variant>
        <vt:i4>5</vt:i4>
      </vt:variant>
      <vt:variant>
        <vt:lpwstr>http://www.nevo.co.il/advertisements/nevo-100.doc</vt:lpwstr>
      </vt:variant>
      <vt:variant>
        <vt:lpwstr/>
      </vt:variant>
      <vt:variant>
        <vt:i4>4849756</vt:i4>
      </vt:variant>
      <vt:variant>
        <vt:i4>6</vt:i4>
      </vt:variant>
      <vt:variant>
        <vt:i4>0</vt:i4>
      </vt:variant>
      <vt:variant>
        <vt:i4>5</vt:i4>
      </vt:variant>
      <vt:variant>
        <vt:lpwstr>http://www.nevo.co.il/law_html/law01/P170_001.htm</vt:lpwstr>
      </vt:variant>
      <vt:variant>
        <vt:lpwstr/>
      </vt:variant>
      <vt:variant>
        <vt:i4>4849756</vt:i4>
      </vt:variant>
      <vt:variant>
        <vt:i4>3</vt:i4>
      </vt:variant>
      <vt:variant>
        <vt:i4>0</vt:i4>
      </vt:variant>
      <vt:variant>
        <vt:i4>5</vt:i4>
      </vt:variant>
      <vt:variant>
        <vt:lpwstr>http://www.nevo.co.il/law_html/law01/P170_001.htm</vt:lpwstr>
      </vt:variant>
      <vt:variant>
        <vt:lpwstr/>
      </vt:variant>
      <vt:variant>
        <vt:i4>3932214</vt:i4>
      </vt:variant>
      <vt:variant>
        <vt:i4>0</vt:i4>
      </vt:variant>
      <vt:variant>
        <vt:i4>0</vt:i4>
      </vt:variant>
      <vt:variant>
        <vt:i4>5</vt:i4>
      </vt:variant>
      <vt:variant>
        <vt:lpwstr>http://www.nevo.co.il/law_html/law01/073_002.htm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בית המשפט המחוזי בתל אביב - יפו</dc:title>
  <dc:subject> </dc:subject>
  <dc:creator> </dc:creator>
  <cp:keywords/>
  <dc:description/>
  <cp:lastModifiedBy>Tal Klein</cp:lastModifiedBy>
  <cp:revision>2</cp:revision>
  <dcterms:created xsi:type="dcterms:W3CDTF">2025-04-25T10:26:00Z</dcterms:created>
  <dcterms:modified xsi:type="dcterms:W3CDTF">2025-04-25T10:26:00Z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3525</vt:lpwstr>
  </property>
  <property fmtid="{D5CDD505-2E9C-101B-9397-08002B2CF9AE}" pid="6" name="NEWPARTB">
    <vt:lpwstr>11</vt:lpwstr>
  </property>
  <property fmtid="{D5CDD505-2E9C-101B-9397-08002B2CF9AE}" pid="7" name="NEWPARTC">
    <vt:lpwstr>11</vt:lpwstr>
  </property>
  <property fmtid="{D5CDD505-2E9C-101B-9397-08002B2CF9AE}" pid="8" name="APPELLANT">
    <vt:lpwstr>מדינת ישראל</vt:lpwstr>
  </property>
  <property fmtid="{D5CDD505-2E9C-101B-9397-08002B2CF9AE}" pid="9" name="APPELLEE">
    <vt:lpwstr>מיכאל ששון</vt:lpwstr>
  </property>
  <property fmtid="{D5CDD505-2E9C-101B-9397-08002B2CF9AE}" pid="10" name="LAWYER">
    <vt:lpwstr>פמיליה;עורקבי  ויערי</vt:lpwstr>
  </property>
  <property fmtid="{D5CDD505-2E9C-101B-9397-08002B2CF9AE}" pid="11" name="JUDGE">
    <vt:lpwstr>צבי גורפינקל</vt:lpwstr>
  </property>
  <property fmtid="{D5CDD505-2E9C-101B-9397-08002B2CF9AE}" pid="12" name="CITY">
    <vt:lpwstr>ת"א</vt:lpwstr>
  </property>
  <property fmtid="{D5CDD505-2E9C-101B-9397-08002B2CF9AE}" pid="13" name="DATE">
    <vt:lpwstr>20130702</vt:lpwstr>
  </property>
  <property fmtid="{D5CDD505-2E9C-101B-9397-08002B2CF9AE}" pid="14" name="TYPE_N_DATE">
    <vt:lpwstr>39020130702</vt:lpwstr>
  </property>
  <property fmtid="{D5CDD505-2E9C-101B-9397-08002B2CF9AE}" pid="15" name="WORDNUMPAGES">
    <vt:lpwstr>4</vt:lpwstr>
  </property>
  <property fmtid="{D5CDD505-2E9C-101B-9397-08002B2CF9AE}" pid="16" name="TYPE_ABS_DATE">
    <vt:lpwstr>390020130702</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ies>
</file>