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322B9" w:rsidRPr="009322B9" w14:paraId="3AD1F54D" w14:textId="77777777" w:rsidTr="009322B9">
        <w:trPr>
          <w:trHeight w:hRule="exact" w:val="418"/>
          <w:jc w:val="center"/>
        </w:trPr>
        <w:tc>
          <w:tcPr>
            <w:tcW w:w="8720" w:type="dxa"/>
            <w:gridSpan w:val="3"/>
          </w:tcPr>
          <w:p w14:paraId="13C9ABD6" w14:textId="77777777" w:rsidR="009322B9" w:rsidRPr="009322B9" w:rsidRDefault="009322B9" w:rsidP="009322B9">
            <w:pPr>
              <w:pStyle w:val="a3"/>
              <w:tabs>
                <w:tab w:val="clear" w:pos="8306"/>
              </w:tabs>
              <w:jc w:val="center"/>
              <w:rPr>
                <w:rFonts w:ascii="Tahoma" w:hAnsi="Tahoma" w:cs="Tahoma"/>
                <w:b/>
                <w:bCs/>
                <w:color w:val="000080"/>
                <w:sz w:val="20"/>
                <w:szCs w:val="20"/>
                <w:rtl/>
              </w:rPr>
            </w:pPr>
            <w:bookmarkStart w:id="0" w:name="LastJudge"/>
            <w:r w:rsidRPr="009322B9">
              <w:rPr>
                <w:rFonts w:ascii="Tahoma" w:hAnsi="Tahoma" w:cs="Tahoma"/>
                <w:b/>
                <w:bCs/>
                <w:color w:val="000080"/>
                <w:sz w:val="20"/>
                <w:szCs w:val="20"/>
                <w:rtl/>
              </w:rPr>
              <w:t>בית המשפט המחוזי בנצרת</w:t>
            </w:r>
          </w:p>
        </w:tc>
      </w:tr>
      <w:tr w:rsidR="009322B9" w:rsidRPr="009322B9" w14:paraId="4668F384" w14:textId="77777777" w:rsidTr="009322B9">
        <w:trPr>
          <w:trHeight w:val="337"/>
          <w:jc w:val="center"/>
        </w:trPr>
        <w:tc>
          <w:tcPr>
            <w:tcW w:w="6396" w:type="dxa"/>
          </w:tcPr>
          <w:p w14:paraId="23BC6C88" w14:textId="77777777" w:rsidR="009322B9" w:rsidRPr="009322B9" w:rsidRDefault="009322B9" w:rsidP="009322B9">
            <w:pPr>
              <w:rPr>
                <w:b/>
                <w:bCs/>
                <w:sz w:val="26"/>
                <w:szCs w:val="26"/>
                <w:rtl/>
              </w:rPr>
            </w:pPr>
            <w:r w:rsidRPr="009322B9">
              <w:rPr>
                <w:b/>
                <w:bCs/>
                <w:sz w:val="26"/>
                <w:szCs w:val="26"/>
                <w:rtl/>
              </w:rPr>
              <w:t>ת"פ 38015-01-12 מדינת ישראל נ' סלימאן</w:t>
            </w:r>
          </w:p>
          <w:p w14:paraId="0E9C63EB" w14:textId="77777777" w:rsidR="009322B9" w:rsidRPr="009322B9" w:rsidRDefault="009322B9" w:rsidP="009322B9">
            <w:pPr>
              <w:rPr>
                <w:b/>
                <w:bCs/>
                <w:sz w:val="26"/>
                <w:szCs w:val="26"/>
                <w:rtl/>
              </w:rPr>
            </w:pPr>
          </w:p>
        </w:tc>
        <w:tc>
          <w:tcPr>
            <w:tcW w:w="236" w:type="dxa"/>
          </w:tcPr>
          <w:p w14:paraId="20B1DEED" w14:textId="77777777" w:rsidR="009322B9" w:rsidRPr="009322B9" w:rsidRDefault="009322B9" w:rsidP="009322B9">
            <w:pPr>
              <w:pStyle w:val="a3"/>
              <w:jc w:val="right"/>
              <w:rPr>
                <w:b/>
                <w:bCs/>
                <w:sz w:val="26"/>
                <w:szCs w:val="26"/>
                <w:rtl/>
              </w:rPr>
            </w:pPr>
          </w:p>
        </w:tc>
        <w:tc>
          <w:tcPr>
            <w:tcW w:w="2088" w:type="dxa"/>
          </w:tcPr>
          <w:p w14:paraId="62C1F88C" w14:textId="77777777" w:rsidR="009322B9" w:rsidRPr="009322B9" w:rsidRDefault="009322B9" w:rsidP="009322B9">
            <w:pPr>
              <w:pStyle w:val="a3"/>
              <w:tabs>
                <w:tab w:val="clear" w:pos="4153"/>
              </w:tabs>
              <w:jc w:val="right"/>
              <w:rPr>
                <w:b/>
                <w:bCs/>
                <w:sz w:val="26"/>
                <w:szCs w:val="26"/>
                <w:rtl/>
              </w:rPr>
            </w:pPr>
            <w:r w:rsidRPr="009322B9">
              <w:rPr>
                <w:b/>
                <w:bCs/>
                <w:sz w:val="26"/>
                <w:szCs w:val="26"/>
                <w:rtl/>
              </w:rPr>
              <w:t>23 אפריל 2013</w:t>
            </w:r>
          </w:p>
        </w:tc>
      </w:tr>
    </w:tbl>
    <w:p w14:paraId="4352F4EE" w14:textId="77777777" w:rsidR="009322B9" w:rsidRPr="009322B9" w:rsidRDefault="009322B9" w:rsidP="009322B9">
      <w:pPr>
        <w:pStyle w:val="a3"/>
        <w:jc w:val="center"/>
        <w:rPr>
          <w:rFonts w:ascii="Tahoma" w:hAnsi="Tahoma" w:cs="Tahoma"/>
          <w:b/>
          <w:bCs/>
          <w:color w:val="000080"/>
          <w:sz w:val="20"/>
          <w:szCs w:val="20"/>
          <w:rtl/>
        </w:rPr>
      </w:pPr>
    </w:p>
    <w:p w14:paraId="608B3077" w14:textId="77777777" w:rsidR="009322B9" w:rsidRPr="009322B9" w:rsidRDefault="009322B9">
      <w:pPr>
        <w:spacing w:line="360" w:lineRule="auto"/>
        <w:jc w:val="both"/>
        <w:rPr>
          <w:rtl/>
        </w:rPr>
      </w:pPr>
    </w:p>
    <w:tbl>
      <w:tblPr>
        <w:bidiVisual/>
        <w:tblW w:w="0" w:type="auto"/>
        <w:jc w:val="center"/>
        <w:tblLook w:val="0000" w:firstRow="0" w:lastRow="0" w:firstColumn="0" w:lastColumn="0" w:noHBand="0" w:noVBand="0"/>
      </w:tblPr>
      <w:tblGrid>
        <w:gridCol w:w="28"/>
        <w:gridCol w:w="1580"/>
        <w:gridCol w:w="1250"/>
        <w:gridCol w:w="5808"/>
        <w:gridCol w:w="54"/>
      </w:tblGrid>
      <w:tr w:rsidR="009322B9" w:rsidRPr="009322B9" w14:paraId="2B565335" w14:textId="77777777" w:rsidTr="009322B9">
        <w:trPr>
          <w:gridBefore w:val="1"/>
          <w:gridAfter w:val="1"/>
          <w:wAfter w:w="54" w:type="dxa"/>
          <w:trHeight w:val="337"/>
          <w:jc w:val="center"/>
        </w:trPr>
        <w:tc>
          <w:tcPr>
            <w:tcW w:w="1592" w:type="dxa"/>
          </w:tcPr>
          <w:p w14:paraId="56CF358C" w14:textId="77777777" w:rsidR="009322B9" w:rsidRPr="009322B9" w:rsidRDefault="009322B9" w:rsidP="009322B9">
            <w:pPr>
              <w:pStyle w:val="a3"/>
              <w:bidi w:val="0"/>
              <w:spacing w:line="360" w:lineRule="auto"/>
              <w:jc w:val="both"/>
              <w:rPr>
                <w:rFonts w:ascii="Times New Roman" w:hAnsi="Times New Roman"/>
              </w:rPr>
            </w:pPr>
            <w:r w:rsidRPr="009322B9">
              <w:rPr>
                <w:rFonts w:ascii="Times New Roman" w:hAnsi="Times New Roman"/>
              </w:rPr>
              <w:t xml:space="preserve">   </w:t>
            </w:r>
          </w:p>
        </w:tc>
        <w:tc>
          <w:tcPr>
            <w:tcW w:w="7128" w:type="dxa"/>
            <w:gridSpan w:val="2"/>
          </w:tcPr>
          <w:p w14:paraId="66462069" w14:textId="77777777" w:rsidR="009322B9" w:rsidRPr="009322B9" w:rsidRDefault="009322B9" w:rsidP="009322B9">
            <w:pPr>
              <w:pStyle w:val="a3"/>
              <w:jc w:val="right"/>
              <w:rPr>
                <w:b/>
                <w:bCs/>
                <w:sz w:val="26"/>
                <w:szCs w:val="26"/>
                <w:rtl/>
              </w:rPr>
            </w:pPr>
          </w:p>
        </w:tc>
      </w:tr>
      <w:tr w:rsidR="009322B9" w:rsidRPr="009322B9" w14:paraId="34A94D18" w14:textId="77777777" w:rsidTr="009322B9">
        <w:tblPrEx>
          <w:jc w:val="left"/>
          <w:tblLook w:val="01E0" w:firstRow="1" w:lastRow="1" w:firstColumn="1" w:lastColumn="1" w:noHBand="0" w:noVBand="0"/>
        </w:tblPrEx>
        <w:trPr>
          <w:gridBefore w:val="1"/>
          <w:gridAfter w:val="1"/>
          <w:wBefore w:w="28" w:type="dxa"/>
          <w:wAfter w:w="55" w:type="dxa"/>
        </w:trPr>
        <w:tc>
          <w:tcPr>
            <w:tcW w:w="8719" w:type="dxa"/>
            <w:gridSpan w:val="3"/>
          </w:tcPr>
          <w:p w14:paraId="29C2E3C9" w14:textId="77777777" w:rsidR="009322B9" w:rsidRPr="009322B9" w:rsidRDefault="009322B9" w:rsidP="009322B9">
            <w:pPr>
              <w:spacing w:line="360" w:lineRule="auto"/>
              <w:jc w:val="both"/>
              <w:rPr>
                <w:b/>
                <w:bCs/>
              </w:rPr>
            </w:pPr>
            <w:r w:rsidRPr="009322B9">
              <w:rPr>
                <w:b/>
                <w:bCs/>
                <w:rtl/>
              </w:rPr>
              <w:t>בפני כב' השופט שאהר אטרש</w:t>
            </w:r>
            <w:r w:rsidRPr="009322B9">
              <w:rPr>
                <w:rStyle w:val="TimesNewRomanTimesNewRoman"/>
                <w:sz w:val="24"/>
                <w:szCs w:val="24"/>
                <w:rtl/>
              </w:rPr>
              <w:t xml:space="preserve"> </w:t>
            </w:r>
          </w:p>
        </w:tc>
      </w:tr>
      <w:tr w:rsidR="009322B9" w:rsidRPr="009322B9" w14:paraId="50A3CA18" w14:textId="77777777" w:rsidTr="009322B9">
        <w:tblPrEx>
          <w:jc w:val="left"/>
          <w:tblLook w:val="01E0" w:firstRow="1" w:lastRow="1" w:firstColumn="1" w:lastColumn="1" w:noHBand="0" w:noVBand="0"/>
        </w:tblPrEx>
        <w:tc>
          <w:tcPr>
            <w:tcW w:w="2880" w:type="dxa"/>
            <w:gridSpan w:val="3"/>
          </w:tcPr>
          <w:p w14:paraId="5DFF5899" w14:textId="77777777" w:rsidR="009322B9" w:rsidRPr="009322B9" w:rsidRDefault="009322B9" w:rsidP="009322B9">
            <w:pPr>
              <w:ind w:left="26"/>
              <w:rPr>
                <w:b/>
                <w:bCs/>
              </w:rPr>
            </w:pPr>
            <w:bookmarkStart w:id="1" w:name="FirstAppellant"/>
            <w:r w:rsidRPr="009322B9">
              <w:rPr>
                <w:b/>
                <w:bCs/>
                <w:rtl/>
              </w:rPr>
              <w:t>המאשימה</w:t>
            </w:r>
          </w:p>
        </w:tc>
        <w:tc>
          <w:tcPr>
            <w:tcW w:w="5922" w:type="dxa"/>
            <w:gridSpan w:val="2"/>
          </w:tcPr>
          <w:p w14:paraId="27F6DF58" w14:textId="77777777" w:rsidR="009322B9" w:rsidRPr="009322B9" w:rsidRDefault="009322B9" w:rsidP="009322B9">
            <w:pPr>
              <w:rPr>
                <w:b/>
                <w:bCs/>
                <w:rtl/>
              </w:rPr>
            </w:pPr>
            <w:r w:rsidRPr="009322B9">
              <w:rPr>
                <w:b/>
                <w:bCs/>
                <w:rtl/>
              </w:rPr>
              <w:t>מדינת ישראל</w:t>
            </w:r>
          </w:p>
          <w:p w14:paraId="44E2ECD0" w14:textId="77777777" w:rsidR="009322B9" w:rsidRPr="009322B9" w:rsidRDefault="009322B9" w:rsidP="009322B9">
            <w:pPr>
              <w:rPr>
                <w:b/>
                <w:bCs/>
              </w:rPr>
            </w:pPr>
          </w:p>
        </w:tc>
      </w:tr>
      <w:bookmarkEnd w:id="1"/>
      <w:tr w:rsidR="009322B9" w:rsidRPr="009322B9" w14:paraId="62173B97" w14:textId="77777777" w:rsidTr="009322B9">
        <w:tblPrEx>
          <w:jc w:val="left"/>
          <w:tblLook w:val="01E0" w:firstRow="1" w:lastRow="1" w:firstColumn="1" w:lastColumn="1" w:noHBand="0" w:noVBand="0"/>
        </w:tblPrEx>
        <w:tc>
          <w:tcPr>
            <w:tcW w:w="8802" w:type="dxa"/>
            <w:gridSpan w:val="5"/>
          </w:tcPr>
          <w:p w14:paraId="368CCF17" w14:textId="77777777" w:rsidR="009322B9" w:rsidRPr="009322B9" w:rsidRDefault="009322B9" w:rsidP="009322B9">
            <w:pPr>
              <w:jc w:val="both"/>
              <w:rPr>
                <w:rFonts w:ascii="Arial" w:hAnsi="Arial"/>
                <w:b/>
                <w:bCs/>
                <w:rtl/>
              </w:rPr>
            </w:pPr>
          </w:p>
          <w:p w14:paraId="52F16D10" w14:textId="77777777" w:rsidR="009322B9" w:rsidRPr="009322B9" w:rsidRDefault="009322B9" w:rsidP="009322B9">
            <w:pPr>
              <w:jc w:val="center"/>
              <w:rPr>
                <w:rFonts w:ascii="Arial" w:hAnsi="Arial"/>
                <w:b/>
                <w:bCs/>
                <w:rtl/>
              </w:rPr>
            </w:pPr>
            <w:r w:rsidRPr="009322B9">
              <w:rPr>
                <w:rFonts w:ascii="Arial" w:hAnsi="Arial"/>
                <w:b/>
                <w:bCs/>
                <w:rtl/>
              </w:rPr>
              <w:t>נגד</w:t>
            </w:r>
          </w:p>
          <w:p w14:paraId="12F1D223" w14:textId="77777777" w:rsidR="009322B9" w:rsidRPr="009322B9" w:rsidRDefault="009322B9" w:rsidP="009322B9">
            <w:pPr>
              <w:jc w:val="center"/>
              <w:rPr>
                <w:rFonts w:ascii="Arial" w:hAnsi="Arial"/>
                <w:b/>
                <w:bCs/>
              </w:rPr>
            </w:pPr>
          </w:p>
        </w:tc>
      </w:tr>
      <w:tr w:rsidR="009322B9" w:rsidRPr="009322B9" w14:paraId="101D6EC1" w14:textId="77777777" w:rsidTr="009322B9">
        <w:tblPrEx>
          <w:jc w:val="left"/>
          <w:tblLook w:val="01E0" w:firstRow="1" w:lastRow="1" w:firstColumn="1" w:lastColumn="1" w:noHBand="0" w:noVBand="0"/>
        </w:tblPrEx>
        <w:tc>
          <w:tcPr>
            <w:tcW w:w="2880" w:type="dxa"/>
            <w:gridSpan w:val="3"/>
          </w:tcPr>
          <w:p w14:paraId="3055F682" w14:textId="77777777" w:rsidR="009322B9" w:rsidRPr="009322B9" w:rsidRDefault="009322B9" w:rsidP="009322B9">
            <w:pPr>
              <w:ind w:left="26"/>
              <w:rPr>
                <w:b/>
                <w:bCs/>
              </w:rPr>
            </w:pPr>
            <w:r w:rsidRPr="009322B9">
              <w:rPr>
                <w:b/>
                <w:bCs/>
                <w:rtl/>
              </w:rPr>
              <w:t>הנאשם</w:t>
            </w:r>
          </w:p>
        </w:tc>
        <w:tc>
          <w:tcPr>
            <w:tcW w:w="5922" w:type="dxa"/>
            <w:gridSpan w:val="2"/>
          </w:tcPr>
          <w:p w14:paraId="6CDEAD38" w14:textId="77777777" w:rsidR="009322B9" w:rsidRPr="009322B9" w:rsidRDefault="009322B9" w:rsidP="009322B9">
            <w:pPr>
              <w:rPr>
                <w:b/>
                <w:bCs/>
                <w:rtl/>
              </w:rPr>
            </w:pPr>
            <w:r w:rsidRPr="009322B9">
              <w:rPr>
                <w:b/>
                <w:bCs/>
                <w:rtl/>
              </w:rPr>
              <w:t xml:space="preserve">עבד אלכרים בן ג'מאל סלימאן ת.ז. </w:t>
            </w:r>
            <w:r>
              <w:rPr>
                <w:b/>
                <w:bCs/>
              </w:rPr>
              <w:t>xxxxxxxxx</w:t>
            </w:r>
          </w:p>
          <w:p w14:paraId="35A82EF0" w14:textId="77777777" w:rsidR="009322B9" w:rsidRPr="009322B9" w:rsidRDefault="009322B9" w:rsidP="009322B9">
            <w:pPr>
              <w:rPr>
                <w:b/>
                <w:bCs/>
              </w:rPr>
            </w:pPr>
          </w:p>
        </w:tc>
      </w:tr>
    </w:tbl>
    <w:p w14:paraId="542E931E" w14:textId="77777777" w:rsidR="007A30B6" w:rsidRPr="009322B9" w:rsidRDefault="007A30B6">
      <w:pPr>
        <w:spacing w:line="360" w:lineRule="auto"/>
        <w:jc w:val="both"/>
        <w:rPr>
          <w:rtl/>
        </w:rPr>
      </w:pPr>
    </w:p>
    <w:p w14:paraId="19CEB7CC" w14:textId="77777777" w:rsidR="007A30B6" w:rsidRPr="009322B9" w:rsidRDefault="007A30B6">
      <w:pPr>
        <w:spacing w:line="360" w:lineRule="auto"/>
        <w:jc w:val="both"/>
        <w:rPr>
          <w:sz w:val="6"/>
          <w:szCs w:val="6"/>
          <w:rtl/>
        </w:rPr>
      </w:pPr>
      <w:r w:rsidRPr="009322B9">
        <w:rPr>
          <w:sz w:val="6"/>
          <w:szCs w:val="6"/>
          <w:rtl/>
        </w:rPr>
        <w:t>&lt;#2#&gt;</w:t>
      </w:r>
    </w:p>
    <w:p w14:paraId="2A6DD50B" w14:textId="77777777" w:rsidR="007A30B6" w:rsidRPr="009322B9" w:rsidRDefault="007A30B6">
      <w:pPr>
        <w:pStyle w:val="12"/>
        <w:rPr>
          <w:u w:val="none"/>
          <w:rtl/>
        </w:rPr>
      </w:pPr>
      <w:r w:rsidRPr="009322B9">
        <w:rPr>
          <w:u w:val="none"/>
          <w:rtl/>
        </w:rPr>
        <w:t>נוכחים: בשם המאשימה: עו"ד ויאאם קבלאוי</w:t>
      </w:r>
    </w:p>
    <w:p w14:paraId="5292C8DB" w14:textId="77777777" w:rsidR="007A30B6" w:rsidRPr="009322B9" w:rsidRDefault="007A30B6">
      <w:pPr>
        <w:pStyle w:val="12"/>
        <w:rPr>
          <w:u w:val="none"/>
          <w:rtl/>
        </w:rPr>
      </w:pPr>
      <w:r w:rsidRPr="009322B9">
        <w:rPr>
          <w:u w:val="none"/>
          <w:rtl/>
        </w:rPr>
        <w:tab/>
        <w:t xml:space="preserve">בשם הנאשם: בעצמו וע"י </w:t>
      </w:r>
      <w:bookmarkStart w:id="2" w:name="FirstLawyer"/>
      <w:r w:rsidRPr="009322B9">
        <w:rPr>
          <w:u w:val="none"/>
          <w:rtl/>
        </w:rPr>
        <w:t>ב"כ</w:t>
      </w:r>
      <w:bookmarkEnd w:id="2"/>
      <w:r w:rsidRPr="009322B9">
        <w:rPr>
          <w:u w:val="none"/>
          <w:rtl/>
        </w:rPr>
        <w:t xml:space="preserve"> עו"ד אבראהים סלימאן</w:t>
      </w:r>
    </w:p>
    <w:p w14:paraId="64306CCC" w14:textId="77777777" w:rsidR="007A30B6" w:rsidRPr="009322B9" w:rsidRDefault="007A30B6">
      <w:pPr>
        <w:pStyle w:val="12"/>
        <w:rPr>
          <w:b w:val="0"/>
          <w:bCs w:val="0"/>
          <w:u w:val="none"/>
          <w:rtl/>
        </w:rPr>
      </w:pPr>
    </w:p>
    <w:p w14:paraId="30CAB5E3" w14:textId="77777777" w:rsidR="007A30B6" w:rsidRPr="009322B9" w:rsidRDefault="007A30B6" w:rsidP="0007169E">
      <w:pPr>
        <w:pStyle w:val="12"/>
        <w:jc w:val="both"/>
        <w:rPr>
          <w:rFonts w:hint="cs"/>
          <w:b w:val="0"/>
          <w:bCs w:val="0"/>
          <w:u w:val="none"/>
          <w:rtl/>
        </w:rPr>
      </w:pPr>
    </w:p>
    <w:p w14:paraId="6BB08EE4" w14:textId="77777777" w:rsidR="00FA68A2" w:rsidRDefault="007A30B6" w:rsidP="0007169E">
      <w:pPr>
        <w:pStyle w:val="12"/>
        <w:jc w:val="both"/>
        <w:rPr>
          <w:b w:val="0"/>
          <w:bCs w:val="0"/>
          <w:sz w:val="6"/>
          <w:szCs w:val="6"/>
          <w:u w:val="none"/>
          <w:rtl/>
        </w:rPr>
      </w:pPr>
      <w:r w:rsidRPr="009322B9">
        <w:rPr>
          <w:b w:val="0"/>
          <w:bCs w:val="0"/>
          <w:sz w:val="6"/>
          <w:szCs w:val="6"/>
          <w:u w:val="none"/>
          <w:rtl/>
        </w:rPr>
        <w:t>&lt;#5#&gt;</w:t>
      </w:r>
      <w:bookmarkStart w:id="3" w:name="LawTable"/>
      <w:bookmarkEnd w:id="3"/>
    </w:p>
    <w:p w14:paraId="6F66C154" w14:textId="77777777" w:rsidR="00FA68A2" w:rsidRPr="00FA68A2" w:rsidRDefault="00FA68A2" w:rsidP="00FA68A2">
      <w:pPr>
        <w:pStyle w:val="12"/>
        <w:spacing w:after="120" w:line="240" w:lineRule="exact"/>
        <w:ind w:left="283" w:hanging="283"/>
        <w:jc w:val="both"/>
        <w:rPr>
          <w:rFonts w:ascii="FrankRuehl" w:hAnsi="FrankRuehl" w:cs="FrankRuehl"/>
          <w:b w:val="0"/>
          <w:bCs w:val="0"/>
          <w:u w:val="none"/>
          <w:rtl/>
        </w:rPr>
      </w:pPr>
    </w:p>
    <w:p w14:paraId="5413A123" w14:textId="77777777" w:rsidR="00FA68A2" w:rsidRPr="00FA68A2" w:rsidRDefault="00FA68A2" w:rsidP="00FA68A2">
      <w:pPr>
        <w:pStyle w:val="12"/>
        <w:spacing w:after="120" w:line="240" w:lineRule="exact"/>
        <w:ind w:left="283" w:hanging="283"/>
        <w:jc w:val="both"/>
        <w:rPr>
          <w:rFonts w:ascii="FrankRuehl" w:hAnsi="FrankRuehl" w:cs="FrankRuehl"/>
          <w:b w:val="0"/>
          <w:bCs w:val="0"/>
          <w:u w:val="none"/>
          <w:rtl/>
        </w:rPr>
      </w:pPr>
      <w:r w:rsidRPr="00FA68A2">
        <w:rPr>
          <w:rFonts w:ascii="FrankRuehl" w:hAnsi="FrankRuehl" w:cs="FrankRuehl"/>
          <w:b w:val="0"/>
          <w:bCs w:val="0"/>
          <w:u w:val="none"/>
          <w:rtl/>
        </w:rPr>
        <w:t xml:space="preserve">חקיקה שאוזכרה: </w:t>
      </w:r>
    </w:p>
    <w:p w14:paraId="10198BAB" w14:textId="77777777" w:rsidR="00FA68A2" w:rsidRPr="00FA68A2" w:rsidRDefault="00FA68A2" w:rsidP="00FA68A2">
      <w:pPr>
        <w:pStyle w:val="12"/>
        <w:spacing w:after="120" w:line="240" w:lineRule="exact"/>
        <w:ind w:left="283" w:hanging="283"/>
        <w:jc w:val="both"/>
        <w:rPr>
          <w:rFonts w:ascii="FrankRuehl" w:hAnsi="FrankRuehl" w:cs="FrankRuehl"/>
          <w:b w:val="0"/>
          <w:bCs w:val="0"/>
          <w:u w:val="none"/>
          <w:rtl/>
        </w:rPr>
      </w:pPr>
      <w:hyperlink r:id="rId8" w:history="1">
        <w:r w:rsidRPr="00FA68A2">
          <w:rPr>
            <w:rFonts w:ascii="FrankRuehl" w:hAnsi="FrankRuehl" w:cs="FrankRuehl"/>
            <w:b w:val="0"/>
            <w:bCs w:val="0"/>
            <w:color w:val="0000FF"/>
            <w:rtl/>
          </w:rPr>
          <w:t>חוק העונשין, תשל"ז-1977</w:t>
        </w:r>
      </w:hyperlink>
      <w:r w:rsidRPr="00FA68A2">
        <w:rPr>
          <w:rFonts w:ascii="FrankRuehl" w:hAnsi="FrankRuehl" w:cs="FrankRuehl"/>
          <w:b w:val="0"/>
          <w:bCs w:val="0"/>
          <w:u w:val="none"/>
          <w:rtl/>
        </w:rPr>
        <w:t xml:space="preserve">: סע'  </w:t>
      </w:r>
      <w:hyperlink r:id="rId9" w:history="1">
        <w:r w:rsidRPr="00FA68A2">
          <w:rPr>
            <w:rFonts w:ascii="FrankRuehl" w:hAnsi="FrankRuehl" w:cs="FrankRuehl"/>
            <w:b w:val="0"/>
            <w:bCs w:val="0"/>
            <w:color w:val="0000FF"/>
            <w:rtl/>
          </w:rPr>
          <w:t>29</w:t>
        </w:r>
      </w:hyperlink>
      <w:r w:rsidRPr="00FA68A2">
        <w:rPr>
          <w:rFonts w:ascii="FrankRuehl" w:hAnsi="FrankRuehl" w:cs="FrankRuehl"/>
          <w:b w:val="0"/>
          <w:bCs w:val="0"/>
          <w:u w:val="none"/>
          <w:rtl/>
        </w:rPr>
        <w:t xml:space="preserve">, </w:t>
      </w:r>
      <w:hyperlink r:id="rId10" w:history="1">
        <w:r w:rsidRPr="00FA68A2">
          <w:rPr>
            <w:rFonts w:ascii="FrankRuehl" w:hAnsi="FrankRuehl" w:cs="FrankRuehl"/>
            <w:b w:val="0"/>
            <w:bCs w:val="0"/>
            <w:color w:val="0000FF"/>
            <w:rtl/>
          </w:rPr>
          <w:t>40ג(ב)</w:t>
        </w:r>
      </w:hyperlink>
      <w:r w:rsidRPr="00FA68A2">
        <w:rPr>
          <w:rFonts w:ascii="FrankRuehl" w:hAnsi="FrankRuehl" w:cs="FrankRuehl"/>
          <w:b w:val="0"/>
          <w:bCs w:val="0"/>
          <w:u w:val="none"/>
          <w:rtl/>
        </w:rPr>
        <w:t xml:space="preserve">, </w:t>
      </w:r>
      <w:hyperlink r:id="rId11" w:history="1">
        <w:r w:rsidRPr="00FA68A2">
          <w:rPr>
            <w:rFonts w:ascii="FrankRuehl" w:hAnsi="FrankRuehl" w:cs="FrankRuehl"/>
            <w:b w:val="0"/>
            <w:bCs w:val="0"/>
            <w:color w:val="0000FF"/>
            <w:rtl/>
          </w:rPr>
          <w:t>40ט'</w:t>
        </w:r>
      </w:hyperlink>
      <w:r w:rsidRPr="00FA68A2">
        <w:rPr>
          <w:rFonts w:ascii="FrankRuehl" w:hAnsi="FrankRuehl" w:cs="FrankRuehl"/>
          <w:b w:val="0"/>
          <w:bCs w:val="0"/>
          <w:u w:val="none"/>
          <w:rtl/>
        </w:rPr>
        <w:t xml:space="preserve">, </w:t>
      </w:r>
      <w:hyperlink r:id="rId12" w:history="1">
        <w:r w:rsidRPr="00FA68A2">
          <w:rPr>
            <w:rFonts w:ascii="FrankRuehl" w:hAnsi="FrankRuehl" w:cs="FrankRuehl"/>
            <w:b w:val="0"/>
            <w:bCs w:val="0"/>
            <w:color w:val="0000FF"/>
            <w:rtl/>
          </w:rPr>
          <w:t>144</w:t>
        </w:r>
      </w:hyperlink>
      <w:r w:rsidRPr="00FA68A2">
        <w:rPr>
          <w:rFonts w:ascii="FrankRuehl" w:hAnsi="FrankRuehl" w:cs="FrankRuehl"/>
          <w:b w:val="0"/>
          <w:bCs w:val="0"/>
          <w:u w:val="none"/>
          <w:rtl/>
        </w:rPr>
        <w:t xml:space="preserve">, </w:t>
      </w:r>
      <w:hyperlink r:id="rId13" w:history="1">
        <w:r w:rsidRPr="00FA68A2">
          <w:rPr>
            <w:rFonts w:ascii="FrankRuehl" w:hAnsi="FrankRuehl" w:cs="FrankRuehl"/>
            <w:b w:val="0"/>
            <w:bCs w:val="0"/>
            <w:color w:val="0000FF"/>
            <w:rtl/>
          </w:rPr>
          <w:t>144(א)</w:t>
        </w:r>
      </w:hyperlink>
      <w:r w:rsidRPr="00FA68A2">
        <w:rPr>
          <w:rFonts w:ascii="FrankRuehl" w:hAnsi="FrankRuehl" w:cs="FrankRuehl"/>
          <w:b w:val="0"/>
          <w:bCs w:val="0"/>
          <w:u w:val="none"/>
          <w:rtl/>
        </w:rPr>
        <w:t xml:space="preserve">, </w:t>
      </w:r>
      <w:hyperlink r:id="rId14" w:history="1">
        <w:r w:rsidRPr="00FA68A2">
          <w:rPr>
            <w:rFonts w:ascii="FrankRuehl" w:hAnsi="FrankRuehl" w:cs="FrankRuehl"/>
            <w:b w:val="0"/>
            <w:bCs w:val="0"/>
            <w:color w:val="0000FF"/>
            <w:rtl/>
          </w:rPr>
          <w:t>144(ב)</w:t>
        </w:r>
      </w:hyperlink>
      <w:r w:rsidRPr="00FA68A2">
        <w:rPr>
          <w:rFonts w:ascii="FrankRuehl" w:hAnsi="FrankRuehl" w:cs="FrankRuehl"/>
          <w:b w:val="0"/>
          <w:bCs w:val="0"/>
          <w:u w:val="none"/>
          <w:rtl/>
        </w:rPr>
        <w:t xml:space="preserve">, </w:t>
      </w:r>
      <w:hyperlink r:id="rId15" w:history="1">
        <w:r w:rsidRPr="00FA68A2">
          <w:rPr>
            <w:rFonts w:ascii="FrankRuehl" w:hAnsi="FrankRuehl" w:cs="FrankRuehl"/>
            <w:b w:val="0"/>
            <w:bCs w:val="0"/>
            <w:color w:val="0000FF"/>
            <w:rtl/>
          </w:rPr>
          <w:t>275</w:t>
        </w:r>
      </w:hyperlink>
      <w:r w:rsidRPr="00FA68A2">
        <w:rPr>
          <w:rFonts w:ascii="FrankRuehl" w:hAnsi="FrankRuehl" w:cs="FrankRuehl"/>
          <w:b w:val="0"/>
          <w:bCs w:val="0"/>
          <w:u w:val="none"/>
          <w:rtl/>
        </w:rPr>
        <w:t xml:space="preserve">, </w:t>
      </w:r>
      <w:hyperlink r:id="rId16" w:history="1">
        <w:r w:rsidRPr="00FA68A2">
          <w:rPr>
            <w:rFonts w:ascii="FrankRuehl" w:hAnsi="FrankRuehl" w:cs="FrankRuehl"/>
            <w:b w:val="0"/>
            <w:bCs w:val="0"/>
            <w:color w:val="0000FF"/>
            <w:rtl/>
          </w:rPr>
          <w:t>338(א)(1)</w:t>
        </w:r>
      </w:hyperlink>
      <w:r w:rsidRPr="00FA68A2">
        <w:rPr>
          <w:rFonts w:ascii="FrankRuehl" w:hAnsi="FrankRuehl" w:cs="FrankRuehl"/>
          <w:b w:val="0"/>
          <w:bCs w:val="0"/>
          <w:u w:val="none"/>
          <w:rtl/>
        </w:rPr>
        <w:t xml:space="preserve">, </w:t>
      </w:r>
      <w:hyperlink r:id="rId17" w:history="1">
        <w:r w:rsidRPr="00FA68A2">
          <w:rPr>
            <w:rFonts w:ascii="FrankRuehl" w:hAnsi="FrankRuehl" w:cs="FrankRuehl"/>
            <w:b w:val="0"/>
            <w:bCs w:val="0"/>
            <w:color w:val="0000FF"/>
            <w:rtl/>
          </w:rPr>
          <w:t>40יא.</w:t>
        </w:r>
      </w:hyperlink>
      <w:r w:rsidRPr="00FA68A2">
        <w:rPr>
          <w:rFonts w:ascii="FrankRuehl" w:hAnsi="FrankRuehl" w:cs="FrankRuehl"/>
          <w:b w:val="0"/>
          <w:bCs w:val="0"/>
          <w:u w:val="none"/>
          <w:rtl/>
        </w:rPr>
        <w:t xml:space="preserve">, </w:t>
      </w:r>
      <w:hyperlink r:id="rId18" w:history="1">
        <w:r w:rsidRPr="00FA68A2">
          <w:rPr>
            <w:rFonts w:ascii="FrankRuehl" w:hAnsi="FrankRuehl" w:cs="FrankRuehl"/>
            <w:b w:val="0"/>
            <w:bCs w:val="0"/>
            <w:color w:val="0000FF"/>
            <w:rtl/>
          </w:rPr>
          <w:t>499(א)(1)</w:t>
        </w:r>
      </w:hyperlink>
    </w:p>
    <w:p w14:paraId="3F0FCB54" w14:textId="77777777" w:rsidR="00FA68A2" w:rsidRPr="00FA68A2" w:rsidRDefault="00FA68A2" w:rsidP="00FA68A2">
      <w:pPr>
        <w:pStyle w:val="12"/>
        <w:spacing w:after="120" w:line="240" w:lineRule="exact"/>
        <w:ind w:left="283" w:hanging="283"/>
        <w:jc w:val="both"/>
        <w:rPr>
          <w:rFonts w:ascii="FrankRuehl" w:hAnsi="FrankRuehl" w:cs="FrankRuehl"/>
          <w:b w:val="0"/>
          <w:bCs w:val="0"/>
          <w:u w:val="none"/>
          <w:rtl/>
        </w:rPr>
      </w:pPr>
      <w:hyperlink r:id="rId19" w:history="1">
        <w:r w:rsidRPr="00FA68A2">
          <w:rPr>
            <w:rFonts w:ascii="FrankRuehl" w:hAnsi="FrankRuehl" w:cs="FrankRuehl"/>
            <w:b w:val="0"/>
            <w:bCs w:val="0"/>
            <w:color w:val="0000FF"/>
            <w:rtl/>
          </w:rPr>
          <w:t>פקודת התעבורה [נוסח חדש]</w:t>
        </w:r>
      </w:hyperlink>
      <w:r w:rsidRPr="00FA68A2">
        <w:rPr>
          <w:rFonts w:ascii="FrankRuehl" w:hAnsi="FrankRuehl" w:cs="FrankRuehl"/>
          <w:b w:val="0"/>
          <w:bCs w:val="0"/>
          <w:u w:val="none"/>
          <w:rtl/>
        </w:rPr>
        <w:t xml:space="preserve">: סע'  </w:t>
      </w:r>
      <w:hyperlink r:id="rId20" w:history="1">
        <w:r w:rsidRPr="00FA68A2">
          <w:rPr>
            <w:rFonts w:ascii="FrankRuehl" w:hAnsi="FrankRuehl" w:cs="FrankRuehl"/>
            <w:b w:val="0"/>
            <w:bCs w:val="0"/>
            <w:color w:val="0000FF"/>
            <w:rtl/>
          </w:rPr>
          <w:t>43</w:t>
        </w:r>
      </w:hyperlink>
    </w:p>
    <w:p w14:paraId="5BF835CC" w14:textId="77777777" w:rsidR="00FA68A2" w:rsidRPr="00FA68A2" w:rsidRDefault="00FA68A2" w:rsidP="00FA68A2">
      <w:pPr>
        <w:pStyle w:val="12"/>
        <w:spacing w:after="120" w:line="240" w:lineRule="exact"/>
        <w:ind w:left="283" w:hanging="283"/>
        <w:jc w:val="both"/>
        <w:rPr>
          <w:rFonts w:ascii="FrankRuehl" w:hAnsi="FrankRuehl" w:cs="FrankRuehl"/>
          <w:b w:val="0"/>
          <w:bCs w:val="0"/>
          <w:u w:val="none"/>
          <w:rtl/>
        </w:rPr>
      </w:pPr>
    </w:p>
    <w:p w14:paraId="5C34BC9B" w14:textId="77777777" w:rsidR="00FA68A2" w:rsidRPr="00FA68A2" w:rsidRDefault="00FA68A2" w:rsidP="0007169E">
      <w:pPr>
        <w:pStyle w:val="12"/>
        <w:jc w:val="both"/>
        <w:rPr>
          <w:b w:val="0"/>
          <w:bCs w:val="0"/>
          <w:sz w:val="6"/>
          <w:szCs w:val="6"/>
          <w:u w:val="none"/>
          <w:rtl/>
        </w:rPr>
      </w:pPr>
      <w:bookmarkStart w:id="4" w:name="LawTable_End"/>
      <w:bookmarkEnd w:id="4"/>
    </w:p>
    <w:p w14:paraId="6E347CEB" w14:textId="77777777" w:rsidR="00FA68A2" w:rsidRPr="00FA68A2" w:rsidRDefault="00FA68A2" w:rsidP="0007169E">
      <w:pPr>
        <w:pStyle w:val="12"/>
        <w:jc w:val="both"/>
        <w:rPr>
          <w:b w:val="0"/>
          <w:bCs w:val="0"/>
          <w:sz w:val="6"/>
          <w:szCs w:val="6"/>
          <w:u w:val="none"/>
          <w:rtl/>
        </w:rPr>
      </w:pPr>
    </w:p>
    <w:p w14:paraId="6EA931D0" w14:textId="77777777" w:rsidR="007A30B6" w:rsidRPr="00FA68A2" w:rsidRDefault="007A30B6" w:rsidP="0007169E">
      <w:pPr>
        <w:pStyle w:val="12"/>
        <w:jc w:val="both"/>
        <w:rPr>
          <w:b w:val="0"/>
          <w:bCs w:val="0"/>
          <w:sz w:val="6"/>
          <w:szCs w:val="6"/>
          <w:u w:val="none"/>
          <w:rtl/>
        </w:rPr>
      </w:pPr>
    </w:p>
    <w:p w14:paraId="6BE8EEDF" w14:textId="77777777" w:rsidR="009322B9" w:rsidRPr="009322B9" w:rsidRDefault="009322B9">
      <w:pPr>
        <w:spacing w:line="360" w:lineRule="auto"/>
        <w:jc w:val="center"/>
        <w:rPr>
          <w:rFonts w:ascii="Arial" w:hAnsi="Arial"/>
          <w:b/>
          <w:bCs/>
          <w:sz w:val="28"/>
          <w:szCs w:val="28"/>
          <w:rtl/>
        </w:rPr>
      </w:pPr>
    </w:p>
    <w:bookmarkEnd w:id="0"/>
    <w:p w14:paraId="6220DA05" w14:textId="77777777" w:rsidR="009322B9" w:rsidRPr="009322B9" w:rsidRDefault="009322B9" w:rsidP="009322B9">
      <w:pPr>
        <w:pStyle w:val="12"/>
        <w:jc w:val="center"/>
        <w:rPr>
          <w:rFonts w:ascii="Arial" w:eastAsia="Times New Roman" w:hAnsi="Arial"/>
          <w:sz w:val="28"/>
          <w:szCs w:val="28"/>
          <w:rtl/>
        </w:rPr>
      </w:pPr>
      <w:r w:rsidRPr="009322B9">
        <w:rPr>
          <w:rFonts w:ascii="Arial" w:eastAsia="Times New Roman" w:hAnsi="Arial"/>
          <w:sz w:val="28"/>
          <w:szCs w:val="28"/>
          <w:rtl/>
        </w:rPr>
        <w:t>החלטה</w:t>
      </w:r>
    </w:p>
    <w:p w14:paraId="2158D925" w14:textId="77777777" w:rsidR="007A30B6" w:rsidRDefault="007A30B6" w:rsidP="0007169E">
      <w:pPr>
        <w:pStyle w:val="12"/>
        <w:jc w:val="center"/>
        <w:rPr>
          <w:rFonts w:ascii="David" w:hAnsi="David"/>
          <w:b w:val="0"/>
          <w:bCs w:val="0"/>
          <w:u w:val="none"/>
          <w:rtl/>
        </w:rPr>
      </w:pPr>
    </w:p>
    <w:p w14:paraId="688F266C" w14:textId="77777777" w:rsidR="007A30B6" w:rsidRDefault="007A30B6" w:rsidP="0007169E">
      <w:pPr>
        <w:pStyle w:val="12"/>
        <w:jc w:val="both"/>
        <w:rPr>
          <w:rFonts w:ascii="David" w:hAnsi="David"/>
          <w:b w:val="0"/>
          <w:bCs w:val="0"/>
          <w:u w:val="none"/>
          <w:rtl/>
        </w:rPr>
      </w:pPr>
      <w:r>
        <w:rPr>
          <w:rFonts w:ascii="David" w:hAnsi="David" w:hint="eastAsia"/>
          <w:b w:val="0"/>
          <w:bCs w:val="0"/>
          <w:u w:val="none"/>
          <w:rtl/>
        </w:rPr>
        <w:t>אני</w:t>
      </w:r>
      <w:r>
        <w:rPr>
          <w:rFonts w:ascii="David" w:hAnsi="David"/>
          <w:b w:val="0"/>
          <w:bCs w:val="0"/>
          <w:u w:val="none"/>
          <w:rtl/>
        </w:rPr>
        <w:t xml:space="preserve"> מורה על מחיקת העמודים </w:t>
      </w:r>
      <w:r>
        <w:rPr>
          <w:rFonts w:ascii="David" w:hAnsi="David" w:hint="eastAsia"/>
          <w:b w:val="0"/>
          <w:bCs w:val="0"/>
          <w:u w:val="none"/>
          <w:rtl/>
        </w:rPr>
        <w:t>והשורות</w:t>
      </w:r>
      <w:r>
        <w:rPr>
          <w:rFonts w:ascii="David" w:hAnsi="David"/>
          <w:b w:val="0"/>
          <w:bCs w:val="0"/>
          <w:u w:val="none"/>
          <w:rtl/>
        </w:rPr>
        <w:t xml:space="preserve"> המבוקשים כפי בקשת ב"כ הצדדים. </w:t>
      </w:r>
    </w:p>
    <w:p w14:paraId="56C1F019" w14:textId="77777777" w:rsidR="007A30B6" w:rsidRDefault="007A30B6" w:rsidP="0007169E">
      <w:pPr>
        <w:pStyle w:val="12"/>
        <w:jc w:val="both"/>
        <w:rPr>
          <w:rFonts w:ascii="David" w:hAnsi="David"/>
          <w:b w:val="0"/>
          <w:bCs w:val="0"/>
          <w:sz w:val="6"/>
          <w:szCs w:val="6"/>
          <w:u w:val="none"/>
          <w:rtl/>
        </w:rPr>
      </w:pPr>
      <w:r>
        <w:rPr>
          <w:rFonts w:ascii="David" w:hAnsi="David"/>
          <w:b w:val="0"/>
          <w:bCs w:val="0"/>
          <w:sz w:val="6"/>
          <w:szCs w:val="6"/>
          <w:u w:val="none"/>
          <w:rtl/>
        </w:rPr>
        <w:t>&lt;#6#&gt;</w:t>
      </w:r>
    </w:p>
    <w:p w14:paraId="6924DA61" w14:textId="77777777" w:rsidR="007A30B6" w:rsidRDefault="007A30B6">
      <w:pPr>
        <w:jc w:val="right"/>
        <w:rPr>
          <w:rtl/>
        </w:rPr>
      </w:pPr>
    </w:p>
    <w:p w14:paraId="45DA9946" w14:textId="77777777" w:rsidR="007A30B6" w:rsidRDefault="007A30B6">
      <w:pPr>
        <w:spacing w:line="360" w:lineRule="auto"/>
        <w:rPr>
          <w:rtl/>
        </w:rPr>
      </w:pPr>
      <w:r>
        <w:rPr>
          <w:b/>
          <w:bCs/>
          <w:rtl/>
        </w:rPr>
        <w:t>ניתנה והודעה היום י"ג אייר תשע"ג, 23/04/2013 במעמד הנוכחים.</w:t>
      </w:r>
    </w:p>
    <w:p w14:paraId="6E36EAB1" w14:textId="77777777" w:rsidR="009322B9" w:rsidRDefault="009322B9" w:rsidP="00113BB2">
      <w:pPr>
        <w:spacing w:line="360" w:lineRule="auto"/>
        <w:jc w:val="both"/>
        <w:rPr>
          <w:sz w:val="6"/>
          <w:szCs w:val="6"/>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322B9" w14:paraId="19750C90" w14:textId="77777777" w:rsidTr="009322B9">
        <w:trPr>
          <w:trHeight w:val="364"/>
          <w:jc w:val="right"/>
        </w:trPr>
        <w:tc>
          <w:tcPr>
            <w:tcW w:w="3708" w:type="dxa"/>
          </w:tcPr>
          <w:p w14:paraId="4BD68774" w14:textId="77777777" w:rsidR="009322B9" w:rsidRPr="00806E69" w:rsidRDefault="009322B9" w:rsidP="009322B9">
            <w:pPr>
              <w:jc w:val="center"/>
              <w:rPr>
                <w:rFonts w:ascii="Times New Roman" w:hAnsi="Times New Roman" w:cs="Times New Roman"/>
              </w:rPr>
            </w:pPr>
          </w:p>
          <w:p w14:paraId="0017506D" w14:textId="77777777" w:rsidR="009322B9" w:rsidRPr="00806E69" w:rsidRDefault="009322B9" w:rsidP="009322B9">
            <w:pPr>
              <w:jc w:val="center"/>
              <w:rPr>
                <w:rFonts w:ascii="Times New Roman" w:hAnsi="Times New Roman" w:cs="Times New Roman"/>
                <w:rtl/>
              </w:rPr>
            </w:pPr>
          </w:p>
        </w:tc>
      </w:tr>
      <w:tr w:rsidR="009322B9" w14:paraId="6A863DB4" w14:textId="77777777" w:rsidTr="009322B9">
        <w:trPr>
          <w:trHeight w:val="415"/>
          <w:jc w:val="right"/>
        </w:trPr>
        <w:tc>
          <w:tcPr>
            <w:tcW w:w="3708" w:type="dxa"/>
          </w:tcPr>
          <w:p w14:paraId="3A6FB52C" w14:textId="77777777" w:rsidR="009322B9" w:rsidRPr="00806E69" w:rsidRDefault="009322B9" w:rsidP="009322B9">
            <w:pPr>
              <w:jc w:val="center"/>
              <w:rPr>
                <w:rFonts w:ascii="Times New Roman" w:hAnsi="Times New Roman"/>
                <w:b/>
                <w:bCs/>
                <w:rtl/>
              </w:rPr>
            </w:pPr>
            <w:r w:rsidRPr="00806E69">
              <w:rPr>
                <w:rFonts w:ascii="Times New Roman" w:hAnsi="Times New Roman"/>
                <w:b/>
                <w:bCs/>
                <w:rtl/>
              </w:rPr>
              <w:t>שאהר אטרש, שופט</w:t>
            </w:r>
          </w:p>
        </w:tc>
      </w:tr>
    </w:tbl>
    <w:p w14:paraId="3AFA1F86" w14:textId="77777777" w:rsidR="007A30B6" w:rsidRDefault="007A30B6" w:rsidP="00113BB2">
      <w:pPr>
        <w:spacing w:line="360" w:lineRule="auto"/>
        <w:jc w:val="both"/>
        <w:rPr>
          <w:sz w:val="6"/>
          <w:szCs w:val="6"/>
          <w:rtl/>
        </w:rPr>
      </w:pPr>
      <w:r>
        <w:rPr>
          <w:sz w:val="6"/>
          <w:szCs w:val="6"/>
          <w:rtl/>
        </w:rPr>
        <w:t>&lt;#3#&gt;</w:t>
      </w:r>
    </w:p>
    <w:p w14:paraId="28981832" w14:textId="77777777" w:rsidR="007A30B6" w:rsidRDefault="007A30B6">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p>
    <w:bookmarkEnd w:id="5"/>
    <w:p w14:paraId="6DE4F8B3" w14:textId="77777777" w:rsidR="007A30B6" w:rsidRDefault="007A30B6" w:rsidP="00113BB2">
      <w:pPr>
        <w:spacing w:line="360" w:lineRule="auto"/>
        <w:outlineLvl w:val="0"/>
        <w:rPr>
          <w:b/>
          <w:bCs/>
          <w:u w:val="single"/>
          <w:rtl/>
        </w:rPr>
      </w:pPr>
    </w:p>
    <w:p w14:paraId="0425D042" w14:textId="77777777" w:rsidR="007A30B6" w:rsidRDefault="007A30B6" w:rsidP="00113BB2">
      <w:pPr>
        <w:numPr>
          <w:ilvl w:val="0"/>
          <w:numId w:val="30"/>
        </w:numPr>
        <w:tabs>
          <w:tab w:val="clear" w:pos="360"/>
          <w:tab w:val="num" w:pos="540"/>
        </w:tabs>
        <w:spacing w:line="360" w:lineRule="auto"/>
        <w:ind w:left="0" w:firstLine="0"/>
        <w:outlineLvl w:val="0"/>
        <w:rPr>
          <w:b/>
          <w:bCs/>
          <w:u w:val="single"/>
          <w:rtl/>
        </w:rPr>
      </w:pPr>
      <w:r w:rsidRPr="001C0989">
        <w:rPr>
          <w:b/>
          <w:bCs/>
          <w:u w:val="single"/>
          <w:rtl/>
        </w:rPr>
        <w:t>הנאשם הורשע לאחר שמיעת ראיות בביצוע העבירות שלהלן</w:t>
      </w:r>
      <w:r w:rsidRPr="00B265CD">
        <w:rPr>
          <w:rtl/>
        </w:rPr>
        <w:t xml:space="preserve">: </w:t>
      </w:r>
    </w:p>
    <w:p w14:paraId="39B336BD" w14:textId="77777777" w:rsidR="007A30B6" w:rsidRPr="00B265CD" w:rsidRDefault="007A30B6" w:rsidP="00113BB2">
      <w:pPr>
        <w:spacing w:line="360" w:lineRule="auto"/>
        <w:jc w:val="both"/>
        <w:rPr>
          <w:rtl/>
        </w:rPr>
      </w:pPr>
    </w:p>
    <w:p w14:paraId="2B47C46E" w14:textId="77777777" w:rsidR="007A30B6" w:rsidRDefault="007A30B6" w:rsidP="00113BB2">
      <w:pPr>
        <w:numPr>
          <w:ilvl w:val="1"/>
          <w:numId w:val="30"/>
        </w:numPr>
        <w:spacing w:line="360" w:lineRule="auto"/>
        <w:ind w:hanging="540"/>
        <w:jc w:val="both"/>
      </w:pPr>
      <w:bookmarkStart w:id="6" w:name="ABSTRACT_START"/>
      <w:bookmarkEnd w:id="6"/>
      <w:r w:rsidRPr="00B265CD">
        <w:rPr>
          <w:rtl/>
        </w:rPr>
        <w:t>עבירות בנשק (רכישה והחזק</w:t>
      </w:r>
      <w:r>
        <w:rPr>
          <w:rtl/>
        </w:rPr>
        <w:t xml:space="preserve">ת </w:t>
      </w:r>
      <w:r w:rsidRPr="00B265CD">
        <w:rPr>
          <w:rtl/>
        </w:rPr>
        <w:t xml:space="preserve">נשק) - עבירה לפי </w:t>
      </w:r>
      <w:hyperlink r:id="rId21" w:history="1">
        <w:r w:rsidR="00FA68A2" w:rsidRPr="00FA68A2">
          <w:rPr>
            <w:color w:val="0000FF"/>
            <w:u w:val="single"/>
            <w:rtl/>
          </w:rPr>
          <w:t>סעיף 144(א)</w:t>
        </w:r>
      </w:hyperlink>
      <w:r w:rsidRPr="00B265CD">
        <w:rPr>
          <w:rtl/>
        </w:rPr>
        <w:t xml:space="preserve"> רישא ל</w:t>
      </w:r>
      <w:hyperlink r:id="rId22" w:history="1">
        <w:r w:rsidR="009322B9" w:rsidRPr="009322B9">
          <w:rPr>
            <w:color w:val="0000FF"/>
            <w:u w:val="single"/>
            <w:rtl/>
          </w:rPr>
          <w:t>חוק העונשין</w:t>
        </w:r>
      </w:hyperlink>
      <w:r w:rsidRPr="00B265CD">
        <w:rPr>
          <w:rtl/>
        </w:rPr>
        <w:t>, התשל"ז – 1977 (להלן: "</w:t>
      </w:r>
      <w:r w:rsidRPr="00B918A4">
        <w:rPr>
          <w:b/>
          <w:bCs/>
          <w:rtl/>
        </w:rPr>
        <w:t>חוק העונשין</w:t>
      </w:r>
      <w:r w:rsidRPr="00B265CD">
        <w:rPr>
          <w:rtl/>
        </w:rPr>
        <w:t>")</w:t>
      </w:r>
      <w:r>
        <w:rPr>
          <w:rtl/>
        </w:rPr>
        <w:t xml:space="preserve">. </w:t>
      </w:r>
    </w:p>
    <w:p w14:paraId="7B478CA5" w14:textId="77777777" w:rsidR="007A30B6" w:rsidRDefault="007A30B6" w:rsidP="00113BB2">
      <w:pPr>
        <w:numPr>
          <w:ilvl w:val="1"/>
          <w:numId w:val="30"/>
        </w:numPr>
        <w:spacing w:line="360" w:lineRule="auto"/>
        <w:ind w:hanging="540"/>
        <w:jc w:val="both"/>
      </w:pPr>
      <w:bookmarkStart w:id="7" w:name="ABSTRACT_END"/>
      <w:bookmarkEnd w:id="7"/>
      <w:r w:rsidRPr="00B265CD">
        <w:rPr>
          <w:rtl/>
        </w:rPr>
        <w:t xml:space="preserve"> עבירות בנשק (רכישה והחזק</w:t>
      </w:r>
      <w:r>
        <w:rPr>
          <w:rtl/>
        </w:rPr>
        <w:t>ת</w:t>
      </w:r>
      <w:r w:rsidRPr="00B265CD">
        <w:rPr>
          <w:rtl/>
        </w:rPr>
        <w:t xml:space="preserve"> תחמושת) - עבירה לפי </w:t>
      </w:r>
      <w:hyperlink r:id="rId23" w:history="1">
        <w:r w:rsidR="00FA68A2" w:rsidRPr="00FA68A2">
          <w:rPr>
            <w:color w:val="0000FF"/>
            <w:u w:val="single"/>
            <w:rtl/>
          </w:rPr>
          <w:t>סעיף 144(א)</w:t>
        </w:r>
      </w:hyperlink>
      <w:r w:rsidRPr="00B265CD">
        <w:rPr>
          <w:rtl/>
        </w:rPr>
        <w:t xml:space="preserve"> סיפא ל</w:t>
      </w:r>
      <w:hyperlink r:id="rId24" w:history="1">
        <w:r w:rsidR="009322B9" w:rsidRPr="009322B9">
          <w:rPr>
            <w:color w:val="0000FF"/>
            <w:u w:val="single"/>
            <w:rtl/>
          </w:rPr>
          <w:t>חוק העונשין</w:t>
        </w:r>
      </w:hyperlink>
      <w:r w:rsidRPr="00B265CD">
        <w:rPr>
          <w:rtl/>
        </w:rPr>
        <w:t>.</w:t>
      </w:r>
    </w:p>
    <w:p w14:paraId="02EB8A3C" w14:textId="77777777" w:rsidR="007A30B6" w:rsidRDefault="007A30B6" w:rsidP="00113BB2">
      <w:pPr>
        <w:numPr>
          <w:ilvl w:val="1"/>
          <w:numId w:val="30"/>
        </w:numPr>
        <w:spacing w:line="360" w:lineRule="auto"/>
        <w:ind w:hanging="540"/>
        <w:jc w:val="both"/>
      </w:pPr>
      <w:r w:rsidRPr="00B265CD">
        <w:rPr>
          <w:rtl/>
        </w:rPr>
        <w:lastRenderedPageBreak/>
        <w:t>עבירות בנשק (נשיאה והובל</w:t>
      </w:r>
      <w:r>
        <w:rPr>
          <w:rtl/>
        </w:rPr>
        <w:t xml:space="preserve">ת </w:t>
      </w:r>
      <w:r w:rsidRPr="00B265CD">
        <w:rPr>
          <w:rtl/>
        </w:rPr>
        <w:t xml:space="preserve">נשק) - עבירה לפי </w:t>
      </w:r>
      <w:hyperlink r:id="rId25" w:history="1">
        <w:r w:rsidR="00FA68A2" w:rsidRPr="00FA68A2">
          <w:rPr>
            <w:color w:val="0000FF"/>
            <w:u w:val="single"/>
            <w:rtl/>
          </w:rPr>
          <w:t>סעיף 144(ב)</w:t>
        </w:r>
      </w:hyperlink>
      <w:r w:rsidRPr="00B265CD">
        <w:rPr>
          <w:rtl/>
        </w:rPr>
        <w:t xml:space="preserve"> רישא ל</w:t>
      </w:r>
      <w:hyperlink r:id="rId26" w:history="1">
        <w:r w:rsidR="009322B9" w:rsidRPr="009322B9">
          <w:rPr>
            <w:color w:val="0000FF"/>
            <w:u w:val="single"/>
            <w:rtl/>
          </w:rPr>
          <w:t>חוק העונשין</w:t>
        </w:r>
      </w:hyperlink>
      <w:r w:rsidRPr="00B265CD">
        <w:rPr>
          <w:rtl/>
        </w:rPr>
        <w:t>.</w:t>
      </w:r>
    </w:p>
    <w:p w14:paraId="2122CFAE" w14:textId="77777777" w:rsidR="007A30B6" w:rsidRDefault="007A30B6" w:rsidP="00113BB2">
      <w:pPr>
        <w:numPr>
          <w:ilvl w:val="1"/>
          <w:numId w:val="30"/>
        </w:numPr>
        <w:spacing w:line="360" w:lineRule="auto"/>
        <w:ind w:hanging="540"/>
        <w:jc w:val="both"/>
      </w:pPr>
      <w:r w:rsidRPr="00B265CD">
        <w:rPr>
          <w:rtl/>
        </w:rPr>
        <w:t>עבירות בנשק (נשיאה והובל</w:t>
      </w:r>
      <w:r>
        <w:rPr>
          <w:rtl/>
        </w:rPr>
        <w:t xml:space="preserve">ת </w:t>
      </w:r>
      <w:r w:rsidRPr="00B265CD">
        <w:rPr>
          <w:rtl/>
        </w:rPr>
        <w:t xml:space="preserve">תחמושת) - עבירה לפי </w:t>
      </w:r>
      <w:hyperlink r:id="rId27" w:history="1">
        <w:r w:rsidR="00FA68A2" w:rsidRPr="00FA68A2">
          <w:rPr>
            <w:color w:val="0000FF"/>
            <w:u w:val="single"/>
            <w:rtl/>
          </w:rPr>
          <w:t>סעיף 144(ב)</w:t>
        </w:r>
      </w:hyperlink>
      <w:r w:rsidRPr="00B265CD">
        <w:rPr>
          <w:rtl/>
        </w:rPr>
        <w:t xml:space="preserve"> סיפא ל</w:t>
      </w:r>
      <w:hyperlink r:id="rId28" w:history="1">
        <w:r w:rsidR="009322B9" w:rsidRPr="009322B9">
          <w:rPr>
            <w:color w:val="0000FF"/>
            <w:u w:val="single"/>
            <w:rtl/>
          </w:rPr>
          <w:t>חוק העונשין</w:t>
        </w:r>
      </w:hyperlink>
      <w:r w:rsidRPr="00B265CD">
        <w:rPr>
          <w:rtl/>
        </w:rPr>
        <w:t>.</w:t>
      </w:r>
    </w:p>
    <w:p w14:paraId="4F85FC50" w14:textId="77777777" w:rsidR="007A30B6" w:rsidRDefault="007A30B6" w:rsidP="00113BB2">
      <w:pPr>
        <w:numPr>
          <w:ilvl w:val="1"/>
          <w:numId w:val="30"/>
        </w:numPr>
        <w:spacing w:line="360" w:lineRule="auto"/>
        <w:ind w:hanging="540"/>
        <w:jc w:val="both"/>
      </w:pPr>
      <w:r w:rsidRPr="00B265CD">
        <w:rPr>
          <w:rtl/>
        </w:rPr>
        <w:t xml:space="preserve">הפרעה לשוטר במילוי תפקידו - עבירה לפי </w:t>
      </w:r>
      <w:hyperlink r:id="rId29" w:history="1">
        <w:r w:rsidR="00FA68A2" w:rsidRPr="00FA68A2">
          <w:rPr>
            <w:color w:val="0000FF"/>
            <w:u w:val="single"/>
            <w:rtl/>
          </w:rPr>
          <w:t>סעיף 275</w:t>
        </w:r>
      </w:hyperlink>
      <w:r w:rsidRPr="00B265CD">
        <w:rPr>
          <w:rtl/>
        </w:rPr>
        <w:t xml:space="preserve"> ל</w:t>
      </w:r>
      <w:hyperlink r:id="rId30" w:history="1">
        <w:r w:rsidR="009322B9" w:rsidRPr="009322B9">
          <w:rPr>
            <w:color w:val="0000FF"/>
            <w:u w:val="single"/>
            <w:rtl/>
          </w:rPr>
          <w:t>חוק העונשין</w:t>
        </w:r>
      </w:hyperlink>
      <w:r w:rsidRPr="00B265CD">
        <w:rPr>
          <w:rtl/>
        </w:rPr>
        <w:t>.</w:t>
      </w:r>
    </w:p>
    <w:p w14:paraId="622D5916" w14:textId="77777777" w:rsidR="007A30B6" w:rsidRDefault="007A30B6" w:rsidP="00113BB2">
      <w:pPr>
        <w:numPr>
          <w:ilvl w:val="1"/>
          <w:numId w:val="30"/>
        </w:numPr>
        <w:spacing w:line="360" w:lineRule="auto"/>
        <w:ind w:hanging="540"/>
        <w:jc w:val="both"/>
      </w:pPr>
      <w:r w:rsidRPr="00B265CD">
        <w:rPr>
          <w:rtl/>
        </w:rPr>
        <w:t xml:space="preserve">מעשה פזיזות ורשלנות - עבירה לפי </w:t>
      </w:r>
      <w:hyperlink r:id="rId31" w:history="1">
        <w:r w:rsidR="00FA68A2" w:rsidRPr="00FA68A2">
          <w:rPr>
            <w:color w:val="0000FF"/>
            <w:u w:val="single"/>
            <w:rtl/>
          </w:rPr>
          <w:t>סעיף 338(א)(1)</w:t>
        </w:r>
      </w:hyperlink>
      <w:r w:rsidRPr="00B265CD">
        <w:rPr>
          <w:rtl/>
        </w:rPr>
        <w:t xml:space="preserve"> ל</w:t>
      </w:r>
      <w:hyperlink r:id="rId32" w:history="1">
        <w:r w:rsidR="009322B9" w:rsidRPr="009322B9">
          <w:rPr>
            <w:color w:val="0000FF"/>
            <w:u w:val="single"/>
            <w:rtl/>
          </w:rPr>
          <w:t>חוק העונשין</w:t>
        </w:r>
      </w:hyperlink>
      <w:r w:rsidRPr="00B265CD">
        <w:rPr>
          <w:rtl/>
        </w:rPr>
        <w:t xml:space="preserve">. </w:t>
      </w:r>
    </w:p>
    <w:p w14:paraId="00BF7A89" w14:textId="77777777" w:rsidR="007A30B6" w:rsidRDefault="007A30B6" w:rsidP="00113BB2">
      <w:pPr>
        <w:numPr>
          <w:ilvl w:val="1"/>
          <w:numId w:val="30"/>
        </w:numPr>
        <w:spacing w:line="360" w:lineRule="auto"/>
        <w:ind w:hanging="540"/>
        <w:jc w:val="both"/>
      </w:pPr>
      <w:r w:rsidRPr="00B265CD">
        <w:rPr>
          <w:rtl/>
        </w:rPr>
        <w:t>הסתייעות ברכב לביצוע פשע</w:t>
      </w:r>
      <w:r>
        <w:rPr>
          <w:rtl/>
        </w:rPr>
        <w:t xml:space="preserve"> </w:t>
      </w:r>
      <w:r w:rsidRPr="00B265CD">
        <w:rPr>
          <w:rtl/>
        </w:rPr>
        <w:t xml:space="preserve">- עבירה לפי </w:t>
      </w:r>
      <w:hyperlink r:id="rId33" w:history="1">
        <w:r w:rsidR="00FA68A2" w:rsidRPr="00FA68A2">
          <w:rPr>
            <w:color w:val="0000FF"/>
            <w:u w:val="single"/>
            <w:rtl/>
          </w:rPr>
          <w:t>סעיף 43</w:t>
        </w:r>
      </w:hyperlink>
      <w:r w:rsidRPr="00B265CD">
        <w:rPr>
          <w:rtl/>
        </w:rPr>
        <w:t xml:space="preserve"> ל</w:t>
      </w:r>
      <w:hyperlink r:id="rId34" w:history="1">
        <w:r w:rsidR="009322B9" w:rsidRPr="009322B9">
          <w:rPr>
            <w:color w:val="0000FF"/>
            <w:u w:val="single"/>
            <w:rtl/>
          </w:rPr>
          <w:t>פקודת התעבורה</w:t>
        </w:r>
      </w:hyperlink>
      <w:r w:rsidRPr="00B265CD">
        <w:rPr>
          <w:rtl/>
        </w:rPr>
        <w:t xml:space="preserve"> [נוסח חדש], התשכ"א – 1961 (להלן: "</w:t>
      </w:r>
      <w:r w:rsidRPr="00B918A4">
        <w:rPr>
          <w:b/>
          <w:bCs/>
          <w:rtl/>
        </w:rPr>
        <w:t>פקודת התעבורה</w:t>
      </w:r>
      <w:r w:rsidRPr="00B265CD">
        <w:rPr>
          <w:rtl/>
        </w:rPr>
        <w:t xml:space="preserve">"). </w:t>
      </w:r>
    </w:p>
    <w:p w14:paraId="4CCC8F91" w14:textId="77777777" w:rsidR="007A30B6" w:rsidRDefault="007A30B6" w:rsidP="00113BB2">
      <w:pPr>
        <w:spacing w:line="360" w:lineRule="auto"/>
        <w:jc w:val="both"/>
      </w:pPr>
    </w:p>
    <w:p w14:paraId="5EAC978D" w14:textId="77777777" w:rsidR="007A30B6" w:rsidRPr="00B265CD" w:rsidRDefault="007A30B6" w:rsidP="00113BB2">
      <w:pPr>
        <w:numPr>
          <w:ilvl w:val="0"/>
          <w:numId w:val="30"/>
        </w:numPr>
        <w:tabs>
          <w:tab w:val="clear" w:pos="360"/>
        </w:tabs>
        <w:spacing w:line="360" w:lineRule="auto"/>
        <w:ind w:left="540" w:hanging="540"/>
        <w:jc w:val="both"/>
        <w:rPr>
          <w:rtl/>
        </w:rPr>
      </w:pPr>
      <w:r>
        <w:rPr>
          <w:rtl/>
        </w:rPr>
        <w:t xml:space="preserve">בהכרעת הדין מיום 30.01.13 קבעתי, כי </w:t>
      </w:r>
      <w:r w:rsidRPr="00B265CD">
        <w:rPr>
          <w:rtl/>
        </w:rPr>
        <w:t>עובר ליום 08.01.12</w:t>
      </w:r>
      <w:r>
        <w:rPr>
          <w:rtl/>
        </w:rPr>
        <w:t xml:space="preserve"> </w:t>
      </w:r>
      <w:r w:rsidRPr="00B265CD">
        <w:rPr>
          <w:rtl/>
        </w:rPr>
        <w:t>רכש הנאשם מאדם שזהותו אינה ידועה למאשימה נשק מסוג "קרל גוסטב" (להלן: "</w:t>
      </w:r>
      <w:r w:rsidRPr="00BF2398">
        <w:rPr>
          <w:b/>
          <w:bCs/>
          <w:rtl/>
        </w:rPr>
        <w:t>הנשק</w:t>
      </w:r>
      <w:r w:rsidRPr="00B265CD">
        <w:rPr>
          <w:rtl/>
        </w:rPr>
        <w:t xml:space="preserve">") וכן מחסנית וכדורים </w:t>
      </w:r>
      <w:smartTag w:uri="urn:schemas-microsoft-com:office:smarttags" w:element="metricconverter">
        <w:smartTagPr>
          <w:attr w:name="ProductID" w:val="9 מ&quot;מ"/>
        </w:smartTagPr>
        <w:r w:rsidRPr="00B265CD">
          <w:rPr>
            <w:rtl/>
          </w:rPr>
          <w:t>9 מ"מ</w:t>
        </w:r>
      </w:smartTag>
      <w:r w:rsidRPr="00B265CD">
        <w:rPr>
          <w:rtl/>
        </w:rPr>
        <w:t xml:space="preserve"> (להלן: "</w:t>
      </w:r>
      <w:r w:rsidRPr="00BF2398">
        <w:rPr>
          <w:b/>
          <w:bCs/>
          <w:rtl/>
        </w:rPr>
        <w:t>התחמושת</w:t>
      </w:r>
      <w:r w:rsidRPr="00B265CD">
        <w:rPr>
          <w:rtl/>
        </w:rPr>
        <w:t>").</w:t>
      </w:r>
    </w:p>
    <w:p w14:paraId="1E3ED46A" w14:textId="77777777" w:rsidR="007A30B6" w:rsidRPr="00B265CD" w:rsidRDefault="007A30B6" w:rsidP="00113BB2">
      <w:pPr>
        <w:spacing w:line="360" w:lineRule="auto"/>
        <w:jc w:val="both"/>
        <w:rPr>
          <w:rtl/>
        </w:rPr>
      </w:pPr>
    </w:p>
    <w:p w14:paraId="6B67B854" w14:textId="77777777" w:rsidR="007A30B6" w:rsidRPr="00B265CD" w:rsidRDefault="007A30B6" w:rsidP="00113BB2">
      <w:pPr>
        <w:spacing w:line="360" w:lineRule="auto"/>
        <w:ind w:left="540" w:hanging="540"/>
        <w:jc w:val="both"/>
        <w:rPr>
          <w:rtl/>
        </w:rPr>
      </w:pPr>
      <w:r>
        <w:rPr>
          <w:rtl/>
        </w:rPr>
        <w:t xml:space="preserve">3. </w:t>
      </w:r>
      <w:r w:rsidRPr="00B265CD">
        <w:rPr>
          <w:rtl/>
        </w:rPr>
        <w:tab/>
        <w:t xml:space="preserve">במועד זה, הגיע הנאשם לחורשה הסמוכה לישוב ציפורי, ירה ירייה אחת באוויר באמצעות הנשק ולאחר מכן הטמין את הנשק והתחמושת במקום מסתור סמוך לביתו. </w:t>
      </w:r>
    </w:p>
    <w:p w14:paraId="051755D8" w14:textId="77777777" w:rsidR="007A30B6" w:rsidRPr="00B265CD" w:rsidRDefault="007A30B6" w:rsidP="00113BB2">
      <w:pPr>
        <w:spacing w:line="360" w:lineRule="auto"/>
        <w:jc w:val="both"/>
        <w:rPr>
          <w:rtl/>
        </w:rPr>
      </w:pPr>
    </w:p>
    <w:p w14:paraId="6B450586" w14:textId="77777777" w:rsidR="007A30B6" w:rsidRPr="00B265CD" w:rsidRDefault="007A30B6" w:rsidP="00113BB2">
      <w:pPr>
        <w:spacing w:line="360" w:lineRule="auto"/>
        <w:ind w:left="540" w:hanging="540"/>
        <w:jc w:val="both"/>
        <w:rPr>
          <w:rtl/>
        </w:rPr>
      </w:pPr>
      <w:r>
        <w:rPr>
          <w:rtl/>
        </w:rPr>
        <w:t>4</w:t>
      </w:r>
      <w:r w:rsidRPr="00B265CD">
        <w:rPr>
          <w:rtl/>
        </w:rPr>
        <w:t>.</w:t>
      </w:r>
      <w:r w:rsidRPr="00B265CD">
        <w:rPr>
          <w:rtl/>
        </w:rPr>
        <w:tab/>
        <w:t xml:space="preserve">בהמשך </w:t>
      </w:r>
      <w:r>
        <w:rPr>
          <w:rtl/>
        </w:rPr>
        <w:t>לאמור</w:t>
      </w:r>
      <w:r w:rsidRPr="00B265CD">
        <w:rPr>
          <w:rtl/>
        </w:rPr>
        <w:t>, ביום 08.01.12 בשעה 21:00, בשכונת ספאפרה בנצרת (להלן: "</w:t>
      </w:r>
      <w:r w:rsidRPr="00BF2398">
        <w:rPr>
          <w:b/>
          <w:bCs/>
          <w:rtl/>
        </w:rPr>
        <w:t>השכונה</w:t>
      </w:r>
      <w:r w:rsidRPr="00B265CD">
        <w:rPr>
          <w:rtl/>
        </w:rPr>
        <w:t>"), נהג הנאשם ברכב מאזדה 6 מ.ר 84-134-56 (להלן: "</w:t>
      </w:r>
      <w:r w:rsidRPr="00BF2398">
        <w:rPr>
          <w:b/>
          <w:bCs/>
          <w:rtl/>
        </w:rPr>
        <w:t>הרכב</w:t>
      </w:r>
      <w:r w:rsidRPr="00B265CD">
        <w:rPr>
          <w:rtl/>
        </w:rPr>
        <w:t>"), בעודו נושא בתא המטען של הרכב את הנשק והתחמושת. בשכונה סיירו אותה עת שוטרים</w:t>
      </w:r>
      <w:r>
        <w:rPr>
          <w:rtl/>
        </w:rPr>
        <w:t>; מש</w:t>
      </w:r>
      <w:r w:rsidRPr="00B265CD">
        <w:rPr>
          <w:rtl/>
        </w:rPr>
        <w:t>הבחין הנאשם בסיור, הוא נטש את הרכב</w:t>
      </w:r>
      <w:r>
        <w:rPr>
          <w:rtl/>
        </w:rPr>
        <w:t>,</w:t>
      </w:r>
      <w:r w:rsidRPr="00B265CD">
        <w:rPr>
          <w:rtl/>
        </w:rPr>
        <w:t xml:space="preserve"> בעודו מונע</w:t>
      </w:r>
      <w:r>
        <w:rPr>
          <w:rtl/>
        </w:rPr>
        <w:t>,</w:t>
      </w:r>
      <w:r w:rsidRPr="00B265CD">
        <w:rPr>
          <w:rtl/>
        </w:rPr>
        <w:t xml:space="preserve"> ונמלט מ</w:t>
      </w:r>
      <w:r>
        <w:rPr>
          <w:rtl/>
        </w:rPr>
        <w:t xml:space="preserve">ן </w:t>
      </w:r>
      <w:r w:rsidRPr="00B265CD">
        <w:rPr>
          <w:rtl/>
        </w:rPr>
        <w:t xml:space="preserve">המקום. הרכב הדרדר עד שנתקע באבנים ונעצר. </w:t>
      </w:r>
    </w:p>
    <w:p w14:paraId="51F1DF83" w14:textId="77777777" w:rsidR="007A30B6" w:rsidRPr="00B265CD" w:rsidRDefault="007A30B6" w:rsidP="00113BB2">
      <w:pPr>
        <w:spacing w:line="360" w:lineRule="auto"/>
        <w:jc w:val="both"/>
        <w:rPr>
          <w:b/>
          <w:bCs/>
          <w:u w:val="single"/>
          <w:rtl/>
        </w:rPr>
      </w:pPr>
      <w:r w:rsidRPr="00B265CD">
        <w:rPr>
          <w:rtl/>
        </w:rPr>
        <w:t xml:space="preserve">  </w:t>
      </w:r>
    </w:p>
    <w:p w14:paraId="47188BEA" w14:textId="77777777" w:rsidR="007A30B6" w:rsidRPr="00BF2398" w:rsidRDefault="007A30B6" w:rsidP="00113BB2">
      <w:pPr>
        <w:spacing w:line="360" w:lineRule="auto"/>
        <w:jc w:val="both"/>
        <w:outlineLvl w:val="0"/>
        <w:rPr>
          <w:b/>
          <w:bCs/>
          <w:u w:val="single"/>
          <w:rtl/>
        </w:rPr>
      </w:pPr>
      <w:r w:rsidRPr="00B265CD">
        <w:rPr>
          <w:b/>
          <w:bCs/>
          <w:u w:val="single"/>
          <w:rtl/>
        </w:rPr>
        <w:t>טיעוני ב"כ המאשימה</w:t>
      </w:r>
      <w:r w:rsidRPr="00B265CD">
        <w:rPr>
          <w:rtl/>
        </w:rPr>
        <w:t xml:space="preserve"> </w:t>
      </w:r>
    </w:p>
    <w:p w14:paraId="13BC7C5B" w14:textId="77777777" w:rsidR="007A30B6" w:rsidRPr="00B265CD" w:rsidRDefault="007A30B6" w:rsidP="00113BB2">
      <w:pPr>
        <w:spacing w:line="360" w:lineRule="auto"/>
        <w:jc w:val="both"/>
        <w:rPr>
          <w:rtl/>
        </w:rPr>
      </w:pPr>
    </w:p>
    <w:p w14:paraId="40FB7B90" w14:textId="77777777" w:rsidR="007A30B6" w:rsidRPr="00B265CD" w:rsidRDefault="007A30B6" w:rsidP="00113BB2">
      <w:pPr>
        <w:spacing w:line="360" w:lineRule="auto"/>
        <w:ind w:left="540" w:hanging="540"/>
        <w:jc w:val="both"/>
        <w:rPr>
          <w:rtl/>
        </w:rPr>
      </w:pPr>
      <w:r>
        <w:rPr>
          <w:rtl/>
        </w:rPr>
        <w:t>5</w:t>
      </w:r>
      <w:r w:rsidRPr="00B265CD">
        <w:rPr>
          <w:rtl/>
        </w:rPr>
        <w:t>.</w:t>
      </w:r>
      <w:r w:rsidRPr="00B265CD">
        <w:rPr>
          <w:rtl/>
        </w:rPr>
        <w:tab/>
        <w:t>ב"כ המאשימה עמד על חומרת העבירות בהן הורשע הנאשם</w:t>
      </w:r>
      <w:r>
        <w:rPr>
          <w:rtl/>
        </w:rPr>
        <w:t xml:space="preserve"> בציינו, כי הנאשם רכש את הנשק מכספו האישי וירה באמצעותו בחורשה הסמוכה ליישוב מגורים. מהודעת הנאשם במשטרה (ת/3) עולה, כי </w:t>
      </w:r>
      <w:r w:rsidRPr="00B265CD">
        <w:rPr>
          <w:rtl/>
        </w:rPr>
        <w:t>הנאשם רכש את הנשק מאחר וירו לעברו בהזדמנות קודמת</w:t>
      </w:r>
      <w:r>
        <w:rPr>
          <w:rtl/>
        </w:rPr>
        <w:t xml:space="preserve"> וכוונתו הייתה לנקום בתוקפיו.</w:t>
      </w:r>
      <w:r w:rsidRPr="00B265CD">
        <w:rPr>
          <w:rtl/>
        </w:rPr>
        <w:t xml:space="preserve"> בנוסף</w:t>
      </w:r>
      <w:r>
        <w:rPr>
          <w:rtl/>
        </w:rPr>
        <w:t>,</w:t>
      </w:r>
      <w:r w:rsidRPr="00B265CD">
        <w:rPr>
          <w:rtl/>
        </w:rPr>
        <w:t xml:space="preserve"> נטש הנאשם את רכבו מונע </w:t>
      </w:r>
      <w:r>
        <w:rPr>
          <w:rtl/>
        </w:rPr>
        <w:t>ו</w:t>
      </w:r>
      <w:r w:rsidRPr="00B265CD">
        <w:rPr>
          <w:rtl/>
        </w:rPr>
        <w:t>מדרדר</w:t>
      </w:r>
      <w:r>
        <w:rPr>
          <w:rtl/>
        </w:rPr>
        <w:t xml:space="preserve"> ונמלט משוטרים, ו</w:t>
      </w:r>
      <w:r w:rsidRPr="00B265CD">
        <w:rPr>
          <w:rtl/>
        </w:rPr>
        <w:t>רק בדרך נס לא נגרם אסון</w:t>
      </w:r>
      <w:r>
        <w:rPr>
          <w:rtl/>
        </w:rPr>
        <w:t xml:space="preserve">. </w:t>
      </w:r>
    </w:p>
    <w:p w14:paraId="0AC00840" w14:textId="77777777" w:rsidR="007A30B6" w:rsidRPr="00B265CD" w:rsidRDefault="007A30B6" w:rsidP="00113BB2">
      <w:pPr>
        <w:spacing w:line="360" w:lineRule="auto"/>
        <w:jc w:val="both"/>
        <w:rPr>
          <w:rtl/>
        </w:rPr>
      </w:pPr>
    </w:p>
    <w:p w14:paraId="040936ED" w14:textId="77777777" w:rsidR="007A30B6" w:rsidRPr="00B265CD" w:rsidRDefault="007A30B6" w:rsidP="00113BB2">
      <w:pPr>
        <w:spacing w:line="360" w:lineRule="auto"/>
        <w:ind w:left="540" w:hanging="540"/>
        <w:jc w:val="both"/>
        <w:rPr>
          <w:rtl/>
        </w:rPr>
      </w:pPr>
      <w:r>
        <w:rPr>
          <w:rtl/>
        </w:rPr>
        <w:t>6</w:t>
      </w:r>
      <w:r w:rsidRPr="00B265CD">
        <w:rPr>
          <w:rtl/>
        </w:rPr>
        <w:t>.</w:t>
      </w:r>
      <w:r w:rsidRPr="00B265CD">
        <w:rPr>
          <w:rtl/>
        </w:rPr>
        <w:tab/>
        <w:t xml:space="preserve"> ב"כ המאשימה </w:t>
      </w:r>
      <w:r>
        <w:rPr>
          <w:rtl/>
        </w:rPr>
        <w:t>הדגיש</w:t>
      </w:r>
      <w:r w:rsidRPr="00B265CD">
        <w:rPr>
          <w:rtl/>
        </w:rPr>
        <w:t xml:space="preserve">, כי ניכרת מגמת החמרה בענישה בעבירות נשק אשר מטרתה להרתיע את מבצעי העבירה ולהרחיקם מן החברה. </w:t>
      </w:r>
    </w:p>
    <w:p w14:paraId="708CD3FF" w14:textId="77777777" w:rsidR="007A30B6" w:rsidRPr="00B265CD" w:rsidRDefault="007A30B6" w:rsidP="00113BB2">
      <w:pPr>
        <w:spacing w:line="360" w:lineRule="auto"/>
        <w:jc w:val="both"/>
        <w:rPr>
          <w:rtl/>
        </w:rPr>
      </w:pPr>
    </w:p>
    <w:p w14:paraId="65ADDCCA" w14:textId="77777777" w:rsidR="007A30B6" w:rsidRPr="00B265CD" w:rsidRDefault="007A30B6" w:rsidP="00113BB2">
      <w:pPr>
        <w:spacing w:line="360" w:lineRule="auto"/>
        <w:ind w:left="540" w:hanging="540"/>
        <w:jc w:val="both"/>
        <w:rPr>
          <w:rtl/>
        </w:rPr>
      </w:pPr>
      <w:r>
        <w:rPr>
          <w:rtl/>
        </w:rPr>
        <w:t>7</w:t>
      </w:r>
      <w:r w:rsidRPr="00B265CD">
        <w:rPr>
          <w:rtl/>
        </w:rPr>
        <w:t>.</w:t>
      </w:r>
      <w:r w:rsidRPr="00B265CD">
        <w:rPr>
          <w:rtl/>
        </w:rPr>
        <w:tab/>
        <w:t>ב"כ המאשימה סבור, כי אין להעניק משקל רב לנסיבותיו האישיות של הנאשם לרבות היותו צעיר</w:t>
      </w:r>
      <w:r>
        <w:rPr>
          <w:rtl/>
        </w:rPr>
        <w:t xml:space="preserve"> ו</w:t>
      </w:r>
      <w:r w:rsidRPr="00B265CD">
        <w:rPr>
          <w:rtl/>
        </w:rPr>
        <w:t>בן למשפחה נורמטיבית</w:t>
      </w:r>
      <w:r>
        <w:rPr>
          <w:rtl/>
        </w:rPr>
        <w:t>;</w:t>
      </w:r>
      <w:r w:rsidRPr="00B265CD">
        <w:rPr>
          <w:rtl/>
        </w:rPr>
        <w:t xml:space="preserve"> העבירות בהן הורשע מבוצעות פעמים רבות על ידי צעירים שמוגדרים כנורמטיביים </w:t>
      </w:r>
      <w:r>
        <w:rPr>
          <w:rtl/>
        </w:rPr>
        <w:t>ונעדרי</w:t>
      </w:r>
      <w:r w:rsidRPr="00B265CD">
        <w:rPr>
          <w:rtl/>
        </w:rPr>
        <w:t xml:space="preserve"> עבר פלילי.</w:t>
      </w:r>
    </w:p>
    <w:p w14:paraId="59FC14A9" w14:textId="77777777" w:rsidR="007A30B6" w:rsidRPr="00B265CD" w:rsidRDefault="007A30B6" w:rsidP="00113BB2">
      <w:pPr>
        <w:spacing w:line="360" w:lineRule="auto"/>
        <w:jc w:val="both"/>
        <w:rPr>
          <w:rtl/>
        </w:rPr>
      </w:pPr>
    </w:p>
    <w:p w14:paraId="36B18B16" w14:textId="77777777" w:rsidR="007A30B6" w:rsidRPr="00B265CD" w:rsidRDefault="007A30B6" w:rsidP="00113BB2">
      <w:pPr>
        <w:spacing w:line="360" w:lineRule="auto"/>
        <w:ind w:left="540" w:hanging="540"/>
        <w:jc w:val="both"/>
        <w:rPr>
          <w:rtl/>
        </w:rPr>
      </w:pPr>
      <w:r>
        <w:rPr>
          <w:rtl/>
        </w:rPr>
        <w:t>8</w:t>
      </w:r>
      <w:r w:rsidRPr="00B265CD">
        <w:rPr>
          <w:rtl/>
        </w:rPr>
        <w:t>.</w:t>
      </w:r>
      <w:r w:rsidRPr="00B265CD">
        <w:rPr>
          <w:rtl/>
        </w:rPr>
        <w:tab/>
        <w:t xml:space="preserve">מתסקיר </w:t>
      </w:r>
      <w:r>
        <w:rPr>
          <w:rtl/>
        </w:rPr>
        <w:t xml:space="preserve">שירות </w:t>
      </w:r>
      <w:r w:rsidRPr="00B265CD">
        <w:rPr>
          <w:rtl/>
        </w:rPr>
        <w:t>המבחן עולה, כי הנאשם מפחית מחומרת העבירה; הרקע לביצוע העבירות</w:t>
      </w:r>
      <w:r>
        <w:rPr>
          <w:rtl/>
        </w:rPr>
        <w:t xml:space="preserve"> </w:t>
      </w:r>
      <w:r w:rsidRPr="00B265CD">
        <w:rPr>
          <w:rtl/>
        </w:rPr>
        <w:t xml:space="preserve">מוסבר על </w:t>
      </w:r>
      <w:r>
        <w:rPr>
          <w:rtl/>
        </w:rPr>
        <w:t>ידי הנאשם</w:t>
      </w:r>
      <w:r w:rsidRPr="00B265CD">
        <w:rPr>
          <w:rtl/>
        </w:rPr>
        <w:t xml:space="preserve"> </w:t>
      </w:r>
      <w:r>
        <w:rPr>
          <w:rtl/>
        </w:rPr>
        <w:t>כבחירה</w:t>
      </w:r>
      <w:r w:rsidRPr="00B265CD">
        <w:rPr>
          <w:rtl/>
        </w:rPr>
        <w:t xml:space="preserve"> </w:t>
      </w:r>
      <w:r>
        <w:rPr>
          <w:rtl/>
        </w:rPr>
        <w:t>חברתית</w:t>
      </w:r>
      <w:r w:rsidRPr="00B265CD">
        <w:rPr>
          <w:rtl/>
        </w:rPr>
        <w:t xml:space="preserve"> שעשה</w:t>
      </w:r>
      <w:r>
        <w:rPr>
          <w:rtl/>
        </w:rPr>
        <w:t>, ו</w:t>
      </w:r>
      <w:r w:rsidRPr="00B265CD">
        <w:rPr>
          <w:rtl/>
        </w:rPr>
        <w:t>מכך ניתן ללמוד על האופן המקל בו הוא רואה את מעשיו.</w:t>
      </w:r>
    </w:p>
    <w:p w14:paraId="54318FDA" w14:textId="77777777" w:rsidR="007A30B6" w:rsidRPr="00B265CD" w:rsidRDefault="007A30B6" w:rsidP="00113BB2">
      <w:pPr>
        <w:spacing w:line="360" w:lineRule="auto"/>
        <w:jc w:val="both"/>
        <w:rPr>
          <w:rtl/>
        </w:rPr>
      </w:pPr>
    </w:p>
    <w:p w14:paraId="0C687544" w14:textId="77777777" w:rsidR="007A30B6" w:rsidRPr="00B265CD" w:rsidRDefault="007A30B6" w:rsidP="00113BB2">
      <w:pPr>
        <w:spacing w:line="360" w:lineRule="auto"/>
        <w:ind w:left="540" w:hanging="540"/>
        <w:jc w:val="both"/>
        <w:rPr>
          <w:rtl/>
        </w:rPr>
      </w:pPr>
      <w:r>
        <w:rPr>
          <w:rtl/>
        </w:rPr>
        <w:t>9</w:t>
      </w:r>
      <w:r w:rsidRPr="00B265CD">
        <w:rPr>
          <w:rtl/>
        </w:rPr>
        <w:t>.</w:t>
      </w:r>
      <w:r w:rsidRPr="00B265CD">
        <w:rPr>
          <w:rtl/>
        </w:rPr>
        <w:tab/>
        <w:t xml:space="preserve">ב"כ המאשימה סבור, כי מתחם הענישה לאירוע כולו נע בין מאסר בפועל לתקופה </w:t>
      </w:r>
      <w:r>
        <w:rPr>
          <w:rtl/>
        </w:rPr>
        <w:t xml:space="preserve">הנעה בין  20 </w:t>
      </w:r>
      <w:r w:rsidRPr="00B265CD">
        <w:rPr>
          <w:rtl/>
        </w:rPr>
        <w:t>חודשים ל</w:t>
      </w:r>
      <w:r>
        <w:rPr>
          <w:rtl/>
        </w:rPr>
        <w:t>- 40</w:t>
      </w:r>
      <w:r w:rsidRPr="00B265CD">
        <w:rPr>
          <w:rtl/>
        </w:rPr>
        <w:t xml:space="preserve"> חודשים</w:t>
      </w:r>
      <w:r>
        <w:rPr>
          <w:rtl/>
        </w:rPr>
        <w:t>,</w:t>
      </w:r>
      <w:r w:rsidRPr="00B265CD">
        <w:rPr>
          <w:rtl/>
        </w:rPr>
        <w:t xml:space="preserve"> בצירוף ענישה נלווית.    </w:t>
      </w:r>
    </w:p>
    <w:p w14:paraId="1E6767BB" w14:textId="77777777" w:rsidR="007A30B6" w:rsidRPr="00B265CD" w:rsidRDefault="007A30B6" w:rsidP="00113BB2">
      <w:pPr>
        <w:spacing w:line="360" w:lineRule="auto"/>
        <w:jc w:val="both"/>
        <w:rPr>
          <w:rtl/>
        </w:rPr>
      </w:pPr>
    </w:p>
    <w:p w14:paraId="000322FD" w14:textId="77777777" w:rsidR="007A30B6" w:rsidRPr="00B265CD" w:rsidRDefault="007A30B6" w:rsidP="00113BB2">
      <w:pPr>
        <w:spacing w:line="360" w:lineRule="auto"/>
        <w:ind w:left="540" w:hanging="540"/>
        <w:jc w:val="both"/>
        <w:rPr>
          <w:rtl/>
        </w:rPr>
      </w:pPr>
      <w:r w:rsidRPr="00B265CD">
        <w:rPr>
          <w:rtl/>
        </w:rPr>
        <w:t>1</w:t>
      </w:r>
      <w:r>
        <w:rPr>
          <w:rtl/>
        </w:rPr>
        <w:t>0</w:t>
      </w:r>
      <w:r w:rsidRPr="00B265CD">
        <w:rPr>
          <w:rtl/>
        </w:rPr>
        <w:t>.</w:t>
      </w:r>
      <w:r w:rsidRPr="00B265CD">
        <w:rPr>
          <w:rtl/>
        </w:rPr>
        <w:tab/>
        <w:t>ב"כ המאשימה מבקש לגזור על הנאשם עונש שנמצא בחלקו הנמוך של מתחם הענישה המוצע על ידו</w:t>
      </w:r>
      <w:r>
        <w:rPr>
          <w:rtl/>
        </w:rPr>
        <w:t xml:space="preserve">, </w:t>
      </w:r>
      <w:r w:rsidRPr="00B265CD">
        <w:rPr>
          <w:rtl/>
        </w:rPr>
        <w:t>אם כי לא ברף התחתון</w:t>
      </w:r>
      <w:r>
        <w:rPr>
          <w:rtl/>
        </w:rPr>
        <w:t xml:space="preserve">. לטענתו, </w:t>
      </w:r>
      <w:r w:rsidRPr="00B265CD">
        <w:rPr>
          <w:rtl/>
        </w:rPr>
        <w:t>ב"כ הנאשם הסתיר את קו ההגנה ונמנע מלהשיב לכתב האישום וזאת חרף הודאתו של הנאשם במשטרה</w:t>
      </w:r>
      <w:r>
        <w:rPr>
          <w:rtl/>
        </w:rPr>
        <w:t>;</w:t>
      </w:r>
      <w:r w:rsidRPr="00B265CD">
        <w:rPr>
          <w:rtl/>
        </w:rPr>
        <w:t xml:space="preserve"> </w:t>
      </w:r>
      <w:r>
        <w:rPr>
          <w:rtl/>
        </w:rPr>
        <w:t>משכך</w:t>
      </w:r>
      <w:r w:rsidRPr="00B265CD">
        <w:rPr>
          <w:rtl/>
        </w:rPr>
        <w:t xml:space="preserve">, הנאשם אינו זכאי להקלה לה זכאים נאשמים שהודו במיוחס להם, לקחו אחריות על מעשיהם וחסכו מזמנו היקר של בית המשפט. </w:t>
      </w:r>
    </w:p>
    <w:p w14:paraId="13620447" w14:textId="77777777" w:rsidR="007A30B6" w:rsidRPr="00B265CD" w:rsidRDefault="007A30B6" w:rsidP="00113BB2">
      <w:pPr>
        <w:spacing w:line="360" w:lineRule="auto"/>
        <w:ind w:left="540" w:hanging="540"/>
        <w:jc w:val="both"/>
        <w:rPr>
          <w:rtl/>
        </w:rPr>
      </w:pPr>
      <w:r>
        <w:rPr>
          <w:rtl/>
        </w:rPr>
        <w:t>11</w:t>
      </w:r>
      <w:r w:rsidRPr="00B265CD">
        <w:rPr>
          <w:rtl/>
        </w:rPr>
        <w:t>.</w:t>
      </w:r>
      <w:r w:rsidRPr="00B265CD">
        <w:rPr>
          <w:rtl/>
        </w:rPr>
        <w:tab/>
        <w:t xml:space="preserve">ב"כ המאשימה מבקש שלא לאמץ את המלצותיו של שירות המבחן. לטענתו, שירות המבחן לא שקל את מלוא השיקולים שיש לקחת בחשבון וראה מולו רק שיקולי שיקום. </w:t>
      </w:r>
    </w:p>
    <w:p w14:paraId="324ACC65" w14:textId="77777777" w:rsidR="007A30B6" w:rsidRPr="00B265CD" w:rsidRDefault="007A30B6" w:rsidP="00113BB2">
      <w:pPr>
        <w:spacing w:line="360" w:lineRule="auto"/>
        <w:jc w:val="both"/>
        <w:rPr>
          <w:rtl/>
        </w:rPr>
      </w:pPr>
    </w:p>
    <w:p w14:paraId="7A90139F" w14:textId="77777777" w:rsidR="007A30B6" w:rsidRPr="00B265CD" w:rsidRDefault="007A30B6" w:rsidP="00113BB2">
      <w:pPr>
        <w:spacing w:line="360" w:lineRule="auto"/>
        <w:jc w:val="both"/>
        <w:outlineLvl w:val="0"/>
        <w:rPr>
          <w:b/>
          <w:bCs/>
          <w:u w:val="single"/>
          <w:rtl/>
        </w:rPr>
      </w:pPr>
      <w:r w:rsidRPr="00B265CD">
        <w:rPr>
          <w:b/>
          <w:bCs/>
          <w:u w:val="single"/>
          <w:rtl/>
        </w:rPr>
        <w:t xml:space="preserve">טיעוני ב"כ הנאשם  </w:t>
      </w:r>
    </w:p>
    <w:p w14:paraId="044DA38E" w14:textId="77777777" w:rsidR="007A30B6" w:rsidRPr="00B265CD" w:rsidRDefault="007A30B6" w:rsidP="00113BB2">
      <w:pPr>
        <w:spacing w:line="360" w:lineRule="auto"/>
        <w:jc w:val="both"/>
        <w:rPr>
          <w:rtl/>
        </w:rPr>
      </w:pPr>
    </w:p>
    <w:p w14:paraId="31881FEE" w14:textId="77777777" w:rsidR="007A30B6" w:rsidRPr="00B265CD" w:rsidRDefault="007A30B6" w:rsidP="00113BB2">
      <w:pPr>
        <w:spacing w:line="360" w:lineRule="auto"/>
        <w:ind w:left="540" w:hanging="540"/>
        <w:jc w:val="both"/>
        <w:rPr>
          <w:rtl/>
        </w:rPr>
      </w:pPr>
      <w:r>
        <w:rPr>
          <w:rtl/>
        </w:rPr>
        <w:t>12</w:t>
      </w:r>
      <w:r w:rsidRPr="00B265CD">
        <w:rPr>
          <w:rtl/>
        </w:rPr>
        <w:t>.</w:t>
      </w:r>
      <w:r w:rsidRPr="00B265CD">
        <w:rPr>
          <w:rtl/>
        </w:rPr>
        <w:tab/>
        <w:t xml:space="preserve">ב"כ הנאשם סבור, כי במקרה דנן הכף נוטה </w:t>
      </w:r>
      <w:r>
        <w:rPr>
          <w:rtl/>
        </w:rPr>
        <w:t>לעבר הפ</w:t>
      </w:r>
      <w:r w:rsidRPr="00B265CD">
        <w:rPr>
          <w:rtl/>
        </w:rPr>
        <w:t>ן השיקומי נוכח גילו הצעיר</w:t>
      </w:r>
      <w:r>
        <w:rPr>
          <w:rtl/>
        </w:rPr>
        <w:t xml:space="preserve"> של הנאשם</w:t>
      </w:r>
      <w:r w:rsidRPr="00B265CD">
        <w:rPr>
          <w:rtl/>
        </w:rPr>
        <w:t>, חרטתו ועברו הפלילי הנקי</w:t>
      </w:r>
      <w:r>
        <w:rPr>
          <w:rtl/>
        </w:rPr>
        <w:t xml:space="preserve">. </w:t>
      </w:r>
    </w:p>
    <w:p w14:paraId="4E3DC0C8" w14:textId="77777777" w:rsidR="007A30B6" w:rsidRPr="00B265CD" w:rsidRDefault="007A30B6" w:rsidP="00113BB2">
      <w:pPr>
        <w:spacing w:line="360" w:lineRule="auto"/>
        <w:jc w:val="both"/>
        <w:rPr>
          <w:rtl/>
        </w:rPr>
      </w:pPr>
    </w:p>
    <w:p w14:paraId="321991E6" w14:textId="77777777" w:rsidR="007A30B6" w:rsidRPr="00B265CD" w:rsidRDefault="007A30B6" w:rsidP="00113BB2">
      <w:pPr>
        <w:spacing w:line="360" w:lineRule="auto"/>
        <w:ind w:left="540" w:hanging="540"/>
        <w:jc w:val="both"/>
        <w:rPr>
          <w:rtl/>
        </w:rPr>
      </w:pPr>
      <w:r>
        <w:rPr>
          <w:rtl/>
        </w:rPr>
        <w:t>13</w:t>
      </w:r>
      <w:r w:rsidRPr="00B265CD">
        <w:rPr>
          <w:rtl/>
        </w:rPr>
        <w:t>.</w:t>
      </w:r>
      <w:r w:rsidRPr="00B265CD">
        <w:rPr>
          <w:rtl/>
        </w:rPr>
        <w:tab/>
        <w:t>לטענת ב"כ הנאשם, הנאשם הודה במיוחס לו עת נגבתה הודעתו</w:t>
      </w:r>
      <w:r>
        <w:rPr>
          <w:rtl/>
        </w:rPr>
        <w:t xml:space="preserve"> במשטרה; </w:t>
      </w:r>
      <w:r w:rsidRPr="00B265CD">
        <w:rPr>
          <w:rtl/>
        </w:rPr>
        <w:t xml:space="preserve">זכותו של </w:t>
      </w:r>
      <w:r>
        <w:rPr>
          <w:rtl/>
        </w:rPr>
        <w:t>ה</w:t>
      </w:r>
      <w:r w:rsidRPr="00B265CD">
        <w:rPr>
          <w:rtl/>
        </w:rPr>
        <w:t xml:space="preserve">נאשם </w:t>
      </w:r>
      <w:r>
        <w:rPr>
          <w:rtl/>
        </w:rPr>
        <w:t>ש</w:t>
      </w:r>
      <w:r w:rsidRPr="00B265CD">
        <w:rPr>
          <w:rtl/>
        </w:rPr>
        <w:t>לא להשיב לכתב האישום</w:t>
      </w:r>
      <w:r>
        <w:rPr>
          <w:rtl/>
        </w:rPr>
        <w:t xml:space="preserve">; </w:t>
      </w:r>
      <w:r w:rsidRPr="00B265CD">
        <w:rPr>
          <w:rtl/>
        </w:rPr>
        <w:t>אין זה אומר שהנאשם כפר ב</w:t>
      </w:r>
      <w:r>
        <w:rPr>
          <w:rtl/>
        </w:rPr>
        <w:t xml:space="preserve">עובדות </w:t>
      </w:r>
      <w:r w:rsidRPr="00B265CD">
        <w:rPr>
          <w:rtl/>
        </w:rPr>
        <w:t xml:space="preserve">כתב האישום. </w:t>
      </w:r>
    </w:p>
    <w:p w14:paraId="19FEE4D9" w14:textId="77777777" w:rsidR="007A30B6" w:rsidRPr="00B265CD" w:rsidRDefault="007A30B6" w:rsidP="00113BB2">
      <w:pPr>
        <w:spacing w:line="360" w:lineRule="auto"/>
        <w:ind w:hanging="720"/>
        <w:jc w:val="both"/>
        <w:rPr>
          <w:rtl/>
        </w:rPr>
      </w:pPr>
    </w:p>
    <w:p w14:paraId="629E0676" w14:textId="77777777" w:rsidR="007A30B6" w:rsidRDefault="007A30B6" w:rsidP="00113BB2">
      <w:pPr>
        <w:spacing w:line="360" w:lineRule="auto"/>
        <w:ind w:left="540" w:hanging="540"/>
        <w:jc w:val="both"/>
        <w:rPr>
          <w:rtl/>
        </w:rPr>
      </w:pPr>
      <w:r>
        <w:rPr>
          <w:rtl/>
        </w:rPr>
        <w:t>14</w:t>
      </w:r>
      <w:r w:rsidRPr="00B265CD">
        <w:rPr>
          <w:rtl/>
        </w:rPr>
        <w:t>.</w:t>
      </w:r>
      <w:r w:rsidRPr="00B265CD">
        <w:rPr>
          <w:rtl/>
        </w:rPr>
        <w:tab/>
        <w:t>מתסקיר</w:t>
      </w:r>
      <w:r>
        <w:rPr>
          <w:rtl/>
        </w:rPr>
        <w:t xml:space="preserve"> שירות</w:t>
      </w:r>
      <w:r w:rsidRPr="00B265CD">
        <w:rPr>
          <w:rtl/>
        </w:rPr>
        <w:t xml:space="preserve"> המבחן עולה, כי אין חשש להישנות עבירות דומות מצד הנאשם. </w:t>
      </w:r>
    </w:p>
    <w:p w14:paraId="636ACE75" w14:textId="77777777" w:rsidR="007A30B6" w:rsidRPr="00B265CD" w:rsidRDefault="007A30B6" w:rsidP="00113BB2">
      <w:pPr>
        <w:spacing w:line="360" w:lineRule="auto"/>
        <w:ind w:hanging="720"/>
        <w:jc w:val="both"/>
        <w:rPr>
          <w:rtl/>
        </w:rPr>
      </w:pPr>
    </w:p>
    <w:p w14:paraId="137F466F" w14:textId="77777777" w:rsidR="007A30B6" w:rsidRPr="00B265CD" w:rsidRDefault="007A30B6" w:rsidP="00113BB2">
      <w:pPr>
        <w:spacing w:line="360" w:lineRule="auto"/>
        <w:ind w:left="540" w:hanging="540"/>
        <w:jc w:val="both"/>
        <w:rPr>
          <w:rtl/>
        </w:rPr>
      </w:pPr>
      <w:r>
        <w:rPr>
          <w:rtl/>
        </w:rPr>
        <w:t>15</w:t>
      </w:r>
      <w:r w:rsidRPr="00B265CD">
        <w:rPr>
          <w:rtl/>
        </w:rPr>
        <w:t>.</w:t>
      </w:r>
      <w:r w:rsidRPr="00B265CD">
        <w:rPr>
          <w:rtl/>
        </w:rPr>
        <w:tab/>
      </w:r>
      <w:r>
        <w:rPr>
          <w:rtl/>
        </w:rPr>
        <w:t>מהודעתו של הנאשם</w:t>
      </w:r>
      <w:r w:rsidRPr="00B265CD">
        <w:rPr>
          <w:rtl/>
        </w:rPr>
        <w:t xml:space="preserve"> (</w:t>
      </w:r>
      <w:r w:rsidRPr="00B265CD">
        <w:rPr>
          <w:b/>
          <w:bCs/>
          <w:rtl/>
        </w:rPr>
        <w:t>ת/3)</w:t>
      </w:r>
      <w:r w:rsidRPr="00B265CD">
        <w:rPr>
          <w:rtl/>
        </w:rPr>
        <w:t xml:space="preserve"> עולה, כי הנאשם החזיק בנשק לצורך הגנה עצמית בלבד</w:t>
      </w:r>
      <w:r>
        <w:rPr>
          <w:rtl/>
        </w:rPr>
        <w:t>,</w:t>
      </w:r>
      <w:r w:rsidRPr="00B265CD">
        <w:rPr>
          <w:rtl/>
        </w:rPr>
        <w:t xml:space="preserve"> זאת בניגוד לטענת ב"כ המאשימה, לפיה הנאשם החזיק בנשק מתוך </w:t>
      </w:r>
      <w:r>
        <w:rPr>
          <w:rtl/>
        </w:rPr>
        <w:t>תחושות</w:t>
      </w:r>
      <w:r w:rsidRPr="00B265CD">
        <w:rPr>
          <w:rtl/>
        </w:rPr>
        <w:t xml:space="preserve"> נקם. </w:t>
      </w:r>
    </w:p>
    <w:p w14:paraId="14BDC155" w14:textId="77777777" w:rsidR="007A30B6" w:rsidRPr="00B265CD" w:rsidRDefault="007A30B6" w:rsidP="00113BB2">
      <w:pPr>
        <w:spacing w:line="360" w:lineRule="auto"/>
        <w:jc w:val="both"/>
        <w:rPr>
          <w:rtl/>
        </w:rPr>
      </w:pPr>
    </w:p>
    <w:p w14:paraId="4EAE8569" w14:textId="77777777" w:rsidR="007A30B6" w:rsidRDefault="007A30B6" w:rsidP="00113BB2">
      <w:pPr>
        <w:numPr>
          <w:ilvl w:val="0"/>
          <w:numId w:val="33"/>
        </w:numPr>
        <w:tabs>
          <w:tab w:val="clear" w:pos="-180"/>
          <w:tab w:val="num" w:pos="540"/>
        </w:tabs>
        <w:spacing w:line="360" w:lineRule="auto"/>
        <w:ind w:left="540" w:hanging="540"/>
        <w:jc w:val="both"/>
        <w:rPr>
          <w:rtl/>
        </w:rPr>
      </w:pPr>
      <w:r w:rsidRPr="00B265CD">
        <w:rPr>
          <w:rtl/>
        </w:rPr>
        <w:t>מתסקיר שירות המבחן עולה, כי המגזר אליו משתייך הנאשם מפחית מחומרת העבירות בהן הורשע</w:t>
      </w:r>
      <w:r>
        <w:rPr>
          <w:rtl/>
        </w:rPr>
        <w:t>, משכך</w:t>
      </w:r>
      <w:r w:rsidRPr="00B265CD">
        <w:rPr>
          <w:rtl/>
        </w:rPr>
        <w:t xml:space="preserve"> אין לראות בנאשם בפרט כמפחית מחומרת העבירות</w:t>
      </w:r>
      <w:r>
        <w:rPr>
          <w:rtl/>
        </w:rPr>
        <w:t>,</w:t>
      </w:r>
      <w:r w:rsidRPr="00B265CD">
        <w:rPr>
          <w:rtl/>
        </w:rPr>
        <w:t xml:space="preserve"> כפי טענת ב"כ המאשימה. בנוסף, דברים אלה אינם עולים בקנה אחד עם "רוח התסקיר" לפיה, הנאשם נטל אחריות מלאה על מעשיו. </w:t>
      </w:r>
    </w:p>
    <w:p w14:paraId="1840FB71" w14:textId="77777777" w:rsidR="007A30B6" w:rsidRDefault="007A30B6" w:rsidP="00113BB2">
      <w:pPr>
        <w:spacing w:line="360" w:lineRule="auto"/>
        <w:ind w:left="-540"/>
        <w:jc w:val="both"/>
      </w:pPr>
    </w:p>
    <w:p w14:paraId="0FFADFEA" w14:textId="77777777" w:rsidR="007A30B6" w:rsidRDefault="007A30B6" w:rsidP="00113BB2">
      <w:pPr>
        <w:numPr>
          <w:ilvl w:val="0"/>
          <w:numId w:val="33"/>
        </w:numPr>
        <w:tabs>
          <w:tab w:val="clear" w:pos="-180"/>
          <w:tab w:val="num" w:pos="540"/>
        </w:tabs>
        <w:spacing w:line="360" w:lineRule="auto"/>
        <w:ind w:left="540" w:hanging="540"/>
        <w:jc w:val="both"/>
      </w:pPr>
      <w:r w:rsidRPr="00B265CD">
        <w:rPr>
          <w:rtl/>
        </w:rPr>
        <w:t xml:space="preserve">הנאשם החזיק בנשק ובתחמושת למשך תקופה קצרה בת יומיים בלבד; בסופו של יום לא נגרם נזק לאף אדם כתוצאה מביצוע העבירות.  </w:t>
      </w:r>
    </w:p>
    <w:p w14:paraId="266CE0E3" w14:textId="77777777" w:rsidR="007A30B6" w:rsidRDefault="007A30B6" w:rsidP="00113BB2">
      <w:pPr>
        <w:spacing w:line="360" w:lineRule="auto"/>
        <w:jc w:val="both"/>
        <w:rPr>
          <w:rtl/>
        </w:rPr>
      </w:pPr>
    </w:p>
    <w:p w14:paraId="39FC25E1" w14:textId="77777777" w:rsidR="007A30B6" w:rsidRDefault="007A30B6" w:rsidP="00113BB2">
      <w:pPr>
        <w:numPr>
          <w:ilvl w:val="0"/>
          <w:numId w:val="33"/>
        </w:numPr>
        <w:tabs>
          <w:tab w:val="clear" w:pos="-180"/>
          <w:tab w:val="num" w:pos="540"/>
        </w:tabs>
        <w:spacing w:line="360" w:lineRule="auto"/>
        <w:ind w:left="540" w:hanging="540"/>
        <w:jc w:val="both"/>
      </w:pPr>
      <w:r w:rsidRPr="00B265CD">
        <w:rPr>
          <w:rtl/>
        </w:rPr>
        <w:t>הנאשם שהה במעצר מאחורי סורג ובריח במשך כחודש ימים. לאחר מכן</w:t>
      </w:r>
      <w:r>
        <w:rPr>
          <w:rtl/>
        </w:rPr>
        <w:t xml:space="preserve"> שהה </w:t>
      </w:r>
      <w:r w:rsidRPr="00B265CD">
        <w:rPr>
          <w:rtl/>
        </w:rPr>
        <w:t>במעצר בית מלא במשך 14 חודשים</w:t>
      </w:r>
      <w:r>
        <w:rPr>
          <w:rtl/>
        </w:rPr>
        <w:t>.</w:t>
      </w:r>
      <w:r w:rsidRPr="00B265CD">
        <w:rPr>
          <w:rtl/>
        </w:rPr>
        <w:t xml:space="preserve"> מדובר בנאשם ששמר באדיקות על תנאי מעצר הבית ולא עבר כל עבירה במהלך תקופה זו. משפחתו של הנאשם נטלה חלק פעיל בשיקומו וחינוכו</w:t>
      </w:r>
      <w:r>
        <w:rPr>
          <w:rtl/>
        </w:rPr>
        <w:t>.</w:t>
      </w:r>
    </w:p>
    <w:p w14:paraId="1945F22C" w14:textId="77777777" w:rsidR="007A30B6" w:rsidRDefault="007A30B6" w:rsidP="00113BB2">
      <w:pPr>
        <w:spacing w:line="360" w:lineRule="auto"/>
        <w:jc w:val="both"/>
        <w:rPr>
          <w:rtl/>
        </w:rPr>
      </w:pPr>
    </w:p>
    <w:p w14:paraId="2B6835C3" w14:textId="77777777" w:rsidR="007A30B6" w:rsidRDefault="007A30B6" w:rsidP="00113BB2">
      <w:pPr>
        <w:numPr>
          <w:ilvl w:val="0"/>
          <w:numId w:val="33"/>
        </w:numPr>
        <w:tabs>
          <w:tab w:val="clear" w:pos="-180"/>
          <w:tab w:val="num" w:pos="540"/>
        </w:tabs>
        <w:spacing w:line="360" w:lineRule="auto"/>
        <w:ind w:left="540" w:hanging="540"/>
        <w:jc w:val="both"/>
      </w:pPr>
      <w:r w:rsidRPr="00B265CD">
        <w:rPr>
          <w:rtl/>
        </w:rPr>
        <w:t>ב"כ הנאשם</w:t>
      </w:r>
      <w:r>
        <w:rPr>
          <w:rtl/>
        </w:rPr>
        <w:t xml:space="preserve"> </w:t>
      </w:r>
      <w:r w:rsidRPr="00B265CD">
        <w:rPr>
          <w:rtl/>
        </w:rPr>
        <w:t xml:space="preserve">הפנה לפסיקותיו של בית המשפט העליון בעבירות שונות מהן עולה, כי שיקולי הענישה השונים כגון שיקולי גמול והרתעה הם שיקולים דינמיים ומשקלם שונה ממקרה למקרה. בנוסף מהפסיקה עולה, כי גם בעבירות בהן על בית המשפט להטיל מאסר בפועל נמנע בית המשפט מלהטיל ענישה בפועל כדי למנוע </w:t>
      </w:r>
      <w:r>
        <w:rPr>
          <w:rtl/>
        </w:rPr>
        <w:t xml:space="preserve">את </w:t>
      </w:r>
      <w:r w:rsidRPr="00B265CD">
        <w:rPr>
          <w:rtl/>
        </w:rPr>
        <w:t>חשיפת הנאשמים לתרבות עבריינית בבית הסוהר</w:t>
      </w:r>
      <w:r>
        <w:rPr>
          <w:rtl/>
        </w:rPr>
        <w:t>.</w:t>
      </w:r>
    </w:p>
    <w:p w14:paraId="57E34105" w14:textId="77777777" w:rsidR="007A30B6" w:rsidRDefault="007A30B6" w:rsidP="00113BB2">
      <w:pPr>
        <w:spacing w:line="360" w:lineRule="auto"/>
        <w:jc w:val="both"/>
        <w:rPr>
          <w:rtl/>
        </w:rPr>
      </w:pPr>
    </w:p>
    <w:p w14:paraId="44424C16" w14:textId="77777777" w:rsidR="007A30B6" w:rsidRDefault="007A30B6" w:rsidP="00113BB2">
      <w:pPr>
        <w:numPr>
          <w:ilvl w:val="0"/>
          <w:numId w:val="33"/>
        </w:numPr>
        <w:tabs>
          <w:tab w:val="clear" w:pos="-180"/>
          <w:tab w:val="num" w:pos="540"/>
        </w:tabs>
        <w:spacing w:line="360" w:lineRule="auto"/>
        <w:ind w:left="540" w:hanging="540"/>
        <w:jc w:val="both"/>
      </w:pPr>
      <w:r>
        <w:rPr>
          <w:rtl/>
        </w:rPr>
        <w:t xml:space="preserve">ב"כ הנאשם הפנה לת"פ (נצ') 1111/04 </w:t>
      </w:r>
      <w:r w:rsidRPr="00D85110">
        <w:rPr>
          <w:b/>
          <w:bCs/>
          <w:rtl/>
        </w:rPr>
        <w:t>מדינת ישראל נ' ענאן נעיראת</w:t>
      </w:r>
      <w:r>
        <w:rPr>
          <w:rtl/>
        </w:rPr>
        <w:t xml:space="preserve"> (ניתן ביום 27.01.05) – שם גזר בית המשפט המחוזי בנצרת על נאשם שהחזיק נשק כשנתיים ותקף שוטרים, 6 חודשי מאסר בפועל שרוצו בעבודות שירות. ב"כ הנאשם סבור, כי מדובר במקרה חמור מהמקרה עסקינן נוכח משך הזמן הארוך בו החזיק  אותו נאשם בנשק, עברו הפלילי והעדר לקיחת אחריות מצידו. בנוסף הפנה ב"כ הנאשם לת"פ (נצ') 1167/02 </w:t>
      </w:r>
      <w:r w:rsidRPr="00D85110">
        <w:rPr>
          <w:b/>
          <w:bCs/>
          <w:rtl/>
        </w:rPr>
        <w:t>מדינת ישראל נ' קאסם בן מוסטפא ע.</w:t>
      </w:r>
      <w:r>
        <w:rPr>
          <w:b/>
          <w:bCs/>
          <w:rtl/>
        </w:rPr>
        <w:t xml:space="preserve">אלקאדר </w:t>
      </w:r>
      <w:r w:rsidRPr="00D85110">
        <w:rPr>
          <w:b/>
          <w:bCs/>
          <w:rtl/>
        </w:rPr>
        <w:t>דהאמשה</w:t>
      </w:r>
      <w:r>
        <w:rPr>
          <w:b/>
          <w:bCs/>
          <w:rtl/>
        </w:rPr>
        <w:t xml:space="preserve"> (ניתן ביום 14</w:t>
      </w:r>
      <w:r>
        <w:rPr>
          <w:rtl/>
        </w:rPr>
        <w:t xml:space="preserve">.04.03) - שם נמנע בית המשפט המחוזי בנצרת מלגזור על הנאשם מאסר בפועל נוכח נסיבותיו האישיות. </w:t>
      </w:r>
    </w:p>
    <w:p w14:paraId="3E6DB7B7" w14:textId="77777777" w:rsidR="007A30B6" w:rsidRDefault="007A30B6" w:rsidP="00113BB2">
      <w:pPr>
        <w:spacing w:line="360" w:lineRule="auto"/>
        <w:jc w:val="both"/>
        <w:rPr>
          <w:rtl/>
        </w:rPr>
      </w:pPr>
    </w:p>
    <w:p w14:paraId="122DCB83" w14:textId="77777777" w:rsidR="007A30B6" w:rsidRDefault="007A30B6" w:rsidP="00113BB2">
      <w:pPr>
        <w:spacing w:line="360" w:lineRule="auto"/>
        <w:jc w:val="both"/>
        <w:rPr>
          <w:b/>
          <w:bCs/>
          <w:u w:val="single"/>
          <w:rtl/>
        </w:rPr>
      </w:pPr>
      <w:r w:rsidRPr="00C07B0B">
        <w:rPr>
          <w:b/>
          <w:bCs/>
          <w:u w:val="single"/>
          <w:rtl/>
        </w:rPr>
        <w:t xml:space="preserve">תשובת המאשימה </w:t>
      </w:r>
    </w:p>
    <w:p w14:paraId="01E526E0" w14:textId="77777777" w:rsidR="007A30B6" w:rsidRDefault="007A30B6" w:rsidP="00113BB2">
      <w:pPr>
        <w:spacing w:line="360" w:lineRule="auto"/>
        <w:ind w:left="-360"/>
        <w:jc w:val="both"/>
        <w:rPr>
          <w:b/>
          <w:bCs/>
          <w:u w:val="single"/>
          <w:rtl/>
        </w:rPr>
      </w:pPr>
    </w:p>
    <w:p w14:paraId="4F112163" w14:textId="77777777" w:rsidR="007A30B6" w:rsidRDefault="007A30B6" w:rsidP="00113BB2">
      <w:pPr>
        <w:numPr>
          <w:ilvl w:val="0"/>
          <w:numId w:val="33"/>
        </w:numPr>
        <w:tabs>
          <w:tab w:val="clear" w:pos="-180"/>
          <w:tab w:val="num" w:pos="540"/>
        </w:tabs>
        <w:spacing w:line="360" w:lineRule="auto"/>
        <w:ind w:left="540" w:hanging="540"/>
        <w:jc w:val="both"/>
        <w:rPr>
          <w:rtl/>
        </w:rPr>
      </w:pPr>
      <w:r>
        <w:rPr>
          <w:rtl/>
        </w:rPr>
        <w:t xml:space="preserve">באשר לטענת ב"כ הנאשם אודות משך תקופת מעצר הבית, מסר ב"כ המאשימה, כי במהלך חודש מאי (03.05.12) הותר לנאשם לצאת ללימודים בימי שני ורביעי בשבוע; ארבעה ימים לאחר מכן  (07.05.12) הותר לנאשם לצאת בימי שלישי ושבת בשבוע. החל מיום 13.05.12 הותר לנאשם לצאת גם בימי שישי בשבוע. במהלך החודשים ספטמבר ואוקטובר 2012, הותר לנאשם לצאת מידי שישי ושבת ללימודים משעה 08:30-17:30. </w:t>
      </w:r>
    </w:p>
    <w:p w14:paraId="5F3AADC7" w14:textId="77777777" w:rsidR="007A30B6" w:rsidRPr="00D1584A" w:rsidRDefault="007A30B6" w:rsidP="00113BB2">
      <w:pPr>
        <w:spacing w:line="360" w:lineRule="auto"/>
        <w:ind w:left="-540"/>
        <w:jc w:val="both"/>
        <w:rPr>
          <w:b/>
          <w:bCs/>
          <w:u w:val="single"/>
        </w:rPr>
      </w:pPr>
    </w:p>
    <w:p w14:paraId="6929A1D4"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לגבי הפסיקה אליה הפנה ב"כ הנאשם, טען ב"כ המאשימה, כי במרבית המקרים אם לא בכולם מדובר בנסיבות שונות של הודאה בכתב האישום ונטילת אחריות. </w:t>
      </w:r>
    </w:p>
    <w:p w14:paraId="7D32297D" w14:textId="77777777" w:rsidR="007A30B6" w:rsidRDefault="007A30B6" w:rsidP="00113BB2">
      <w:pPr>
        <w:spacing w:line="360" w:lineRule="auto"/>
        <w:jc w:val="both"/>
        <w:rPr>
          <w:rtl/>
        </w:rPr>
      </w:pPr>
    </w:p>
    <w:p w14:paraId="086E9AB2"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בתסקיר שירות המבחן אין אינדיקציה לכך, שהנאשם היה בטיפול של שירות המבחן.    </w:t>
      </w:r>
    </w:p>
    <w:p w14:paraId="163162ED" w14:textId="77777777" w:rsidR="007A30B6" w:rsidRDefault="007A30B6" w:rsidP="00113BB2">
      <w:pPr>
        <w:spacing w:line="360" w:lineRule="auto"/>
        <w:jc w:val="both"/>
        <w:rPr>
          <w:b/>
          <w:bCs/>
          <w:u w:val="single"/>
          <w:rtl/>
        </w:rPr>
      </w:pPr>
    </w:p>
    <w:p w14:paraId="7FACE3C7" w14:textId="77777777" w:rsidR="007A30B6" w:rsidRDefault="007A30B6" w:rsidP="00113BB2">
      <w:pPr>
        <w:spacing w:line="360" w:lineRule="auto"/>
        <w:jc w:val="both"/>
        <w:rPr>
          <w:rtl/>
        </w:rPr>
      </w:pPr>
      <w:r w:rsidRPr="009D6D7B">
        <w:rPr>
          <w:b/>
          <w:bCs/>
          <w:u w:val="single"/>
          <w:rtl/>
        </w:rPr>
        <w:t xml:space="preserve">דברי הנאשם </w:t>
      </w:r>
    </w:p>
    <w:p w14:paraId="26AB46A6" w14:textId="77777777" w:rsidR="007A30B6" w:rsidRDefault="007A30B6" w:rsidP="00113BB2">
      <w:pPr>
        <w:spacing w:line="360" w:lineRule="auto"/>
        <w:ind w:left="-360"/>
        <w:jc w:val="both"/>
        <w:rPr>
          <w:rtl/>
        </w:rPr>
      </w:pPr>
    </w:p>
    <w:p w14:paraId="13C223CD"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הנאשם התנצל, אמר שטעה ולמד לקח "לכל החיים"; לדבריו, היה בקשר עם קצין מבחן בתקופת מעצר הבית והשתתף בקבוצה טיפולית פעם בשבוע במשך 6 חודשים. </w:t>
      </w:r>
    </w:p>
    <w:p w14:paraId="19E42C9E" w14:textId="77777777" w:rsidR="007A30B6" w:rsidRDefault="007A30B6" w:rsidP="00113BB2">
      <w:pPr>
        <w:spacing w:line="360" w:lineRule="auto"/>
        <w:ind w:left="-360"/>
        <w:jc w:val="both"/>
      </w:pPr>
    </w:p>
    <w:p w14:paraId="61906544"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אביו של הנאשם ביקש ליתן לבנו הזדמנות נוספת והבטיח לסייע לו. </w:t>
      </w:r>
    </w:p>
    <w:p w14:paraId="7B89C08F" w14:textId="77777777" w:rsidR="007A30B6" w:rsidRDefault="007A30B6" w:rsidP="00113BB2">
      <w:pPr>
        <w:spacing w:line="360" w:lineRule="auto"/>
        <w:jc w:val="both"/>
        <w:rPr>
          <w:b/>
          <w:bCs/>
          <w:u w:val="single"/>
          <w:rtl/>
        </w:rPr>
      </w:pPr>
    </w:p>
    <w:p w14:paraId="6EAD2C80" w14:textId="77777777" w:rsidR="007A30B6" w:rsidRDefault="007A30B6" w:rsidP="00113BB2">
      <w:pPr>
        <w:spacing w:line="360" w:lineRule="auto"/>
        <w:jc w:val="both"/>
        <w:rPr>
          <w:rtl/>
        </w:rPr>
      </w:pPr>
      <w:r w:rsidRPr="009D6D7B">
        <w:rPr>
          <w:b/>
          <w:bCs/>
          <w:u w:val="single"/>
          <w:rtl/>
        </w:rPr>
        <w:t xml:space="preserve">דיון והכרעה </w:t>
      </w:r>
    </w:p>
    <w:p w14:paraId="049122C4" w14:textId="77777777" w:rsidR="007A30B6" w:rsidRDefault="007A30B6" w:rsidP="00113BB2">
      <w:pPr>
        <w:spacing w:line="360" w:lineRule="auto"/>
        <w:ind w:left="-360"/>
        <w:jc w:val="both"/>
        <w:rPr>
          <w:rtl/>
        </w:rPr>
      </w:pPr>
    </w:p>
    <w:p w14:paraId="4EEF5AD8" w14:textId="77777777" w:rsidR="007A30B6" w:rsidRDefault="007A30B6" w:rsidP="00113BB2">
      <w:pPr>
        <w:numPr>
          <w:ilvl w:val="0"/>
          <w:numId w:val="19"/>
        </w:numPr>
        <w:tabs>
          <w:tab w:val="clear" w:pos="0"/>
          <w:tab w:val="num" w:pos="540"/>
        </w:tabs>
        <w:spacing w:line="360" w:lineRule="auto"/>
        <w:ind w:left="540" w:hanging="540"/>
        <w:jc w:val="both"/>
        <w:rPr>
          <w:rtl/>
        </w:rPr>
      </w:pPr>
      <w:r w:rsidRPr="00B265CD">
        <w:rPr>
          <w:rtl/>
        </w:rPr>
        <w:t>הנאשם חטא בעביר</w:t>
      </w:r>
      <w:r>
        <w:rPr>
          <w:rtl/>
        </w:rPr>
        <w:t>ות</w:t>
      </w:r>
      <w:r w:rsidRPr="00B265CD">
        <w:rPr>
          <w:rtl/>
        </w:rPr>
        <w:t xml:space="preserve"> חמור</w:t>
      </w:r>
      <w:r>
        <w:rPr>
          <w:rtl/>
        </w:rPr>
        <w:t>ות</w:t>
      </w:r>
      <w:r w:rsidRPr="00B265CD">
        <w:rPr>
          <w:rtl/>
        </w:rPr>
        <w:t xml:space="preserve">. הוא </w:t>
      </w:r>
      <w:r>
        <w:rPr>
          <w:rtl/>
        </w:rPr>
        <w:t xml:space="preserve">רכש נשק ותחמושת, החזיקם, נשאם והובילם ברכב שלא כדין ועשה מעשה בכוונה להפריע לשוטר כשהוא ממלא תפקידו כחוק; כן נהג הנאשם ברכב בדרך נמהרת או רשלנית שיש בה כדי לסכן חיי אדם. </w:t>
      </w:r>
    </w:p>
    <w:p w14:paraId="4F7CFFA9" w14:textId="77777777" w:rsidR="007A30B6" w:rsidRDefault="007A30B6" w:rsidP="00113BB2">
      <w:pPr>
        <w:spacing w:line="360" w:lineRule="auto"/>
        <w:ind w:left="-360"/>
        <w:jc w:val="both"/>
      </w:pPr>
    </w:p>
    <w:p w14:paraId="0968E584" w14:textId="77777777" w:rsidR="007A30B6" w:rsidRPr="00B265CD" w:rsidRDefault="007A30B6" w:rsidP="00113BB2">
      <w:pPr>
        <w:numPr>
          <w:ilvl w:val="0"/>
          <w:numId w:val="19"/>
        </w:numPr>
        <w:tabs>
          <w:tab w:val="clear" w:pos="0"/>
          <w:tab w:val="num" w:pos="540"/>
        </w:tabs>
        <w:spacing w:line="360" w:lineRule="auto"/>
        <w:ind w:left="540" w:hanging="540"/>
        <w:jc w:val="both"/>
        <w:rPr>
          <w:rtl/>
        </w:rPr>
      </w:pPr>
      <w:r>
        <w:rPr>
          <w:rtl/>
        </w:rPr>
        <w:t>ב</w:t>
      </w:r>
      <w:r w:rsidRPr="00B265CD">
        <w:rPr>
          <w:rtl/>
        </w:rPr>
        <w:t>עביר</w:t>
      </w:r>
      <w:r>
        <w:rPr>
          <w:rtl/>
        </w:rPr>
        <w:t xml:space="preserve">ה של </w:t>
      </w:r>
      <w:r w:rsidRPr="00B265CD">
        <w:rPr>
          <w:rtl/>
        </w:rPr>
        <w:t>החזקת נשק טמון פוטנציאל הרסני, שכן לרוב עבירה זו מבוצעת כדי לאפשר ביצוען של עבירות אחרות. ניסיון החיים מלמד, לצערנו, כי לרוב בנשק אשר מוחזק על ידי מי שאינו מורשה להחזיקו, נעשה שימוש לפעילות עבריינית, העלולה לסכן עוברי אורח תמימים. הנשק אף עשוי למצוא דרכו למפגעים למיניהם ופגיעתו עלולה להיות הרת אסון. ההסלמה שחלה בעבירות נשק בשנים האחרונות</w:t>
      </w:r>
      <w:r>
        <w:rPr>
          <w:rtl/>
        </w:rPr>
        <w:t xml:space="preserve"> </w:t>
      </w:r>
      <w:r w:rsidRPr="00B265CD">
        <w:rPr>
          <w:rtl/>
        </w:rPr>
        <w:t xml:space="preserve">וזמינותם של כלי הנשק, מערערים את הסדר החברתי ופוגעים בתחושת הביטחון האישי של אזרחי המדינה (ראו </w:t>
      </w:r>
      <w:hyperlink r:id="rId35" w:history="1">
        <w:r w:rsidR="009322B9" w:rsidRPr="009322B9">
          <w:rPr>
            <w:color w:val="0000FF"/>
            <w:u w:val="single"/>
            <w:rtl/>
          </w:rPr>
          <w:t>ע"פ 4797/05</w:t>
        </w:r>
      </w:hyperlink>
      <w:r w:rsidRPr="00B265CD">
        <w:rPr>
          <w:rtl/>
        </w:rPr>
        <w:t xml:space="preserve"> </w:t>
      </w:r>
      <w:r w:rsidRPr="000377D3">
        <w:rPr>
          <w:b/>
          <w:bCs/>
          <w:rtl/>
        </w:rPr>
        <w:t>חאמד עבד אל קאדר נ' מדינת ישראל</w:t>
      </w:r>
      <w:r w:rsidRPr="00B265CD">
        <w:rPr>
          <w:rtl/>
        </w:rPr>
        <w:t xml:space="preserve">). </w:t>
      </w:r>
    </w:p>
    <w:p w14:paraId="1839BABE" w14:textId="77777777" w:rsidR="007A30B6" w:rsidRPr="00B265CD" w:rsidRDefault="007A30B6" w:rsidP="00113BB2">
      <w:pPr>
        <w:spacing w:line="360" w:lineRule="auto"/>
        <w:jc w:val="both"/>
        <w:rPr>
          <w:rtl/>
        </w:rPr>
      </w:pPr>
    </w:p>
    <w:p w14:paraId="79BDD0EE" w14:textId="77777777" w:rsidR="007A30B6" w:rsidRPr="00B265CD" w:rsidRDefault="007A30B6" w:rsidP="00113BB2">
      <w:pPr>
        <w:spacing w:line="360" w:lineRule="auto"/>
        <w:ind w:left="540"/>
        <w:jc w:val="both"/>
        <w:rPr>
          <w:rtl/>
        </w:rPr>
      </w:pPr>
      <w:r w:rsidRPr="00B265CD">
        <w:rPr>
          <w:rtl/>
        </w:rPr>
        <w:t>לעניין זה יפים הדברים שנאמרו ב</w:t>
      </w:r>
      <w:hyperlink r:id="rId36" w:history="1">
        <w:r w:rsidR="009322B9" w:rsidRPr="009322B9">
          <w:rPr>
            <w:color w:val="0000FF"/>
            <w:u w:val="single"/>
            <w:rtl/>
          </w:rPr>
          <w:t>ע"פ 761/07</w:t>
        </w:r>
      </w:hyperlink>
      <w:r w:rsidRPr="00B265CD">
        <w:rPr>
          <w:rtl/>
        </w:rPr>
        <w:t xml:space="preserve"> </w:t>
      </w:r>
      <w:r w:rsidRPr="008D2016">
        <w:rPr>
          <w:b/>
          <w:bCs/>
          <w:rtl/>
        </w:rPr>
        <w:t>מדינת ישראל נ' אדרי</w:t>
      </w:r>
      <w:r w:rsidRPr="00B265CD">
        <w:rPr>
          <w:rtl/>
        </w:rPr>
        <w:t xml:space="preserve"> (ניתן ביום 22.02.07):  </w:t>
      </w:r>
    </w:p>
    <w:p w14:paraId="0205265D" w14:textId="77777777" w:rsidR="007A30B6" w:rsidRPr="008D2016" w:rsidRDefault="007A30B6" w:rsidP="00113BB2">
      <w:pPr>
        <w:spacing w:line="360" w:lineRule="auto"/>
        <w:jc w:val="both"/>
        <w:rPr>
          <w:b/>
          <w:bCs/>
          <w:rtl/>
        </w:rPr>
      </w:pPr>
    </w:p>
    <w:p w14:paraId="1A9D607B" w14:textId="77777777" w:rsidR="007A30B6" w:rsidRPr="008D2016" w:rsidRDefault="007A30B6" w:rsidP="00113BB2">
      <w:pPr>
        <w:spacing w:line="360" w:lineRule="auto"/>
        <w:ind w:left="540"/>
        <w:jc w:val="both"/>
        <w:rPr>
          <w:b/>
          <w:bCs/>
          <w:rtl/>
        </w:rPr>
      </w:pPr>
      <w:r w:rsidRPr="008D2016">
        <w:rPr>
          <w:b/>
          <w:bCs/>
          <w:rtl/>
        </w:rPr>
        <w:t xml:space="preserve">"ניסיון השנים האחרונות מלמד שנשק המוחזק שלא כדין מוצא את דרכו לעיתים לידיים עוינות, ולעיתים נעשה בו שימש למטרות פליליות, ואלה גם אלה כבר גרמו לא אחת לאובדן חיי אדם, ולפגיעה בחפים מפשע שכל "חטאם" נבע מכך שהם נקלעו בדרך מקרה לזירת הפשע".   </w:t>
      </w:r>
    </w:p>
    <w:p w14:paraId="228B05FC" w14:textId="77777777" w:rsidR="007A30B6" w:rsidRPr="00B265CD" w:rsidRDefault="007A30B6" w:rsidP="00113BB2">
      <w:pPr>
        <w:spacing w:line="360" w:lineRule="auto"/>
        <w:jc w:val="both"/>
        <w:rPr>
          <w:rtl/>
        </w:rPr>
      </w:pPr>
    </w:p>
    <w:p w14:paraId="4A7160F9" w14:textId="77777777" w:rsidR="007A30B6" w:rsidRPr="00B265CD" w:rsidRDefault="007A30B6" w:rsidP="00113BB2">
      <w:pPr>
        <w:spacing w:line="360" w:lineRule="auto"/>
        <w:ind w:left="540"/>
        <w:jc w:val="both"/>
        <w:rPr>
          <w:rtl/>
        </w:rPr>
      </w:pPr>
      <w:r w:rsidRPr="00B265CD">
        <w:rPr>
          <w:rtl/>
        </w:rPr>
        <w:t xml:space="preserve">וראו גם </w:t>
      </w:r>
      <w:hyperlink r:id="rId37" w:history="1">
        <w:r w:rsidR="009322B9" w:rsidRPr="009322B9">
          <w:rPr>
            <w:color w:val="0000FF"/>
            <w:u w:val="single"/>
            <w:rtl/>
          </w:rPr>
          <w:t>ע"פ 6371/11</w:t>
        </w:r>
      </w:hyperlink>
      <w:r>
        <w:rPr>
          <w:rtl/>
        </w:rPr>
        <w:t xml:space="preserve"> </w:t>
      </w:r>
      <w:r w:rsidRPr="008D2016">
        <w:rPr>
          <w:b/>
          <w:bCs/>
          <w:rtl/>
        </w:rPr>
        <w:t xml:space="preserve">מדינת ישראל נ' </w:t>
      </w:r>
      <w:r>
        <w:rPr>
          <w:b/>
          <w:bCs/>
          <w:rtl/>
        </w:rPr>
        <w:t xml:space="preserve">אנס הייבי </w:t>
      </w:r>
      <w:r w:rsidRPr="00B265CD">
        <w:rPr>
          <w:rtl/>
        </w:rPr>
        <w:t xml:space="preserve">(ניתן ביום </w:t>
      </w:r>
      <w:r>
        <w:rPr>
          <w:rtl/>
        </w:rPr>
        <w:t>18.12.11</w:t>
      </w:r>
      <w:r w:rsidRPr="00B265CD">
        <w:rPr>
          <w:rtl/>
        </w:rPr>
        <w:t xml:space="preserve">), שם נפסק כי:  </w:t>
      </w:r>
    </w:p>
    <w:p w14:paraId="7AA214C8" w14:textId="77777777" w:rsidR="007A30B6" w:rsidRPr="00B265CD" w:rsidRDefault="007A30B6" w:rsidP="00113BB2">
      <w:pPr>
        <w:spacing w:line="360" w:lineRule="auto"/>
        <w:jc w:val="both"/>
        <w:rPr>
          <w:rtl/>
        </w:rPr>
      </w:pPr>
    </w:p>
    <w:p w14:paraId="3704452D" w14:textId="77777777" w:rsidR="007A30B6" w:rsidRPr="008D2016" w:rsidRDefault="007A30B6" w:rsidP="00113BB2">
      <w:pPr>
        <w:spacing w:line="360" w:lineRule="auto"/>
        <w:ind w:left="540"/>
        <w:jc w:val="both"/>
        <w:rPr>
          <w:b/>
          <w:bCs/>
          <w:rtl/>
        </w:rPr>
      </w:pPr>
      <w:r>
        <w:rPr>
          <w:b/>
          <w:bCs/>
          <w:rtl/>
        </w:rPr>
        <w:t>"</w:t>
      </w:r>
      <w:r w:rsidRPr="007C2ECD">
        <w:rPr>
          <w:b/>
          <w:bCs/>
          <w:rtl/>
        </w:rPr>
        <w:t>עבירות בנשק חומרתן מכופלת,הן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 של נשק בידיים לא נכונות, עלול להביא בסופו של יום אף לקיפוד חיי אדם ר"ל</w:t>
      </w:r>
      <w:r>
        <w:rPr>
          <w:b/>
          <w:bCs/>
          <w:rtl/>
        </w:rPr>
        <w:t>".</w:t>
      </w:r>
    </w:p>
    <w:p w14:paraId="39DEA764" w14:textId="77777777" w:rsidR="007A30B6" w:rsidRPr="007C2ECD" w:rsidRDefault="007A30B6" w:rsidP="00113BB2">
      <w:pPr>
        <w:spacing w:line="360" w:lineRule="auto"/>
        <w:jc w:val="both"/>
        <w:rPr>
          <w:b/>
          <w:bCs/>
          <w:rtl/>
        </w:rPr>
      </w:pPr>
    </w:p>
    <w:p w14:paraId="2DC86B37" w14:textId="77777777" w:rsidR="007A30B6" w:rsidRPr="00A14BF6" w:rsidRDefault="007A30B6" w:rsidP="00113BB2">
      <w:pPr>
        <w:spacing w:line="360" w:lineRule="auto"/>
        <w:jc w:val="both"/>
        <w:rPr>
          <w:b/>
          <w:bCs/>
          <w:u w:val="single"/>
          <w:rtl/>
        </w:rPr>
      </w:pPr>
      <w:r w:rsidRPr="00A14BF6">
        <w:rPr>
          <w:b/>
          <w:bCs/>
          <w:u w:val="single"/>
          <w:rtl/>
        </w:rPr>
        <w:t xml:space="preserve">מדיניות הענישה הנהוגה </w:t>
      </w:r>
    </w:p>
    <w:p w14:paraId="7CC5E62F" w14:textId="77777777" w:rsidR="007A30B6" w:rsidRPr="00B265CD" w:rsidRDefault="007A30B6" w:rsidP="00113BB2">
      <w:pPr>
        <w:spacing w:line="360" w:lineRule="auto"/>
        <w:jc w:val="both"/>
        <w:rPr>
          <w:rtl/>
        </w:rPr>
      </w:pPr>
    </w:p>
    <w:p w14:paraId="4F1C84AC" w14:textId="77777777" w:rsidR="007A30B6" w:rsidRPr="00F649E0" w:rsidRDefault="007A30B6" w:rsidP="00113BB2">
      <w:pPr>
        <w:numPr>
          <w:ilvl w:val="0"/>
          <w:numId w:val="19"/>
        </w:numPr>
        <w:tabs>
          <w:tab w:val="clear" w:pos="0"/>
          <w:tab w:val="num" w:pos="540"/>
        </w:tabs>
        <w:spacing w:line="360" w:lineRule="auto"/>
        <w:ind w:left="540" w:hanging="540"/>
        <w:jc w:val="both"/>
      </w:pPr>
      <w:r w:rsidRPr="00F649E0">
        <w:rPr>
          <w:rtl/>
        </w:rPr>
        <w:t xml:space="preserve">עיון בפסיקת בית המשפט העליון מעלה, כי בשנים האחרונות ניכרת מגמת החמרה בעונשי המאסר הנגזרים על נאשמים בעבירות נשק נוכח היקפן המתרחב והצורך בבלימתן של עבירות אלה. בשורה ארוכה של פסקי דין נקבע, כי הגיעה העת להחמיר בעונשיהם של נאשמים המורשעים בעבירות בנשק, על ידי הטלת ענישה מכאיבה שעיקרה שיקולי גמול והרתעה (ראו: </w:t>
      </w:r>
      <w:hyperlink r:id="rId38" w:history="1">
        <w:r w:rsidR="009322B9" w:rsidRPr="009322B9">
          <w:rPr>
            <w:color w:val="0000FF"/>
            <w:u w:val="single"/>
            <w:rtl/>
          </w:rPr>
          <w:t>ע"פ 6985/12</w:t>
        </w:r>
      </w:hyperlink>
      <w:r w:rsidRPr="00F649E0">
        <w:rPr>
          <w:rtl/>
        </w:rPr>
        <w:t xml:space="preserve"> </w:t>
      </w:r>
      <w:r w:rsidRPr="00F649E0">
        <w:rPr>
          <w:b/>
          <w:bCs/>
          <w:rtl/>
        </w:rPr>
        <w:t>כאמל נפאפעה אחמד נ' מדינת ישראל</w:t>
      </w:r>
      <w:r w:rsidRPr="00F649E0">
        <w:rPr>
          <w:rtl/>
        </w:rPr>
        <w:t xml:space="preserve">, מיום 17.03.13, </w:t>
      </w:r>
      <w:hyperlink r:id="rId39" w:history="1">
        <w:r w:rsidR="009322B9" w:rsidRPr="009322B9">
          <w:rPr>
            <w:color w:val="0000FF"/>
            <w:u w:val="single"/>
            <w:rtl/>
          </w:rPr>
          <w:t>ע"פ 5120/11</w:t>
        </w:r>
      </w:hyperlink>
      <w:r w:rsidRPr="00F649E0">
        <w:rPr>
          <w:rtl/>
        </w:rPr>
        <w:t xml:space="preserve"> </w:t>
      </w:r>
      <w:r w:rsidRPr="00F649E0">
        <w:rPr>
          <w:b/>
          <w:bCs/>
          <w:rtl/>
        </w:rPr>
        <w:t>בילאל שתיווי נ' מדינת ישראל</w:t>
      </w:r>
      <w:r w:rsidRPr="00F649E0">
        <w:rPr>
          <w:rtl/>
        </w:rPr>
        <w:t xml:space="preserve">, מיום 12.12.11, </w:t>
      </w:r>
      <w:hyperlink r:id="rId40" w:history="1">
        <w:r w:rsidR="009322B9" w:rsidRPr="009322B9">
          <w:rPr>
            <w:color w:val="0000FF"/>
            <w:u w:val="single"/>
            <w:rtl/>
          </w:rPr>
          <w:t>ע"פ 2251/11</w:t>
        </w:r>
      </w:hyperlink>
      <w:r w:rsidRPr="00F649E0">
        <w:rPr>
          <w:rtl/>
        </w:rPr>
        <w:t xml:space="preserve"> </w:t>
      </w:r>
      <w:r w:rsidRPr="00F649E0">
        <w:rPr>
          <w:b/>
          <w:bCs/>
          <w:rtl/>
        </w:rPr>
        <w:t>ג'מאל נ' מדינת ישראל</w:t>
      </w:r>
      <w:r w:rsidRPr="00F649E0">
        <w:rPr>
          <w:rtl/>
        </w:rPr>
        <w:t xml:space="preserve">, מיום 26.10.11). </w:t>
      </w:r>
    </w:p>
    <w:p w14:paraId="141A8E08" w14:textId="77777777" w:rsidR="007A30B6" w:rsidRPr="00F649E0" w:rsidRDefault="007A30B6" w:rsidP="00113BB2">
      <w:pPr>
        <w:spacing w:line="360" w:lineRule="auto"/>
        <w:ind w:left="-360"/>
        <w:jc w:val="both"/>
      </w:pPr>
    </w:p>
    <w:p w14:paraId="59C790B0" w14:textId="77777777" w:rsidR="007A30B6" w:rsidRDefault="007A30B6" w:rsidP="00113BB2">
      <w:pPr>
        <w:numPr>
          <w:ilvl w:val="0"/>
          <w:numId w:val="19"/>
        </w:numPr>
        <w:tabs>
          <w:tab w:val="clear" w:pos="0"/>
          <w:tab w:val="num" w:pos="540"/>
        </w:tabs>
        <w:spacing w:line="360" w:lineRule="auto"/>
        <w:ind w:left="540" w:hanging="540"/>
        <w:jc w:val="both"/>
      </w:pPr>
      <w:r w:rsidRPr="00F649E0">
        <w:rPr>
          <w:rtl/>
        </w:rPr>
        <w:t xml:space="preserve">יחד עם זאת, חשוב לזכור כי אף תגובה עונשית הולמת צריכה להיות שקולה ומדודה </w:t>
      </w:r>
      <w:r>
        <w:rPr>
          <w:rtl/>
        </w:rPr>
        <w:t>בהתחשב בענישה המקובלת (ראו</w:t>
      </w:r>
      <w:r w:rsidRPr="00F649E0">
        <w:rPr>
          <w:rtl/>
        </w:rPr>
        <w:t xml:space="preserve">: </w:t>
      </w:r>
      <w:r w:rsidRPr="009322B9">
        <w:rPr>
          <w:color w:val="000000"/>
          <w:rtl/>
        </w:rPr>
        <w:t>ע"פ 555/11</w:t>
      </w:r>
      <w:r w:rsidRPr="00F649E0">
        <w:rPr>
          <w:rtl/>
        </w:rPr>
        <w:t xml:space="preserve"> </w:t>
      </w:r>
      <w:r w:rsidRPr="00F649E0">
        <w:rPr>
          <w:b/>
          <w:bCs/>
          <w:rtl/>
        </w:rPr>
        <w:t>מחאג'נה נ' מדינת ישראל</w:t>
      </w:r>
      <w:r>
        <w:rPr>
          <w:rtl/>
        </w:rPr>
        <w:t xml:space="preserve"> (ניתן ביום </w:t>
      </w:r>
      <w:r w:rsidRPr="00F649E0">
        <w:rPr>
          <w:rtl/>
        </w:rPr>
        <w:t xml:space="preserve"> 9.7.2012) (להלן: </w:t>
      </w:r>
      <w:r w:rsidRPr="00F649E0">
        <w:rPr>
          <w:b/>
          <w:bCs/>
          <w:rtl/>
        </w:rPr>
        <w:t>עניין מחאג'נה</w:t>
      </w:r>
      <w:r>
        <w:rPr>
          <w:rtl/>
        </w:rPr>
        <w:t>)</w:t>
      </w:r>
      <w:r w:rsidRPr="00F649E0">
        <w:rPr>
          <w:rtl/>
        </w:rPr>
        <w:t>. העלאת רף הענישה צריכה להיעשות בצורה הדרגתית, תוך בחינה של רף הענישה הנוהג, הן ביחס לעבירות הקונקרטיות שלפני בית המשפט והן בי</w:t>
      </w:r>
      <w:r>
        <w:rPr>
          <w:rtl/>
        </w:rPr>
        <w:t>חס לעבירות אחרות בדין (ראו</w:t>
      </w:r>
      <w:r w:rsidRPr="00F649E0">
        <w:rPr>
          <w:rtl/>
        </w:rPr>
        <w:t xml:space="preserve">: </w:t>
      </w:r>
      <w:hyperlink r:id="rId41" w:history="1">
        <w:r w:rsidR="009322B9" w:rsidRPr="009322B9">
          <w:rPr>
            <w:color w:val="0000FF"/>
            <w:u w:val="single"/>
            <w:rtl/>
          </w:rPr>
          <w:t>ע"פ 9373/10</w:t>
        </w:r>
      </w:hyperlink>
      <w:r w:rsidRPr="00F649E0">
        <w:rPr>
          <w:rtl/>
        </w:rPr>
        <w:t xml:space="preserve"> </w:t>
      </w:r>
      <w:r w:rsidRPr="00F649E0">
        <w:rPr>
          <w:b/>
          <w:bCs/>
          <w:rtl/>
        </w:rPr>
        <w:t>ותד נ' מדינת ישראל</w:t>
      </w:r>
      <w:r>
        <w:rPr>
          <w:b/>
          <w:bCs/>
          <w:rtl/>
        </w:rPr>
        <w:t xml:space="preserve">, </w:t>
      </w:r>
      <w:r>
        <w:rPr>
          <w:rtl/>
        </w:rPr>
        <w:t>ניתן ביום 14.9.2011)</w:t>
      </w:r>
      <w:r w:rsidRPr="00F649E0">
        <w:rPr>
          <w:rtl/>
        </w:rPr>
        <w:t xml:space="preserve">. </w:t>
      </w:r>
    </w:p>
    <w:p w14:paraId="58068A3A" w14:textId="77777777" w:rsidR="007A30B6" w:rsidRDefault="007A30B6" w:rsidP="00113BB2">
      <w:pPr>
        <w:spacing w:line="360" w:lineRule="auto"/>
        <w:jc w:val="both"/>
        <w:rPr>
          <w:rtl/>
        </w:rPr>
      </w:pPr>
      <w:bookmarkStart w:id="8" w:name="_GoBack"/>
      <w:bookmarkEnd w:id="8"/>
    </w:p>
    <w:p w14:paraId="0DF1A831" w14:textId="77777777" w:rsidR="007A30B6" w:rsidRPr="00B265CD" w:rsidRDefault="007A30B6" w:rsidP="00113BB2">
      <w:pPr>
        <w:numPr>
          <w:ilvl w:val="0"/>
          <w:numId w:val="19"/>
        </w:numPr>
        <w:tabs>
          <w:tab w:val="clear" w:pos="0"/>
          <w:tab w:val="num" w:pos="540"/>
        </w:tabs>
        <w:spacing w:line="360" w:lineRule="auto"/>
        <w:ind w:left="540" w:hanging="540"/>
        <w:jc w:val="both"/>
        <w:rPr>
          <w:rtl/>
        </w:rPr>
      </w:pPr>
      <w:r w:rsidRPr="00F649E0">
        <w:rPr>
          <w:rtl/>
        </w:rPr>
        <w:t xml:space="preserve">עבירות הנשק (המנויות במסגרת סעיפי המשנה </w:t>
      </w:r>
      <w:hyperlink r:id="rId42" w:history="1">
        <w:r w:rsidR="00FA68A2" w:rsidRPr="00FA68A2">
          <w:rPr>
            <w:color w:val="0000FF"/>
            <w:u w:val="single"/>
            <w:rtl/>
          </w:rPr>
          <w:t>לסעיף 144</w:t>
        </w:r>
      </w:hyperlink>
      <w:r w:rsidRPr="00F649E0">
        <w:rPr>
          <w:rtl/>
        </w:rPr>
        <w:t xml:space="preserve"> ל</w:t>
      </w:r>
      <w:hyperlink r:id="rId43" w:history="1">
        <w:r w:rsidR="009322B9" w:rsidRPr="009322B9">
          <w:rPr>
            <w:color w:val="0000FF"/>
            <w:u w:val="single"/>
            <w:rtl/>
          </w:rPr>
          <w:t>חוק העונשין</w:t>
        </w:r>
      </w:hyperlink>
      <w:r w:rsidRPr="00F649E0">
        <w:rPr>
          <w:rtl/>
        </w:rPr>
        <w:t>) א</w:t>
      </w:r>
      <w:r>
        <w:rPr>
          <w:rtl/>
        </w:rPr>
        <w:t>ינן עשויות מקשה אחת. המחוקק דירג את העבירות על-</w:t>
      </w:r>
      <w:r w:rsidRPr="00F649E0">
        <w:rPr>
          <w:rtl/>
        </w:rPr>
        <w:t xml:space="preserve">פי חומרתן היחסית, כשברף התחתון ניצבת עבירת החזקה או רכישת נשק שלא כדין, וברף העליון מצויה העבירה של ייצור, ייבוא או סחר בנשק. בטווח שבין עבירות אלה מצויה עבירת נשיאת הנשק הקבועה </w:t>
      </w:r>
      <w:hyperlink r:id="rId44" w:history="1">
        <w:r w:rsidR="00FA68A2" w:rsidRPr="00FA68A2">
          <w:rPr>
            <w:color w:val="0000FF"/>
            <w:u w:val="single"/>
            <w:rtl/>
          </w:rPr>
          <w:t>בסעיף 144(ב)</w:t>
        </w:r>
      </w:hyperlink>
      <w:r w:rsidRPr="00F649E0">
        <w:rPr>
          <w:rtl/>
        </w:rPr>
        <w:t xml:space="preserve"> ל</w:t>
      </w:r>
      <w:hyperlink r:id="rId45" w:history="1">
        <w:r w:rsidR="009322B9" w:rsidRPr="009322B9">
          <w:rPr>
            <w:color w:val="0000FF"/>
            <w:u w:val="single"/>
            <w:rtl/>
          </w:rPr>
          <w:t>חוק העונשין</w:t>
        </w:r>
      </w:hyperlink>
      <w:r w:rsidRPr="00F649E0">
        <w:rPr>
          <w:rtl/>
        </w:rPr>
        <w:t>, ובצידה עונש מאסר מקסימאלי של עשר שנות מאסר. אכן, גם בעבירות הנשק ראוי</w:t>
      </w:r>
      <w:r>
        <w:rPr>
          <w:rtl/>
        </w:rPr>
        <w:t>,</w:t>
      </w:r>
      <w:r w:rsidRPr="00F649E0">
        <w:rPr>
          <w:rtl/>
        </w:rPr>
        <w:t xml:space="preserve"> כי יישמר מדרג ענישה אשר ייתן ביטוי הולם (ופרופורציונאלי) לחומרתה של העבירה שבנדון וכן לנסיבות ביצועה</w:t>
      </w:r>
      <w:r>
        <w:rPr>
          <w:rtl/>
        </w:rPr>
        <w:t xml:space="preserve"> (ראו: </w:t>
      </w:r>
      <w:hyperlink r:id="rId46" w:history="1">
        <w:r w:rsidR="009322B9" w:rsidRPr="009322B9">
          <w:rPr>
            <w:color w:val="0000FF"/>
            <w:u w:val="single"/>
            <w:rtl/>
          </w:rPr>
          <w:t>ע"פ 8488/11</w:t>
        </w:r>
      </w:hyperlink>
      <w:r>
        <w:rPr>
          <w:rtl/>
        </w:rPr>
        <w:t xml:space="preserve"> </w:t>
      </w:r>
      <w:r w:rsidRPr="00F649E0">
        <w:rPr>
          <w:b/>
          <w:bCs/>
          <w:rtl/>
        </w:rPr>
        <w:t>חוסיין חליל נ' מדינת ישראל</w:t>
      </w:r>
      <w:r>
        <w:rPr>
          <w:rtl/>
        </w:rPr>
        <w:t xml:space="preserve">, ניתן ביום 01.11.12). </w:t>
      </w:r>
      <w:r w:rsidRPr="00B265CD">
        <w:rPr>
          <w:rtl/>
        </w:rPr>
        <w:t xml:space="preserve">הפסיקה הטילה עונשים חמורים בעבירות של החזקת נשק שלא כדין בהתאם למניע שעמד מאחורי החזקת הנשק. בבש"פ 625/82 </w:t>
      </w:r>
      <w:r w:rsidRPr="008D1699">
        <w:rPr>
          <w:b/>
          <w:bCs/>
          <w:rtl/>
        </w:rPr>
        <w:t>חלמי אבו מוך בן עבדול רמחן נ' מדינת ישראל</w:t>
      </w:r>
      <w:r w:rsidRPr="00B265CD">
        <w:rPr>
          <w:rtl/>
        </w:rPr>
        <w:t xml:space="preserve"> (להלן: "</w:t>
      </w:r>
      <w:r w:rsidRPr="008D1699">
        <w:rPr>
          <w:b/>
          <w:bCs/>
          <w:rtl/>
        </w:rPr>
        <w:t>עניין אבו מוך</w:t>
      </w:r>
      <w:r w:rsidRPr="00B265CD">
        <w:rPr>
          <w:rtl/>
        </w:rPr>
        <w:t xml:space="preserve">") ערך כב' השופט ג' בך מדרג של חומרת עבירת החזקת נשק בהתאם לנסיבות ביצועה כדלקמן: </w:t>
      </w:r>
    </w:p>
    <w:p w14:paraId="0ACE2078" w14:textId="77777777" w:rsidR="007A30B6" w:rsidRPr="00B265CD" w:rsidRDefault="007A30B6" w:rsidP="00113BB2">
      <w:pPr>
        <w:spacing w:line="360" w:lineRule="auto"/>
        <w:jc w:val="both"/>
        <w:rPr>
          <w:rtl/>
        </w:rPr>
      </w:pPr>
    </w:p>
    <w:p w14:paraId="20C045B5" w14:textId="77777777" w:rsidR="007A30B6" w:rsidRPr="00F649E0" w:rsidRDefault="007A30B6" w:rsidP="00113BB2">
      <w:pPr>
        <w:spacing w:line="360" w:lineRule="auto"/>
        <w:ind w:left="1106" w:right="900"/>
        <w:jc w:val="both"/>
        <w:outlineLvl w:val="0"/>
        <w:rPr>
          <w:b/>
          <w:bCs/>
          <w:rtl/>
        </w:rPr>
      </w:pPr>
      <w:r w:rsidRPr="00F649E0">
        <w:rPr>
          <w:b/>
          <w:bCs/>
          <w:rtl/>
        </w:rPr>
        <w:t>"א) החזקת הנשק לשם ביצוע מעשים, המיועדים לפגוע בביטחון המדינה או בביטחון הציבור.</w:t>
      </w:r>
    </w:p>
    <w:p w14:paraId="0B3EE761" w14:textId="77777777" w:rsidR="007A30B6" w:rsidRPr="00F649E0" w:rsidRDefault="007A30B6" w:rsidP="00113BB2">
      <w:pPr>
        <w:spacing w:line="360" w:lineRule="auto"/>
        <w:ind w:left="1106" w:right="900"/>
        <w:jc w:val="both"/>
        <w:rPr>
          <w:b/>
          <w:bCs/>
          <w:rtl/>
        </w:rPr>
      </w:pPr>
    </w:p>
    <w:p w14:paraId="073F37AD" w14:textId="77777777" w:rsidR="007A30B6" w:rsidRPr="00F649E0" w:rsidRDefault="007A30B6" w:rsidP="00113BB2">
      <w:pPr>
        <w:spacing w:line="360" w:lineRule="auto"/>
        <w:ind w:left="1106" w:right="900"/>
        <w:jc w:val="both"/>
        <w:outlineLvl w:val="0"/>
        <w:rPr>
          <w:b/>
          <w:bCs/>
          <w:rtl/>
        </w:rPr>
      </w:pPr>
      <w:r w:rsidRPr="00F649E0">
        <w:rPr>
          <w:b/>
          <w:bCs/>
          <w:rtl/>
        </w:rPr>
        <w:t>ב) החזקת הנשק לשם ביצוע עבירה פלילית ספציפית כגון רצח, שוד, התפרצות, תקיפה וכו'.</w:t>
      </w:r>
    </w:p>
    <w:p w14:paraId="1F47AD9C" w14:textId="77777777" w:rsidR="007A30B6" w:rsidRPr="00F649E0" w:rsidRDefault="007A30B6" w:rsidP="00113BB2">
      <w:pPr>
        <w:spacing w:line="360" w:lineRule="auto"/>
        <w:ind w:left="1106" w:right="900"/>
        <w:jc w:val="both"/>
        <w:rPr>
          <w:b/>
          <w:bCs/>
          <w:rtl/>
        </w:rPr>
      </w:pPr>
    </w:p>
    <w:p w14:paraId="1BDBF145" w14:textId="77777777" w:rsidR="007A30B6" w:rsidRPr="00F649E0" w:rsidRDefault="007A30B6" w:rsidP="00113BB2">
      <w:pPr>
        <w:spacing w:line="360" w:lineRule="auto"/>
        <w:ind w:left="1106" w:right="900"/>
        <w:jc w:val="both"/>
        <w:rPr>
          <w:b/>
          <w:bCs/>
          <w:rtl/>
        </w:rPr>
      </w:pPr>
      <w:r w:rsidRPr="00F649E0">
        <w:rPr>
          <w:b/>
          <w:bCs/>
          <w:rtl/>
        </w:rPr>
        <w:t>ג) החזקת הנשק "לעת מצוא" כדי לאפשר פעילות פלילית אפשרית בעתיד.</w:t>
      </w:r>
    </w:p>
    <w:p w14:paraId="5FC3B55D" w14:textId="77777777" w:rsidR="007A30B6" w:rsidRPr="00F649E0" w:rsidRDefault="007A30B6" w:rsidP="00113BB2">
      <w:pPr>
        <w:spacing w:line="360" w:lineRule="auto"/>
        <w:ind w:left="1106" w:right="900"/>
        <w:jc w:val="both"/>
        <w:rPr>
          <w:b/>
          <w:bCs/>
          <w:rtl/>
        </w:rPr>
      </w:pPr>
    </w:p>
    <w:p w14:paraId="72118DB2" w14:textId="77777777" w:rsidR="007A30B6" w:rsidRPr="00F649E0" w:rsidRDefault="007A30B6" w:rsidP="00113BB2">
      <w:pPr>
        <w:spacing w:line="360" w:lineRule="auto"/>
        <w:ind w:left="1106" w:right="900"/>
        <w:jc w:val="both"/>
        <w:rPr>
          <w:b/>
          <w:bCs/>
          <w:rtl/>
        </w:rPr>
      </w:pPr>
      <w:r w:rsidRPr="00F649E0">
        <w:rPr>
          <w:b/>
          <w:bCs/>
          <w:rtl/>
        </w:rPr>
        <w:t>ד) צבירת נשק על-ידי קבוצה פוליטית, עדתית או אידיאולוגית, במטרה לחזק בדרך זו את כוחה כנגד קבוצות יריבות.</w:t>
      </w:r>
    </w:p>
    <w:p w14:paraId="2675C87F" w14:textId="77777777" w:rsidR="007A30B6" w:rsidRPr="00F649E0" w:rsidRDefault="007A30B6" w:rsidP="00113BB2">
      <w:pPr>
        <w:spacing w:line="360" w:lineRule="auto"/>
        <w:ind w:left="1106" w:right="900"/>
        <w:jc w:val="both"/>
        <w:rPr>
          <w:b/>
          <w:bCs/>
          <w:rtl/>
        </w:rPr>
      </w:pPr>
    </w:p>
    <w:p w14:paraId="0F997A18" w14:textId="77777777" w:rsidR="007A30B6" w:rsidRPr="00F649E0" w:rsidRDefault="007A30B6" w:rsidP="00113BB2">
      <w:pPr>
        <w:spacing w:line="360" w:lineRule="auto"/>
        <w:ind w:left="1106" w:right="900"/>
        <w:jc w:val="both"/>
        <w:rPr>
          <w:b/>
          <w:bCs/>
          <w:rtl/>
        </w:rPr>
      </w:pPr>
      <w:r w:rsidRPr="00F649E0">
        <w:rPr>
          <w:b/>
          <w:bCs/>
          <w:rtl/>
        </w:rPr>
        <w:t>ה) החזקת הנשק לצורך הגנה עצמית או לצורך הגנה על הציבור, המשפחה או ה"חמולה", אליהם הנאשם משתייך.</w:t>
      </w:r>
    </w:p>
    <w:p w14:paraId="0DEDA8EA" w14:textId="77777777" w:rsidR="007A30B6" w:rsidRPr="00F649E0" w:rsidRDefault="007A30B6" w:rsidP="00113BB2">
      <w:pPr>
        <w:spacing w:line="360" w:lineRule="auto"/>
        <w:ind w:left="1106" w:right="900"/>
        <w:jc w:val="both"/>
        <w:rPr>
          <w:b/>
          <w:bCs/>
          <w:rtl/>
        </w:rPr>
      </w:pPr>
    </w:p>
    <w:p w14:paraId="7175C357" w14:textId="77777777" w:rsidR="007A30B6" w:rsidRPr="00F649E0" w:rsidRDefault="007A30B6" w:rsidP="00113BB2">
      <w:pPr>
        <w:spacing w:line="360" w:lineRule="auto"/>
        <w:ind w:left="1106" w:right="900"/>
        <w:jc w:val="both"/>
        <w:rPr>
          <w:b/>
          <w:bCs/>
          <w:rtl/>
        </w:rPr>
      </w:pPr>
      <w:r w:rsidRPr="00F649E0">
        <w:rPr>
          <w:b/>
          <w:bCs/>
          <w:rtl/>
        </w:rPr>
        <w:t>ו) החזקת כלי הנשק לצורך ספורט, ציד או שעשוע.</w:t>
      </w:r>
    </w:p>
    <w:p w14:paraId="4DD3D27F" w14:textId="77777777" w:rsidR="007A30B6" w:rsidRPr="00B265CD" w:rsidRDefault="007A30B6" w:rsidP="00113BB2">
      <w:pPr>
        <w:spacing w:line="360" w:lineRule="auto"/>
        <w:jc w:val="both"/>
        <w:rPr>
          <w:rtl/>
        </w:rPr>
      </w:pPr>
    </w:p>
    <w:p w14:paraId="523F2F92" w14:textId="77777777" w:rsidR="007A30B6" w:rsidRPr="00F649E0" w:rsidRDefault="007A30B6" w:rsidP="00113BB2">
      <w:pPr>
        <w:spacing w:line="360" w:lineRule="auto"/>
        <w:ind w:left="1106" w:right="900"/>
        <w:jc w:val="both"/>
        <w:rPr>
          <w:b/>
          <w:bCs/>
          <w:rtl/>
        </w:rPr>
      </w:pPr>
      <w:r w:rsidRPr="00F649E0">
        <w:rPr>
          <w:b/>
          <w:bCs/>
          <w:rtl/>
        </w:rPr>
        <w:t>ז) החזקת כלי נשק על-ידי הנאשם בתור מזכרת או כאספן של כלים כאלה.</w:t>
      </w:r>
    </w:p>
    <w:p w14:paraId="5D10E148" w14:textId="77777777" w:rsidR="007A30B6" w:rsidRPr="00F649E0" w:rsidRDefault="007A30B6" w:rsidP="00113BB2">
      <w:pPr>
        <w:spacing w:line="360" w:lineRule="auto"/>
        <w:ind w:left="1106" w:right="900"/>
        <w:jc w:val="both"/>
        <w:rPr>
          <w:b/>
          <w:bCs/>
          <w:rtl/>
        </w:rPr>
      </w:pPr>
    </w:p>
    <w:p w14:paraId="6B9F80EA" w14:textId="77777777" w:rsidR="007A30B6" w:rsidRPr="00F649E0" w:rsidRDefault="007A30B6" w:rsidP="00113BB2">
      <w:pPr>
        <w:spacing w:line="360" w:lineRule="auto"/>
        <w:ind w:left="1106" w:right="900"/>
        <w:jc w:val="both"/>
        <w:rPr>
          <w:b/>
          <w:bCs/>
          <w:rtl/>
        </w:rPr>
      </w:pPr>
      <w:r w:rsidRPr="00F649E0">
        <w:rPr>
          <w:b/>
          <w:bCs/>
          <w:rtl/>
        </w:rPr>
        <w:t>ח) החזקת כלי הנשק, שפג תוקף רישיונו, והנאשם נמנע מלחדש את הרישיון בעתו".</w:t>
      </w:r>
    </w:p>
    <w:p w14:paraId="61217137" w14:textId="77777777" w:rsidR="007A30B6" w:rsidRDefault="007A30B6" w:rsidP="00113BB2">
      <w:pPr>
        <w:spacing w:line="360" w:lineRule="auto"/>
        <w:jc w:val="both"/>
        <w:rPr>
          <w:rtl/>
        </w:rPr>
      </w:pPr>
    </w:p>
    <w:p w14:paraId="5B012D83" w14:textId="77777777" w:rsidR="007A30B6" w:rsidRDefault="007A30B6" w:rsidP="00113BB2">
      <w:pPr>
        <w:numPr>
          <w:ilvl w:val="0"/>
          <w:numId w:val="19"/>
        </w:numPr>
        <w:tabs>
          <w:tab w:val="clear" w:pos="0"/>
          <w:tab w:val="num" w:pos="540"/>
        </w:tabs>
        <w:spacing w:line="360" w:lineRule="auto"/>
        <w:ind w:left="540" w:hanging="540"/>
        <w:jc w:val="both"/>
      </w:pPr>
      <w:r w:rsidRPr="00B265CD">
        <w:rPr>
          <w:rtl/>
        </w:rPr>
        <w:t>הדברים שנפסקו בעניין אבו מוך נוגעים אמנם לעניין מסוכנות העבירה לצרכי הליך של מעצר עד תום ההליכים, אך ב</w:t>
      </w:r>
      <w:hyperlink r:id="rId47" w:history="1">
        <w:r w:rsidR="009322B9" w:rsidRPr="009322B9">
          <w:rPr>
            <w:color w:val="0000FF"/>
            <w:u w:val="single"/>
            <w:rtl/>
          </w:rPr>
          <w:t>ע"פ 3300/06</w:t>
        </w:r>
      </w:hyperlink>
      <w:r w:rsidRPr="00B265CD">
        <w:rPr>
          <w:rtl/>
        </w:rPr>
        <w:t xml:space="preserve"> </w:t>
      </w:r>
      <w:r w:rsidRPr="00F614E2">
        <w:rPr>
          <w:b/>
          <w:bCs/>
          <w:rtl/>
        </w:rPr>
        <w:t>סולטאן אבו סנינה נ' מדינת ישראל</w:t>
      </w:r>
      <w:r w:rsidRPr="00B265CD">
        <w:rPr>
          <w:rtl/>
        </w:rPr>
        <w:t xml:space="preserve">, הרחיב בית המשפט העליון את תחולת המדרג הנ"ל גם לשאלת הענישה בתיק העיקרי.   </w:t>
      </w:r>
    </w:p>
    <w:p w14:paraId="573BCEF5" w14:textId="77777777" w:rsidR="007A30B6" w:rsidRDefault="007A30B6" w:rsidP="00113BB2">
      <w:pPr>
        <w:spacing w:line="360" w:lineRule="auto"/>
        <w:ind w:left="-360"/>
        <w:jc w:val="both"/>
      </w:pPr>
    </w:p>
    <w:p w14:paraId="2C7F7B13" w14:textId="77777777" w:rsidR="007A30B6" w:rsidRPr="00B265CD" w:rsidRDefault="007A30B6" w:rsidP="00113BB2">
      <w:pPr>
        <w:numPr>
          <w:ilvl w:val="0"/>
          <w:numId w:val="19"/>
        </w:numPr>
        <w:tabs>
          <w:tab w:val="clear" w:pos="0"/>
          <w:tab w:val="num" w:pos="540"/>
        </w:tabs>
        <w:spacing w:line="360" w:lineRule="auto"/>
        <w:ind w:left="540" w:hanging="540"/>
        <w:jc w:val="both"/>
        <w:rPr>
          <w:rtl/>
        </w:rPr>
      </w:pPr>
      <w:r w:rsidRPr="00B265CD">
        <w:rPr>
          <w:rtl/>
        </w:rPr>
        <w:t>לצורך קביעת מתחם העונש ההולם, יובאו להלן מספר פסקי דין נוספים המשקפים את מדיניות הענישה הנהוגה בעבירה של החזקת נשק.</w:t>
      </w:r>
    </w:p>
    <w:p w14:paraId="31A15B39" w14:textId="77777777" w:rsidR="007A30B6" w:rsidRPr="00B265CD" w:rsidRDefault="007A30B6" w:rsidP="00113BB2">
      <w:pPr>
        <w:spacing w:line="360" w:lineRule="auto"/>
        <w:jc w:val="both"/>
        <w:rPr>
          <w:rtl/>
        </w:rPr>
      </w:pPr>
    </w:p>
    <w:p w14:paraId="163572F3" w14:textId="77777777" w:rsidR="007A30B6" w:rsidRDefault="007A30B6" w:rsidP="00113BB2">
      <w:pPr>
        <w:spacing w:line="360" w:lineRule="auto"/>
        <w:ind w:left="1080" w:hanging="540"/>
        <w:jc w:val="both"/>
        <w:rPr>
          <w:rtl/>
        </w:rPr>
      </w:pPr>
      <w:r w:rsidRPr="00B265CD">
        <w:rPr>
          <w:rtl/>
        </w:rPr>
        <w:t>א</w:t>
      </w:r>
      <w:r>
        <w:rPr>
          <w:rtl/>
        </w:rPr>
        <w:t>.</w:t>
      </w:r>
      <w:r>
        <w:rPr>
          <w:rtl/>
        </w:rPr>
        <w:tab/>
        <w:t xml:space="preserve">בת"פ (נצ') 1111/04 </w:t>
      </w:r>
      <w:r w:rsidRPr="00C0406D">
        <w:rPr>
          <w:b/>
          <w:bCs/>
          <w:rtl/>
        </w:rPr>
        <w:t>מדינת ישראל נ' ענאן נעיראת</w:t>
      </w:r>
      <w:r>
        <w:rPr>
          <w:b/>
          <w:bCs/>
          <w:rtl/>
        </w:rPr>
        <w:t xml:space="preserve"> </w:t>
      </w:r>
      <w:r w:rsidRPr="00D51541">
        <w:rPr>
          <w:rtl/>
        </w:rPr>
        <w:t>(ניתן ביום 27.01.05) -</w:t>
      </w:r>
      <w:r>
        <w:rPr>
          <w:rtl/>
        </w:rPr>
        <w:t xml:space="preserve"> </w:t>
      </w:r>
      <w:r w:rsidRPr="00B265CD">
        <w:rPr>
          <w:rtl/>
        </w:rPr>
        <w:t xml:space="preserve"> </w:t>
      </w:r>
      <w:r>
        <w:rPr>
          <w:rtl/>
        </w:rPr>
        <w:t xml:space="preserve">הנאשם הורשע על-פי הודאתו בעבירות נשק (רכישה, החזקה ונשיאה) עבירה לפי </w:t>
      </w:r>
      <w:hyperlink r:id="rId48" w:history="1">
        <w:r w:rsidR="00FA68A2" w:rsidRPr="00FA68A2">
          <w:rPr>
            <w:color w:val="0000FF"/>
            <w:u w:val="single"/>
            <w:rtl/>
          </w:rPr>
          <w:t>סעיף 144(א)</w:t>
        </w:r>
      </w:hyperlink>
      <w:r>
        <w:rPr>
          <w:rtl/>
        </w:rPr>
        <w:t xml:space="preserve"> רישא וסיפא + </w:t>
      </w:r>
      <w:hyperlink r:id="rId49" w:history="1">
        <w:r w:rsidR="00FA68A2" w:rsidRPr="00FA68A2">
          <w:rPr>
            <w:rStyle w:val="Hyperlink"/>
            <w:rtl/>
          </w:rPr>
          <w:t>(ב)</w:t>
        </w:r>
      </w:hyperlink>
      <w:r>
        <w:rPr>
          <w:rtl/>
        </w:rPr>
        <w:t xml:space="preserve"> רישא וסיפא ל</w:t>
      </w:r>
      <w:hyperlink r:id="rId50" w:history="1">
        <w:r w:rsidR="009322B9" w:rsidRPr="009322B9">
          <w:rPr>
            <w:color w:val="0000FF"/>
            <w:u w:val="single"/>
            <w:rtl/>
          </w:rPr>
          <w:t>חוק העונשין</w:t>
        </w:r>
      </w:hyperlink>
      <w:r>
        <w:rPr>
          <w:rtl/>
        </w:rPr>
        <w:t xml:space="preserve">, תקיפת שוטר וניסיון לתקיפת שוטרים. בית במשפט המחוזי בנצרת גזר על הנאשם 6 חודשי מאסר בפועל שירוצו בעבודות שירות וענישה נלווית. מדובר בנאשם צעיר אשר החזיק בנשק ובתחמושת זמן ממושך (למעלה משנתיים טרם הגשת כתב אישום) לשם הגנה עצמית. לחובתו של הנאשם עבר פלילי (מהיותו נער) שאינו כרוך בשימוש או החזקת נשק. בפני שירות המבחן נטל הנאשם אחריות בגין עבירת הנשק אך התקשה לקחת אחריות בגין עבירת תקיפת השוטרים. שירות המבחן התקשה לבוא בהמלצה טיפולית. יצוין, כי מקרה זה דומה מאוד מבחינה עובדתית למקרה שלפני.   </w:t>
      </w:r>
    </w:p>
    <w:p w14:paraId="1B879492" w14:textId="77777777" w:rsidR="007A30B6" w:rsidRDefault="007A30B6" w:rsidP="00113BB2">
      <w:pPr>
        <w:spacing w:line="360" w:lineRule="auto"/>
        <w:jc w:val="both"/>
        <w:rPr>
          <w:rtl/>
        </w:rPr>
      </w:pPr>
    </w:p>
    <w:p w14:paraId="3B5B52AC" w14:textId="77777777" w:rsidR="007A30B6" w:rsidRDefault="007A30B6" w:rsidP="00113BB2">
      <w:pPr>
        <w:spacing w:line="360" w:lineRule="auto"/>
        <w:ind w:left="1080" w:hanging="540"/>
        <w:jc w:val="both"/>
        <w:rPr>
          <w:rtl/>
        </w:rPr>
      </w:pPr>
      <w:r>
        <w:rPr>
          <w:rtl/>
        </w:rPr>
        <w:t>ב.</w:t>
      </w:r>
      <w:r>
        <w:rPr>
          <w:rtl/>
        </w:rPr>
        <w:tab/>
        <w:t xml:space="preserve">בת"פ (נצ') 1167/02  </w:t>
      </w:r>
      <w:r w:rsidRPr="007876F7">
        <w:rPr>
          <w:b/>
          <w:bCs/>
          <w:rtl/>
        </w:rPr>
        <w:t>מדינת ישראל נ' קאסם בן מוסטפא ע.אלקאדר דהאמשה</w:t>
      </w:r>
      <w:r>
        <w:rPr>
          <w:rtl/>
        </w:rPr>
        <w:t xml:space="preserve"> – הנאשם הורשע על-פי הודאתו בעבירה בניגוד </w:t>
      </w:r>
      <w:hyperlink r:id="rId51" w:history="1">
        <w:r w:rsidR="00FA68A2" w:rsidRPr="00FA68A2">
          <w:rPr>
            <w:rStyle w:val="Hyperlink"/>
            <w:rtl/>
          </w:rPr>
          <w:t>לסעיף 144(א)</w:t>
        </w:r>
      </w:hyperlink>
      <w:r>
        <w:rPr>
          <w:rtl/>
        </w:rPr>
        <w:t xml:space="preserve"> ו-</w:t>
      </w:r>
      <w:hyperlink r:id="rId52" w:history="1">
        <w:r w:rsidR="00FA68A2" w:rsidRPr="00FA68A2">
          <w:rPr>
            <w:color w:val="0000FF"/>
            <w:u w:val="single"/>
            <w:rtl/>
          </w:rPr>
          <w:t>(ב)</w:t>
        </w:r>
      </w:hyperlink>
      <w:r>
        <w:rPr>
          <w:rtl/>
        </w:rPr>
        <w:t xml:space="preserve">. הנאשם רכש מאחר אקדח ומחסנית, הסתיר את הנשק בביתו ביום קבלתו ובמועד אחר סמוך נסע עם המוכר ליער שם לימדוֹ האחר להשתמש בנשק; הנאשם הזמין מאותו אחר 100 כדורים. הנאשם טען את המחסנית, הטמין את הנשק והתחמושת ובמועד אחר הוציא את הנשק ממחבואו והסתירו במרפאתו. בית המשפט המחוזי בנצרת גזר על הנאשם 24 חודשי מאסר, מתוכם 6 חודשי מאסר לריצוי בפועל והיתרה על תנאי. יצוין, כי הנאשם, שהנו רופא במקצועו, הביע צער וחרטה על מעשיו ומדובר במעידתו  הראשונה. </w:t>
      </w:r>
    </w:p>
    <w:p w14:paraId="397F5BB7" w14:textId="77777777" w:rsidR="007A30B6" w:rsidRDefault="007A30B6" w:rsidP="00113BB2">
      <w:pPr>
        <w:spacing w:line="360" w:lineRule="auto"/>
        <w:jc w:val="both"/>
        <w:rPr>
          <w:rtl/>
        </w:rPr>
      </w:pPr>
    </w:p>
    <w:p w14:paraId="65EE3D0A" w14:textId="77777777" w:rsidR="007A30B6" w:rsidRDefault="007A30B6" w:rsidP="00113BB2">
      <w:pPr>
        <w:spacing w:line="360" w:lineRule="auto"/>
        <w:ind w:left="1080" w:hanging="540"/>
        <w:jc w:val="both"/>
        <w:rPr>
          <w:rtl/>
        </w:rPr>
      </w:pPr>
      <w:r>
        <w:rPr>
          <w:rtl/>
        </w:rPr>
        <w:t>ג.</w:t>
      </w:r>
      <w:r>
        <w:rPr>
          <w:rtl/>
        </w:rPr>
        <w:tab/>
        <w:t xml:space="preserve">בת"פ (נצ') 114/08 </w:t>
      </w:r>
      <w:r w:rsidRPr="00336600">
        <w:rPr>
          <w:b/>
          <w:bCs/>
          <w:rtl/>
        </w:rPr>
        <w:t>מדינת ישראל נ' ואכד מרואן</w:t>
      </w:r>
      <w:r>
        <w:rPr>
          <w:rtl/>
        </w:rPr>
        <w:t xml:space="preserve"> – הורשע נאשם 2 יחד עם 4 אחרים בעבירות של קשירת קשר לביצוע פשע, עבירה לפי </w:t>
      </w:r>
      <w:hyperlink r:id="rId53" w:history="1">
        <w:r w:rsidR="00FA68A2" w:rsidRPr="00FA68A2">
          <w:rPr>
            <w:color w:val="0000FF"/>
            <w:u w:val="single"/>
            <w:rtl/>
          </w:rPr>
          <w:t>סעיף 499(א)(1)</w:t>
        </w:r>
      </w:hyperlink>
      <w:r>
        <w:rPr>
          <w:rtl/>
        </w:rPr>
        <w:t xml:space="preserve"> ל</w:t>
      </w:r>
      <w:hyperlink r:id="rId54" w:history="1">
        <w:r w:rsidR="009322B9" w:rsidRPr="009322B9">
          <w:rPr>
            <w:color w:val="0000FF"/>
            <w:u w:val="single"/>
            <w:rtl/>
          </w:rPr>
          <w:t>חוק העונשין</w:t>
        </w:r>
      </w:hyperlink>
      <w:r>
        <w:rPr>
          <w:rtl/>
        </w:rPr>
        <w:t xml:space="preserve"> ועבירת נשק [רכישה, נשיאה והובלה], עבירות לפי </w:t>
      </w:r>
      <w:hyperlink r:id="rId55" w:history="1">
        <w:r w:rsidR="00FA68A2" w:rsidRPr="00FA68A2">
          <w:rPr>
            <w:color w:val="0000FF"/>
            <w:u w:val="single"/>
            <w:rtl/>
          </w:rPr>
          <w:t>סעיף 144(א)</w:t>
        </w:r>
      </w:hyperlink>
      <w:r>
        <w:rPr>
          <w:rtl/>
        </w:rPr>
        <w:t xml:space="preserve"> ו-</w:t>
      </w:r>
      <w:hyperlink r:id="rId56" w:history="1">
        <w:r w:rsidR="00FA68A2" w:rsidRPr="00FA68A2">
          <w:rPr>
            <w:color w:val="0000FF"/>
            <w:u w:val="single"/>
            <w:rtl/>
          </w:rPr>
          <w:t>(ב)</w:t>
        </w:r>
      </w:hyperlink>
      <w:r>
        <w:rPr>
          <w:rtl/>
        </w:rPr>
        <w:t xml:space="preserve"> בצירוף </w:t>
      </w:r>
      <w:hyperlink r:id="rId57" w:history="1">
        <w:r w:rsidR="00FA68A2" w:rsidRPr="00FA68A2">
          <w:rPr>
            <w:color w:val="0000FF"/>
            <w:u w:val="single"/>
            <w:rtl/>
          </w:rPr>
          <w:t>סעיף 29</w:t>
        </w:r>
      </w:hyperlink>
      <w:r>
        <w:rPr>
          <w:rtl/>
        </w:rPr>
        <w:t xml:space="preserve"> לחוק העונשין. הנאשם הודה  בישיבה הראשונה במיוחס לו. הנאשם ובני משפחתו היו חשופים לאיומים עקב סכסוך חמולות בו היו נתונים. הנאשם נטל אחריות מלאה והביע צער וחרטה. אין לחובתו של הנאשם עבר פלילי קודם. בית המשפט המחוזי גזר על הנאשם עונש מאסר לתקופה של 6 חודשים, שירוצה בעבודות שירות בצירוף ענישה נלווית. </w:t>
      </w:r>
    </w:p>
    <w:p w14:paraId="7FA8A65C" w14:textId="77777777" w:rsidR="007A30B6" w:rsidRDefault="007A30B6" w:rsidP="00113BB2">
      <w:pPr>
        <w:spacing w:line="360" w:lineRule="auto"/>
        <w:jc w:val="both"/>
        <w:rPr>
          <w:rtl/>
        </w:rPr>
      </w:pPr>
    </w:p>
    <w:p w14:paraId="04030FB0" w14:textId="77777777" w:rsidR="007A30B6" w:rsidRDefault="007A30B6" w:rsidP="00113BB2">
      <w:pPr>
        <w:spacing w:line="360" w:lineRule="auto"/>
        <w:ind w:left="1080" w:hanging="540"/>
        <w:jc w:val="both"/>
        <w:rPr>
          <w:rtl/>
        </w:rPr>
      </w:pPr>
      <w:r>
        <w:rPr>
          <w:rtl/>
        </w:rPr>
        <w:t>ד.</w:t>
      </w:r>
      <w:r>
        <w:rPr>
          <w:rtl/>
        </w:rPr>
        <w:tab/>
        <w:t xml:space="preserve">בת"פ (ב"ש) 8182/08 </w:t>
      </w:r>
      <w:r w:rsidRPr="00711D23">
        <w:rPr>
          <w:b/>
          <w:bCs/>
          <w:rtl/>
        </w:rPr>
        <w:t>מדינת ישראל נ' אבו ג'אבר ג'מיל</w:t>
      </w:r>
      <w:r>
        <w:rPr>
          <w:rtl/>
        </w:rPr>
        <w:t xml:space="preserve"> ו</w:t>
      </w:r>
      <w:r w:rsidRPr="002222D1">
        <w:rPr>
          <w:b/>
          <w:bCs/>
          <w:rtl/>
        </w:rPr>
        <w:t xml:space="preserve">אח' </w:t>
      </w:r>
      <w:r>
        <w:rPr>
          <w:rtl/>
        </w:rPr>
        <w:t xml:space="preserve">– הורשעו הנאשמים על-פי הודאתם בכתב אישום המייחס להם עבירות של קשירת קשר לפשע, רכישת נשק שלא כדין, נשיאת והובלת נשק שלא כדין וקבלת נכס שהושג בפשע – עבירות בניגוד </w:t>
      </w:r>
      <w:hyperlink r:id="rId58" w:history="1">
        <w:r w:rsidR="00FA68A2" w:rsidRPr="00FA68A2">
          <w:rPr>
            <w:color w:val="0000FF"/>
            <w:u w:val="single"/>
            <w:rtl/>
          </w:rPr>
          <w:t>לסעיפים 499(א)(1)</w:t>
        </w:r>
      </w:hyperlink>
      <w:r>
        <w:rPr>
          <w:rtl/>
        </w:rPr>
        <w:t xml:space="preserve">, </w:t>
      </w:r>
      <w:hyperlink r:id="rId59" w:history="1">
        <w:r w:rsidR="00FA68A2" w:rsidRPr="00FA68A2">
          <w:rPr>
            <w:color w:val="0000FF"/>
            <w:u w:val="single"/>
            <w:rtl/>
          </w:rPr>
          <w:t>144(א)</w:t>
        </w:r>
      </w:hyperlink>
      <w:r>
        <w:rPr>
          <w:rtl/>
        </w:rPr>
        <w:t xml:space="preserve"> רישא, </w:t>
      </w:r>
      <w:hyperlink r:id="rId60" w:history="1">
        <w:r w:rsidR="00FA68A2" w:rsidRPr="00FA68A2">
          <w:rPr>
            <w:color w:val="0000FF"/>
            <w:u w:val="single"/>
            <w:rtl/>
          </w:rPr>
          <w:t>144(ב)</w:t>
        </w:r>
      </w:hyperlink>
      <w:r>
        <w:rPr>
          <w:rtl/>
        </w:rPr>
        <w:t xml:space="preserve"> רישא ו-411 ל</w:t>
      </w:r>
      <w:hyperlink r:id="rId61" w:history="1">
        <w:r w:rsidR="009322B9" w:rsidRPr="009322B9">
          <w:rPr>
            <w:color w:val="0000FF"/>
            <w:u w:val="single"/>
            <w:rtl/>
          </w:rPr>
          <w:t>חוק העונשין</w:t>
        </w:r>
      </w:hyperlink>
      <w:r>
        <w:rPr>
          <w:rtl/>
        </w:rPr>
        <w:t xml:space="preserve">. הנאשמים רכשו אקדח אשר באמצעותו בוצע רצח, אך חשבו שהאקדח נשדד משומר שהוכה בראשו. לחובת אחד הנאשמים 4 הרשעות קודמות. בית המשפט המחוזי בבאר שבע גזר על הנאשמים 18 חודשי מאסר לריצוי בפועל בצירוף ענישה נלווית. </w:t>
      </w:r>
    </w:p>
    <w:p w14:paraId="047D7496" w14:textId="77777777" w:rsidR="007A30B6" w:rsidRDefault="007A30B6" w:rsidP="00113BB2">
      <w:pPr>
        <w:spacing w:line="360" w:lineRule="auto"/>
        <w:jc w:val="both"/>
        <w:rPr>
          <w:rtl/>
        </w:rPr>
      </w:pPr>
    </w:p>
    <w:p w14:paraId="5BEE40F5" w14:textId="77777777" w:rsidR="007A30B6" w:rsidRDefault="007A30B6" w:rsidP="00113BB2">
      <w:pPr>
        <w:spacing w:line="360" w:lineRule="auto"/>
        <w:ind w:left="1080" w:hanging="540"/>
        <w:jc w:val="both"/>
        <w:rPr>
          <w:rtl/>
        </w:rPr>
      </w:pPr>
      <w:r>
        <w:rPr>
          <w:rtl/>
        </w:rPr>
        <w:t>ה.</w:t>
      </w:r>
      <w:r>
        <w:rPr>
          <w:rtl/>
        </w:rPr>
        <w:tab/>
        <w:t>ב</w:t>
      </w:r>
      <w:hyperlink r:id="rId62" w:history="1">
        <w:r w:rsidR="009322B9" w:rsidRPr="009322B9">
          <w:rPr>
            <w:color w:val="0000FF"/>
            <w:u w:val="single"/>
            <w:rtl/>
          </w:rPr>
          <w:t>ע"פ 4329/10</w:t>
        </w:r>
      </w:hyperlink>
      <w:r>
        <w:rPr>
          <w:rtl/>
        </w:rPr>
        <w:t xml:space="preserve"> </w:t>
      </w:r>
      <w:r w:rsidRPr="003B491B">
        <w:rPr>
          <w:b/>
          <w:bCs/>
          <w:rtl/>
        </w:rPr>
        <w:t>מוחמד אסמאעיל נ' מדינת ישראל</w:t>
      </w:r>
      <w:r>
        <w:rPr>
          <w:rtl/>
        </w:rPr>
        <w:t xml:space="preserve"> (ניתן ביום 25.10.10) – נמצא המערער כשהוא מחזיק באקדח טעון בתחמושת במצב נצור, מבלי שהיה מורשה לכך. המערער הודה בעובדות שיוחסו לו והורשע בעבירות של החזקת נשק ונשיאתו שלא כדין. בית המשפט המחוזי בנצרת דן אותו ל-20 חודשי מאסר בצירוף ענישה נלווית. מדובר בנאשם צעיר (סטודנט) נעדר עבר פלילי. שירות המבחן המליץ להסתפק במאסר שירוצה בעבודות שירות.</w:t>
      </w:r>
      <w:r w:rsidRPr="00C76560">
        <w:rPr>
          <w:rtl/>
        </w:rPr>
        <w:t xml:space="preserve"> </w:t>
      </w:r>
      <w:r>
        <w:rPr>
          <w:rtl/>
        </w:rPr>
        <w:t xml:space="preserve">בית המשפט העליון דחה את הערעור בציינו, כי הגיעה העת להחמיר בענישה בעבירות נשק. </w:t>
      </w:r>
    </w:p>
    <w:p w14:paraId="5E3EE61F" w14:textId="77777777" w:rsidR="007A30B6" w:rsidRPr="00B265CD" w:rsidRDefault="007A30B6" w:rsidP="00113BB2">
      <w:pPr>
        <w:spacing w:line="360" w:lineRule="auto"/>
        <w:jc w:val="both"/>
        <w:rPr>
          <w:rtl/>
        </w:rPr>
      </w:pPr>
    </w:p>
    <w:p w14:paraId="2E0F1B6A" w14:textId="77777777" w:rsidR="007A30B6" w:rsidRPr="00C76560" w:rsidRDefault="007A30B6" w:rsidP="00113BB2">
      <w:pPr>
        <w:spacing w:line="360" w:lineRule="auto"/>
        <w:jc w:val="both"/>
        <w:rPr>
          <w:b/>
          <w:bCs/>
          <w:u w:val="single"/>
          <w:rtl/>
        </w:rPr>
      </w:pPr>
      <w:r>
        <w:rPr>
          <w:b/>
          <w:bCs/>
          <w:u w:val="single"/>
          <w:rtl/>
        </w:rPr>
        <w:t>נ</w:t>
      </w:r>
      <w:r w:rsidRPr="00C76560">
        <w:rPr>
          <w:b/>
          <w:bCs/>
          <w:u w:val="single"/>
          <w:rtl/>
        </w:rPr>
        <w:t xml:space="preserve">סיבות הקשורות בביצוע העבירות – </w:t>
      </w:r>
      <w:hyperlink r:id="rId63" w:history="1">
        <w:r w:rsidR="00FA68A2" w:rsidRPr="00FA68A2">
          <w:rPr>
            <w:b/>
            <w:bCs/>
            <w:color w:val="0000FF"/>
            <w:u w:val="single"/>
            <w:rtl/>
          </w:rPr>
          <w:t>סעיף 40ט'</w:t>
        </w:r>
      </w:hyperlink>
      <w:r w:rsidRPr="00C76560">
        <w:rPr>
          <w:b/>
          <w:bCs/>
          <w:u w:val="single"/>
          <w:rtl/>
        </w:rPr>
        <w:t xml:space="preserve"> ל</w:t>
      </w:r>
      <w:hyperlink r:id="rId64" w:history="1">
        <w:r w:rsidR="009322B9" w:rsidRPr="009322B9">
          <w:rPr>
            <w:b/>
            <w:bCs/>
            <w:color w:val="0000FF"/>
            <w:u w:val="single"/>
            <w:rtl/>
          </w:rPr>
          <w:t>חוק העונשין</w:t>
        </w:r>
      </w:hyperlink>
      <w:r w:rsidRPr="00C76560">
        <w:rPr>
          <w:b/>
          <w:bCs/>
          <w:u w:val="single"/>
          <w:rtl/>
        </w:rPr>
        <w:t xml:space="preserve"> </w:t>
      </w:r>
    </w:p>
    <w:p w14:paraId="149B776B" w14:textId="77777777" w:rsidR="007A30B6" w:rsidRPr="00B265CD" w:rsidRDefault="007A30B6" w:rsidP="00113BB2">
      <w:pPr>
        <w:spacing w:line="360" w:lineRule="auto"/>
        <w:jc w:val="both"/>
        <w:rPr>
          <w:rtl/>
        </w:rPr>
      </w:pPr>
    </w:p>
    <w:p w14:paraId="2B410968"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הנאשם רכש נשק, ירה באמצעותו והטמינו יחד עם התחמושת במקום מסתור סמוך לביתו. בהמשך נהג הנאשם ברכבו כשהוא נושא בתא המטען את הנשק והתחמושת. משכך ברי, כי קדם לביצוע העבירה תכנון מוקדם. </w:t>
      </w:r>
    </w:p>
    <w:p w14:paraId="7912A3D5" w14:textId="77777777" w:rsidR="007A30B6" w:rsidRDefault="007A30B6" w:rsidP="00113BB2">
      <w:pPr>
        <w:spacing w:line="360" w:lineRule="auto"/>
        <w:ind w:left="-360"/>
        <w:jc w:val="both"/>
      </w:pPr>
    </w:p>
    <w:p w14:paraId="5B242667"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בפועל אמנם לא נגרם נזק של ממש מביצוע עבירות הנשק, מאחר והנשק והתחמושת נתפסו על ידי כוחות משטרה בשלב מוקדם. בנוסף הרכב שננטש על ידי הנאשם בעודו מונע בדרך הנס לא גרם לנפגעים ואבדות בנפש. יחד עם זאת וכפי שצוין לעיל, בהחזקת נשק טמונה סכנה רבה לציבור, מה גם שנשק המוחזק שלא כדין עלול למצוא דרכו בסופו של דבר לידיהם של מי שיעשו בו שימוש עברייני. על כן, אין להמעיט בחומרת העבירה שביצע הנאשם נוכח העובדה, כי בפועל לא נגרם נזק  ממשי מביצועה. </w:t>
      </w:r>
    </w:p>
    <w:p w14:paraId="14E2195C"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באשר לסיבה שהביאה אותו לבצע את העבירה, טען הנאשם, כי כחודש ימים עובר לרכישת הנשק והתחמושת, אלמונים ירו לעבר חנות סבו שעה שישב במקום; בנוסף טען הנאשם, כי איימו על חייו פעמים רבות ועקב כך הצטייד בנשק. בהכרעת הדין דחיתי את טענת ההגנה העצמית שהעלה הנאשם משקבעתי, כי הירי לעבר הנאשם התבצע לכאורה כחודש ימים עובר לרכישת הנשק ואין מתקיים יסוד המיידיות הדורש, כי מעשה ההתגוננות יתבצע רק מרגע שזה דרוש באופן מיידי על מנת להדוף תקיפה. בנוסף קבעתי, כי גם יסוד "הסכנה המוחשית" ויסוד "הנחיצות" אינם מתקיימים במקרה דנן. </w:t>
      </w:r>
    </w:p>
    <w:p w14:paraId="40F38D07" w14:textId="77777777" w:rsidR="007A30B6" w:rsidRDefault="007A30B6" w:rsidP="00113BB2">
      <w:pPr>
        <w:spacing w:line="360" w:lineRule="auto"/>
        <w:jc w:val="both"/>
        <w:rPr>
          <w:rtl/>
        </w:rPr>
      </w:pPr>
    </w:p>
    <w:p w14:paraId="5A761EA2" w14:textId="77777777" w:rsidR="007A30B6" w:rsidRDefault="007A30B6" w:rsidP="00113BB2">
      <w:pPr>
        <w:spacing w:line="360" w:lineRule="auto"/>
        <w:ind w:left="540"/>
        <w:jc w:val="both"/>
      </w:pPr>
      <w:r>
        <w:rPr>
          <w:rtl/>
        </w:rPr>
        <w:t xml:space="preserve">יחד עם זאת ועל אף שלנאשם לא עמד סייג ההגנה העצמית, סבורני, כי יש מקום להעניק משקל מה לסיבה שהביאה אותו לבצע את עבירות הנשק. אמנם אין להצדיק לעניין זה רכישת נשק לשם עשיית שימוש בו, ואין להמעיט מן הסיכון הכרוך בעבירה גם בנסיבות אלה, חרף זאת ניתן להבין, כי בנסיבות המקרה לא הנחו את הנאשם שיקולים עבריינים טהורים, כגון ביצוע מעשי שוד או חיסול חשבונות באמצעות הנשק, אלא אימת הנסיבות ושיקול דעת מוטעה. בנוסף יצוין, כי הנאשם החזיק בנשק תקופה קצרה ביותר בת יומיים בלבד.       </w:t>
      </w:r>
    </w:p>
    <w:p w14:paraId="00820592" w14:textId="77777777" w:rsidR="007A30B6" w:rsidRDefault="007A30B6" w:rsidP="00113BB2">
      <w:pPr>
        <w:spacing w:line="360" w:lineRule="auto"/>
        <w:jc w:val="both"/>
        <w:rPr>
          <w:rtl/>
        </w:rPr>
      </w:pPr>
    </w:p>
    <w:p w14:paraId="171C67EA" w14:textId="77777777" w:rsidR="007A30B6" w:rsidRPr="00B265CD" w:rsidRDefault="007A30B6" w:rsidP="00113BB2">
      <w:pPr>
        <w:numPr>
          <w:ilvl w:val="0"/>
          <w:numId w:val="19"/>
        </w:numPr>
        <w:tabs>
          <w:tab w:val="clear" w:pos="0"/>
          <w:tab w:val="num" w:pos="540"/>
        </w:tabs>
        <w:spacing w:line="360" w:lineRule="auto"/>
        <w:ind w:left="540" w:hanging="540"/>
        <w:jc w:val="both"/>
        <w:rPr>
          <w:rtl/>
        </w:rPr>
      </w:pPr>
      <w:r w:rsidRPr="00B265CD">
        <w:rPr>
          <w:rtl/>
        </w:rPr>
        <w:t xml:space="preserve">בשים לב לעקרון המנחה (עקרון ההלימה) ובהתחשב בערך החברתי שנפגע מביצוע </w:t>
      </w:r>
      <w:r>
        <w:rPr>
          <w:rtl/>
        </w:rPr>
        <w:t>העבירות</w:t>
      </w:r>
      <w:r w:rsidRPr="00B265CD">
        <w:rPr>
          <w:rtl/>
        </w:rPr>
        <w:t xml:space="preserve"> במקרה דנן, מידת הפגיעה בו, מדיניות הענישה הנהוגה והנסיבות הקשורות בביצוע </w:t>
      </w:r>
      <w:r>
        <w:rPr>
          <w:rtl/>
        </w:rPr>
        <w:t>העבירות</w:t>
      </w:r>
      <w:r w:rsidRPr="00B265CD">
        <w:rPr>
          <w:rtl/>
        </w:rPr>
        <w:t xml:space="preserve"> כמפורט לעיל, אני קובע, כי מתחם העונש ההולם לאירוע</w:t>
      </w:r>
      <w:r>
        <w:rPr>
          <w:rtl/>
        </w:rPr>
        <w:t xml:space="preserve"> </w:t>
      </w:r>
      <w:r w:rsidRPr="006B43BC">
        <w:rPr>
          <w:b/>
          <w:bCs/>
          <w:rtl/>
        </w:rPr>
        <w:t>כולו</w:t>
      </w:r>
      <w:r w:rsidRPr="00B265CD">
        <w:rPr>
          <w:rtl/>
        </w:rPr>
        <w:t xml:space="preserve"> נע בין מאסר </w:t>
      </w:r>
      <w:r>
        <w:rPr>
          <w:rtl/>
        </w:rPr>
        <w:t>בפועל לריצוי בעבודות שירות ל-20 חודשי מאסר בפועל,</w:t>
      </w:r>
      <w:r w:rsidRPr="00B265CD">
        <w:rPr>
          <w:rtl/>
        </w:rPr>
        <w:t xml:space="preserve"> בצירוף ענישה נלווית. </w:t>
      </w:r>
    </w:p>
    <w:p w14:paraId="37CB467D" w14:textId="77777777" w:rsidR="007A30B6" w:rsidRDefault="007A30B6" w:rsidP="00113BB2">
      <w:pPr>
        <w:spacing w:line="360" w:lineRule="auto"/>
        <w:jc w:val="both"/>
        <w:rPr>
          <w:b/>
          <w:bCs/>
          <w:u w:val="single"/>
          <w:rtl/>
        </w:rPr>
      </w:pPr>
    </w:p>
    <w:p w14:paraId="0C5BFD85" w14:textId="77777777" w:rsidR="007A30B6" w:rsidRDefault="007A30B6" w:rsidP="00113BB2">
      <w:pPr>
        <w:spacing w:line="360" w:lineRule="auto"/>
        <w:jc w:val="both"/>
        <w:rPr>
          <w:b/>
          <w:bCs/>
          <w:u w:val="single"/>
          <w:rtl/>
        </w:rPr>
      </w:pPr>
      <w:r w:rsidRPr="00AC2E48">
        <w:rPr>
          <w:b/>
          <w:bCs/>
          <w:u w:val="single"/>
          <w:rtl/>
        </w:rPr>
        <w:t xml:space="preserve">נסיבות שאינן קשורות בביצוע העבירה </w:t>
      </w:r>
    </w:p>
    <w:p w14:paraId="401999DA" w14:textId="77777777" w:rsidR="007A30B6" w:rsidRDefault="007A30B6" w:rsidP="00113BB2">
      <w:pPr>
        <w:spacing w:line="360" w:lineRule="auto"/>
        <w:jc w:val="both"/>
        <w:rPr>
          <w:b/>
          <w:bCs/>
          <w:u w:val="single"/>
          <w:rtl/>
        </w:rPr>
      </w:pPr>
    </w:p>
    <w:p w14:paraId="3130256D" w14:textId="77777777" w:rsidR="007A30B6" w:rsidRDefault="007A30B6" w:rsidP="00113BB2">
      <w:pPr>
        <w:numPr>
          <w:ilvl w:val="0"/>
          <w:numId w:val="19"/>
        </w:numPr>
        <w:tabs>
          <w:tab w:val="clear" w:pos="0"/>
          <w:tab w:val="num" w:pos="540"/>
        </w:tabs>
        <w:spacing w:line="360" w:lineRule="auto"/>
        <w:ind w:left="540" w:hanging="540"/>
        <w:jc w:val="both"/>
        <w:rPr>
          <w:b/>
          <w:bCs/>
          <w:u w:val="single"/>
        </w:rPr>
      </w:pPr>
      <w:r w:rsidRPr="00B265CD">
        <w:rPr>
          <w:rtl/>
        </w:rPr>
        <w:t xml:space="preserve">בהתאם לאמור </w:t>
      </w:r>
      <w:hyperlink r:id="rId65" w:history="1">
        <w:r w:rsidR="00FA68A2" w:rsidRPr="00FA68A2">
          <w:rPr>
            <w:color w:val="0000FF"/>
            <w:u w:val="single"/>
            <w:rtl/>
          </w:rPr>
          <w:t>בסעיף 40ג(ב)</w:t>
        </w:r>
      </w:hyperlink>
      <w:r w:rsidRPr="00B265CD">
        <w:rPr>
          <w:rtl/>
        </w:rPr>
        <w:t xml:space="preserve"> ל</w:t>
      </w:r>
      <w:hyperlink r:id="rId66" w:history="1">
        <w:r w:rsidR="009322B9" w:rsidRPr="009322B9">
          <w:rPr>
            <w:color w:val="0000FF"/>
            <w:u w:val="single"/>
            <w:rtl/>
          </w:rPr>
          <w:t>חוק העונשין</w:t>
        </w:r>
      </w:hyperlink>
      <w:r>
        <w:rPr>
          <w:rtl/>
        </w:rPr>
        <w:t>,</w:t>
      </w:r>
      <w:r w:rsidRPr="00B265CD">
        <w:rPr>
          <w:rtl/>
        </w:rPr>
        <w:t xml:space="preserve"> על בית המשפט לגזור את העונש המתאים לנאשם בתוך מתחם העונש ההולם, בהתחשב בנסיבות שאינן קשורות בביצוע העבירה כאמור </w:t>
      </w:r>
      <w:hyperlink r:id="rId67" w:history="1">
        <w:r w:rsidR="00FA68A2" w:rsidRPr="00FA68A2">
          <w:rPr>
            <w:color w:val="0000FF"/>
            <w:u w:val="single"/>
            <w:rtl/>
          </w:rPr>
          <w:t>בסעיף 40יא.</w:t>
        </w:r>
      </w:hyperlink>
      <w:r w:rsidRPr="00B265CD">
        <w:rPr>
          <w:rtl/>
        </w:rPr>
        <w:t xml:space="preserve"> </w:t>
      </w:r>
    </w:p>
    <w:p w14:paraId="1F188949" w14:textId="77777777" w:rsidR="007A30B6" w:rsidRDefault="007A30B6" w:rsidP="00113BB2">
      <w:pPr>
        <w:spacing w:line="360" w:lineRule="auto"/>
        <w:ind w:left="-360"/>
        <w:jc w:val="both"/>
        <w:rPr>
          <w:b/>
          <w:bCs/>
          <w:u w:val="single"/>
        </w:rPr>
      </w:pPr>
    </w:p>
    <w:p w14:paraId="0B578253" w14:textId="77777777" w:rsidR="007A30B6" w:rsidRDefault="007A30B6" w:rsidP="00113BB2">
      <w:pPr>
        <w:numPr>
          <w:ilvl w:val="0"/>
          <w:numId w:val="19"/>
        </w:numPr>
        <w:tabs>
          <w:tab w:val="clear" w:pos="0"/>
          <w:tab w:val="num" w:pos="540"/>
        </w:tabs>
        <w:spacing w:line="360" w:lineRule="auto"/>
        <w:ind w:left="540" w:hanging="540"/>
        <w:jc w:val="both"/>
      </w:pPr>
      <w:r w:rsidRPr="00B265CD">
        <w:rPr>
          <w:rtl/>
        </w:rPr>
        <w:t>בגזירת העונש המתאים בגין מעשיו של הנאשם, יש להביא במניין השיקולים לקולת עונשו את חרטתו ונטילת האחריות בגין מעשיו. שירות המבחן התרשם, כי הנאשם נטל אחריות מלאה בגין ביצוע העבירה</w:t>
      </w:r>
      <w:r w:rsidRPr="00126448">
        <w:rPr>
          <w:b/>
          <w:bCs/>
          <w:rtl/>
        </w:rPr>
        <w:t>.</w:t>
      </w:r>
      <w:r>
        <w:rPr>
          <w:b/>
          <w:bCs/>
          <w:rtl/>
        </w:rPr>
        <w:t xml:space="preserve"> </w:t>
      </w:r>
      <w:r>
        <w:rPr>
          <w:rtl/>
        </w:rPr>
        <w:t xml:space="preserve">הנאשם הודה לראשונה בביצוע העבירות המיוחסות לו עת נגבו הודעותיו ושיתף פעולה עם חוקריו. חרף זאת, בחר בא כוחו שלא להשיב לאשמה ולנהל את משפטו של הנאשם עד תום. </w:t>
      </w:r>
    </w:p>
    <w:p w14:paraId="372F6499" w14:textId="77777777" w:rsidR="007A30B6" w:rsidRDefault="007A30B6" w:rsidP="00113BB2">
      <w:pPr>
        <w:spacing w:line="360" w:lineRule="auto"/>
        <w:jc w:val="both"/>
        <w:rPr>
          <w:rtl/>
        </w:rPr>
      </w:pPr>
    </w:p>
    <w:p w14:paraId="30330F22" w14:textId="77777777" w:rsidR="007A30B6" w:rsidRPr="00181314" w:rsidRDefault="007A30B6" w:rsidP="00113BB2">
      <w:pPr>
        <w:spacing w:line="360" w:lineRule="auto"/>
        <w:ind w:left="540"/>
        <w:jc w:val="both"/>
      </w:pPr>
      <w:r w:rsidRPr="00181314">
        <w:rPr>
          <w:rtl/>
        </w:rPr>
        <w:t xml:space="preserve">יובהר, כי </w:t>
      </w:r>
      <w:r>
        <w:rPr>
          <w:rtl/>
        </w:rPr>
        <w:t>ניהול הוכחות על ידי הנאשם אינו מהווה עילה להחמרה בעונשו</w:t>
      </w:r>
      <w:r w:rsidRPr="00181314">
        <w:rPr>
          <w:rtl/>
        </w:rPr>
        <w:t>, שכן זכותו של כל נאשם לנהל משפטו עד תום. יחד עם זאת, מ</w:t>
      </w:r>
      <w:r>
        <w:rPr>
          <w:rtl/>
        </w:rPr>
        <w:t xml:space="preserve">ותר להקל בעונשו של נאשם שמודה </w:t>
      </w:r>
      <w:r w:rsidRPr="00181314">
        <w:rPr>
          <w:rtl/>
        </w:rPr>
        <w:t xml:space="preserve">(ראו: </w:t>
      </w:r>
      <w:hyperlink r:id="rId68" w:history="1">
        <w:r w:rsidR="009322B9" w:rsidRPr="009322B9">
          <w:rPr>
            <w:color w:val="0000FF"/>
            <w:u w:val="single"/>
            <w:rtl/>
          </w:rPr>
          <w:t>ע"פ 7964/11</w:t>
        </w:r>
      </w:hyperlink>
      <w:r w:rsidRPr="00181314">
        <w:rPr>
          <w:rtl/>
        </w:rPr>
        <w:t xml:space="preserve"> </w:t>
      </w:r>
      <w:r w:rsidRPr="00181314">
        <w:rPr>
          <w:b/>
          <w:bCs/>
          <w:rtl/>
        </w:rPr>
        <w:t>חלאילה נ' מדינת ישראל</w:t>
      </w:r>
      <w:r w:rsidRPr="00181314">
        <w:rPr>
          <w:rtl/>
        </w:rPr>
        <w:t xml:space="preserve">, ניתן ביום 31.10.12). </w:t>
      </w:r>
    </w:p>
    <w:p w14:paraId="31D8651E" w14:textId="77777777" w:rsidR="007A30B6" w:rsidRDefault="007A30B6" w:rsidP="00113BB2">
      <w:pPr>
        <w:spacing w:line="360" w:lineRule="auto"/>
        <w:jc w:val="both"/>
        <w:rPr>
          <w:rtl/>
        </w:rPr>
      </w:pPr>
    </w:p>
    <w:p w14:paraId="55ABFA9A"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בנוסף, מן הראוי להתחשב בנסיבותיו האישיות של הנאשם. מדובר בנאשם צעיר (כבן 20) שניהל אורח חיים נורמטיבי, ללא כל הסתבכות עם החוק, סיים 12 שנות לימוד והחל בלימודי המשך. שירות המבחן התרשם, כי קיים פער בין מאפייניו של הנאשם, סגנון ואורח חייו טרם המעצר לבין ביצוע העבירות עסקינן. </w:t>
      </w:r>
      <w:r w:rsidRPr="00126448">
        <w:rPr>
          <w:rtl/>
        </w:rPr>
        <w:t>מתסקיר המבחן עולה, כי הנאשם גדל והתחנך במסגרת שהקנתה לו ערכים וגבולות ברורים וכיוונה אותו לאורח חיים אחראי, בוגר, יציב ושומר חוק. יחד עם זאת</w:t>
      </w:r>
      <w:r>
        <w:rPr>
          <w:rtl/>
        </w:rPr>
        <w:t xml:space="preserve"> התרשם שירות המבחן,</w:t>
      </w:r>
      <w:r w:rsidRPr="00126448">
        <w:rPr>
          <w:rtl/>
        </w:rPr>
        <w:t xml:space="preserve"> כי החברה בסביבת מגוריו ותת התרבות הקיימת בה, סביב ההתייחסות לנשק והעדר הוקעה של עבירות מסוג זה </w:t>
      </w:r>
      <w:r w:rsidRPr="00F74BE2">
        <w:rPr>
          <w:b/>
          <w:bCs/>
          <w:rtl/>
        </w:rPr>
        <w:t>השפיעו</w:t>
      </w:r>
      <w:r w:rsidRPr="00126448">
        <w:rPr>
          <w:rtl/>
        </w:rPr>
        <w:t xml:space="preserve"> על הבחירות בחייו ובין </w:t>
      </w:r>
      <w:r>
        <w:rPr>
          <w:rtl/>
        </w:rPr>
        <w:t xml:space="preserve">היתר נמצאות ברקע לביצוע העבירה. שירות המבחן לא התרשם, כי קיימים בנאשם קווים עבריינים באישיותו. </w:t>
      </w:r>
    </w:p>
    <w:p w14:paraId="41B9C375" w14:textId="77777777" w:rsidR="007A30B6" w:rsidRDefault="007A30B6" w:rsidP="00113BB2">
      <w:pPr>
        <w:spacing w:line="360" w:lineRule="auto"/>
        <w:ind w:left="-360"/>
        <w:jc w:val="both"/>
        <w:rPr>
          <w:rtl/>
        </w:rPr>
      </w:pPr>
    </w:p>
    <w:p w14:paraId="0E8C2D5C"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ברי, כי אין דינו של נאשם שהנו עבריין מועד, הנושא על גבו קופת שרצים של הרשעות קודמות כדין נאשם אשר רכש כלי נשק לצורך הגנה עצמית, לא עשה בו כל שימוש, ואשר עברו צח ונקי. </w:t>
      </w:r>
    </w:p>
    <w:p w14:paraId="32B4CB55" w14:textId="77777777" w:rsidR="007A30B6" w:rsidRDefault="007A30B6" w:rsidP="00113BB2">
      <w:pPr>
        <w:spacing w:line="360" w:lineRule="auto"/>
        <w:jc w:val="both"/>
        <w:rPr>
          <w:rtl/>
        </w:rPr>
      </w:pPr>
    </w:p>
    <w:p w14:paraId="5CE95C76"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שירות המבחן העריך, כי במידה ויוטל על הנאשם עונש של מאסר בפועל בבית הכלא הוא עלול להיחשף לתרבות עבריינית ולהיות מנוצל וקורבני. נוכח נסיבותיו האישיות של הנאשם, המליצה קצינת המבחן להטיל על הנאשם צו מבחן למשך שנתיים, אשר במהלכו ישולב בקבוצה טיפולית לצעירים בשירות המבחן. להערכת שירות המבחן, לנאשם יש את היכולת להיתרם מקבוצה מעין זו ולערוך שינוי בחייו. לסיום המליץ שירות המבחן, להטיל על הנאשם מאסר שירוצה במסגרת עבודות שירות ומאסר מותנה ממושך אשר יהוו ענישה מוחשית עבורו. </w:t>
      </w:r>
    </w:p>
    <w:p w14:paraId="7F8CF9DF" w14:textId="77777777" w:rsidR="007A30B6" w:rsidRDefault="007A30B6" w:rsidP="00113BB2">
      <w:pPr>
        <w:spacing w:line="360" w:lineRule="auto"/>
        <w:jc w:val="both"/>
        <w:rPr>
          <w:rtl/>
        </w:rPr>
      </w:pPr>
    </w:p>
    <w:p w14:paraId="5E5AEC80" w14:textId="77777777" w:rsidR="007A30B6" w:rsidRDefault="007A30B6" w:rsidP="00113BB2">
      <w:pPr>
        <w:numPr>
          <w:ilvl w:val="0"/>
          <w:numId w:val="19"/>
        </w:numPr>
        <w:tabs>
          <w:tab w:val="clear" w:pos="0"/>
          <w:tab w:val="num" w:pos="540"/>
        </w:tabs>
        <w:spacing w:line="360" w:lineRule="auto"/>
        <w:ind w:left="540" w:hanging="540"/>
        <w:jc w:val="both"/>
      </w:pPr>
      <w:r>
        <w:rPr>
          <w:rtl/>
        </w:rPr>
        <w:t xml:space="preserve">כבר נפסק פעמים רבות על ידי בית המשפט העליון </w:t>
      </w:r>
      <w:r w:rsidRPr="00D50C96">
        <w:rPr>
          <w:rtl/>
        </w:rPr>
        <w:t>והדבר הוא בחינת מושכל</w:t>
      </w:r>
      <w:r>
        <w:rPr>
          <w:rtl/>
        </w:rPr>
        <w:t>ת</w:t>
      </w:r>
      <w:r w:rsidRPr="00D50C96">
        <w:rPr>
          <w:rtl/>
        </w:rPr>
        <w:t xml:space="preserve"> יסוד, כי לתסקיר חשיבות רבה</w:t>
      </w:r>
      <w:r>
        <w:rPr>
          <w:rtl/>
        </w:rPr>
        <w:t>. הוא משמש ככלי עזר לבית המשפט ו</w:t>
      </w:r>
      <w:r w:rsidRPr="00D50C96">
        <w:rPr>
          <w:rtl/>
        </w:rPr>
        <w:t>הוא "עיניו ואוזניו הנוספות" במקומות שבהם דר</w:t>
      </w:r>
      <w:r>
        <w:rPr>
          <w:rtl/>
        </w:rPr>
        <w:t>ושות כאלה. התסקיר</w:t>
      </w:r>
      <w:r w:rsidRPr="00D50C96">
        <w:rPr>
          <w:rtl/>
        </w:rPr>
        <w:t xml:space="preserve"> נערך על-ידי אנשי מקצוע שזו אומנותם.</w:t>
      </w:r>
      <w:r>
        <w:rPr>
          <w:rtl/>
        </w:rPr>
        <w:t xml:space="preserve"> אמנם המלצות שירות המבחן כשמן כן הן – המלצות,</w:t>
      </w:r>
      <w:r w:rsidRPr="00D50C96">
        <w:rPr>
          <w:rtl/>
        </w:rPr>
        <w:t xml:space="preserve"> </w:t>
      </w:r>
      <w:r>
        <w:rPr>
          <w:rtl/>
        </w:rPr>
        <w:t>ו</w:t>
      </w:r>
      <w:r w:rsidRPr="00D50C96">
        <w:rPr>
          <w:rtl/>
        </w:rPr>
        <w:t>אי</w:t>
      </w:r>
      <w:r>
        <w:rPr>
          <w:rtl/>
        </w:rPr>
        <w:t>ן בית המשפט מחויב להן</w:t>
      </w:r>
      <w:r w:rsidRPr="00D50C96">
        <w:rPr>
          <w:rtl/>
        </w:rPr>
        <w:t>, אך הוא י</w:t>
      </w:r>
      <w:r>
        <w:rPr>
          <w:rtl/>
        </w:rPr>
        <w:t>י</w:t>
      </w:r>
      <w:r w:rsidRPr="00D50C96">
        <w:rPr>
          <w:rtl/>
        </w:rPr>
        <w:t>תן להן את המשקל הראוי</w:t>
      </w:r>
      <w:r>
        <w:rPr>
          <w:rtl/>
        </w:rPr>
        <w:t xml:space="preserve">, לא כל שכן, כשמדובר בנאשם השייך לקבוצת נאשמים "בגירים צעירים".  </w:t>
      </w:r>
    </w:p>
    <w:p w14:paraId="612FDA84" w14:textId="77777777" w:rsidR="007A30B6" w:rsidRDefault="007A30B6" w:rsidP="00113BB2">
      <w:pPr>
        <w:numPr>
          <w:ilvl w:val="0"/>
          <w:numId w:val="19"/>
        </w:numPr>
        <w:tabs>
          <w:tab w:val="clear" w:pos="0"/>
        </w:tabs>
        <w:spacing w:line="360" w:lineRule="auto"/>
        <w:ind w:left="540" w:hanging="540"/>
        <w:jc w:val="both"/>
      </w:pPr>
      <w:r w:rsidRPr="00B265CD">
        <w:rPr>
          <w:rtl/>
        </w:rPr>
        <w:t>בנסיבות</w:t>
      </w:r>
      <w:r>
        <w:rPr>
          <w:rtl/>
        </w:rPr>
        <w:t xml:space="preserve"> הכוללות של </w:t>
      </w:r>
      <w:r w:rsidRPr="00B265CD">
        <w:rPr>
          <w:rtl/>
        </w:rPr>
        <w:t>העניין סבורני</w:t>
      </w:r>
      <w:r>
        <w:rPr>
          <w:rtl/>
        </w:rPr>
        <w:t xml:space="preserve">, </w:t>
      </w:r>
      <w:r w:rsidRPr="00B265CD">
        <w:rPr>
          <w:rtl/>
        </w:rPr>
        <w:t xml:space="preserve">כי משקלם המצטבר של השיקולים לקולא, מצדיק בנסיבותיו הפרטניות של המקרה דנן </w:t>
      </w:r>
      <w:r>
        <w:rPr>
          <w:rtl/>
        </w:rPr>
        <w:t xml:space="preserve">את העדפת הפן השיקומי על פני הפן ההרתעתי, בין היתר בשים לב לכך, שהנאשם שהה במעצר מאחורי סורג ובריח משך כחודש ימים ומעצר בית ממושך לאחריו, אשר חידדו עבורו את הפסול שבמעשיו; משכך החלטתי לאמץ את המלצות שירות המבחן, על מנת ליתן הזדמנות לנאשם להמשיך ולצעוד בדרך השיקום וכדי למנוע את חשיפתו לתרבות עבריינית אם יישלח לריצוי מאסר מאחורי סורג ובריח.   </w:t>
      </w:r>
    </w:p>
    <w:p w14:paraId="03DEE900" w14:textId="77777777" w:rsidR="007A30B6" w:rsidRDefault="007A30B6" w:rsidP="00113BB2">
      <w:pPr>
        <w:spacing w:line="360" w:lineRule="auto"/>
        <w:jc w:val="both"/>
        <w:rPr>
          <w:rtl/>
        </w:rPr>
      </w:pPr>
    </w:p>
    <w:p w14:paraId="199D5FD2" w14:textId="77777777" w:rsidR="007A30B6" w:rsidRPr="00B265CD" w:rsidRDefault="007A30B6" w:rsidP="00113BB2">
      <w:pPr>
        <w:numPr>
          <w:ilvl w:val="0"/>
          <w:numId w:val="19"/>
        </w:numPr>
        <w:tabs>
          <w:tab w:val="clear" w:pos="0"/>
        </w:tabs>
        <w:spacing w:line="360" w:lineRule="auto"/>
        <w:ind w:left="540" w:hanging="540"/>
        <w:jc w:val="both"/>
        <w:rPr>
          <w:rtl/>
        </w:rPr>
      </w:pPr>
      <w:r w:rsidRPr="00B265CD">
        <w:rPr>
          <w:rtl/>
        </w:rPr>
        <w:t xml:space="preserve">לאור המקובץ לעיל, ובשים לב לקביעת מתחם העונש ההולם </w:t>
      </w:r>
      <w:r>
        <w:rPr>
          <w:rtl/>
        </w:rPr>
        <w:t>ל</w:t>
      </w:r>
      <w:r w:rsidRPr="00B265CD">
        <w:rPr>
          <w:rtl/>
        </w:rPr>
        <w:t>עב</w:t>
      </w:r>
      <w:r>
        <w:rPr>
          <w:rtl/>
        </w:rPr>
        <w:t>ירות</w:t>
      </w:r>
      <w:r w:rsidRPr="00B265CD">
        <w:rPr>
          <w:rtl/>
        </w:rPr>
        <w:t xml:space="preserve"> שביצע הנאשם ובהתחשב בהתקיימותן של נסיבות הקשורות בביצוע </w:t>
      </w:r>
      <w:r>
        <w:rPr>
          <w:rtl/>
        </w:rPr>
        <w:t>העבירות</w:t>
      </w:r>
      <w:r w:rsidRPr="00B265CD">
        <w:rPr>
          <w:rtl/>
        </w:rPr>
        <w:t xml:space="preserve"> ובנסיבות הקשורות בנאשם, החלטתי לגזור על הנאשם את העונשים שלהלן: </w:t>
      </w:r>
    </w:p>
    <w:p w14:paraId="4571C551" w14:textId="77777777" w:rsidR="007A30B6" w:rsidRDefault="007A30B6" w:rsidP="00113BB2">
      <w:pPr>
        <w:spacing w:line="360" w:lineRule="auto"/>
        <w:ind w:left="1080" w:hanging="540"/>
        <w:jc w:val="both"/>
        <w:rPr>
          <w:rtl/>
        </w:rPr>
      </w:pPr>
      <w:r w:rsidRPr="00B265CD">
        <w:rPr>
          <w:rtl/>
        </w:rPr>
        <w:t>א</w:t>
      </w:r>
      <w:r>
        <w:rPr>
          <w:rtl/>
        </w:rPr>
        <w:t xml:space="preserve">. </w:t>
      </w:r>
      <w:r>
        <w:rPr>
          <w:rtl/>
        </w:rPr>
        <w:tab/>
      </w:r>
      <w:r w:rsidRPr="00B265CD">
        <w:rPr>
          <w:rtl/>
        </w:rPr>
        <w:t xml:space="preserve">6 חודשי מאסר בפועל, אשר ירוצו בעבודות שירות, כפוף לחוות דעת הממונה על עבודות השירות. </w:t>
      </w:r>
    </w:p>
    <w:p w14:paraId="38AB9FF3" w14:textId="77777777" w:rsidR="007A30B6" w:rsidRDefault="007A30B6" w:rsidP="00113BB2">
      <w:pPr>
        <w:spacing w:line="360" w:lineRule="auto"/>
        <w:ind w:left="1080" w:hanging="540"/>
        <w:jc w:val="both"/>
        <w:rPr>
          <w:rtl/>
        </w:rPr>
      </w:pPr>
      <w:r w:rsidRPr="00B265CD">
        <w:rPr>
          <w:rtl/>
        </w:rPr>
        <w:t>ב</w:t>
      </w:r>
      <w:r>
        <w:rPr>
          <w:rtl/>
        </w:rPr>
        <w:t xml:space="preserve">. </w:t>
      </w:r>
      <w:r>
        <w:rPr>
          <w:rtl/>
        </w:rPr>
        <w:tab/>
        <w:t>10</w:t>
      </w:r>
      <w:r w:rsidRPr="00B265CD">
        <w:rPr>
          <w:rtl/>
        </w:rPr>
        <w:t xml:space="preserve"> חודשי מאסר על תנאי למשך </w:t>
      </w:r>
      <w:r>
        <w:rPr>
          <w:rtl/>
        </w:rPr>
        <w:t>שנתיים</w:t>
      </w:r>
      <w:r w:rsidRPr="00B265CD">
        <w:rPr>
          <w:rtl/>
        </w:rPr>
        <w:t xml:space="preserve"> לבל יעבור עבירה בנשק בניגוד </w:t>
      </w:r>
      <w:hyperlink r:id="rId69" w:history="1">
        <w:r w:rsidR="00FA68A2" w:rsidRPr="00FA68A2">
          <w:rPr>
            <w:color w:val="0000FF"/>
            <w:u w:val="single"/>
            <w:rtl/>
          </w:rPr>
          <w:t>לסעיף 144</w:t>
        </w:r>
      </w:hyperlink>
      <w:r w:rsidRPr="00B265CD">
        <w:rPr>
          <w:rtl/>
        </w:rPr>
        <w:t xml:space="preserve"> ל</w:t>
      </w:r>
      <w:hyperlink r:id="rId70" w:history="1">
        <w:r w:rsidR="009322B9" w:rsidRPr="009322B9">
          <w:rPr>
            <w:color w:val="0000FF"/>
            <w:u w:val="single"/>
            <w:rtl/>
          </w:rPr>
          <w:t>חוק העונשין</w:t>
        </w:r>
      </w:hyperlink>
      <w:r>
        <w:rPr>
          <w:rtl/>
        </w:rPr>
        <w:t xml:space="preserve"> וכל עבירה נוספת בה הורשע. </w:t>
      </w:r>
    </w:p>
    <w:p w14:paraId="2B23F9DB" w14:textId="77777777" w:rsidR="007A30B6" w:rsidRPr="00B265CD" w:rsidRDefault="007A30B6" w:rsidP="00113BB2">
      <w:pPr>
        <w:spacing w:line="360" w:lineRule="auto"/>
        <w:ind w:left="1080" w:hanging="540"/>
        <w:jc w:val="both"/>
        <w:rPr>
          <w:rtl/>
        </w:rPr>
      </w:pPr>
      <w:r>
        <w:rPr>
          <w:rtl/>
        </w:rPr>
        <w:t>ג.</w:t>
      </w:r>
      <w:r>
        <w:rPr>
          <w:rtl/>
        </w:rPr>
        <w:tab/>
        <w:t xml:space="preserve"> צו מבחן למשך שנתיים. </w:t>
      </w:r>
    </w:p>
    <w:p w14:paraId="1E351277" w14:textId="77777777" w:rsidR="007A30B6" w:rsidRDefault="007A30B6" w:rsidP="00113BB2">
      <w:pPr>
        <w:spacing w:line="360" w:lineRule="auto"/>
        <w:ind w:left="1080" w:hanging="540"/>
        <w:jc w:val="both"/>
        <w:rPr>
          <w:rtl/>
        </w:rPr>
      </w:pPr>
      <w:r>
        <w:rPr>
          <w:rtl/>
        </w:rPr>
        <w:t>ד.</w:t>
      </w:r>
      <w:r>
        <w:rPr>
          <w:rtl/>
        </w:rPr>
        <w:tab/>
      </w:r>
      <w:r w:rsidRPr="00B265CD">
        <w:rPr>
          <w:rtl/>
        </w:rPr>
        <w:t xml:space="preserve">קנס בסך 2,000 ₪ או 20 ימי מאסר תמורתו. הקנס ישולם תוך 60 יום </w:t>
      </w:r>
      <w:r>
        <w:rPr>
          <w:rtl/>
        </w:rPr>
        <w:t xml:space="preserve">מהיום. </w:t>
      </w:r>
    </w:p>
    <w:p w14:paraId="751212C7" w14:textId="77777777" w:rsidR="007A30B6" w:rsidRDefault="007A30B6" w:rsidP="00113BB2">
      <w:pPr>
        <w:spacing w:line="360" w:lineRule="auto"/>
        <w:ind w:left="-360"/>
        <w:jc w:val="both"/>
      </w:pPr>
    </w:p>
    <w:p w14:paraId="51675B4C" w14:textId="77777777" w:rsidR="007A30B6" w:rsidRDefault="007A30B6" w:rsidP="003167FB">
      <w:pPr>
        <w:numPr>
          <w:ilvl w:val="0"/>
          <w:numId w:val="19"/>
        </w:numPr>
        <w:tabs>
          <w:tab w:val="clear" w:pos="0"/>
          <w:tab w:val="num" w:pos="540"/>
        </w:tabs>
        <w:spacing w:line="360" w:lineRule="auto"/>
        <w:ind w:left="540" w:hanging="540"/>
        <w:jc w:val="both"/>
      </w:pPr>
      <w:r w:rsidRPr="00B265CD">
        <w:rPr>
          <w:rtl/>
        </w:rPr>
        <w:t xml:space="preserve">הממונה על עבודות השירות מתבקש להגיש חוות דעת אודות הנאשם וזאת עד ליום </w:t>
      </w:r>
      <w:r>
        <w:rPr>
          <w:rtl/>
        </w:rPr>
        <w:t xml:space="preserve">30.5.13. </w:t>
      </w:r>
    </w:p>
    <w:p w14:paraId="052647F5" w14:textId="77777777" w:rsidR="007A30B6" w:rsidRPr="00B265CD" w:rsidRDefault="007A30B6" w:rsidP="003F3C02">
      <w:pPr>
        <w:spacing w:line="360" w:lineRule="auto"/>
        <w:ind w:firstLine="540"/>
        <w:jc w:val="both"/>
        <w:rPr>
          <w:rtl/>
        </w:rPr>
      </w:pPr>
      <w:r>
        <w:rPr>
          <w:rtl/>
        </w:rPr>
        <w:t xml:space="preserve">ניתן  לזמן את הנאשם באמצעות בא כוחו עו"ד איברהים סלימאן פקס 04-8102094. </w:t>
      </w:r>
    </w:p>
    <w:p w14:paraId="28A33136" w14:textId="77777777" w:rsidR="007A30B6" w:rsidRDefault="007A30B6" w:rsidP="00113BB2">
      <w:pPr>
        <w:spacing w:line="360" w:lineRule="auto"/>
        <w:jc w:val="both"/>
        <w:rPr>
          <w:rtl/>
        </w:rPr>
      </w:pPr>
    </w:p>
    <w:p w14:paraId="17A3A8BB" w14:textId="77777777" w:rsidR="007A30B6" w:rsidRPr="00B265CD" w:rsidRDefault="007A30B6" w:rsidP="003167FB">
      <w:pPr>
        <w:spacing w:line="360" w:lineRule="auto"/>
        <w:ind w:firstLine="540"/>
        <w:jc w:val="both"/>
        <w:rPr>
          <w:rtl/>
        </w:rPr>
      </w:pPr>
      <w:r w:rsidRPr="00B265CD">
        <w:rPr>
          <w:rtl/>
        </w:rPr>
        <w:t xml:space="preserve">אני קובע את התיק להמשך דיון ליום </w:t>
      </w:r>
      <w:r>
        <w:rPr>
          <w:rtl/>
        </w:rPr>
        <w:t xml:space="preserve">3.6.13 </w:t>
      </w:r>
      <w:r w:rsidRPr="00B265CD">
        <w:rPr>
          <w:rtl/>
        </w:rPr>
        <w:t>שעה</w:t>
      </w:r>
      <w:r>
        <w:rPr>
          <w:rtl/>
        </w:rPr>
        <w:t xml:space="preserve"> 11:00. </w:t>
      </w:r>
    </w:p>
    <w:p w14:paraId="7C8CC5AD" w14:textId="77777777" w:rsidR="007A30B6" w:rsidRDefault="007A30B6" w:rsidP="00113BB2">
      <w:pPr>
        <w:spacing w:line="360" w:lineRule="auto"/>
        <w:jc w:val="both"/>
        <w:rPr>
          <w:sz w:val="6"/>
          <w:szCs w:val="6"/>
          <w:rtl/>
        </w:rPr>
      </w:pPr>
      <w:r>
        <w:rPr>
          <w:sz w:val="6"/>
          <w:szCs w:val="6"/>
          <w:rtl/>
        </w:rPr>
        <w:t>&lt;#4#&gt;</w:t>
      </w:r>
    </w:p>
    <w:p w14:paraId="3F888372" w14:textId="77777777" w:rsidR="007A30B6" w:rsidRDefault="007A30B6">
      <w:pPr>
        <w:jc w:val="right"/>
        <w:rPr>
          <w:rtl/>
        </w:rPr>
      </w:pPr>
    </w:p>
    <w:p w14:paraId="73278128" w14:textId="77777777" w:rsidR="007A30B6" w:rsidRPr="003167FB" w:rsidRDefault="009322B9" w:rsidP="00113BB2">
      <w:pPr>
        <w:spacing w:line="360" w:lineRule="auto"/>
        <w:rPr>
          <w:b/>
          <w:bCs/>
          <w:u w:val="single"/>
          <w:rtl/>
        </w:rPr>
      </w:pPr>
      <w:r>
        <w:rPr>
          <w:b/>
          <w:bCs/>
          <w:rtl/>
        </w:rPr>
        <w:t xml:space="preserve">ניתן והודע היום י"ג אייר תשע"ג, 23/04/2013 במעמד הנוכחים. </w:t>
      </w:r>
      <w:r w:rsidR="007A30B6" w:rsidRPr="003167FB">
        <w:rPr>
          <w:b/>
          <w:bCs/>
          <w:u w:val="single"/>
          <w:rtl/>
        </w:rPr>
        <w:t xml:space="preserve">המזכירות תמציא העתק לממונה על עבודות השירות. </w:t>
      </w:r>
    </w:p>
    <w:p w14:paraId="4D92C614" w14:textId="77777777" w:rsidR="007A30B6" w:rsidRPr="009322B9" w:rsidRDefault="009322B9">
      <w:pPr>
        <w:jc w:val="center"/>
        <w:rPr>
          <w:color w:val="FFFFFF"/>
          <w:sz w:val="2"/>
          <w:szCs w:val="2"/>
          <w:rtl/>
        </w:rPr>
      </w:pPr>
      <w:r w:rsidRPr="009322B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A30B6" w14:paraId="2510AF75" w14:textId="77777777" w:rsidTr="00806E69">
        <w:trPr>
          <w:trHeight w:val="364"/>
          <w:jc w:val="right"/>
        </w:trPr>
        <w:tc>
          <w:tcPr>
            <w:tcW w:w="3708" w:type="dxa"/>
          </w:tcPr>
          <w:p w14:paraId="12C5D27F" w14:textId="77777777" w:rsidR="007A30B6" w:rsidRPr="00806E69" w:rsidRDefault="009322B9" w:rsidP="00806E69">
            <w:pPr>
              <w:jc w:val="center"/>
              <w:rPr>
                <w:rFonts w:ascii="Times New Roman" w:hAnsi="Times New Roman" w:cs="Times New Roman"/>
              </w:rPr>
            </w:pPr>
            <w:r w:rsidRPr="009322B9">
              <w:rPr>
                <w:rFonts w:ascii="Times New Roman" w:hAnsi="Times New Roman" w:cs="Times New Roman"/>
                <w:noProof/>
                <w:color w:val="FFFFFF"/>
                <w:sz w:val="2"/>
                <w:szCs w:val="2"/>
              </w:rPr>
              <w:t>54678313</w:t>
            </w:r>
            <w:r w:rsidR="007A30B6" w:rsidRPr="00806E69">
              <w:rPr>
                <w:rFonts w:ascii="Times New Roman" w:hAnsi="Times New Roman" w:cs="Times New Roman"/>
                <w:noProof/>
              </w:rPr>
              <w:pict w14:anchorId="78E62C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66.6pt;height:40.2pt;visibility:visible">
                  <v:imagedata r:id="rId71" o:title=""/>
                </v:shape>
              </w:pict>
            </w:r>
          </w:p>
          <w:p w14:paraId="4A2914D3" w14:textId="77777777" w:rsidR="007A30B6" w:rsidRPr="00806E69" w:rsidRDefault="007A30B6" w:rsidP="00806E69">
            <w:pPr>
              <w:jc w:val="center"/>
              <w:rPr>
                <w:rFonts w:ascii="Times New Roman" w:hAnsi="Times New Roman" w:cs="Times New Roman"/>
                <w:rtl/>
              </w:rPr>
            </w:pPr>
          </w:p>
        </w:tc>
      </w:tr>
      <w:tr w:rsidR="007A30B6" w14:paraId="6F4798D3" w14:textId="77777777" w:rsidTr="00806E69">
        <w:trPr>
          <w:trHeight w:val="415"/>
          <w:jc w:val="right"/>
        </w:trPr>
        <w:tc>
          <w:tcPr>
            <w:tcW w:w="3708" w:type="dxa"/>
          </w:tcPr>
          <w:p w14:paraId="0C27D5F4" w14:textId="77777777" w:rsidR="007A30B6" w:rsidRPr="00806E69" w:rsidRDefault="007A30B6" w:rsidP="00806E69">
            <w:pPr>
              <w:jc w:val="center"/>
              <w:rPr>
                <w:rFonts w:ascii="Times New Roman" w:hAnsi="Times New Roman"/>
                <w:b/>
                <w:bCs/>
                <w:rtl/>
              </w:rPr>
            </w:pPr>
            <w:r w:rsidRPr="00806E69">
              <w:rPr>
                <w:rFonts w:ascii="Times New Roman" w:hAnsi="Times New Roman"/>
                <w:b/>
                <w:bCs/>
                <w:rtl/>
              </w:rPr>
              <w:t>שאהר אטרש, שופט</w:t>
            </w:r>
          </w:p>
        </w:tc>
      </w:tr>
    </w:tbl>
    <w:p w14:paraId="28BED6C8" w14:textId="77777777" w:rsidR="007A30B6" w:rsidRDefault="007A30B6">
      <w:pPr>
        <w:jc w:val="right"/>
        <w:rPr>
          <w:rtl/>
        </w:rPr>
      </w:pPr>
    </w:p>
    <w:p w14:paraId="3C428183" w14:textId="77777777" w:rsidR="007A30B6" w:rsidRPr="00113BB2" w:rsidRDefault="007A30B6" w:rsidP="00113BB2">
      <w:pPr>
        <w:spacing w:line="360" w:lineRule="auto"/>
        <w:jc w:val="both"/>
        <w:rPr>
          <w:rtl/>
        </w:rPr>
      </w:pPr>
    </w:p>
    <w:p w14:paraId="5E6F43AC" w14:textId="77777777" w:rsidR="009322B9" w:rsidRPr="009322B9" w:rsidRDefault="007A30B6" w:rsidP="009322B9">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אירית</w:t>
      </w:r>
      <w:r>
        <w:t xml:space="preserve"> </w:t>
      </w:r>
      <w:r>
        <w:rPr>
          <w:rtl/>
        </w:rPr>
        <w:t xml:space="preserve">אסולין </w:t>
      </w:r>
    </w:p>
    <w:p w14:paraId="6D840974" w14:textId="77777777" w:rsidR="009322B9" w:rsidRPr="009322B9" w:rsidRDefault="009322B9" w:rsidP="009322B9">
      <w:pPr>
        <w:keepNext/>
        <w:rPr>
          <w:color w:val="000000"/>
          <w:sz w:val="22"/>
          <w:szCs w:val="22"/>
          <w:rtl/>
        </w:rPr>
      </w:pPr>
      <w:r w:rsidRPr="009322B9">
        <w:rPr>
          <w:color w:val="000000"/>
          <w:sz w:val="22"/>
          <w:szCs w:val="22"/>
          <w:rtl/>
        </w:rPr>
        <w:t>שאהר אטרש 54678313</w:t>
      </w:r>
    </w:p>
    <w:p w14:paraId="7D6B9D86" w14:textId="77777777" w:rsidR="009322B9" w:rsidRDefault="009322B9" w:rsidP="009322B9">
      <w:r w:rsidRPr="009322B9">
        <w:rPr>
          <w:color w:val="000000"/>
          <w:rtl/>
        </w:rPr>
        <w:t>נוסח מסמך זה כפוף לשינויי ניסוח ועריכה</w:t>
      </w:r>
    </w:p>
    <w:p w14:paraId="24871D96" w14:textId="77777777" w:rsidR="009322B9" w:rsidRDefault="009322B9" w:rsidP="009322B9">
      <w:pPr>
        <w:rPr>
          <w:rtl/>
        </w:rPr>
      </w:pPr>
    </w:p>
    <w:p w14:paraId="6E86B95D" w14:textId="77777777" w:rsidR="009322B9" w:rsidRDefault="009322B9" w:rsidP="009322B9">
      <w:pPr>
        <w:jc w:val="center"/>
        <w:rPr>
          <w:color w:val="0000FF"/>
          <w:u w:val="single"/>
        </w:rPr>
      </w:pPr>
      <w:hyperlink r:id="rId72" w:history="1">
        <w:r>
          <w:rPr>
            <w:color w:val="0000FF"/>
            <w:u w:val="single"/>
            <w:rtl/>
          </w:rPr>
          <w:t>בעניין עריכה ושינויים במסמכי פסיקה, חקיקה ועוד באתר נבו – הקש כאן</w:t>
        </w:r>
      </w:hyperlink>
    </w:p>
    <w:p w14:paraId="418215A1" w14:textId="77777777" w:rsidR="007A30B6" w:rsidRPr="009322B9" w:rsidRDefault="007A30B6" w:rsidP="009322B9">
      <w:pPr>
        <w:jc w:val="center"/>
        <w:rPr>
          <w:color w:val="0000FF"/>
          <w:u w:val="single"/>
        </w:rPr>
      </w:pPr>
    </w:p>
    <w:sectPr w:rsidR="007A30B6" w:rsidRPr="009322B9" w:rsidSect="009322B9">
      <w:headerReference w:type="even" r:id="rId73"/>
      <w:headerReference w:type="default" r:id="rId74"/>
      <w:footerReference w:type="even" r:id="rId75"/>
      <w:footerReference w:type="default" r:id="rId7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5DB1B" w14:textId="77777777" w:rsidR="0093730D" w:rsidRDefault="0093730D">
      <w:r>
        <w:separator/>
      </w:r>
    </w:p>
  </w:endnote>
  <w:endnote w:type="continuationSeparator" w:id="0">
    <w:p w14:paraId="02C9D4D5" w14:textId="77777777" w:rsidR="0093730D" w:rsidRDefault="00937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CBE85" w14:textId="77777777" w:rsidR="009322B9" w:rsidRDefault="009322B9" w:rsidP="009322B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48</w:t>
    </w:r>
    <w:r>
      <w:rPr>
        <w:rFonts w:ascii="FrankRuehl" w:hAnsi="FrankRuehl" w:cs="FrankRuehl"/>
        <w:rtl/>
      </w:rPr>
      <w:fldChar w:fldCharType="end"/>
    </w:r>
  </w:p>
  <w:p w14:paraId="18459F41" w14:textId="77777777" w:rsidR="007A30B6" w:rsidRPr="009322B9" w:rsidRDefault="009322B9" w:rsidP="009322B9">
    <w:pPr>
      <w:pStyle w:val="a4"/>
      <w:pBdr>
        <w:top w:val="single" w:sz="4" w:space="1" w:color="auto"/>
        <w:between w:val="single" w:sz="4" w:space="0" w:color="auto"/>
      </w:pBdr>
      <w:spacing w:after="60"/>
      <w:jc w:val="center"/>
      <w:rPr>
        <w:rFonts w:ascii="FrankRuehl" w:hAnsi="FrankRuehl" w:cs="FrankRuehl"/>
        <w:color w:val="000000"/>
      </w:rPr>
    </w:pPr>
    <w:r w:rsidRPr="009322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00E3A" w14:textId="77777777" w:rsidR="009322B9" w:rsidRDefault="009322B9" w:rsidP="009322B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45C37">
      <w:rPr>
        <w:rFonts w:ascii="FrankRuehl" w:hAnsi="FrankRuehl" w:cs="FrankRuehl"/>
        <w:noProof/>
        <w:rtl/>
      </w:rPr>
      <w:t>1</w:t>
    </w:r>
    <w:r>
      <w:rPr>
        <w:rFonts w:ascii="FrankRuehl" w:hAnsi="FrankRuehl" w:cs="FrankRuehl"/>
        <w:rtl/>
      </w:rPr>
      <w:fldChar w:fldCharType="end"/>
    </w:r>
  </w:p>
  <w:p w14:paraId="14AE9FA3" w14:textId="77777777" w:rsidR="007A30B6" w:rsidRPr="009322B9" w:rsidRDefault="009322B9" w:rsidP="009322B9">
    <w:pPr>
      <w:pStyle w:val="a4"/>
      <w:pBdr>
        <w:top w:val="single" w:sz="4" w:space="1" w:color="auto"/>
        <w:between w:val="single" w:sz="4" w:space="0" w:color="auto"/>
      </w:pBdr>
      <w:spacing w:after="60"/>
      <w:jc w:val="center"/>
      <w:rPr>
        <w:rFonts w:ascii="FrankRuehl" w:hAnsi="FrankRuehl" w:cs="FrankRuehl" w:hint="cs"/>
        <w:color w:val="000000"/>
      </w:rPr>
    </w:pPr>
    <w:r w:rsidRPr="009322B9">
      <w:rPr>
        <w:rFonts w:ascii="FrankRuehl" w:hAnsi="FrankRuehl" w:cs="FrankRuehl" w:hint="cs"/>
        <w:color w:val="000000"/>
      </w:rPr>
      <w:pict w14:anchorId="7F461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854AD" w14:textId="77777777" w:rsidR="0093730D" w:rsidRDefault="0093730D">
      <w:r>
        <w:separator/>
      </w:r>
    </w:p>
  </w:footnote>
  <w:footnote w:type="continuationSeparator" w:id="0">
    <w:p w14:paraId="06627604" w14:textId="77777777" w:rsidR="0093730D" w:rsidRDefault="00937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1F04C" w14:textId="77777777" w:rsidR="009322B9" w:rsidRPr="009322B9" w:rsidRDefault="009322B9" w:rsidP="009322B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38015-01-12</w:t>
    </w:r>
    <w:r>
      <w:rPr>
        <w:color w:val="000000"/>
        <w:sz w:val="22"/>
        <w:szCs w:val="22"/>
        <w:rtl/>
      </w:rPr>
      <w:tab/>
      <w:t xml:space="preserve"> מדינת ישראל נ' עבד אלכרים בן ג'מאל סלימאן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C4E74" w14:textId="77777777" w:rsidR="009322B9" w:rsidRPr="009322B9" w:rsidRDefault="009322B9" w:rsidP="009322B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38015-01-12</w:t>
    </w:r>
    <w:r>
      <w:rPr>
        <w:color w:val="000000"/>
        <w:sz w:val="22"/>
        <w:szCs w:val="22"/>
        <w:rtl/>
      </w:rPr>
      <w:tab/>
      <w:t xml:space="preserve"> מדינת ישראל נ' עבד אלכרים בן ג'מאל סלימאן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7A88"/>
    <w:multiLevelType w:val="hybridMultilevel"/>
    <w:tmpl w:val="3DE83E8C"/>
    <w:lvl w:ilvl="0" w:tplc="FFBC946A">
      <w:start w:val="16"/>
      <w:numFmt w:val="decimal"/>
      <w:lvlText w:val="%1."/>
      <w:lvlJc w:val="left"/>
      <w:pPr>
        <w:tabs>
          <w:tab w:val="num" w:pos="-180"/>
        </w:tabs>
        <w:ind w:left="-180" w:hanging="360"/>
      </w:pPr>
      <w:rPr>
        <w:rFonts w:cs="Times New Roman" w:hint="default"/>
      </w:rPr>
    </w:lvl>
    <w:lvl w:ilvl="1" w:tplc="04090019">
      <w:start w:val="1"/>
      <w:numFmt w:val="lowerLetter"/>
      <w:lvlText w:val="%2."/>
      <w:lvlJc w:val="left"/>
      <w:pPr>
        <w:tabs>
          <w:tab w:val="num" w:pos="540"/>
        </w:tabs>
        <w:ind w:left="540" w:hanging="360"/>
      </w:pPr>
      <w:rPr>
        <w:rFonts w:cs="Times New Roman"/>
      </w:rPr>
    </w:lvl>
    <w:lvl w:ilvl="2" w:tplc="0409001B">
      <w:start w:val="1"/>
      <w:numFmt w:val="lowerRoman"/>
      <w:lvlText w:val="%3."/>
      <w:lvlJc w:val="right"/>
      <w:pPr>
        <w:tabs>
          <w:tab w:val="num" w:pos="1260"/>
        </w:tabs>
        <w:ind w:left="1260" w:hanging="180"/>
      </w:pPr>
      <w:rPr>
        <w:rFonts w:cs="Times New Roman"/>
      </w:rPr>
    </w:lvl>
    <w:lvl w:ilvl="3" w:tplc="0409000F">
      <w:start w:val="1"/>
      <w:numFmt w:val="decimal"/>
      <w:lvlText w:val="%4."/>
      <w:lvlJc w:val="left"/>
      <w:pPr>
        <w:tabs>
          <w:tab w:val="num" w:pos="1980"/>
        </w:tabs>
        <w:ind w:left="1980" w:hanging="360"/>
      </w:pPr>
      <w:rPr>
        <w:rFonts w:cs="Times New Roman"/>
      </w:rPr>
    </w:lvl>
    <w:lvl w:ilvl="4" w:tplc="04090019">
      <w:start w:val="1"/>
      <w:numFmt w:val="lowerLetter"/>
      <w:lvlText w:val="%5."/>
      <w:lvlJc w:val="left"/>
      <w:pPr>
        <w:tabs>
          <w:tab w:val="num" w:pos="2700"/>
        </w:tabs>
        <w:ind w:left="2700" w:hanging="360"/>
      </w:pPr>
      <w:rPr>
        <w:rFonts w:cs="Times New Roman"/>
      </w:rPr>
    </w:lvl>
    <w:lvl w:ilvl="5" w:tplc="0409001B">
      <w:start w:val="1"/>
      <w:numFmt w:val="lowerRoman"/>
      <w:lvlText w:val="%6."/>
      <w:lvlJc w:val="right"/>
      <w:pPr>
        <w:tabs>
          <w:tab w:val="num" w:pos="3420"/>
        </w:tabs>
        <w:ind w:left="3420" w:hanging="180"/>
      </w:pPr>
      <w:rPr>
        <w:rFonts w:cs="Times New Roman"/>
      </w:rPr>
    </w:lvl>
    <w:lvl w:ilvl="6" w:tplc="0409000F">
      <w:start w:val="1"/>
      <w:numFmt w:val="decimal"/>
      <w:lvlText w:val="%7."/>
      <w:lvlJc w:val="left"/>
      <w:pPr>
        <w:tabs>
          <w:tab w:val="num" w:pos="4140"/>
        </w:tabs>
        <w:ind w:left="4140" w:hanging="360"/>
      </w:pPr>
      <w:rPr>
        <w:rFonts w:cs="Times New Roman"/>
      </w:rPr>
    </w:lvl>
    <w:lvl w:ilvl="7" w:tplc="04090019">
      <w:start w:val="1"/>
      <w:numFmt w:val="lowerLetter"/>
      <w:lvlText w:val="%8."/>
      <w:lvlJc w:val="left"/>
      <w:pPr>
        <w:tabs>
          <w:tab w:val="num" w:pos="4860"/>
        </w:tabs>
        <w:ind w:left="4860" w:hanging="360"/>
      </w:pPr>
      <w:rPr>
        <w:rFonts w:cs="Times New Roman"/>
      </w:rPr>
    </w:lvl>
    <w:lvl w:ilvl="8" w:tplc="0409001B">
      <w:start w:val="1"/>
      <w:numFmt w:val="lowerRoman"/>
      <w:lvlText w:val="%9."/>
      <w:lvlJc w:val="right"/>
      <w:pPr>
        <w:tabs>
          <w:tab w:val="num" w:pos="5580"/>
        </w:tabs>
        <w:ind w:left="5580" w:hanging="180"/>
      </w:pPr>
      <w:rPr>
        <w:rFonts w:cs="Times New Roman"/>
      </w:rPr>
    </w:lvl>
  </w:abstractNum>
  <w:abstractNum w:abstractNumId="1" w15:restartNumberingAfterBreak="0">
    <w:nsid w:val="07B73504"/>
    <w:multiLevelType w:val="hybridMultilevel"/>
    <w:tmpl w:val="2D52EC46"/>
    <w:lvl w:ilvl="0" w:tplc="7736C1C4">
      <w:start w:val="1"/>
      <w:numFmt w:val="decimal"/>
      <w:lvlText w:val="%1."/>
      <w:lvlJc w:val="left"/>
      <w:pPr>
        <w:tabs>
          <w:tab w:val="num" w:pos="-514"/>
        </w:tabs>
        <w:ind w:left="-514" w:hanging="360"/>
      </w:pPr>
      <w:rPr>
        <w:rFonts w:cs="Times New Roman" w:hint="default"/>
        <w:b w:val="0"/>
        <w:u w:val="none"/>
      </w:rPr>
    </w:lvl>
    <w:lvl w:ilvl="1" w:tplc="04090019">
      <w:start w:val="1"/>
      <w:numFmt w:val="lowerLetter"/>
      <w:lvlText w:val="%2."/>
      <w:lvlJc w:val="left"/>
      <w:pPr>
        <w:tabs>
          <w:tab w:val="num" w:pos="206"/>
        </w:tabs>
        <w:ind w:left="206" w:hanging="360"/>
      </w:pPr>
      <w:rPr>
        <w:rFonts w:cs="Times New Roman"/>
      </w:rPr>
    </w:lvl>
    <w:lvl w:ilvl="2" w:tplc="0409001B">
      <w:start w:val="1"/>
      <w:numFmt w:val="lowerRoman"/>
      <w:lvlText w:val="%3."/>
      <w:lvlJc w:val="right"/>
      <w:pPr>
        <w:tabs>
          <w:tab w:val="num" w:pos="926"/>
        </w:tabs>
        <w:ind w:left="926" w:hanging="180"/>
      </w:pPr>
      <w:rPr>
        <w:rFonts w:cs="Times New Roman"/>
      </w:rPr>
    </w:lvl>
    <w:lvl w:ilvl="3" w:tplc="0409000F">
      <w:start w:val="1"/>
      <w:numFmt w:val="decimal"/>
      <w:lvlText w:val="%4."/>
      <w:lvlJc w:val="left"/>
      <w:pPr>
        <w:tabs>
          <w:tab w:val="num" w:pos="1646"/>
        </w:tabs>
        <w:ind w:left="1646" w:hanging="360"/>
      </w:pPr>
      <w:rPr>
        <w:rFonts w:cs="Times New Roman"/>
      </w:rPr>
    </w:lvl>
    <w:lvl w:ilvl="4" w:tplc="04090019">
      <w:start w:val="1"/>
      <w:numFmt w:val="lowerLetter"/>
      <w:lvlText w:val="%5."/>
      <w:lvlJc w:val="left"/>
      <w:pPr>
        <w:tabs>
          <w:tab w:val="num" w:pos="2366"/>
        </w:tabs>
        <w:ind w:left="2366" w:hanging="360"/>
      </w:pPr>
      <w:rPr>
        <w:rFonts w:cs="Times New Roman"/>
      </w:rPr>
    </w:lvl>
    <w:lvl w:ilvl="5" w:tplc="0409001B">
      <w:start w:val="1"/>
      <w:numFmt w:val="lowerRoman"/>
      <w:lvlText w:val="%6."/>
      <w:lvlJc w:val="right"/>
      <w:pPr>
        <w:tabs>
          <w:tab w:val="num" w:pos="3086"/>
        </w:tabs>
        <w:ind w:left="3086" w:hanging="180"/>
      </w:pPr>
      <w:rPr>
        <w:rFonts w:cs="Times New Roman"/>
      </w:rPr>
    </w:lvl>
    <w:lvl w:ilvl="6" w:tplc="0409000F">
      <w:start w:val="1"/>
      <w:numFmt w:val="decimal"/>
      <w:lvlText w:val="%7."/>
      <w:lvlJc w:val="left"/>
      <w:pPr>
        <w:tabs>
          <w:tab w:val="num" w:pos="3806"/>
        </w:tabs>
        <w:ind w:left="3806" w:hanging="360"/>
      </w:pPr>
      <w:rPr>
        <w:rFonts w:cs="Times New Roman"/>
      </w:rPr>
    </w:lvl>
    <w:lvl w:ilvl="7" w:tplc="04090019">
      <w:start w:val="1"/>
      <w:numFmt w:val="lowerLetter"/>
      <w:lvlText w:val="%8."/>
      <w:lvlJc w:val="left"/>
      <w:pPr>
        <w:tabs>
          <w:tab w:val="num" w:pos="4526"/>
        </w:tabs>
        <w:ind w:left="4526" w:hanging="360"/>
      </w:pPr>
      <w:rPr>
        <w:rFonts w:cs="Times New Roman"/>
      </w:rPr>
    </w:lvl>
    <w:lvl w:ilvl="8" w:tplc="0409001B">
      <w:start w:val="1"/>
      <w:numFmt w:val="lowerRoman"/>
      <w:lvlText w:val="%9."/>
      <w:lvlJc w:val="right"/>
      <w:pPr>
        <w:tabs>
          <w:tab w:val="num" w:pos="5246"/>
        </w:tabs>
        <w:ind w:left="5246" w:hanging="180"/>
      </w:pPr>
      <w:rPr>
        <w:rFonts w:cs="Times New Roman"/>
      </w:rPr>
    </w:lvl>
  </w:abstractNum>
  <w:abstractNum w:abstractNumId="2" w15:restartNumberingAfterBreak="0">
    <w:nsid w:val="0D507709"/>
    <w:multiLevelType w:val="hybridMultilevel"/>
    <w:tmpl w:val="BC72F0E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4424EDD"/>
    <w:multiLevelType w:val="hybridMultilevel"/>
    <w:tmpl w:val="4F66901A"/>
    <w:lvl w:ilvl="0" w:tplc="309ACAD8">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4"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5" w15:restartNumberingAfterBreak="0">
    <w:nsid w:val="27313B59"/>
    <w:multiLevelType w:val="hybridMultilevel"/>
    <w:tmpl w:val="2D3A4F86"/>
    <w:lvl w:ilvl="0" w:tplc="AF1EA980">
      <w:start w:val="23"/>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7" w15:restartNumberingAfterBreak="0">
    <w:nsid w:val="2B1166AC"/>
    <w:multiLevelType w:val="hybridMultilevel"/>
    <w:tmpl w:val="B2DAC374"/>
    <w:lvl w:ilvl="0" w:tplc="341EEA00">
      <w:start w:val="2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8" w15:restartNumberingAfterBreak="0">
    <w:nsid w:val="2CD40640"/>
    <w:multiLevelType w:val="hybridMultilevel"/>
    <w:tmpl w:val="8116B49A"/>
    <w:lvl w:ilvl="0" w:tplc="0DC0E9DE">
      <w:start w:val="22"/>
      <w:numFmt w:val="decimal"/>
      <w:lvlText w:val="%1."/>
      <w:lvlJc w:val="left"/>
      <w:pPr>
        <w:tabs>
          <w:tab w:val="num" w:pos="0"/>
        </w:tabs>
        <w:ind w:hanging="360"/>
      </w:pPr>
      <w:rPr>
        <w:rFonts w:cs="Times New Roman" w:hint="default"/>
        <w:b w:val="0"/>
        <w:bCs w:val="0"/>
      </w:rPr>
    </w:lvl>
    <w:lvl w:ilvl="1" w:tplc="04090019">
      <w:start w:val="1"/>
      <w:numFmt w:val="lowerLetter"/>
      <w:lvlText w:val="%2."/>
      <w:lvlJc w:val="left"/>
      <w:pPr>
        <w:tabs>
          <w:tab w:val="num" w:pos="720"/>
        </w:tabs>
        <w:ind w:left="720" w:hanging="360"/>
      </w:pPr>
      <w:rPr>
        <w:rFonts w:cs="Times New Roman"/>
      </w:rPr>
    </w:lvl>
    <w:lvl w:ilvl="2" w:tplc="0409001B">
      <w:start w:val="1"/>
      <w:numFmt w:val="lowerRoman"/>
      <w:lvlText w:val="%3."/>
      <w:lvlJc w:val="right"/>
      <w:pPr>
        <w:tabs>
          <w:tab w:val="num" w:pos="1440"/>
        </w:tabs>
        <w:ind w:left="1440" w:hanging="180"/>
      </w:pPr>
      <w:rPr>
        <w:rFonts w:cs="Times New Roman"/>
      </w:rPr>
    </w:lvl>
    <w:lvl w:ilvl="3" w:tplc="0409000F">
      <w:start w:val="1"/>
      <w:numFmt w:val="decimal"/>
      <w:lvlText w:val="%4."/>
      <w:lvlJc w:val="left"/>
      <w:pPr>
        <w:tabs>
          <w:tab w:val="num" w:pos="2160"/>
        </w:tabs>
        <w:ind w:left="2160" w:hanging="360"/>
      </w:pPr>
      <w:rPr>
        <w:rFonts w:cs="Times New Roman"/>
      </w:rPr>
    </w:lvl>
    <w:lvl w:ilvl="4" w:tplc="04090019">
      <w:start w:val="1"/>
      <w:numFmt w:val="lowerLetter"/>
      <w:lvlText w:val="%5."/>
      <w:lvlJc w:val="left"/>
      <w:pPr>
        <w:tabs>
          <w:tab w:val="num" w:pos="2880"/>
        </w:tabs>
        <w:ind w:left="2880" w:hanging="360"/>
      </w:pPr>
      <w:rPr>
        <w:rFonts w:cs="Times New Roman"/>
      </w:rPr>
    </w:lvl>
    <w:lvl w:ilvl="5" w:tplc="0409001B">
      <w:start w:val="1"/>
      <w:numFmt w:val="lowerRoman"/>
      <w:lvlText w:val="%6."/>
      <w:lvlJc w:val="right"/>
      <w:pPr>
        <w:tabs>
          <w:tab w:val="num" w:pos="3600"/>
        </w:tabs>
        <w:ind w:left="3600" w:hanging="180"/>
      </w:pPr>
      <w:rPr>
        <w:rFonts w:cs="Times New Roman"/>
      </w:rPr>
    </w:lvl>
    <w:lvl w:ilvl="6" w:tplc="0409000F">
      <w:start w:val="1"/>
      <w:numFmt w:val="decimal"/>
      <w:lvlText w:val="%7."/>
      <w:lvlJc w:val="left"/>
      <w:pPr>
        <w:tabs>
          <w:tab w:val="num" w:pos="4320"/>
        </w:tabs>
        <w:ind w:left="4320" w:hanging="360"/>
      </w:pPr>
      <w:rPr>
        <w:rFonts w:cs="Times New Roman"/>
      </w:rPr>
    </w:lvl>
    <w:lvl w:ilvl="7" w:tplc="04090019">
      <w:start w:val="1"/>
      <w:numFmt w:val="lowerLetter"/>
      <w:lvlText w:val="%8."/>
      <w:lvlJc w:val="left"/>
      <w:pPr>
        <w:tabs>
          <w:tab w:val="num" w:pos="5040"/>
        </w:tabs>
        <w:ind w:left="5040" w:hanging="360"/>
      </w:pPr>
      <w:rPr>
        <w:rFonts w:cs="Times New Roman"/>
      </w:rPr>
    </w:lvl>
    <w:lvl w:ilvl="8" w:tplc="0409001B">
      <w:start w:val="1"/>
      <w:numFmt w:val="lowerRoman"/>
      <w:lvlText w:val="%9."/>
      <w:lvlJc w:val="right"/>
      <w:pPr>
        <w:tabs>
          <w:tab w:val="num" w:pos="5760"/>
        </w:tabs>
        <w:ind w:left="5760" w:hanging="180"/>
      </w:pPr>
      <w:rPr>
        <w:rFonts w:cs="Times New Roman"/>
      </w:rPr>
    </w:lvl>
  </w:abstractNum>
  <w:abstractNum w:abstractNumId="9"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0"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3969285F"/>
    <w:multiLevelType w:val="multilevel"/>
    <w:tmpl w:val="2730BE96"/>
    <w:lvl w:ilvl="0">
      <w:start w:val="1"/>
      <w:numFmt w:val="decimal"/>
      <w:lvlText w:val="%1."/>
      <w:lvlJc w:val="left"/>
      <w:pPr>
        <w:tabs>
          <w:tab w:val="num" w:pos="360"/>
        </w:tabs>
        <w:ind w:left="360" w:hanging="360"/>
      </w:pPr>
      <w:rPr>
        <w:rFonts w:cs="Times New Roman" w:hint="default"/>
        <w:b/>
        <w:bCs w:val="0"/>
        <w:u w:val="none"/>
      </w:rPr>
    </w:lvl>
    <w:lvl w:ilvl="1">
      <w:start w:val="1"/>
      <w:numFmt w:val="hebrew1"/>
      <w:lvlText w:val="%2."/>
      <w:lvlJc w:val="center"/>
      <w:pPr>
        <w:tabs>
          <w:tab w:val="num" w:pos="1080"/>
        </w:tabs>
        <w:ind w:left="1080" w:hanging="360"/>
      </w:pPr>
      <w:rPr>
        <w:rFonts w:cs="Times New Roman" w:hint="default"/>
        <w:b w:val="0"/>
        <w:sz w:val="2"/>
        <w:szCs w:val="22"/>
        <w:u w:val="none"/>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2" w15:restartNumberingAfterBreak="0">
    <w:nsid w:val="3B654B8B"/>
    <w:multiLevelType w:val="hybridMultilevel"/>
    <w:tmpl w:val="BF8294E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3D674DCC"/>
    <w:multiLevelType w:val="hybridMultilevel"/>
    <w:tmpl w:val="EF287EC6"/>
    <w:lvl w:ilvl="0" w:tplc="2B12BDCC">
      <w:start w:val="1"/>
      <w:numFmt w:val="decimal"/>
      <w:lvlText w:val="%1."/>
      <w:lvlJc w:val="left"/>
      <w:pPr>
        <w:tabs>
          <w:tab w:val="num" w:pos="360"/>
        </w:tabs>
        <w:ind w:left="360" w:hanging="360"/>
      </w:pPr>
      <w:rPr>
        <w:rFonts w:cs="Times New Roman" w:hint="default"/>
        <w:b/>
        <w:bCs w:val="0"/>
        <w:u w:val="none"/>
      </w:rPr>
    </w:lvl>
    <w:lvl w:ilvl="1" w:tplc="04090013">
      <w:start w:val="1"/>
      <w:numFmt w:val="hebrew1"/>
      <w:lvlText w:val="%2."/>
      <w:lvlJc w:val="center"/>
      <w:pPr>
        <w:tabs>
          <w:tab w:val="num" w:pos="1080"/>
        </w:tabs>
        <w:ind w:left="1080" w:hanging="360"/>
      </w:pPr>
      <w:rPr>
        <w:rFonts w:cs="Times New Roman" w:hint="default"/>
        <w:b w:val="0"/>
        <w:sz w:val="2"/>
        <w:szCs w:val="22"/>
        <w:u w:val="none"/>
      </w:rPr>
    </w:lvl>
    <w:lvl w:ilvl="2" w:tplc="EE06DE32">
      <w:start w:val="1"/>
      <w:numFmt w:val="decimal"/>
      <w:lvlText w:val="%3."/>
      <w:lvlJc w:val="left"/>
      <w:pPr>
        <w:tabs>
          <w:tab w:val="num" w:pos="1980"/>
        </w:tabs>
        <w:ind w:left="1980" w:hanging="360"/>
      </w:pPr>
      <w:rPr>
        <w:rFonts w:cs="Times New Roman" w:hint="default"/>
        <w:b/>
        <w:bCs w:val="0"/>
        <w:u w:val="none"/>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5" w15:restartNumberingAfterBreak="0">
    <w:nsid w:val="401E0961"/>
    <w:multiLevelType w:val="hybridMultilevel"/>
    <w:tmpl w:val="225EE24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463A6F41"/>
    <w:multiLevelType w:val="multilevel"/>
    <w:tmpl w:val="ACF02494"/>
    <w:lvl w:ilvl="0">
      <w:start w:val="22"/>
      <w:numFmt w:val="decimal"/>
      <w:lvlText w:val="%1."/>
      <w:lvlJc w:val="left"/>
      <w:pPr>
        <w:tabs>
          <w:tab w:val="num" w:pos="0"/>
        </w:tabs>
        <w:ind w:hanging="360"/>
      </w:pPr>
      <w:rPr>
        <w:rFonts w:cs="Times New Roman" w:hint="default"/>
      </w:rPr>
    </w:lvl>
    <w:lvl w:ilvl="1">
      <w:start w:val="1"/>
      <w:numFmt w:val="lowerLetter"/>
      <w:lvlText w:val="%2."/>
      <w:lvlJc w:val="left"/>
      <w:pPr>
        <w:tabs>
          <w:tab w:val="num" w:pos="720"/>
        </w:tabs>
        <w:ind w:left="720" w:hanging="360"/>
      </w:pPr>
      <w:rPr>
        <w:rFonts w:cs="Times New Roman"/>
      </w:rPr>
    </w:lvl>
    <w:lvl w:ilvl="2">
      <w:start w:val="1"/>
      <w:numFmt w:val="lowerRoman"/>
      <w:lvlText w:val="%3."/>
      <w:lvlJc w:val="right"/>
      <w:pPr>
        <w:tabs>
          <w:tab w:val="num" w:pos="1440"/>
        </w:tabs>
        <w:ind w:left="1440" w:hanging="180"/>
      </w:pPr>
      <w:rPr>
        <w:rFonts w:cs="Times New Roman"/>
      </w:rPr>
    </w:lvl>
    <w:lvl w:ilvl="3">
      <w:start w:val="1"/>
      <w:numFmt w:val="decimal"/>
      <w:lvlText w:val="%4."/>
      <w:lvlJc w:val="left"/>
      <w:pPr>
        <w:tabs>
          <w:tab w:val="num" w:pos="2160"/>
        </w:tabs>
        <w:ind w:left="2160" w:hanging="360"/>
      </w:pPr>
      <w:rPr>
        <w:rFonts w:cs="Times New Roman"/>
      </w:rPr>
    </w:lvl>
    <w:lvl w:ilvl="4">
      <w:start w:val="1"/>
      <w:numFmt w:val="lowerLetter"/>
      <w:lvlText w:val="%5."/>
      <w:lvlJc w:val="left"/>
      <w:pPr>
        <w:tabs>
          <w:tab w:val="num" w:pos="2880"/>
        </w:tabs>
        <w:ind w:left="2880" w:hanging="360"/>
      </w:pPr>
      <w:rPr>
        <w:rFonts w:cs="Times New Roman"/>
      </w:rPr>
    </w:lvl>
    <w:lvl w:ilvl="5">
      <w:start w:val="1"/>
      <w:numFmt w:val="lowerRoman"/>
      <w:lvlText w:val="%6."/>
      <w:lvlJc w:val="right"/>
      <w:pPr>
        <w:tabs>
          <w:tab w:val="num" w:pos="3600"/>
        </w:tabs>
        <w:ind w:left="3600" w:hanging="180"/>
      </w:pPr>
      <w:rPr>
        <w:rFonts w:cs="Times New Roman"/>
      </w:rPr>
    </w:lvl>
    <w:lvl w:ilvl="6">
      <w:start w:val="1"/>
      <w:numFmt w:val="decimal"/>
      <w:lvlText w:val="%7."/>
      <w:lvlJc w:val="left"/>
      <w:pPr>
        <w:tabs>
          <w:tab w:val="num" w:pos="4320"/>
        </w:tabs>
        <w:ind w:left="4320" w:hanging="360"/>
      </w:pPr>
      <w:rPr>
        <w:rFonts w:cs="Times New Roman"/>
      </w:rPr>
    </w:lvl>
    <w:lvl w:ilvl="7">
      <w:start w:val="1"/>
      <w:numFmt w:val="lowerLetter"/>
      <w:lvlText w:val="%8."/>
      <w:lvlJc w:val="left"/>
      <w:pPr>
        <w:tabs>
          <w:tab w:val="num" w:pos="5040"/>
        </w:tabs>
        <w:ind w:left="5040" w:hanging="360"/>
      </w:pPr>
      <w:rPr>
        <w:rFonts w:cs="Times New Roman"/>
      </w:rPr>
    </w:lvl>
    <w:lvl w:ilvl="8">
      <w:start w:val="1"/>
      <w:numFmt w:val="lowerRoman"/>
      <w:lvlText w:val="%9."/>
      <w:lvlJc w:val="right"/>
      <w:pPr>
        <w:tabs>
          <w:tab w:val="num" w:pos="5760"/>
        </w:tabs>
        <w:ind w:left="5760" w:hanging="180"/>
      </w:pPr>
      <w:rPr>
        <w:rFonts w:cs="Times New Roman"/>
      </w:rPr>
    </w:lvl>
  </w:abstractNum>
  <w:abstractNum w:abstractNumId="17" w15:restartNumberingAfterBreak="0">
    <w:nsid w:val="4A0E3E21"/>
    <w:multiLevelType w:val="hybridMultilevel"/>
    <w:tmpl w:val="1F08C604"/>
    <w:lvl w:ilvl="0" w:tplc="0409000F">
      <w:start w:val="1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1"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2"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5E581539"/>
    <w:multiLevelType w:val="hybridMultilevel"/>
    <w:tmpl w:val="76E24CE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89D2C40"/>
    <w:multiLevelType w:val="hybridMultilevel"/>
    <w:tmpl w:val="88B03848"/>
    <w:lvl w:ilvl="0" w:tplc="ECEE0D9C">
      <w:start w:val="3"/>
      <w:numFmt w:val="decimal"/>
      <w:lvlText w:val="%1."/>
      <w:lvlJc w:val="left"/>
      <w:pPr>
        <w:tabs>
          <w:tab w:val="num" w:pos="900"/>
        </w:tabs>
        <w:ind w:left="900" w:hanging="360"/>
      </w:pPr>
      <w:rPr>
        <w:rFonts w:cs="Times New Roman" w:hint="default"/>
        <w:b w:val="0"/>
        <w:bCs w:val="0"/>
      </w:rPr>
    </w:lvl>
    <w:lvl w:ilvl="1" w:tplc="6AD29BCC">
      <w:start w:val="1"/>
      <w:numFmt w:val="hebrew1"/>
      <w:lvlText w:val="%2."/>
      <w:lvlJc w:val="left"/>
      <w:pPr>
        <w:tabs>
          <w:tab w:val="num" w:pos="1815"/>
        </w:tabs>
        <w:ind w:left="1815" w:hanging="375"/>
      </w:pPr>
      <w:rPr>
        <w:rFonts w:cs="David" w:hint="default"/>
        <w:sz w:val="24"/>
        <w:szCs w:val="24"/>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0"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1" w15:restartNumberingAfterBreak="0">
    <w:nsid w:val="6E11647C"/>
    <w:multiLevelType w:val="hybridMultilevel"/>
    <w:tmpl w:val="C5E2E584"/>
    <w:lvl w:ilvl="0" w:tplc="8996B390">
      <w:start w:val="1"/>
      <w:numFmt w:val="decimal"/>
      <w:lvlText w:val="%1."/>
      <w:lvlJc w:val="left"/>
      <w:pPr>
        <w:tabs>
          <w:tab w:val="num" w:pos="360"/>
        </w:tabs>
        <w:ind w:left="360" w:hanging="360"/>
      </w:pPr>
      <w:rPr>
        <w:rFonts w:cs="Times New Roman"/>
        <w:b w:val="0"/>
        <w:bCs w:val="0"/>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2"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544484698">
    <w:abstractNumId w:val="28"/>
  </w:num>
  <w:num w:numId="2" w16cid:durableId="353848452">
    <w:abstractNumId w:val="18"/>
  </w:num>
  <w:num w:numId="3" w16cid:durableId="931013119">
    <w:abstractNumId w:val="25"/>
  </w:num>
  <w:num w:numId="4" w16cid:durableId="1784882118">
    <w:abstractNumId w:val="24"/>
  </w:num>
  <w:num w:numId="5" w16cid:durableId="456071327">
    <w:abstractNumId w:val="13"/>
  </w:num>
  <w:num w:numId="6" w16cid:durableId="1037195137">
    <w:abstractNumId w:val="19"/>
  </w:num>
  <w:num w:numId="7" w16cid:durableId="925265965">
    <w:abstractNumId w:val="32"/>
  </w:num>
  <w:num w:numId="8" w16cid:durableId="963921022">
    <w:abstractNumId w:val="4"/>
  </w:num>
  <w:num w:numId="9" w16cid:durableId="1443379225">
    <w:abstractNumId w:val="23"/>
  </w:num>
  <w:num w:numId="10" w16cid:durableId="1257131487">
    <w:abstractNumId w:val="21"/>
  </w:num>
  <w:num w:numId="11" w16cid:durableId="720321504">
    <w:abstractNumId w:val="10"/>
  </w:num>
  <w:num w:numId="12" w16cid:durableId="1074427747">
    <w:abstractNumId w:val="30"/>
  </w:num>
  <w:num w:numId="13" w16cid:durableId="1344893294">
    <w:abstractNumId w:val="22"/>
  </w:num>
  <w:num w:numId="14" w16cid:durableId="1631982541">
    <w:abstractNumId w:val="9"/>
  </w:num>
  <w:num w:numId="15" w16cid:durableId="1400134724">
    <w:abstractNumId w:val="27"/>
  </w:num>
  <w:num w:numId="16" w16cid:durableId="1522821779">
    <w:abstractNumId w:val="6"/>
  </w:num>
  <w:num w:numId="17" w16cid:durableId="1633441023">
    <w:abstractNumId w:val="20"/>
  </w:num>
  <w:num w:numId="18" w16cid:durableId="62873921">
    <w:abstractNumId w:val="5"/>
  </w:num>
  <w:num w:numId="19" w16cid:durableId="1049107978">
    <w:abstractNumId w:val="8"/>
  </w:num>
  <w:num w:numId="20" w16cid:durableId="741174899">
    <w:abstractNumId w:val="7"/>
  </w:num>
  <w:num w:numId="21" w16cid:durableId="2015380966">
    <w:abstractNumId w:val="2"/>
  </w:num>
  <w:num w:numId="22" w16cid:durableId="1306471104">
    <w:abstractNumId w:val="15"/>
  </w:num>
  <w:num w:numId="23" w16cid:durableId="827094038">
    <w:abstractNumId w:val="16"/>
  </w:num>
  <w:num w:numId="24" w16cid:durableId="1070350744">
    <w:abstractNumId w:val="29"/>
  </w:num>
  <w:num w:numId="25" w16cid:durableId="838693620">
    <w:abstractNumId w:val="12"/>
  </w:num>
  <w:num w:numId="26" w16cid:durableId="1284309999">
    <w:abstractNumId w:val="31"/>
  </w:num>
  <w:num w:numId="27" w16cid:durableId="141774501">
    <w:abstractNumId w:val="1"/>
  </w:num>
  <w:num w:numId="28" w16cid:durableId="1384644890">
    <w:abstractNumId w:val="3"/>
  </w:num>
  <w:num w:numId="29" w16cid:durableId="1777560308">
    <w:abstractNumId w:val="26"/>
  </w:num>
  <w:num w:numId="30" w16cid:durableId="1318222545">
    <w:abstractNumId w:val="14"/>
  </w:num>
  <w:num w:numId="31" w16cid:durableId="1911236132">
    <w:abstractNumId w:val="11"/>
  </w:num>
  <w:num w:numId="32" w16cid:durableId="2019387299">
    <w:abstractNumId w:val="17"/>
  </w:num>
  <w:num w:numId="33" w16cid:durableId="465971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8015-01-12"/>
    <w:docVar w:name="caseId" w:val="70042663"/>
    <w:docVar w:name="deriveClass" w:val="NGCS.Protocol.BL.Client.ProtocolBLClientCriminal"/>
    <w:docVar w:name="firstPageNumber" w:val="48"/>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ëåìí"/>
    <w:docVar w:name="privellegeId" w:val="1"/>
    <w:docVar w:name="protocolId" w:val="3771565"/>
    <w:docVar w:name="releaseSign" w:val="0"/>
    <w:docVar w:name="sittingDateTime" w:val="23/04/2013 13:00     "/>
    <w:docVar w:name="sittingId" w:val="75107073"/>
    <w:docVar w:name="sittingTypeId" w:val="2"/>
    <w:docVar w:name="WordClientAssemblyName" w:val="NGCS.Protocol.BL.Client"/>
    <w:docVar w:name="WordClientClassName" w:val="NGCS.Templates.UIP.TemplateWordClient"/>
  </w:docVars>
  <w:rsids>
    <w:rsidRoot w:val="00EB1D9D"/>
    <w:rsid w:val="0000736A"/>
    <w:rsid w:val="00014F26"/>
    <w:rsid w:val="00016C3B"/>
    <w:rsid w:val="00020420"/>
    <w:rsid w:val="00021E8E"/>
    <w:rsid w:val="000236AB"/>
    <w:rsid w:val="00030486"/>
    <w:rsid w:val="00032A68"/>
    <w:rsid w:val="000377D3"/>
    <w:rsid w:val="000464CE"/>
    <w:rsid w:val="00053909"/>
    <w:rsid w:val="000555F0"/>
    <w:rsid w:val="000608AB"/>
    <w:rsid w:val="0007169E"/>
    <w:rsid w:val="00080888"/>
    <w:rsid w:val="000A5AC3"/>
    <w:rsid w:val="000C3D5F"/>
    <w:rsid w:val="000C7499"/>
    <w:rsid w:val="000D239B"/>
    <w:rsid w:val="000D4BC4"/>
    <w:rsid w:val="000E37CD"/>
    <w:rsid w:val="00100FD9"/>
    <w:rsid w:val="00113BB2"/>
    <w:rsid w:val="00115104"/>
    <w:rsid w:val="00126448"/>
    <w:rsid w:val="00131385"/>
    <w:rsid w:val="0014434E"/>
    <w:rsid w:val="001526FC"/>
    <w:rsid w:val="0016231B"/>
    <w:rsid w:val="00163279"/>
    <w:rsid w:val="001666D0"/>
    <w:rsid w:val="001705B8"/>
    <w:rsid w:val="00174C6C"/>
    <w:rsid w:val="00181314"/>
    <w:rsid w:val="001A63A4"/>
    <w:rsid w:val="001B3D13"/>
    <w:rsid w:val="001B6FB3"/>
    <w:rsid w:val="001C0989"/>
    <w:rsid w:val="001D399C"/>
    <w:rsid w:val="002222D1"/>
    <w:rsid w:val="00227A15"/>
    <w:rsid w:val="00237F64"/>
    <w:rsid w:val="00245547"/>
    <w:rsid w:val="00265D74"/>
    <w:rsid w:val="00296868"/>
    <w:rsid w:val="002A1C94"/>
    <w:rsid w:val="002E24EE"/>
    <w:rsid w:val="002F455E"/>
    <w:rsid w:val="002F5A82"/>
    <w:rsid w:val="003167FB"/>
    <w:rsid w:val="00336600"/>
    <w:rsid w:val="00347ACF"/>
    <w:rsid w:val="003576CB"/>
    <w:rsid w:val="003B491B"/>
    <w:rsid w:val="003F3C02"/>
    <w:rsid w:val="003F6EFC"/>
    <w:rsid w:val="00442655"/>
    <w:rsid w:val="004473FE"/>
    <w:rsid w:val="00462570"/>
    <w:rsid w:val="00466172"/>
    <w:rsid w:val="004752AF"/>
    <w:rsid w:val="00486DEE"/>
    <w:rsid w:val="00494C2F"/>
    <w:rsid w:val="004A14E7"/>
    <w:rsid w:val="004C0CA7"/>
    <w:rsid w:val="004F4B4A"/>
    <w:rsid w:val="00532A9F"/>
    <w:rsid w:val="00551705"/>
    <w:rsid w:val="00560CB1"/>
    <w:rsid w:val="00564AAC"/>
    <w:rsid w:val="00577444"/>
    <w:rsid w:val="00594F89"/>
    <w:rsid w:val="005A63D9"/>
    <w:rsid w:val="005C4C34"/>
    <w:rsid w:val="005D47FD"/>
    <w:rsid w:val="005D6FD9"/>
    <w:rsid w:val="00600219"/>
    <w:rsid w:val="006110FD"/>
    <w:rsid w:val="0061652F"/>
    <w:rsid w:val="00620E3F"/>
    <w:rsid w:val="00626ED4"/>
    <w:rsid w:val="00631222"/>
    <w:rsid w:val="00633BA9"/>
    <w:rsid w:val="006424C7"/>
    <w:rsid w:val="006A4D3D"/>
    <w:rsid w:val="006B43BC"/>
    <w:rsid w:val="006B639D"/>
    <w:rsid w:val="006D72D1"/>
    <w:rsid w:val="006F0E02"/>
    <w:rsid w:val="00701199"/>
    <w:rsid w:val="00711D23"/>
    <w:rsid w:val="007378FE"/>
    <w:rsid w:val="00770F7C"/>
    <w:rsid w:val="007876F7"/>
    <w:rsid w:val="007A30B6"/>
    <w:rsid w:val="007C0D02"/>
    <w:rsid w:val="007C2ECD"/>
    <w:rsid w:val="007D71BF"/>
    <w:rsid w:val="007E2A18"/>
    <w:rsid w:val="007F4959"/>
    <w:rsid w:val="00806E69"/>
    <w:rsid w:val="008100EF"/>
    <w:rsid w:val="008138D1"/>
    <w:rsid w:val="0083639D"/>
    <w:rsid w:val="0085535F"/>
    <w:rsid w:val="0086476E"/>
    <w:rsid w:val="0088228B"/>
    <w:rsid w:val="008D15AB"/>
    <w:rsid w:val="008D1699"/>
    <w:rsid w:val="008D2016"/>
    <w:rsid w:val="008D7896"/>
    <w:rsid w:val="008F65D6"/>
    <w:rsid w:val="009322B9"/>
    <w:rsid w:val="00934BA1"/>
    <w:rsid w:val="0093730D"/>
    <w:rsid w:val="0094049A"/>
    <w:rsid w:val="0094092B"/>
    <w:rsid w:val="00943E5D"/>
    <w:rsid w:val="009521C7"/>
    <w:rsid w:val="00966439"/>
    <w:rsid w:val="009857E4"/>
    <w:rsid w:val="009D6D7B"/>
    <w:rsid w:val="009D7934"/>
    <w:rsid w:val="009E6E0A"/>
    <w:rsid w:val="00A04531"/>
    <w:rsid w:val="00A14BF6"/>
    <w:rsid w:val="00A20B77"/>
    <w:rsid w:val="00A25356"/>
    <w:rsid w:val="00A45C37"/>
    <w:rsid w:val="00A67D1A"/>
    <w:rsid w:val="00A910BF"/>
    <w:rsid w:val="00A9385E"/>
    <w:rsid w:val="00AA3C0A"/>
    <w:rsid w:val="00AC2E48"/>
    <w:rsid w:val="00AD1366"/>
    <w:rsid w:val="00AF0C9A"/>
    <w:rsid w:val="00B265CD"/>
    <w:rsid w:val="00B30584"/>
    <w:rsid w:val="00B6568E"/>
    <w:rsid w:val="00B66459"/>
    <w:rsid w:val="00B81F0B"/>
    <w:rsid w:val="00B918A4"/>
    <w:rsid w:val="00BA3141"/>
    <w:rsid w:val="00BD13A0"/>
    <w:rsid w:val="00BF00B0"/>
    <w:rsid w:val="00BF2398"/>
    <w:rsid w:val="00BF6C47"/>
    <w:rsid w:val="00C0406D"/>
    <w:rsid w:val="00C07B0B"/>
    <w:rsid w:val="00C471D1"/>
    <w:rsid w:val="00C50277"/>
    <w:rsid w:val="00C518EA"/>
    <w:rsid w:val="00C76560"/>
    <w:rsid w:val="00C8613B"/>
    <w:rsid w:val="00CA022A"/>
    <w:rsid w:val="00CB6B34"/>
    <w:rsid w:val="00D0615F"/>
    <w:rsid w:val="00D1584A"/>
    <w:rsid w:val="00D203A2"/>
    <w:rsid w:val="00D2736A"/>
    <w:rsid w:val="00D50C96"/>
    <w:rsid w:val="00D51541"/>
    <w:rsid w:val="00D85110"/>
    <w:rsid w:val="00D86190"/>
    <w:rsid w:val="00DC4526"/>
    <w:rsid w:val="00DD4926"/>
    <w:rsid w:val="00DF69AA"/>
    <w:rsid w:val="00E23968"/>
    <w:rsid w:val="00E37759"/>
    <w:rsid w:val="00E4581A"/>
    <w:rsid w:val="00E473A1"/>
    <w:rsid w:val="00E620AB"/>
    <w:rsid w:val="00E679BB"/>
    <w:rsid w:val="00EB1D9D"/>
    <w:rsid w:val="00F24B4E"/>
    <w:rsid w:val="00F53B32"/>
    <w:rsid w:val="00F614E2"/>
    <w:rsid w:val="00F649E0"/>
    <w:rsid w:val="00F74BE2"/>
    <w:rsid w:val="00F861D3"/>
    <w:rsid w:val="00F91F7D"/>
    <w:rsid w:val="00FA2034"/>
    <w:rsid w:val="00FA308E"/>
    <w:rsid w:val="00FA615F"/>
    <w:rsid w:val="00FA68A2"/>
    <w:rsid w:val="00FD12D3"/>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9C59773"/>
  <w15:chartTrackingRefBased/>
  <w15:docId w15:val="{B723FDD5-DE33-4A84-B302-4D637378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locked="1"/>
    <w:lsdException w:name="caption" w:locked="1" w:semiHidden="1" w:unhideWhenUsed="1" w:qFormat="1"/>
    <w:lsdException w:name="page number" w:locked="1"/>
    <w:lsdException w:name="Title" w:locked="1" w:qFormat="1"/>
    <w:lsdException w:name="Subtitle" w:locked="1" w:qFormat="1"/>
    <w:lsdException w:name="Strong" w:locked="1" w:qFormat="1"/>
    <w:lsdException w:name="Emphasis" w:locked="1" w:qFormat="1"/>
    <w:lsdException w:name="No Lis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link w:val="a5"/>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basedOn w:val="a0"/>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basedOn w:val="a0"/>
    <w:rPr>
      <w:rFonts w:cs="Times New Roman"/>
    </w:rPr>
  </w:style>
  <w:style w:type="character" w:styleId="ab">
    <w:name w:val="line number"/>
    <w:basedOn w:val="a0"/>
    <w:rPr>
      <w:rFonts w:cs="Arial"/>
      <w:sz w:val="20"/>
      <w:szCs w:val="20"/>
    </w:rPr>
  </w:style>
  <w:style w:type="character" w:customStyle="1" w:styleId="TimesNewRomanTimesNewRoman">
    <w:name w:val="סגנון (לטיני) Times New Roman (עברית ושפות אחרות) Times New Roman..."/>
    <w:basedOn w:val="a0"/>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paragraph" w:customStyle="1" w:styleId="12">
    <w:name w:val="רגיל + ‏12 נק'"/>
    <w:aliases w:val="מיושר לשני הצדדים,מרווח בין שורות:  שורה וחצי"/>
    <w:basedOn w:val="a"/>
    <w:rsid w:val="000D239B"/>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0D239B"/>
    <w:pPr>
      <w:spacing w:line="360" w:lineRule="auto"/>
      <w:jc w:val="both"/>
    </w:pPr>
    <w:rPr>
      <w:rFonts w:ascii="Times New Roman" w:eastAsia="David" w:hAnsi="Times New Roman"/>
    </w:rPr>
  </w:style>
  <w:style w:type="paragraph" w:customStyle="1" w:styleId="Ruller4">
    <w:name w:val="Ruller4"/>
    <w:basedOn w:val="a"/>
    <w:rsid w:val="00113BB2"/>
    <w:pPr>
      <w:tabs>
        <w:tab w:val="left" w:pos="800"/>
      </w:tabs>
      <w:overflowPunct w:val="0"/>
      <w:autoSpaceDE w:val="0"/>
      <w:autoSpaceDN w:val="0"/>
      <w:adjustRightInd w:val="0"/>
      <w:spacing w:line="360" w:lineRule="auto"/>
      <w:jc w:val="both"/>
    </w:pPr>
    <w:rPr>
      <w:rFonts w:ascii="Arial TUR" w:eastAsia="David" w:hAnsi="Arial TUR" w:cs="FrankRuehl"/>
      <w:spacing w:val="10"/>
      <w:sz w:val="22"/>
      <w:szCs w:val="28"/>
    </w:rPr>
  </w:style>
  <w:style w:type="character" w:customStyle="1" w:styleId="a5">
    <w:name w:val="כותרת תחתונה תו"/>
    <w:basedOn w:val="a0"/>
    <w:link w:val="a4"/>
    <w:locked/>
    <w:rsid w:val="00113BB2"/>
    <w:rPr>
      <w:rFonts w:cs="Times New Roman"/>
      <w:sz w:val="24"/>
      <w:szCs w:val="24"/>
    </w:rPr>
  </w:style>
  <w:style w:type="character" w:styleId="Hyperlink">
    <w:name w:val="Hyperlink"/>
    <w:basedOn w:val="a0"/>
    <w:rsid w:val="00932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law/70301/144" TargetMode="External"/><Relationship Id="rId47" Type="http://schemas.openxmlformats.org/officeDocument/2006/relationships/hyperlink" Target="http://www.nevo.co.il/case/5887664" TargetMode="External"/><Relationship Id="rId63" Type="http://schemas.openxmlformats.org/officeDocument/2006/relationships/hyperlink" Target="http://www.nevo.co.il/law/70301/40i" TargetMode="External"/><Relationship Id="rId68" Type="http://schemas.openxmlformats.org/officeDocument/2006/relationships/hyperlink" Target="http://www.nevo.co.il/case/5604276" TargetMode="External"/><Relationship Id="rId16" Type="http://schemas.openxmlformats.org/officeDocument/2006/relationships/hyperlink" Target="http://www.nevo.co.il/law/70301/338.a.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594385" TargetMode="External"/><Relationship Id="rId40" Type="http://schemas.openxmlformats.org/officeDocument/2006/relationships/hyperlink" Target="http://www.nevo.co.il/case/5821327"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499.a.1" TargetMode="External"/><Relationship Id="rId58" Type="http://schemas.openxmlformats.org/officeDocument/2006/relationships/hyperlink" Target="http://www.nevo.co.il/law/70301/499.a.1" TargetMode="External"/><Relationship Id="rId66" Type="http://schemas.openxmlformats.org/officeDocument/2006/relationships/hyperlink" Target="http://www.nevo.co.il/law/70301"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law/70301"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977355"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144.a" TargetMode="External"/><Relationship Id="rId56" Type="http://schemas.openxmlformats.org/officeDocument/2006/relationships/hyperlink" Target="http://www.nevo.co.il/law/70301/144.b"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144" TargetMode="External"/><Relationship Id="rId77"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advertisements/nevo-100.doc" TargetMode="External"/><Relationship Id="rId3" Type="http://schemas.openxmlformats.org/officeDocument/2006/relationships/styles" Target="styles.xml"/><Relationship Id="rId12" Type="http://schemas.openxmlformats.org/officeDocument/2006/relationships/hyperlink" Target="http://www.nevo.co.il/law/70301/144"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5227/43" TargetMode="External"/><Relationship Id="rId38" Type="http://schemas.openxmlformats.org/officeDocument/2006/relationships/hyperlink" Target="http://www.nevo.co.il/case/5598555" TargetMode="External"/><Relationship Id="rId46" Type="http://schemas.openxmlformats.org/officeDocument/2006/relationships/hyperlink" Target="http://www.nevo.co.il/case/5608029" TargetMode="External"/><Relationship Id="rId59" Type="http://schemas.openxmlformats.org/officeDocument/2006/relationships/hyperlink" Target="http://www.nevo.co.il/law/70301/144.a"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5227/43" TargetMode="External"/><Relationship Id="rId41" Type="http://schemas.openxmlformats.org/officeDocument/2006/relationships/hyperlink" Target="http://www.nevo.co.il/case/6151556"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5950172" TargetMode="External"/><Relationship Id="rId70" Type="http://schemas.openxmlformats.org/officeDocument/2006/relationships/hyperlink" Target="http://www.nevo.co.il/law/70301" TargetMode="External"/><Relationship Id="rId75"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724364"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law/70301/29"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338.a.1"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law/70301/40c.b"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case/5995135" TargetMode="External"/><Relationship Id="rId34" Type="http://schemas.openxmlformats.org/officeDocument/2006/relationships/hyperlink" Target="http://www.nevo.co.il/law/5227"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44.a"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1.png"/><Relationship Id="rId2" Type="http://schemas.openxmlformats.org/officeDocument/2006/relationships/numbering" Target="numbering.xml"/><Relationship Id="rId29" Type="http://schemas.openxmlformats.org/officeDocument/2006/relationships/hyperlink" Target="http://www.nevo.co.il/law/70301/2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3679</Words>
  <Characters>18399</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22034</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6357092</vt:i4>
      </vt:variant>
      <vt:variant>
        <vt:i4>183</vt:i4>
      </vt:variant>
      <vt:variant>
        <vt:i4>0</vt:i4>
      </vt:variant>
      <vt:variant>
        <vt:i4>5</vt:i4>
      </vt:variant>
      <vt:variant>
        <vt:lpwstr>http://www.nevo.co.il/law/70301/144</vt:lpwstr>
      </vt:variant>
      <vt:variant>
        <vt:lpwstr/>
      </vt:variant>
      <vt:variant>
        <vt:i4>3211377</vt:i4>
      </vt:variant>
      <vt:variant>
        <vt:i4>180</vt:i4>
      </vt:variant>
      <vt:variant>
        <vt:i4>0</vt:i4>
      </vt:variant>
      <vt:variant>
        <vt:i4>5</vt:i4>
      </vt:variant>
      <vt:variant>
        <vt:lpwstr>http://www.nevo.co.il/case/5604276</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4915202</vt:i4>
      </vt:variant>
      <vt:variant>
        <vt:i4>171</vt:i4>
      </vt:variant>
      <vt:variant>
        <vt:i4>0</vt:i4>
      </vt:variant>
      <vt:variant>
        <vt:i4>5</vt:i4>
      </vt:variant>
      <vt:variant>
        <vt:lpwstr>http://www.nevo.co.il/law/70301/40c.b</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http://www.nevo.co.il/law/70301/40i</vt:lpwstr>
      </vt:variant>
      <vt:variant>
        <vt:lpwstr/>
      </vt:variant>
      <vt:variant>
        <vt:i4>3342458</vt:i4>
      </vt:variant>
      <vt:variant>
        <vt:i4>162</vt:i4>
      </vt:variant>
      <vt:variant>
        <vt:i4>0</vt:i4>
      </vt:variant>
      <vt:variant>
        <vt:i4>5</vt:i4>
      </vt:variant>
      <vt:variant>
        <vt:lpwstr>http://www.nevo.co.il/case/5950172</vt:lpwstr>
      </vt:variant>
      <vt:variant>
        <vt:lpwstr/>
      </vt:variant>
      <vt:variant>
        <vt:i4>7995492</vt:i4>
      </vt:variant>
      <vt:variant>
        <vt:i4>159</vt:i4>
      </vt:variant>
      <vt:variant>
        <vt:i4>0</vt:i4>
      </vt:variant>
      <vt:variant>
        <vt:i4>5</vt:i4>
      </vt:variant>
      <vt:variant>
        <vt:lpwstr>http://www.nevo.co.il/law/70301</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7077945</vt:i4>
      </vt:variant>
      <vt:variant>
        <vt:i4>150</vt:i4>
      </vt:variant>
      <vt:variant>
        <vt:i4>0</vt:i4>
      </vt:variant>
      <vt:variant>
        <vt:i4>5</vt:i4>
      </vt:variant>
      <vt:variant>
        <vt:lpwstr>http://www.nevo.co.il/law/70301/499.a.1</vt:lpwstr>
      </vt:variant>
      <vt:variant>
        <vt:lpwstr/>
      </vt:variant>
      <vt:variant>
        <vt:i4>7077991</vt:i4>
      </vt:variant>
      <vt:variant>
        <vt:i4>147</vt:i4>
      </vt:variant>
      <vt:variant>
        <vt:i4>0</vt:i4>
      </vt:variant>
      <vt:variant>
        <vt:i4>5</vt:i4>
      </vt:variant>
      <vt:variant>
        <vt:lpwstr>http://www.nevo.co.il/law/70301/29</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7077945</vt:i4>
      </vt:variant>
      <vt:variant>
        <vt:i4>135</vt:i4>
      </vt:variant>
      <vt:variant>
        <vt:i4>0</vt:i4>
      </vt:variant>
      <vt:variant>
        <vt:i4>5</vt:i4>
      </vt:variant>
      <vt:variant>
        <vt:lpwstr>http://www.nevo.co.il/law/70301/499.a.1</vt:lpwstr>
      </vt:variant>
      <vt:variant>
        <vt:lpwstr/>
      </vt:variant>
      <vt:variant>
        <vt:i4>5177424</vt:i4>
      </vt:variant>
      <vt:variant>
        <vt:i4>132</vt:i4>
      </vt:variant>
      <vt:variant>
        <vt:i4>0</vt:i4>
      </vt:variant>
      <vt:variant>
        <vt:i4>5</vt:i4>
      </vt:variant>
      <vt:variant>
        <vt:lpwstr>http://www.nevo.co.il/law/70301/144.b</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4128893</vt:i4>
      </vt:variant>
      <vt:variant>
        <vt:i4>117</vt:i4>
      </vt:variant>
      <vt:variant>
        <vt:i4>0</vt:i4>
      </vt:variant>
      <vt:variant>
        <vt:i4>5</vt:i4>
      </vt:variant>
      <vt:variant>
        <vt:lpwstr>http://www.nevo.co.il/case/5887664</vt:lpwstr>
      </vt:variant>
      <vt:variant>
        <vt:lpwstr/>
      </vt:variant>
      <vt:variant>
        <vt:i4>3932280</vt:i4>
      </vt:variant>
      <vt:variant>
        <vt:i4>114</vt:i4>
      </vt:variant>
      <vt:variant>
        <vt:i4>0</vt:i4>
      </vt:variant>
      <vt:variant>
        <vt:i4>5</vt:i4>
      </vt:variant>
      <vt:variant>
        <vt:lpwstr>http://www.nevo.co.il/case/5608029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6357092</vt:i4>
      </vt:variant>
      <vt:variant>
        <vt:i4>102</vt:i4>
      </vt:variant>
      <vt:variant>
        <vt:i4>0</vt:i4>
      </vt:variant>
      <vt:variant>
        <vt:i4>5</vt:i4>
      </vt:variant>
      <vt:variant>
        <vt:lpwstr>http://www.nevo.co.il/law/70301/144</vt:lpwstr>
      </vt:variant>
      <vt:variant>
        <vt:lpwstr/>
      </vt:variant>
      <vt:variant>
        <vt:i4>3145841</vt:i4>
      </vt:variant>
      <vt:variant>
        <vt:i4>99</vt:i4>
      </vt:variant>
      <vt:variant>
        <vt:i4>0</vt:i4>
      </vt:variant>
      <vt:variant>
        <vt:i4>5</vt:i4>
      </vt:variant>
      <vt:variant>
        <vt:lpwstr>http://www.nevo.co.il/case/6151556</vt:lpwstr>
      </vt:variant>
      <vt:variant>
        <vt:lpwstr/>
      </vt:variant>
      <vt:variant>
        <vt:i4>3342463</vt:i4>
      </vt:variant>
      <vt:variant>
        <vt:i4>96</vt:i4>
      </vt:variant>
      <vt:variant>
        <vt:i4>0</vt:i4>
      </vt:variant>
      <vt:variant>
        <vt:i4>5</vt:i4>
      </vt:variant>
      <vt:variant>
        <vt:lpwstr>http://www.nevo.co.il/case/5821327</vt:lpwstr>
      </vt:variant>
      <vt:variant>
        <vt:lpwstr/>
      </vt:variant>
      <vt:variant>
        <vt:i4>3670139</vt:i4>
      </vt:variant>
      <vt:variant>
        <vt:i4>93</vt:i4>
      </vt:variant>
      <vt:variant>
        <vt:i4>0</vt:i4>
      </vt:variant>
      <vt:variant>
        <vt:i4>5</vt:i4>
      </vt:variant>
      <vt:variant>
        <vt:lpwstr>http://www.nevo.co.il/case/5995135</vt:lpwstr>
      </vt:variant>
      <vt:variant>
        <vt:lpwstr/>
      </vt:variant>
      <vt:variant>
        <vt:i4>3932284</vt:i4>
      </vt:variant>
      <vt:variant>
        <vt:i4>90</vt:i4>
      </vt:variant>
      <vt:variant>
        <vt:i4>0</vt:i4>
      </vt:variant>
      <vt:variant>
        <vt:i4>5</vt:i4>
      </vt:variant>
      <vt:variant>
        <vt:lpwstr>http://www.nevo.co.il/case/5598555</vt:lpwstr>
      </vt:variant>
      <vt:variant>
        <vt:lpwstr/>
      </vt:variant>
      <vt:variant>
        <vt:i4>3801213</vt:i4>
      </vt:variant>
      <vt:variant>
        <vt:i4>87</vt:i4>
      </vt:variant>
      <vt:variant>
        <vt:i4>0</vt:i4>
      </vt:variant>
      <vt:variant>
        <vt:i4>5</vt:i4>
      </vt:variant>
      <vt:variant>
        <vt:lpwstr>http://www.nevo.co.il/case/5594385</vt:lpwstr>
      </vt:variant>
      <vt:variant>
        <vt:lpwstr/>
      </vt:variant>
      <vt:variant>
        <vt:i4>3145841</vt:i4>
      </vt:variant>
      <vt:variant>
        <vt:i4>84</vt:i4>
      </vt:variant>
      <vt:variant>
        <vt:i4>0</vt:i4>
      </vt:variant>
      <vt:variant>
        <vt:i4>5</vt:i4>
      </vt:variant>
      <vt:variant>
        <vt:lpwstr>http://www.nevo.co.il/case/5724364</vt:lpwstr>
      </vt:variant>
      <vt:variant>
        <vt:lpwstr/>
      </vt:variant>
      <vt:variant>
        <vt:i4>3407999</vt:i4>
      </vt:variant>
      <vt:variant>
        <vt:i4>81</vt:i4>
      </vt:variant>
      <vt:variant>
        <vt:i4>0</vt:i4>
      </vt:variant>
      <vt:variant>
        <vt:i4>5</vt:i4>
      </vt:variant>
      <vt:variant>
        <vt:lpwstr>http://www.nevo.co.il/case/5977355</vt:lpwstr>
      </vt:variant>
      <vt:variant>
        <vt:lpwstr/>
      </vt:variant>
      <vt:variant>
        <vt:i4>8323175</vt:i4>
      </vt:variant>
      <vt:variant>
        <vt:i4>78</vt:i4>
      </vt:variant>
      <vt:variant>
        <vt:i4>0</vt:i4>
      </vt:variant>
      <vt:variant>
        <vt:i4>5</vt:i4>
      </vt:variant>
      <vt:variant>
        <vt:lpwstr>http://www.nevo.co.il/law/5227</vt:lpwstr>
      </vt:variant>
      <vt:variant>
        <vt:lpwstr/>
      </vt:variant>
      <vt:variant>
        <vt:i4>4915272</vt:i4>
      </vt:variant>
      <vt:variant>
        <vt:i4>75</vt:i4>
      </vt:variant>
      <vt:variant>
        <vt:i4>0</vt:i4>
      </vt:variant>
      <vt:variant>
        <vt:i4>5</vt:i4>
      </vt:variant>
      <vt:variant>
        <vt:lpwstr>http://www.nevo.co.il/law/5227/43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6684735</vt:i4>
      </vt:variant>
      <vt:variant>
        <vt:i4>69</vt:i4>
      </vt:variant>
      <vt:variant>
        <vt:i4>0</vt:i4>
      </vt:variant>
      <vt:variant>
        <vt:i4>5</vt:i4>
      </vt:variant>
      <vt:variant>
        <vt:lpwstr>http://www.nevo.co.il/law/70301/338.a.1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4915272</vt:i4>
      </vt:variant>
      <vt:variant>
        <vt:i4>36</vt:i4>
      </vt:variant>
      <vt:variant>
        <vt:i4>0</vt:i4>
      </vt:variant>
      <vt:variant>
        <vt:i4>5</vt:i4>
      </vt:variant>
      <vt:variant>
        <vt:lpwstr>http://www.nevo.co.il/law/5227/43</vt:lpwstr>
      </vt:variant>
      <vt:variant>
        <vt:lpwstr/>
      </vt:variant>
      <vt:variant>
        <vt:i4>8323175</vt:i4>
      </vt:variant>
      <vt:variant>
        <vt:i4>33</vt:i4>
      </vt:variant>
      <vt:variant>
        <vt:i4>0</vt:i4>
      </vt:variant>
      <vt:variant>
        <vt:i4>5</vt:i4>
      </vt:variant>
      <vt:variant>
        <vt:lpwstr>http://www.nevo.co.il/law/5227</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6684735</vt:i4>
      </vt:variant>
      <vt:variant>
        <vt:i4>24</vt:i4>
      </vt:variant>
      <vt:variant>
        <vt:i4>0</vt:i4>
      </vt:variant>
      <vt:variant>
        <vt:i4>5</vt:i4>
      </vt:variant>
      <vt:variant>
        <vt:lpwstr>http://www.nevo.co.il/law/70301/338.a.1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2013-04-23T10:32:00Z</cp:lastPrinted>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38015</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עבד אלכרים בן ג'מאל סלימאן</vt:lpwstr>
  </property>
  <property fmtid="{D5CDD505-2E9C-101B-9397-08002B2CF9AE}" pid="10" name="LAWYER">
    <vt:lpwstr>אבראהים סלימאן;ויאאם קבלאוי;ו אבראהים סלימאן</vt:lpwstr>
  </property>
  <property fmtid="{D5CDD505-2E9C-101B-9397-08002B2CF9AE}" pid="11" name="JUDGE">
    <vt:lpwstr>שאהר אטרש</vt:lpwstr>
  </property>
  <property fmtid="{D5CDD505-2E9C-101B-9397-08002B2CF9AE}" pid="12" name="CITY">
    <vt:lpwstr>נצ'</vt:lpwstr>
  </property>
  <property fmtid="{D5CDD505-2E9C-101B-9397-08002B2CF9AE}" pid="13" name="DATE">
    <vt:lpwstr>20130423</vt:lpwstr>
  </property>
  <property fmtid="{D5CDD505-2E9C-101B-9397-08002B2CF9AE}" pid="14" name="TYPE_N_DATE">
    <vt:lpwstr>39020130423</vt:lpwstr>
  </property>
  <property fmtid="{D5CDD505-2E9C-101B-9397-08002B2CF9AE}" pid="15" name="CASESLISTTMP1">
    <vt:lpwstr>5977355;5724364;5594385;5598555;5995135;5821327;6151556;5608029;5887664;5950172;5604276</vt:lpwstr>
  </property>
  <property fmtid="{D5CDD505-2E9C-101B-9397-08002B2CF9AE}" pid="16" name="CASENOTES1">
    <vt:lpwstr>ProcID=30&amp;PartA=625&amp;PartC=82</vt:lpwstr>
  </property>
  <property fmtid="{D5CDD505-2E9C-101B-9397-08002B2CF9AE}" pid="17" name="CASENOTES2">
    <vt:lpwstr>ProcID=133;209&amp;PartA=555&amp;PartC=11</vt:lpwstr>
  </property>
  <property fmtid="{D5CDD505-2E9C-101B-9397-08002B2CF9AE}" pid="18" name="CASENOTES3">
    <vt:lpwstr>ProcID=209&amp;PartA=1111&amp;PartC=04</vt:lpwstr>
  </property>
  <property fmtid="{D5CDD505-2E9C-101B-9397-08002B2CF9AE}" pid="19" name="CASENOTES4">
    <vt:lpwstr>ProcID=209&amp;PartA=1167&amp;PartC=02</vt:lpwstr>
  </property>
  <property fmtid="{D5CDD505-2E9C-101B-9397-08002B2CF9AE}" pid="20" name="CASENOTES5">
    <vt:lpwstr>ProcID=209&amp;PartA=114&amp;PartC=08</vt:lpwstr>
  </property>
  <property fmtid="{D5CDD505-2E9C-101B-9397-08002B2CF9AE}" pid="21" name="CASENOTES6">
    <vt:lpwstr>ProcID=209&amp;PartA=8182&amp;PartC=08</vt:lpwstr>
  </property>
  <property fmtid="{D5CDD505-2E9C-101B-9397-08002B2CF9AE}" pid="22" name="WORDNUMPAGES">
    <vt:lpwstr>11</vt:lpwstr>
  </property>
  <property fmtid="{D5CDD505-2E9C-101B-9397-08002B2CF9AE}" pid="23" name="TYPE_ABS_DATE">
    <vt:lpwstr>390020130423</vt:lpwstr>
  </property>
  <property fmtid="{D5CDD505-2E9C-101B-9397-08002B2CF9AE}" pid="24" name="ISABSTRACT">
    <vt:lpwstr>Y</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LAWLISTTMP1">
    <vt:lpwstr>70301/144.a:6;144.b:7;275;338.a.1;144:2;499.a.1:2;029;040i;040c.b;40ja</vt:lpwstr>
  </property>
  <property fmtid="{D5CDD505-2E9C-101B-9397-08002B2CF9AE}" pid="43" name="LAWLISTTMP2">
    <vt:lpwstr>5227/043</vt:lpwstr>
  </property>
</Properties>
</file>