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8"/>
        <w:gridCol w:w="3663"/>
      </w:tblGrid>
      <w:tr w:rsidR="00912AF8" w:rsidRPr="005E438E" w14:paraId="4FA3BB5F" w14:textId="77777777">
        <w:trPr>
          <w:trHeight w:hRule="exact" w:val="418"/>
          <w:jc w:val="center"/>
        </w:trPr>
        <w:tc>
          <w:tcPr>
            <w:tcW w:w="8721" w:type="dxa"/>
            <w:gridSpan w:val="2"/>
          </w:tcPr>
          <w:p w14:paraId="32D27A1F" w14:textId="77777777" w:rsidR="00912AF8" w:rsidRPr="005E438E" w:rsidRDefault="005E438E">
            <w:pPr>
              <w:pStyle w:val="a3"/>
              <w:jc w:val="center"/>
              <w:rPr>
                <w:rFonts w:ascii="Tahoma" w:hAnsi="Tahoma" w:cs="Tahoma"/>
                <w:color w:val="000080"/>
                <w:rtl/>
              </w:rPr>
            </w:pPr>
            <w:r w:rsidRPr="005E438E">
              <w:rPr>
                <w:rFonts w:ascii="Tahoma" w:hAnsi="Tahoma" w:cs="Tahoma"/>
                <w:b/>
                <w:bCs/>
                <w:color w:val="000080"/>
                <w:rtl/>
              </w:rPr>
              <w:t>בית המשפט המחוזי בחיפה</w:t>
            </w:r>
          </w:p>
        </w:tc>
      </w:tr>
      <w:tr w:rsidR="00912AF8" w:rsidRPr="005E438E" w14:paraId="2C3F81EB" w14:textId="77777777">
        <w:trPr>
          <w:trHeight w:val="337"/>
          <w:jc w:val="center"/>
        </w:trPr>
        <w:tc>
          <w:tcPr>
            <w:tcW w:w="5058" w:type="dxa"/>
          </w:tcPr>
          <w:p w14:paraId="5758099F" w14:textId="77777777" w:rsidR="00912AF8" w:rsidRPr="005E438E" w:rsidRDefault="005E438E">
            <w:pPr>
              <w:rPr>
                <w:rFonts w:cs="FrankRuehl"/>
                <w:sz w:val="28"/>
                <w:szCs w:val="28"/>
                <w:rtl/>
              </w:rPr>
            </w:pPr>
            <w:r w:rsidRPr="005E438E">
              <w:rPr>
                <w:rFonts w:cs="FrankRuehl"/>
                <w:sz w:val="28"/>
                <w:szCs w:val="28"/>
                <w:rtl/>
              </w:rPr>
              <w:t>תפ"ח</w:t>
            </w:r>
            <w:r w:rsidRPr="005E438E">
              <w:rPr>
                <w:rFonts w:cs="FrankRuehl" w:hint="cs"/>
                <w:sz w:val="28"/>
                <w:szCs w:val="28"/>
                <w:rtl/>
              </w:rPr>
              <w:t xml:space="preserve"> </w:t>
            </w:r>
            <w:r w:rsidRPr="005E438E">
              <w:rPr>
                <w:rFonts w:cs="FrankRuehl"/>
                <w:sz w:val="28"/>
                <w:szCs w:val="28"/>
                <w:rtl/>
              </w:rPr>
              <w:t>14480-04-12</w:t>
            </w:r>
            <w:r w:rsidRPr="005E438E">
              <w:rPr>
                <w:rFonts w:cs="FrankRuehl" w:hint="cs"/>
                <w:sz w:val="28"/>
                <w:szCs w:val="28"/>
                <w:rtl/>
              </w:rPr>
              <w:t xml:space="preserve"> </w:t>
            </w:r>
            <w:r w:rsidRPr="005E438E">
              <w:rPr>
                <w:rFonts w:cs="FrankRuehl"/>
                <w:sz w:val="28"/>
                <w:szCs w:val="28"/>
                <w:rtl/>
              </w:rPr>
              <w:t>מדינת ישראל נ' בדראן(עציר) ואח'</w:t>
            </w:r>
          </w:p>
          <w:p w14:paraId="6775F7FE" w14:textId="77777777" w:rsidR="00912AF8" w:rsidRPr="005E438E" w:rsidRDefault="00912AF8">
            <w:pPr>
              <w:pStyle w:val="a3"/>
              <w:rPr>
                <w:rFonts w:cs="FrankRuehl"/>
                <w:sz w:val="28"/>
                <w:szCs w:val="28"/>
                <w:rtl/>
              </w:rPr>
            </w:pPr>
          </w:p>
        </w:tc>
        <w:tc>
          <w:tcPr>
            <w:tcW w:w="3663" w:type="dxa"/>
          </w:tcPr>
          <w:p w14:paraId="33B7C64F" w14:textId="77777777" w:rsidR="00912AF8" w:rsidRPr="005E438E" w:rsidRDefault="00912AF8">
            <w:pPr>
              <w:pStyle w:val="a3"/>
              <w:jc w:val="right"/>
              <w:rPr>
                <w:rFonts w:cs="FrankRuehl"/>
                <w:sz w:val="28"/>
                <w:szCs w:val="28"/>
                <w:rtl/>
              </w:rPr>
            </w:pPr>
          </w:p>
        </w:tc>
      </w:tr>
    </w:tbl>
    <w:p w14:paraId="1B67D736" w14:textId="77777777" w:rsidR="00912AF8" w:rsidRPr="005E438E" w:rsidRDefault="005E438E">
      <w:pPr>
        <w:pStyle w:val="a3"/>
        <w:rPr>
          <w:rtl/>
        </w:rPr>
      </w:pPr>
      <w:r w:rsidRPr="005E438E">
        <w:rPr>
          <w:rFonts w:hint="cs"/>
          <w:rtl/>
        </w:rPr>
        <w:t xml:space="preserve"> </w:t>
      </w:r>
    </w:p>
    <w:p w14:paraId="79B7E6FD" w14:textId="77777777" w:rsidR="00912AF8" w:rsidRPr="005E438E" w:rsidRDefault="00912AF8">
      <w:pPr>
        <w:spacing w:line="360" w:lineRule="auto"/>
        <w:rPr>
          <w:b/>
          <w:bCs/>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45"/>
        <w:gridCol w:w="4114"/>
        <w:gridCol w:w="3761"/>
      </w:tblGrid>
      <w:tr w:rsidR="00912AF8" w:rsidRPr="005E438E" w14:paraId="52FB84F6" w14:textId="77777777">
        <w:trPr>
          <w:trHeight w:val="295"/>
          <w:jc w:val="center"/>
        </w:trPr>
        <w:tc>
          <w:tcPr>
            <w:tcW w:w="945" w:type="dxa"/>
            <w:tcBorders>
              <w:top w:val="nil"/>
              <w:left w:val="nil"/>
              <w:bottom w:val="nil"/>
              <w:right w:val="nil"/>
            </w:tcBorders>
          </w:tcPr>
          <w:p w14:paraId="1F2576D7" w14:textId="77777777" w:rsidR="00912AF8" w:rsidRPr="005E438E" w:rsidRDefault="005E438E">
            <w:pPr>
              <w:spacing w:line="360" w:lineRule="auto"/>
              <w:jc w:val="both"/>
              <w:rPr>
                <w:rFonts w:ascii="Arial" w:hAnsi="Arial"/>
                <w:b/>
                <w:bCs/>
                <w:sz w:val="28"/>
                <w:szCs w:val="28"/>
              </w:rPr>
            </w:pPr>
            <w:r w:rsidRPr="005E438E">
              <w:rPr>
                <w:rFonts w:ascii="Arial" w:hAnsi="Arial" w:hint="cs"/>
                <w:b/>
                <w:bCs/>
                <w:sz w:val="28"/>
                <w:szCs w:val="28"/>
                <w:rtl/>
              </w:rPr>
              <w:t>ב</w:t>
            </w:r>
            <w:r w:rsidRPr="005E438E">
              <w:rPr>
                <w:rFonts w:ascii="Arial" w:hAnsi="Arial"/>
                <w:b/>
                <w:bCs/>
                <w:sz w:val="28"/>
                <w:szCs w:val="28"/>
                <w:rtl/>
              </w:rPr>
              <w:t xml:space="preserve">פני </w:t>
            </w:r>
          </w:p>
        </w:tc>
        <w:tc>
          <w:tcPr>
            <w:tcW w:w="7875" w:type="dxa"/>
            <w:gridSpan w:val="2"/>
            <w:tcBorders>
              <w:top w:val="nil"/>
              <w:left w:val="nil"/>
              <w:bottom w:val="nil"/>
              <w:right w:val="nil"/>
            </w:tcBorders>
          </w:tcPr>
          <w:p w14:paraId="7B4CE48D" w14:textId="77777777" w:rsidR="00912AF8" w:rsidRPr="005E438E" w:rsidRDefault="005E438E">
            <w:pPr>
              <w:spacing w:line="360" w:lineRule="auto"/>
              <w:rPr>
                <w:rFonts w:ascii="Arial" w:hAnsi="Arial"/>
                <w:b/>
                <w:bCs/>
                <w:sz w:val="28"/>
                <w:szCs w:val="28"/>
                <w:rtl/>
              </w:rPr>
            </w:pPr>
            <w:r w:rsidRPr="005E438E">
              <w:rPr>
                <w:rFonts w:ascii="Arial" w:hAnsi="Arial" w:hint="cs"/>
                <w:b/>
                <w:bCs/>
                <w:sz w:val="28"/>
                <w:szCs w:val="28"/>
                <w:rtl/>
              </w:rPr>
              <w:t>כב' השופט יוסף אלרון, נשיא [אב"ד]</w:t>
            </w:r>
          </w:p>
          <w:p w14:paraId="4FE8FC3E" w14:textId="77777777" w:rsidR="00912AF8" w:rsidRPr="005E438E" w:rsidRDefault="005E438E">
            <w:pPr>
              <w:spacing w:line="360" w:lineRule="auto"/>
              <w:rPr>
                <w:rFonts w:ascii="Arial" w:hAnsi="Arial"/>
                <w:b/>
                <w:bCs/>
                <w:sz w:val="28"/>
                <w:szCs w:val="28"/>
                <w:rtl/>
              </w:rPr>
            </w:pPr>
            <w:r w:rsidRPr="005E438E">
              <w:rPr>
                <w:rFonts w:ascii="Arial" w:hAnsi="Arial" w:hint="cs"/>
                <w:b/>
                <w:bCs/>
                <w:sz w:val="28"/>
                <w:szCs w:val="28"/>
                <w:rtl/>
              </w:rPr>
              <w:t>כב' השופט עודד גרשון</w:t>
            </w:r>
          </w:p>
          <w:p w14:paraId="3821BCA7" w14:textId="77777777" w:rsidR="00912AF8" w:rsidRPr="005E438E" w:rsidRDefault="005E438E">
            <w:pPr>
              <w:spacing w:line="360" w:lineRule="auto"/>
              <w:rPr>
                <w:rFonts w:ascii="Arial" w:hAnsi="Arial"/>
                <w:b/>
                <w:bCs/>
                <w:sz w:val="28"/>
                <w:szCs w:val="28"/>
                <w:rtl/>
              </w:rPr>
            </w:pPr>
            <w:r w:rsidRPr="005E438E">
              <w:rPr>
                <w:rFonts w:ascii="Arial" w:hAnsi="Arial" w:hint="cs"/>
                <w:b/>
                <w:bCs/>
                <w:sz w:val="28"/>
                <w:szCs w:val="28"/>
                <w:rtl/>
              </w:rPr>
              <w:t>כב' השופט אברהם אליקים</w:t>
            </w:r>
          </w:p>
          <w:p w14:paraId="014F1C40" w14:textId="77777777" w:rsidR="00912AF8" w:rsidRPr="005E438E" w:rsidRDefault="00912AF8">
            <w:pPr>
              <w:spacing w:line="360" w:lineRule="auto"/>
              <w:rPr>
                <w:rFonts w:ascii="Arial" w:hAnsi="Arial"/>
                <w:b/>
                <w:bCs/>
                <w:sz w:val="28"/>
                <w:szCs w:val="28"/>
              </w:rPr>
            </w:pPr>
          </w:p>
        </w:tc>
      </w:tr>
      <w:tr w:rsidR="00912AF8" w:rsidRPr="005E438E" w14:paraId="041A33EF" w14:textId="77777777">
        <w:trPr>
          <w:trHeight w:val="355"/>
          <w:jc w:val="center"/>
        </w:trPr>
        <w:tc>
          <w:tcPr>
            <w:tcW w:w="945" w:type="dxa"/>
            <w:tcBorders>
              <w:top w:val="nil"/>
              <w:left w:val="nil"/>
              <w:bottom w:val="nil"/>
              <w:right w:val="nil"/>
            </w:tcBorders>
          </w:tcPr>
          <w:p w14:paraId="1628B6AD" w14:textId="77777777" w:rsidR="00912AF8" w:rsidRPr="005E438E" w:rsidRDefault="005E438E">
            <w:pPr>
              <w:spacing w:line="360" w:lineRule="auto"/>
              <w:jc w:val="both"/>
              <w:rPr>
                <w:rFonts w:ascii="Arial" w:hAnsi="Arial"/>
                <w:b/>
                <w:bCs/>
                <w:sz w:val="28"/>
                <w:szCs w:val="28"/>
              </w:rPr>
            </w:pPr>
            <w:bookmarkStart w:id="0" w:name="FirstAppellant"/>
            <w:bookmarkStart w:id="1" w:name="LastJudge"/>
            <w:bookmarkEnd w:id="1"/>
            <w:r w:rsidRPr="005E438E">
              <w:rPr>
                <w:rFonts w:ascii="Arial" w:hAnsi="Arial" w:hint="cs"/>
                <w:b/>
                <w:bCs/>
                <w:sz w:val="28"/>
                <w:szCs w:val="28"/>
                <w:rtl/>
              </w:rPr>
              <w:t>בעניין:</w:t>
            </w:r>
          </w:p>
        </w:tc>
        <w:tc>
          <w:tcPr>
            <w:tcW w:w="4114" w:type="dxa"/>
            <w:tcBorders>
              <w:top w:val="nil"/>
              <w:left w:val="nil"/>
              <w:bottom w:val="nil"/>
              <w:right w:val="nil"/>
            </w:tcBorders>
          </w:tcPr>
          <w:p w14:paraId="32F4B99B" w14:textId="77777777" w:rsidR="00912AF8" w:rsidRPr="005E438E" w:rsidRDefault="005E438E">
            <w:pPr>
              <w:spacing w:line="360" w:lineRule="auto"/>
              <w:rPr>
                <w:b/>
                <w:bCs/>
              </w:rPr>
            </w:pPr>
            <w:r w:rsidRPr="005E438E">
              <w:rPr>
                <w:rFonts w:hint="cs"/>
                <w:b/>
                <w:bCs/>
                <w:rtl/>
              </w:rPr>
              <w:t>מדינת ישראל</w:t>
            </w:r>
          </w:p>
        </w:tc>
        <w:tc>
          <w:tcPr>
            <w:tcW w:w="3761" w:type="dxa"/>
            <w:tcBorders>
              <w:top w:val="nil"/>
              <w:left w:val="nil"/>
              <w:bottom w:val="nil"/>
              <w:right w:val="nil"/>
            </w:tcBorders>
          </w:tcPr>
          <w:p w14:paraId="71812FF8" w14:textId="77777777" w:rsidR="00912AF8" w:rsidRPr="005E438E" w:rsidRDefault="00912AF8">
            <w:pPr>
              <w:spacing w:line="360" w:lineRule="auto"/>
              <w:jc w:val="both"/>
              <w:rPr>
                <w:rFonts w:ascii="Arial" w:hAnsi="Arial"/>
                <w:b/>
                <w:bCs/>
                <w:sz w:val="28"/>
                <w:szCs w:val="28"/>
              </w:rPr>
            </w:pPr>
          </w:p>
        </w:tc>
      </w:tr>
      <w:bookmarkEnd w:id="0"/>
      <w:tr w:rsidR="00912AF8" w:rsidRPr="005E438E" w14:paraId="41FF24C4" w14:textId="77777777">
        <w:trPr>
          <w:trHeight w:val="355"/>
          <w:jc w:val="center"/>
        </w:trPr>
        <w:tc>
          <w:tcPr>
            <w:tcW w:w="945" w:type="dxa"/>
            <w:tcBorders>
              <w:top w:val="nil"/>
              <w:left w:val="nil"/>
              <w:bottom w:val="nil"/>
              <w:right w:val="nil"/>
            </w:tcBorders>
          </w:tcPr>
          <w:p w14:paraId="7C470E98" w14:textId="77777777" w:rsidR="00912AF8" w:rsidRPr="005E438E" w:rsidRDefault="00912AF8">
            <w:pPr>
              <w:spacing w:line="360" w:lineRule="auto"/>
              <w:jc w:val="both"/>
              <w:rPr>
                <w:rFonts w:ascii="Arial" w:hAnsi="Arial"/>
                <w:b/>
                <w:bCs/>
                <w:sz w:val="28"/>
                <w:szCs w:val="28"/>
                <w:rtl/>
              </w:rPr>
            </w:pPr>
          </w:p>
        </w:tc>
        <w:tc>
          <w:tcPr>
            <w:tcW w:w="4114" w:type="dxa"/>
            <w:tcBorders>
              <w:top w:val="nil"/>
              <w:left w:val="nil"/>
              <w:bottom w:val="nil"/>
              <w:right w:val="nil"/>
            </w:tcBorders>
          </w:tcPr>
          <w:p w14:paraId="4D07D4F4" w14:textId="77777777" w:rsidR="00912AF8" w:rsidRPr="005E438E" w:rsidRDefault="00912AF8">
            <w:pPr>
              <w:spacing w:line="360" w:lineRule="auto"/>
              <w:jc w:val="both"/>
              <w:rPr>
                <w:b/>
                <w:bCs/>
                <w:rtl/>
              </w:rPr>
            </w:pPr>
          </w:p>
        </w:tc>
        <w:tc>
          <w:tcPr>
            <w:tcW w:w="3761" w:type="dxa"/>
            <w:tcBorders>
              <w:top w:val="nil"/>
              <w:left w:val="nil"/>
              <w:bottom w:val="nil"/>
              <w:right w:val="nil"/>
            </w:tcBorders>
          </w:tcPr>
          <w:p w14:paraId="408178AC" w14:textId="77777777" w:rsidR="00912AF8" w:rsidRPr="005E438E" w:rsidRDefault="005E438E">
            <w:pPr>
              <w:spacing w:line="360" w:lineRule="auto"/>
              <w:jc w:val="right"/>
              <w:rPr>
                <w:rFonts w:ascii="Arial" w:hAnsi="Arial"/>
                <w:b/>
                <w:bCs/>
                <w:sz w:val="28"/>
                <w:szCs w:val="28"/>
                <w:rtl/>
              </w:rPr>
            </w:pPr>
            <w:r w:rsidRPr="005E438E">
              <w:rPr>
                <w:rFonts w:ascii="Arial" w:hAnsi="Arial" w:hint="cs"/>
                <w:b/>
                <w:bCs/>
                <w:sz w:val="28"/>
                <w:szCs w:val="28"/>
                <w:rtl/>
              </w:rPr>
              <w:t>ה</w:t>
            </w:r>
            <w:r w:rsidRPr="005E438E">
              <w:rPr>
                <w:rFonts w:hint="cs"/>
                <w:b/>
                <w:bCs/>
                <w:rtl/>
              </w:rPr>
              <w:t>מאשימה</w:t>
            </w:r>
          </w:p>
        </w:tc>
      </w:tr>
      <w:tr w:rsidR="00912AF8" w:rsidRPr="005E438E" w14:paraId="6F27D769" w14:textId="77777777">
        <w:trPr>
          <w:trHeight w:val="355"/>
          <w:jc w:val="center"/>
        </w:trPr>
        <w:tc>
          <w:tcPr>
            <w:tcW w:w="945" w:type="dxa"/>
            <w:tcBorders>
              <w:top w:val="nil"/>
              <w:left w:val="nil"/>
              <w:bottom w:val="nil"/>
              <w:right w:val="nil"/>
            </w:tcBorders>
          </w:tcPr>
          <w:p w14:paraId="74325B93" w14:textId="77777777" w:rsidR="00912AF8" w:rsidRPr="005E438E" w:rsidRDefault="00912AF8">
            <w:pPr>
              <w:jc w:val="both"/>
              <w:rPr>
                <w:rFonts w:ascii="Arial" w:hAnsi="Arial"/>
                <w:b/>
                <w:bCs/>
                <w:sz w:val="28"/>
                <w:szCs w:val="28"/>
                <w:rtl/>
              </w:rPr>
            </w:pPr>
          </w:p>
        </w:tc>
        <w:tc>
          <w:tcPr>
            <w:tcW w:w="7875" w:type="dxa"/>
            <w:gridSpan w:val="2"/>
            <w:tcBorders>
              <w:top w:val="nil"/>
              <w:left w:val="nil"/>
              <w:bottom w:val="nil"/>
              <w:right w:val="nil"/>
            </w:tcBorders>
          </w:tcPr>
          <w:p w14:paraId="4AF01794" w14:textId="77777777" w:rsidR="00912AF8" w:rsidRPr="005E438E" w:rsidRDefault="00912AF8">
            <w:pPr>
              <w:jc w:val="center"/>
              <w:rPr>
                <w:rFonts w:ascii="Arial" w:hAnsi="Arial"/>
                <w:b/>
                <w:bCs/>
                <w:sz w:val="28"/>
                <w:szCs w:val="28"/>
                <w:rtl/>
              </w:rPr>
            </w:pPr>
          </w:p>
          <w:p w14:paraId="77C5684C" w14:textId="77777777" w:rsidR="00912AF8" w:rsidRPr="005E438E" w:rsidRDefault="005E438E">
            <w:pPr>
              <w:jc w:val="center"/>
              <w:rPr>
                <w:rFonts w:ascii="Arial" w:hAnsi="Arial"/>
                <w:b/>
                <w:bCs/>
                <w:sz w:val="28"/>
                <w:szCs w:val="28"/>
                <w:rtl/>
              </w:rPr>
            </w:pPr>
            <w:r w:rsidRPr="005E438E">
              <w:rPr>
                <w:rFonts w:ascii="Arial" w:hAnsi="Arial"/>
                <w:b/>
                <w:bCs/>
                <w:sz w:val="28"/>
                <w:szCs w:val="28"/>
                <w:rtl/>
              </w:rPr>
              <w:t>נגד</w:t>
            </w:r>
          </w:p>
          <w:p w14:paraId="6B3F1C26" w14:textId="77777777" w:rsidR="00912AF8" w:rsidRPr="005E438E" w:rsidRDefault="00912AF8">
            <w:pPr>
              <w:jc w:val="both"/>
              <w:rPr>
                <w:rFonts w:ascii="Arial" w:hAnsi="Arial"/>
                <w:b/>
                <w:bCs/>
                <w:sz w:val="28"/>
                <w:szCs w:val="28"/>
              </w:rPr>
            </w:pPr>
          </w:p>
        </w:tc>
      </w:tr>
      <w:tr w:rsidR="00912AF8" w:rsidRPr="005E438E" w14:paraId="1A701CAA" w14:textId="77777777">
        <w:trPr>
          <w:trHeight w:val="355"/>
          <w:jc w:val="center"/>
        </w:trPr>
        <w:tc>
          <w:tcPr>
            <w:tcW w:w="945" w:type="dxa"/>
            <w:tcBorders>
              <w:top w:val="nil"/>
              <w:left w:val="nil"/>
              <w:bottom w:val="nil"/>
              <w:right w:val="nil"/>
            </w:tcBorders>
          </w:tcPr>
          <w:p w14:paraId="667FCFDA" w14:textId="77777777" w:rsidR="00912AF8" w:rsidRPr="005E438E" w:rsidRDefault="00912AF8">
            <w:pPr>
              <w:spacing w:line="360" w:lineRule="auto"/>
              <w:rPr>
                <w:rFonts w:ascii="Arial" w:hAnsi="Arial"/>
                <w:b/>
                <w:bCs/>
                <w:sz w:val="28"/>
                <w:szCs w:val="28"/>
                <w:rtl/>
              </w:rPr>
            </w:pPr>
          </w:p>
        </w:tc>
        <w:tc>
          <w:tcPr>
            <w:tcW w:w="4114" w:type="dxa"/>
            <w:tcBorders>
              <w:top w:val="nil"/>
              <w:left w:val="nil"/>
              <w:bottom w:val="nil"/>
              <w:right w:val="nil"/>
            </w:tcBorders>
          </w:tcPr>
          <w:p w14:paraId="5055D003" w14:textId="77777777" w:rsidR="00912AF8" w:rsidRPr="005E438E" w:rsidRDefault="005E438E">
            <w:pPr>
              <w:spacing w:line="360" w:lineRule="auto"/>
              <w:rPr>
                <w:b/>
                <w:bCs/>
                <w:rtl/>
              </w:rPr>
            </w:pPr>
            <w:r w:rsidRPr="005E438E">
              <w:rPr>
                <w:rFonts w:hint="cs"/>
                <w:b/>
                <w:bCs/>
                <w:rtl/>
              </w:rPr>
              <w:t>1</w:t>
            </w:r>
            <w:r w:rsidRPr="005E438E">
              <w:rPr>
                <w:rFonts w:ascii="Arial" w:hAnsi="Arial" w:hint="cs"/>
                <w:b/>
                <w:bCs/>
                <w:sz w:val="28"/>
                <w:szCs w:val="28"/>
                <w:rtl/>
              </w:rPr>
              <w:t>.</w:t>
            </w:r>
            <w:r w:rsidRPr="005E438E">
              <w:rPr>
                <w:rFonts w:hint="cs"/>
                <w:b/>
                <w:bCs/>
                <w:rtl/>
              </w:rPr>
              <w:t>אמיר בדראן (ת"ז 305034258)</w:t>
            </w:r>
          </w:p>
          <w:p w14:paraId="0719D990" w14:textId="77777777" w:rsidR="00912AF8" w:rsidRPr="005E438E" w:rsidRDefault="005E438E">
            <w:pPr>
              <w:spacing w:line="360" w:lineRule="auto"/>
              <w:rPr>
                <w:b/>
                <w:bCs/>
                <w:rtl/>
              </w:rPr>
            </w:pPr>
            <w:r w:rsidRPr="005E438E">
              <w:rPr>
                <w:rFonts w:hint="cs"/>
                <w:b/>
                <w:bCs/>
                <w:rtl/>
              </w:rPr>
              <w:t>2</w:t>
            </w:r>
            <w:r w:rsidRPr="005E438E">
              <w:rPr>
                <w:rFonts w:ascii="Arial" w:hAnsi="Arial" w:hint="cs"/>
                <w:b/>
                <w:bCs/>
                <w:sz w:val="28"/>
                <w:szCs w:val="28"/>
                <w:rtl/>
              </w:rPr>
              <w:t>.</w:t>
            </w:r>
            <w:r w:rsidRPr="005E438E">
              <w:rPr>
                <w:rFonts w:hint="cs"/>
                <w:b/>
                <w:bCs/>
                <w:rtl/>
              </w:rPr>
              <w:t>טאהא טאהא (ת"ז 302852793)</w:t>
            </w:r>
          </w:p>
        </w:tc>
        <w:tc>
          <w:tcPr>
            <w:tcW w:w="3761" w:type="dxa"/>
            <w:tcBorders>
              <w:top w:val="nil"/>
              <w:left w:val="nil"/>
              <w:bottom w:val="nil"/>
              <w:right w:val="nil"/>
            </w:tcBorders>
          </w:tcPr>
          <w:p w14:paraId="05BC0DF5" w14:textId="77777777" w:rsidR="00912AF8" w:rsidRPr="005E438E" w:rsidRDefault="00912AF8">
            <w:pPr>
              <w:spacing w:line="360" w:lineRule="auto"/>
              <w:jc w:val="right"/>
              <w:rPr>
                <w:rFonts w:ascii="Arial" w:hAnsi="Arial"/>
                <w:b/>
                <w:bCs/>
                <w:sz w:val="28"/>
                <w:szCs w:val="28"/>
              </w:rPr>
            </w:pPr>
          </w:p>
        </w:tc>
      </w:tr>
      <w:tr w:rsidR="00912AF8" w:rsidRPr="005E438E" w14:paraId="2DDB348A" w14:textId="77777777">
        <w:trPr>
          <w:trHeight w:val="355"/>
          <w:jc w:val="center"/>
        </w:trPr>
        <w:tc>
          <w:tcPr>
            <w:tcW w:w="945" w:type="dxa"/>
            <w:tcBorders>
              <w:top w:val="nil"/>
              <w:left w:val="nil"/>
              <w:bottom w:val="nil"/>
              <w:right w:val="nil"/>
            </w:tcBorders>
          </w:tcPr>
          <w:p w14:paraId="5A08631F" w14:textId="77777777" w:rsidR="00912AF8" w:rsidRPr="005E438E" w:rsidRDefault="00912AF8">
            <w:pPr>
              <w:spacing w:line="360" w:lineRule="auto"/>
              <w:jc w:val="both"/>
              <w:rPr>
                <w:rFonts w:ascii="Arial" w:hAnsi="Arial"/>
                <w:b/>
                <w:bCs/>
                <w:sz w:val="28"/>
                <w:szCs w:val="28"/>
                <w:rtl/>
              </w:rPr>
            </w:pPr>
          </w:p>
        </w:tc>
        <w:tc>
          <w:tcPr>
            <w:tcW w:w="4114" w:type="dxa"/>
            <w:tcBorders>
              <w:top w:val="nil"/>
              <w:left w:val="nil"/>
              <w:bottom w:val="nil"/>
              <w:right w:val="nil"/>
            </w:tcBorders>
          </w:tcPr>
          <w:p w14:paraId="0ECF9367" w14:textId="77777777" w:rsidR="00912AF8" w:rsidRPr="005E438E" w:rsidRDefault="00912AF8">
            <w:pPr>
              <w:spacing w:line="360" w:lineRule="auto"/>
              <w:jc w:val="both"/>
              <w:rPr>
                <w:b/>
                <w:bCs/>
                <w:rtl/>
              </w:rPr>
            </w:pPr>
          </w:p>
        </w:tc>
        <w:tc>
          <w:tcPr>
            <w:tcW w:w="3761" w:type="dxa"/>
            <w:tcBorders>
              <w:top w:val="nil"/>
              <w:left w:val="nil"/>
              <w:bottom w:val="nil"/>
              <w:right w:val="nil"/>
            </w:tcBorders>
          </w:tcPr>
          <w:p w14:paraId="4C56828D" w14:textId="77777777" w:rsidR="00912AF8" w:rsidRPr="005E438E" w:rsidRDefault="005E438E">
            <w:pPr>
              <w:spacing w:line="360" w:lineRule="auto"/>
              <w:jc w:val="right"/>
              <w:rPr>
                <w:rFonts w:ascii="Arial" w:hAnsi="Arial"/>
                <w:b/>
                <w:bCs/>
                <w:sz w:val="28"/>
                <w:szCs w:val="28"/>
              </w:rPr>
            </w:pPr>
            <w:r w:rsidRPr="005E438E">
              <w:rPr>
                <w:rFonts w:ascii="Arial" w:hAnsi="Arial" w:hint="cs"/>
                <w:b/>
                <w:bCs/>
                <w:sz w:val="28"/>
                <w:szCs w:val="28"/>
                <w:rtl/>
              </w:rPr>
              <w:t>ה</w:t>
            </w:r>
            <w:r w:rsidRPr="005E438E">
              <w:rPr>
                <w:rFonts w:hint="cs"/>
                <w:b/>
                <w:bCs/>
                <w:rtl/>
              </w:rPr>
              <w:t>נאשמים</w:t>
            </w:r>
          </w:p>
        </w:tc>
      </w:tr>
    </w:tbl>
    <w:p w14:paraId="4D7B5964" w14:textId="77777777" w:rsidR="008D41E3" w:rsidRDefault="008D41E3">
      <w:pPr>
        <w:spacing w:line="360" w:lineRule="auto"/>
        <w:rPr>
          <w:rFonts w:ascii="Arial" w:hAnsi="Arial"/>
          <w:rtl/>
        </w:rPr>
      </w:pPr>
      <w:bookmarkStart w:id="2" w:name="LawTable"/>
      <w:bookmarkEnd w:id="2"/>
    </w:p>
    <w:p w14:paraId="10212134" w14:textId="77777777" w:rsidR="008D41E3" w:rsidRPr="008D41E3" w:rsidRDefault="008D41E3" w:rsidP="008D41E3">
      <w:pPr>
        <w:spacing w:after="120" w:line="240" w:lineRule="exact"/>
        <w:ind w:left="283" w:hanging="283"/>
        <w:jc w:val="both"/>
        <w:rPr>
          <w:rFonts w:ascii="FrankRuehl" w:hAnsi="FrankRuehl" w:cs="FrankRuehl"/>
          <w:rtl/>
        </w:rPr>
      </w:pPr>
    </w:p>
    <w:p w14:paraId="6203937E" w14:textId="77777777" w:rsidR="008D41E3" w:rsidRPr="008D41E3" w:rsidRDefault="008D41E3" w:rsidP="008D41E3">
      <w:pPr>
        <w:spacing w:after="120" w:line="240" w:lineRule="exact"/>
        <w:ind w:left="283" w:hanging="283"/>
        <w:jc w:val="both"/>
        <w:rPr>
          <w:rFonts w:ascii="FrankRuehl" w:hAnsi="FrankRuehl" w:cs="FrankRuehl"/>
          <w:rtl/>
        </w:rPr>
      </w:pPr>
      <w:r w:rsidRPr="008D41E3">
        <w:rPr>
          <w:rFonts w:ascii="FrankRuehl" w:hAnsi="FrankRuehl" w:cs="FrankRuehl"/>
          <w:rtl/>
        </w:rPr>
        <w:t xml:space="preserve">חקיקה שאוזכרה: </w:t>
      </w:r>
    </w:p>
    <w:p w14:paraId="3E3E2D2E" w14:textId="77777777" w:rsidR="008D41E3" w:rsidRPr="008D41E3" w:rsidRDefault="008D41E3" w:rsidP="008D41E3">
      <w:pPr>
        <w:spacing w:after="120" w:line="240" w:lineRule="exact"/>
        <w:ind w:left="283" w:hanging="283"/>
        <w:jc w:val="both"/>
        <w:rPr>
          <w:rFonts w:ascii="FrankRuehl" w:hAnsi="FrankRuehl" w:cs="FrankRuehl"/>
          <w:rtl/>
        </w:rPr>
      </w:pPr>
      <w:hyperlink r:id="rId7" w:history="1">
        <w:r w:rsidRPr="008D41E3">
          <w:rPr>
            <w:rFonts w:ascii="FrankRuehl" w:hAnsi="FrankRuehl" w:cs="FrankRuehl"/>
            <w:color w:val="0000FF"/>
            <w:u w:val="single"/>
            <w:rtl/>
          </w:rPr>
          <w:t>חוק העונשין, תשל"ז-1977</w:t>
        </w:r>
      </w:hyperlink>
      <w:r w:rsidRPr="008D41E3">
        <w:rPr>
          <w:rFonts w:ascii="FrankRuehl" w:hAnsi="FrankRuehl" w:cs="FrankRuehl"/>
          <w:rtl/>
        </w:rPr>
        <w:t xml:space="preserve">: סע'  </w:t>
      </w:r>
      <w:hyperlink r:id="rId8" w:history="1">
        <w:r w:rsidRPr="008D41E3">
          <w:rPr>
            <w:rFonts w:ascii="FrankRuehl" w:hAnsi="FrankRuehl" w:cs="FrankRuehl"/>
            <w:color w:val="0000FF"/>
            <w:u w:val="single"/>
            <w:rtl/>
          </w:rPr>
          <w:t>29</w:t>
        </w:r>
      </w:hyperlink>
      <w:r w:rsidRPr="008D41E3">
        <w:rPr>
          <w:rFonts w:ascii="FrankRuehl" w:hAnsi="FrankRuehl" w:cs="FrankRuehl"/>
          <w:rtl/>
        </w:rPr>
        <w:t xml:space="preserve">, </w:t>
      </w:r>
      <w:hyperlink r:id="rId9" w:history="1">
        <w:r w:rsidRPr="008D41E3">
          <w:rPr>
            <w:rFonts w:ascii="FrankRuehl" w:hAnsi="FrankRuehl" w:cs="FrankRuehl"/>
            <w:color w:val="0000FF"/>
            <w:u w:val="single"/>
            <w:rtl/>
          </w:rPr>
          <w:t>31</w:t>
        </w:r>
      </w:hyperlink>
      <w:r w:rsidRPr="008D41E3">
        <w:rPr>
          <w:rFonts w:ascii="FrankRuehl" w:hAnsi="FrankRuehl" w:cs="FrankRuehl"/>
          <w:rtl/>
        </w:rPr>
        <w:t xml:space="preserve">, </w:t>
      </w:r>
      <w:hyperlink r:id="rId10" w:history="1">
        <w:r w:rsidRPr="008D41E3">
          <w:rPr>
            <w:rFonts w:ascii="FrankRuehl" w:hAnsi="FrankRuehl" w:cs="FrankRuehl"/>
            <w:color w:val="0000FF"/>
            <w:u w:val="single"/>
            <w:rtl/>
          </w:rPr>
          <w:t>144(א)</w:t>
        </w:r>
      </w:hyperlink>
      <w:r w:rsidRPr="008D41E3">
        <w:rPr>
          <w:rFonts w:ascii="FrankRuehl" w:hAnsi="FrankRuehl" w:cs="FrankRuehl"/>
          <w:rtl/>
        </w:rPr>
        <w:t xml:space="preserve">, </w:t>
      </w:r>
      <w:hyperlink r:id="rId11" w:history="1">
        <w:r w:rsidRPr="008D41E3">
          <w:rPr>
            <w:rFonts w:ascii="FrankRuehl" w:hAnsi="FrankRuehl" w:cs="FrankRuehl"/>
            <w:color w:val="0000FF"/>
            <w:u w:val="single"/>
            <w:rtl/>
          </w:rPr>
          <w:t>(ב)</w:t>
        </w:r>
      </w:hyperlink>
      <w:r w:rsidRPr="008D41E3">
        <w:rPr>
          <w:rFonts w:ascii="FrankRuehl" w:hAnsi="FrankRuehl" w:cs="FrankRuehl"/>
          <w:rtl/>
        </w:rPr>
        <w:t xml:space="preserve">, </w:t>
      </w:r>
      <w:hyperlink r:id="rId12" w:history="1">
        <w:r w:rsidRPr="008D41E3">
          <w:rPr>
            <w:rFonts w:ascii="FrankRuehl" w:hAnsi="FrankRuehl" w:cs="FrankRuehl"/>
            <w:color w:val="0000FF"/>
            <w:u w:val="single"/>
            <w:rtl/>
          </w:rPr>
          <w:t>298</w:t>
        </w:r>
      </w:hyperlink>
      <w:r w:rsidRPr="008D41E3">
        <w:rPr>
          <w:rFonts w:ascii="FrankRuehl" w:hAnsi="FrankRuehl" w:cs="FrankRuehl"/>
          <w:rtl/>
        </w:rPr>
        <w:t xml:space="preserve">, </w:t>
      </w:r>
      <w:hyperlink r:id="rId13" w:history="1">
        <w:r w:rsidRPr="008D41E3">
          <w:rPr>
            <w:rFonts w:ascii="FrankRuehl" w:hAnsi="FrankRuehl" w:cs="FrankRuehl"/>
            <w:color w:val="0000FF"/>
            <w:u w:val="single"/>
            <w:rtl/>
          </w:rPr>
          <w:t>499(א)(1)</w:t>
        </w:r>
      </w:hyperlink>
    </w:p>
    <w:p w14:paraId="72580078" w14:textId="77777777" w:rsidR="008D41E3" w:rsidRPr="008D41E3" w:rsidRDefault="008D41E3" w:rsidP="008D41E3">
      <w:pPr>
        <w:spacing w:after="120" w:line="240" w:lineRule="exact"/>
        <w:ind w:left="283" w:hanging="283"/>
        <w:jc w:val="both"/>
        <w:rPr>
          <w:rFonts w:ascii="FrankRuehl" w:hAnsi="FrankRuehl" w:cs="FrankRuehl"/>
          <w:rtl/>
        </w:rPr>
      </w:pPr>
    </w:p>
    <w:p w14:paraId="3516F5BA" w14:textId="77777777" w:rsidR="008D41E3" w:rsidRPr="008D41E3" w:rsidRDefault="008D41E3">
      <w:pPr>
        <w:spacing w:line="360" w:lineRule="auto"/>
        <w:rPr>
          <w:rFonts w:ascii="Arial" w:hAnsi="Arial"/>
          <w:rtl/>
        </w:rPr>
      </w:pPr>
      <w:bookmarkStart w:id="3" w:name="LawTable_End"/>
      <w:bookmarkEnd w:id="3"/>
    </w:p>
    <w:p w14:paraId="4CDDBD68" w14:textId="77777777" w:rsidR="00985428" w:rsidRPr="00985428" w:rsidRDefault="00985428">
      <w:pPr>
        <w:spacing w:line="360" w:lineRule="auto"/>
        <w:rPr>
          <w:rFonts w:ascii="Arial" w:hAnsi="Arial"/>
          <w:rtl/>
        </w:rPr>
      </w:pPr>
    </w:p>
    <w:p w14:paraId="71B81AA4" w14:textId="77777777" w:rsidR="0032514D" w:rsidRPr="0032514D" w:rsidRDefault="0032514D">
      <w:pPr>
        <w:spacing w:line="360" w:lineRule="auto"/>
        <w:rPr>
          <w:rFonts w:ascii="Arial" w:hAnsi="Arial"/>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912AF8" w14:paraId="7A1E440C" w14:textId="77777777">
        <w:trPr>
          <w:trHeight w:val="355"/>
          <w:jc w:val="center"/>
        </w:trPr>
        <w:tc>
          <w:tcPr>
            <w:tcW w:w="8820" w:type="dxa"/>
            <w:tcBorders>
              <w:top w:val="nil"/>
              <w:left w:val="nil"/>
              <w:bottom w:val="nil"/>
              <w:right w:val="nil"/>
            </w:tcBorders>
          </w:tcPr>
          <w:p w14:paraId="3EE2F9F1" w14:textId="77777777" w:rsidR="005E438E" w:rsidRPr="005E438E" w:rsidRDefault="005E438E" w:rsidP="005E438E">
            <w:pPr>
              <w:spacing w:line="360" w:lineRule="auto"/>
              <w:jc w:val="center"/>
              <w:rPr>
                <w:rFonts w:ascii="Arial" w:hAnsi="Arial"/>
                <w:b/>
                <w:bCs/>
                <w:sz w:val="32"/>
                <w:szCs w:val="32"/>
                <w:u w:val="single"/>
                <w:rtl/>
              </w:rPr>
            </w:pPr>
            <w:bookmarkStart w:id="4" w:name="PsakDin" w:colFirst="0" w:colLast="0"/>
            <w:r w:rsidRPr="005E438E">
              <w:rPr>
                <w:rFonts w:ascii="Arial" w:hAnsi="Arial"/>
                <w:b/>
                <w:bCs/>
                <w:sz w:val="32"/>
                <w:szCs w:val="32"/>
                <w:u w:val="single"/>
                <w:rtl/>
              </w:rPr>
              <w:t>גזר דין</w:t>
            </w:r>
          </w:p>
          <w:p w14:paraId="249B6FD7" w14:textId="77777777" w:rsidR="00912AF8" w:rsidRPr="005E438E" w:rsidRDefault="00912AF8" w:rsidP="005E438E">
            <w:pPr>
              <w:spacing w:line="360" w:lineRule="auto"/>
              <w:jc w:val="center"/>
              <w:rPr>
                <w:rFonts w:ascii="Arial" w:hAnsi="Arial"/>
                <w:bCs/>
                <w:sz w:val="32"/>
                <w:szCs w:val="32"/>
                <w:u w:val="single"/>
                <w:rtl/>
              </w:rPr>
            </w:pPr>
          </w:p>
        </w:tc>
      </w:tr>
      <w:bookmarkEnd w:id="4"/>
    </w:tbl>
    <w:p w14:paraId="7625825B" w14:textId="77777777" w:rsidR="00912AF8" w:rsidRDefault="00912AF8">
      <w:pPr>
        <w:spacing w:line="360" w:lineRule="auto"/>
        <w:rPr>
          <w:rFonts w:ascii="Arial" w:hAnsi="Arial"/>
          <w:rtl/>
        </w:rPr>
      </w:pPr>
    </w:p>
    <w:p w14:paraId="1806E2F5" w14:textId="77777777" w:rsidR="00912AF8" w:rsidRDefault="005E438E">
      <w:pPr>
        <w:spacing w:line="360" w:lineRule="auto"/>
        <w:ind w:left="720" w:hanging="720"/>
        <w:jc w:val="both"/>
        <w:rPr>
          <w:rFonts w:ascii="Arial" w:hAnsi="Arial"/>
          <w:b/>
          <w:bCs/>
          <w:rtl/>
        </w:rPr>
      </w:pPr>
      <w:r>
        <w:rPr>
          <w:rFonts w:ascii="Arial" w:hAnsi="Arial" w:hint="cs"/>
          <w:b/>
          <w:bCs/>
          <w:rtl/>
        </w:rPr>
        <w:t>א.</w:t>
      </w:r>
      <w:r>
        <w:rPr>
          <w:rFonts w:ascii="Arial" w:hAnsi="Arial" w:hint="cs"/>
          <w:b/>
          <w:bCs/>
          <w:rtl/>
        </w:rPr>
        <w:tab/>
      </w:r>
      <w:r>
        <w:rPr>
          <w:rFonts w:ascii="Arial" w:hAnsi="Arial"/>
          <w:b/>
          <w:bCs/>
          <w:rtl/>
        </w:rPr>
        <w:t>כללי</w:t>
      </w:r>
      <w:r>
        <w:rPr>
          <w:rFonts w:ascii="Arial" w:hAnsi="Arial" w:hint="cs"/>
          <w:b/>
          <w:bCs/>
          <w:rtl/>
        </w:rPr>
        <w:t>:</w:t>
      </w:r>
    </w:p>
    <w:p w14:paraId="5B3D9B42" w14:textId="77777777" w:rsidR="00912AF8" w:rsidRDefault="00912AF8">
      <w:pPr>
        <w:spacing w:line="360" w:lineRule="auto"/>
        <w:ind w:left="360"/>
        <w:jc w:val="both"/>
        <w:rPr>
          <w:rFonts w:ascii="Arial" w:hAnsi="Arial"/>
          <w:rtl/>
        </w:rPr>
      </w:pPr>
    </w:p>
    <w:p w14:paraId="657A0D0A" w14:textId="77777777" w:rsidR="00912AF8" w:rsidRDefault="005E438E">
      <w:pPr>
        <w:spacing w:line="360" w:lineRule="auto"/>
        <w:ind w:left="26" w:right="360"/>
        <w:jc w:val="both"/>
        <w:rPr>
          <w:rFonts w:ascii="Arial" w:hAnsi="Arial"/>
          <w:rtl/>
        </w:rPr>
      </w:pPr>
      <w:r>
        <w:rPr>
          <w:rFonts w:ascii="Arial" w:hAnsi="Arial"/>
          <w:rtl/>
        </w:rPr>
        <w:t xml:space="preserve">לקראת סיום פרשת התביעה, הגיעו הצדדים להסדר טיעון שלפיו יחזרו בהם הנאשמים מכפירתם ויודו בעובדות כתב האישום המתוקן (להלן: </w:t>
      </w:r>
      <w:r>
        <w:rPr>
          <w:rFonts w:ascii="Arial" w:hAnsi="Arial" w:cs="Miriam"/>
          <w:rtl/>
        </w:rPr>
        <w:t>"כתב האישום"</w:t>
      </w:r>
      <w:r>
        <w:rPr>
          <w:rFonts w:ascii="Arial" w:hAnsi="Arial"/>
          <w:rtl/>
        </w:rPr>
        <w:t xml:space="preserve">). </w:t>
      </w:r>
    </w:p>
    <w:p w14:paraId="16531F36" w14:textId="77777777" w:rsidR="00912AF8" w:rsidRDefault="00912AF8">
      <w:pPr>
        <w:spacing w:line="360" w:lineRule="auto"/>
        <w:ind w:left="26" w:right="360"/>
        <w:jc w:val="both"/>
        <w:rPr>
          <w:rFonts w:ascii="Arial" w:hAnsi="Arial"/>
          <w:rtl/>
        </w:rPr>
      </w:pPr>
    </w:p>
    <w:p w14:paraId="0DE127A6" w14:textId="77777777" w:rsidR="00912AF8" w:rsidRDefault="005E438E">
      <w:pPr>
        <w:spacing w:line="360" w:lineRule="auto"/>
        <w:ind w:left="26" w:right="360"/>
        <w:jc w:val="both"/>
        <w:rPr>
          <w:rFonts w:ascii="Arial" w:hAnsi="Arial"/>
          <w:rtl/>
        </w:rPr>
      </w:pPr>
      <w:r>
        <w:rPr>
          <w:rFonts w:ascii="Arial" w:hAnsi="Arial"/>
          <w:rtl/>
        </w:rPr>
        <w:lastRenderedPageBreak/>
        <w:t>לאחר שהנאשמים הודו בעובדות כתב האישום המתוקן הם הורשעו בעבירות כדלקמן:</w:t>
      </w:r>
    </w:p>
    <w:p w14:paraId="11BAB44B" w14:textId="77777777" w:rsidR="00912AF8" w:rsidRDefault="00912AF8">
      <w:pPr>
        <w:spacing w:line="360" w:lineRule="auto"/>
        <w:ind w:left="26" w:right="360"/>
        <w:jc w:val="both"/>
        <w:rPr>
          <w:rFonts w:ascii="Arial" w:hAnsi="Arial"/>
          <w:rtl/>
        </w:rPr>
      </w:pPr>
    </w:p>
    <w:p w14:paraId="42A3626F" w14:textId="77777777" w:rsidR="00912AF8" w:rsidRDefault="005E438E">
      <w:pPr>
        <w:tabs>
          <w:tab w:val="right" w:pos="7946"/>
        </w:tabs>
        <w:spacing w:line="360" w:lineRule="auto"/>
        <w:ind w:left="26" w:right="360"/>
        <w:jc w:val="both"/>
        <w:rPr>
          <w:rFonts w:ascii="Arial" w:hAnsi="Arial"/>
          <w:rtl/>
        </w:rPr>
      </w:pPr>
      <w:bookmarkStart w:id="5" w:name="ABSTRACT_START"/>
      <w:bookmarkEnd w:id="5"/>
      <w:r>
        <w:rPr>
          <w:rFonts w:ascii="Arial" w:hAnsi="Arial"/>
          <w:b/>
          <w:bCs/>
          <w:rtl/>
        </w:rPr>
        <w:t>נאשם</w:t>
      </w:r>
      <w:r>
        <w:rPr>
          <w:rFonts w:ascii="Arial" w:hAnsi="Arial"/>
          <w:rtl/>
        </w:rPr>
        <w:t xml:space="preserve"> </w:t>
      </w:r>
      <w:r>
        <w:rPr>
          <w:rFonts w:ascii="Arial" w:hAnsi="Arial"/>
          <w:b/>
          <w:bCs/>
          <w:rtl/>
        </w:rPr>
        <w:t>1</w:t>
      </w:r>
      <w:r>
        <w:rPr>
          <w:rFonts w:ascii="Arial" w:hAnsi="Arial"/>
          <w:rtl/>
        </w:rPr>
        <w:t xml:space="preserve"> הורשע בעבירה לפי </w:t>
      </w:r>
      <w:hyperlink r:id="rId14" w:history="1">
        <w:r w:rsidR="008D41E3" w:rsidRPr="008D41E3">
          <w:rPr>
            <w:rFonts w:ascii="Arial" w:hAnsi="Arial"/>
            <w:color w:val="0000FF"/>
            <w:u w:val="single"/>
            <w:rtl/>
          </w:rPr>
          <w:t>סעיף 298</w:t>
        </w:r>
      </w:hyperlink>
      <w:r>
        <w:rPr>
          <w:rFonts w:ascii="Arial" w:hAnsi="Arial"/>
          <w:rtl/>
        </w:rPr>
        <w:t xml:space="preserve"> יחד עם </w:t>
      </w:r>
      <w:hyperlink r:id="rId15" w:history="1">
        <w:r w:rsidR="008D41E3" w:rsidRPr="008D41E3">
          <w:rPr>
            <w:rFonts w:ascii="Arial" w:hAnsi="Arial"/>
            <w:color w:val="0000FF"/>
            <w:u w:val="single"/>
            <w:rtl/>
          </w:rPr>
          <w:t>סעיף 29</w:t>
        </w:r>
      </w:hyperlink>
      <w:r>
        <w:rPr>
          <w:rFonts w:ascii="Arial" w:hAnsi="Arial"/>
          <w:rtl/>
        </w:rPr>
        <w:t xml:space="preserve"> ל</w:t>
      </w:r>
      <w:hyperlink r:id="rId16" w:history="1">
        <w:r w:rsidR="00985428" w:rsidRPr="00985428">
          <w:rPr>
            <w:rStyle w:val="Hyperlink"/>
            <w:rFonts w:ascii="Arial" w:hAnsi="Arial"/>
            <w:rtl/>
          </w:rPr>
          <w:t>חוק העונשין</w:t>
        </w:r>
      </w:hyperlink>
      <w:r>
        <w:rPr>
          <w:rFonts w:ascii="Arial" w:hAnsi="Arial"/>
          <w:rtl/>
        </w:rPr>
        <w:t xml:space="preserve">, התשל"ז-1977 (להלן: </w:t>
      </w:r>
      <w:r>
        <w:rPr>
          <w:rFonts w:ascii="Arial" w:hAnsi="Arial" w:cs="Miriam"/>
          <w:rtl/>
        </w:rPr>
        <w:t>"החוק"</w:t>
      </w:r>
      <w:r>
        <w:rPr>
          <w:rFonts w:ascii="Arial" w:hAnsi="Arial"/>
          <w:rtl/>
        </w:rPr>
        <w:t xml:space="preserve">), בעבירה לפי </w:t>
      </w:r>
      <w:hyperlink r:id="rId17" w:history="1">
        <w:r w:rsidR="008D41E3" w:rsidRPr="008D41E3">
          <w:rPr>
            <w:rFonts w:ascii="Arial" w:hAnsi="Arial"/>
            <w:color w:val="0000FF"/>
            <w:u w:val="single"/>
            <w:rtl/>
          </w:rPr>
          <w:t>סעיף 499(א)(1)</w:t>
        </w:r>
      </w:hyperlink>
      <w:r>
        <w:rPr>
          <w:rFonts w:ascii="Arial" w:hAnsi="Arial"/>
          <w:rtl/>
        </w:rPr>
        <w:t xml:space="preserve"> יחד עם </w:t>
      </w:r>
      <w:hyperlink r:id="rId18" w:history="1">
        <w:r w:rsidR="008D41E3" w:rsidRPr="008D41E3">
          <w:rPr>
            <w:rFonts w:ascii="Arial" w:hAnsi="Arial"/>
            <w:color w:val="0000FF"/>
            <w:u w:val="single"/>
            <w:rtl/>
          </w:rPr>
          <w:t>סעיף 29</w:t>
        </w:r>
      </w:hyperlink>
      <w:r>
        <w:rPr>
          <w:rFonts w:ascii="Arial" w:hAnsi="Arial"/>
          <w:rtl/>
        </w:rPr>
        <w:t xml:space="preserve"> לחוק, בעבירה לפי </w:t>
      </w:r>
      <w:hyperlink r:id="rId19" w:history="1">
        <w:r w:rsidR="008D41E3" w:rsidRPr="008D41E3">
          <w:rPr>
            <w:rFonts w:ascii="Arial" w:hAnsi="Arial"/>
            <w:color w:val="0000FF"/>
            <w:u w:val="single"/>
            <w:rtl/>
          </w:rPr>
          <w:t>סעיף 144(א)</w:t>
        </w:r>
      </w:hyperlink>
      <w:r>
        <w:rPr>
          <w:rFonts w:ascii="Arial" w:hAnsi="Arial"/>
          <w:rtl/>
        </w:rPr>
        <w:t xml:space="preserve"> ו-</w:t>
      </w:r>
      <w:hyperlink r:id="rId20" w:history="1">
        <w:r w:rsidR="008D41E3" w:rsidRPr="008D41E3">
          <w:rPr>
            <w:rStyle w:val="Hyperlink"/>
            <w:rFonts w:ascii="Arial" w:hAnsi="Arial"/>
            <w:rtl/>
          </w:rPr>
          <w:t>(ב)</w:t>
        </w:r>
      </w:hyperlink>
      <w:r>
        <w:rPr>
          <w:rFonts w:ascii="Arial" w:hAnsi="Arial"/>
          <w:rtl/>
        </w:rPr>
        <w:t xml:space="preserve"> יחד עם </w:t>
      </w:r>
      <w:hyperlink r:id="rId21" w:history="1">
        <w:r w:rsidR="008D41E3" w:rsidRPr="008D41E3">
          <w:rPr>
            <w:rStyle w:val="Hyperlink"/>
            <w:rFonts w:ascii="Arial" w:hAnsi="Arial"/>
            <w:rtl/>
          </w:rPr>
          <w:t>סעיף 29</w:t>
        </w:r>
      </w:hyperlink>
      <w:r>
        <w:rPr>
          <w:rFonts w:ascii="Arial" w:hAnsi="Arial"/>
          <w:rtl/>
        </w:rPr>
        <w:t xml:space="preserve"> לחוק וכן בעבירה לפי </w:t>
      </w:r>
      <w:hyperlink r:id="rId22" w:history="1">
        <w:r w:rsidR="008D41E3" w:rsidRPr="008D41E3">
          <w:rPr>
            <w:rStyle w:val="Hyperlink"/>
            <w:rFonts w:ascii="Arial" w:hAnsi="Arial"/>
            <w:rtl/>
          </w:rPr>
          <w:t>סעיף 144(א)</w:t>
        </w:r>
      </w:hyperlink>
      <w:r>
        <w:rPr>
          <w:rFonts w:ascii="Arial" w:hAnsi="Arial"/>
          <w:rtl/>
        </w:rPr>
        <w:t xml:space="preserve"> לחוק, דהיינו עבירה של הריגה, עבירה של קשירת קשר לביצוע פשע ועבירות בנשק.</w:t>
      </w:r>
    </w:p>
    <w:p w14:paraId="11041737" w14:textId="77777777" w:rsidR="00912AF8" w:rsidRDefault="00912AF8">
      <w:pPr>
        <w:tabs>
          <w:tab w:val="right" w:pos="7946"/>
        </w:tabs>
        <w:spacing w:line="360" w:lineRule="auto"/>
        <w:ind w:left="26" w:right="360"/>
        <w:jc w:val="both"/>
        <w:rPr>
          <w:rFonts w:ascii="Arial" w:hAnsi="Arial"/>
          <w:rtl/>
        </w:rPr>
      </w:pPr>
    </w:p>
    <w:p w14:paraId="64FB591E" w14:textId="77777777" w:rsidR="00912AF8" w:rsidRDefault="005E438E">
      <w:pPr>
        <w:tabs>
          <w:tab w:val="right" w:pos="7946"/>
        </w:tabs>
        <w:spacing w:line="360" w:lineRule="auto"/>
        <w:ind w:left="26" w:right="360"/>
        <w:jc w:val="both"/>
        <w:rPr>
          <w:rFonts w:ascii="Arial" w:hAnsi="Arial"/>
          <w:rtl/>
        </w:rPr>
      </w:pPr>
      <w:r>
        <w:rPr>
          <w:rFonts w:ascii="Arial" w:hAnsi="Arial"/>
          <w:b/>
          <w:bCs/>
          <w:rtl/>
        </w:rPr>
        <w:t>נאשם</w:t>
      </w:r>
      <w:r>
        <w:rPr>
          <w:rFonts w:ascii="Arial" w:hAnsi="Arial"/>
          <w:rtl/>
        </w:rPr>
        <w:t xml:space="preserve"> </w:t>
      </w:r>
      <w:r>
        <w:rPr>
          <w:rFonts w:ascii="Arial" w:hAnsi="Arial"/>
          <w:b/>
          <w:bCs/>
          <w:rtl/>
        </w:rPr>
        <w:t>2</w:t>
      </w:r>
      <w:r>
        <w:rPr>
          <w:rFonts w:ascii="Arial" w:hAnsi="Arial"/>
          <w:rtl/>
        </w:rPr>
        <w:t xml:space="preserve"> הורשע בעבירה לפי </w:t>
      </w:r>
      <w:hyperlink r:id="rId23" w:history="1">
        <w:r w:rsidR="008D41E3" w:rsidRPr="008D41E3">
          <w:rPr>
            <w:rStyle w:val="Hyperlink"/>
            <w:rFonts w:ascii="Arial" w:hAnsi="Arial"/>
            <w:rtl/>
          </w:rPr>
          <w:t>סעיף 298</w:t>
        </w:r>
      </w:hyperlink>
      <w:r>
        <w:rPr>
          <w:rFonts w:ascii="Arial" w:hAnsi="Arial"/>
          <w:rtl/>
        </w:rPr>
        <w:t xml:space="preserve"> יחד עם </w:t>
      </w:r>
      <w:hyperlink r:id="rId24" w:history="1">
        <w:r w:rsidR="008D41E3" w:rsidRPr="008D41E3">
          <w:rPr>
            <w:rStyle w:val="Hyperlink"/>
            <w:rFonts w:ascii="Arial" w:hAnsi="Arial"/>
            <w:rtl/>
          </w:rPr>
          <w:t>סעיף 31</w:t>
        </w:r>
      </w:hyperlink>
      <w:r>
        <w:rPr>
          <w:rFonts w:ascii="Arial" w:hAnsi="Arial"/>
          <w:rtl/>
        </w:rPr>
        <w:t xml:space="preserve"> לחוק, בעבירה לפי </w:t>
      </w:r>
      <w:hyperlink r:id="rId25" w:history="1">
        <w:r w:rsidR="008D41E3" w:rsidRPr="008D41E3">
          <w:rPr>
            <w:rStyle w:val="Hyperlink"/>
            <w:rFonts w:ascii="Arial" w:hAnsi="Arial"/>
            <w:rtl/>
          </w:rPr>
          <w:t>סעיף 499(א)(1)</w:t>
        </w:r>
      </w:hyperlink>
      <w:r>
        <w:rPr>
          <w:rFonts w:ascii="Arial" w:hAnsi="Arial"/>
          <w:rtl/>
        </w:rPr>
        <w:t xml:space="preserve"> יחד עם </w:t>
      </w:r>
      <w:hyperlink r:id="rId26" w:history="1">
        <w:r w:rsidR="008D41E3" w:rsidRPr="008D41E3">
          <w:rPr>
            <w:rStyle w:val="Hyperlink"/>
            <w:rFonts w:ascii="Arial" w:hAnsi="Arial"/>
            <w:rtl/>
          </w:rPr>
          <w:t>סעיף 29</w:t>
        </w:r>
      </w:hyperlink>
      <w:r>
        <w:rPr>
          <w:rFonts w:ascii="Arial" w:hAnsi="Arial"/>
          <w:rtl/>
        </w:rPr>
        <w:t xml:space="preserve"> לחוק, בעבירה לפי </w:t>
      </w:r>
      <w:hyperlink r:id="rId27" w:history="1">
        <w:r w:rsidR="008D41E3" w:rsidRPr="008D41E3">
          <w:rPr>
            <w:rStyle w:val="Hyperlink"/>
            <w:rFonts w:ascii="Arial" w:hAnsi="Arial"/>
            <w:rtl/>
          </w:rPr>
          <w:t>סעיף 144(א)</w:t>
        </w:r>
      </w:hyperlink>
      <w:r>
        <w:rPr>
          <w:rFonts w:ascii="Arial" w:hAnsi="Arial"/>
          <w:rtl/>
        </w:rPr>
        <w:t xml:space="preserve"> ו-</w:t>
      </w:r>
      <w:hyperlink r:id="rId28" w:history="1">
        <w:r w:rsidR="008D41E3" w:rsidRPr="008D41E3">
          <w:rPr>
            <w:rStyle w:val="Hyperlink"/>
            <w:rFonts w:ascii="Arial" w:hAnsi="Arial"/>
            <w:rtl/>
          </w:rPr>
          <w:t>(ב)</w:t>
        </w:r>
      </w:hyperlink>
      <w:r>
        <w:rPr>
          <w:rFonts w:ascii="Arial" w:hAnsi="Arial"/>
          <w:rtl/>
        </w:rPr>
        <w:t xml:space="preserve"> יחד עם </w:t>
      </w:r>
      <w:hyperlink r:id="rId29" w:history="1">
        <w:r w:rsidR="008D41E3" w:rsidRPr="008D41E3">
          <w:rPr>
            <w:rStyle w:val="Hyperlink"/>
            <w:rFonts w:ascii="Arial" w:hAnsi="Arial"/>
            <w:rtl/>
          </w:rPr>
          <w:t>סעיף 29</w:t>
        </w:r>
      </w:hyperlink>
      <w:r>
        <w:rPr>
          <w:rFonts w:ascii="Arial" w:hAnsi="Arial"/>
          <w:rtl/>
        </w:rPr>
        <w:t xml:space="preserve"> לחוק וכן בעבירה לפי </w:t>
      </w:r>
      <w:hyperlink r:id="rId30" w:history="1">
        <w:r w:rsidR="008D41E3" w:rsidRPr="008D41E3">
          <w:rPr>
            <w:rStyle w:val="Hyperlink"/>
            <w:rFonts w:ascii="Arial" w:hAnsi="Arial"/>
            <w:rtl/>
          </w:rPr>
          <w:t>סעיף 144(א)</w:t>
        </w:r>
      </w:hyperlink>
      <w:r>
        <w:rPr>
          <w:rFonts w:ascii="Arial" w:hAnsi="Arial"/>
          <w:rtl/>
        </w:rPr>
        <w:t xml:space="preserve"> לחוק, כלומר עבירה של סיוע להריגה, עבירה של קשירת קשר לביצוע פשע ועבירות בנשק. </w:t>
      </w:r>
    </w:p>
    <w:p w14:paraId="1996C053" w14:textId="77777777" w:rsidR="00912AF8" w:rsidRDefault="005E438E">
      <w:pPr>
        <w:tabs>
          <w:tab w:val="right" w:pos="7946"/>
        </w:tabs>
        <w:spacing w:line="360" w:lineRule="auto"/>
        <w:ind w:left="26" w:right="360"/>
        <w:jc w:val="both"/>
        <w:rPr>
          <w:rFonts w:ascii="Arial" w:hAnsi="Arial"/>
          <w:rtl/>
        </w:rPr>
      </w:pPr>
      <w:r>
        <w:rPr>
          <w:rFonts w:ascii="Arial" w:hAnsi="Arial"/>
          <w:rtl/>
        </w:rPr>
        <w:t xml:space="preserve">הסדר הטיעון כלל מסגרת עונשית, ולפיה יתבקש בית-המשפט לגזור על </w:t>
      </w:r>
      <w:r>
        <w:rPr>
          <w:rFonts w:ascii="Arial" w:hAnsi="Arial"/>
          <w:b/>
          <w:bCs/>
          <w:rtl/>
        </w:rPr>
        <w:t>נאשם 1</w:t>
      </w:r>
      <w:r>
        <w:rPr>
          <w:rFonts w:ascii="Arial" w:hAnsi="Arial"/>
          <w:rtl/>
        </w:rPr>
        <w:t xml:space="preserve"> תשע עשרה שנות מאסר בפועל ועל</w:t>
      </w:r>
      <w:r>
        <w:rPr>
          <w:rFonts w:ascii="Arial" w:hAnsi="Arial"/>
          <w:b/>
          <w:bCs/>
          <w:rtl/>
        </w:rPr>
        <w:t xml:space="preserve"> נאשם</w:t>
      </w:r>
      <w:r>
        <w:rPr>
          <w:rFonts w:ascii="Arial" w:hAnsi="Arial"/>
          <w:rtl/>
        </w:rPr>
        <w:t xml:space="preserve"> </w:t>
      </w:r>
      <w:r>
        <w:rPr>
          <w:rFonts w:ascii="Arial" w:hAnsi="Arial"/>
          <w:b/>
          <w:bCs/>
          <w:rtl/>
        </w:rPr>
        <w:t xml:space="preserve">2 </w:t>
      </w:r>
      <w:r>
        <w:rPr>
          <w:rFonts w:ascii="Arial" w:hAnsi="Arial"/>
          <w:rtl/>
        </w:rPr>
        <w:t xml:space="preserve">אחת עשרה שנות מאסר בפועל; כמו כן, סוכם כי יוטל על הנאשמים עונש מאסר מותנה לשיקול דעת בית-המשפט. </w:t>
      </w:r>
    </w:p>
    <w:p w14:paraId="475CDD42" w14:textId="77777777" w:rsidR="00912AF8" w:rsidRDefault="00912AF8">
      <w:pPr>
        <w:tabs>
          <w:tab w:val="right" w:pos="7946"/>
        </w:tabs>
        <w:spacing w:line="360" w:lineRule="auto"/>
        <w:ind w:left="26" w:right="360"/>
        <w:jc w:val="both"/>
        <w:rPr>
          <w:rFonts w:ascii="Arial" w:hAnsi="Arial"/>
          <w:rtl/>
        </w:rPr>
      </w:pPr>
      <w:bookmarkStart w:id="6" w:name="ABSTRACT_END"/>
      <w:bookmarkEnd w:id="6"/>
    </w:p>
    <w:p w14:paraId="50A11427" w14:textId="77777777" w:rsidR="00912AF8" w:rsidRDefault="005E438E">
      <w:pPr>
        <w:tabs>
          <w:tab w:val="right" w:pos="7946"/>
        </w:tabs>
        <w:spacing w:line="360" w:lineRule="auto"/>
        <w:ind w:left="26" w:right="360"/>
        <w:jc w:val="both"/>
        <w:rPr>
          <w:rFonts w:ascii="Arial" w:hAnsi="Arial"/>
          <w:rtl/>
        </w:rPr>
      </w:pPr>
      <w:r>
        <w:rPr>
          <w:rFonts w:ascii="Arial" w:hAnsi="Arial"/>
          <w:rtl/>
        </w:rPr>
        <w:t xml:space="preserve">המאשימה הודיעה, כי הסדר הטיעון נערך בידיעת משפחת המנוח ובהסכמתה. </w:t>
      </w:r>
    </w:p>
    <w:p w14:paraId="4E8EFA94" w14:textId="77777777" w:rsidR="00912AF8" w:rsidRDefault="00912AF8">
      <w:pPr>
        <w:tabs>
          <w:tab w:val="right" w:pos="7946"/>
        </w:tabs>
        <w:spacing w:line="360" w:lineRule="auto"/>
        <w:ind w:right="360"/>
        <w:jc w:val="both"/>
        <w:rPr>
          <w:rFonts w:ascii="Arial" w:hAnsi="Arial"/>
          <w:rtl/>
        </w:rPr>
      </w:pPr>
    </w:p>
    <w:p w14:paraId="5E2FD482" w14:textId="77777777" w:rsidR="00912AF8" w:rsidRDefault="005E438E">
      <w:pPr>
        <w:spacing w:line="360" w:lineRule="auto"/>
        <w:ind w:left="720" w:hanging="720"/>
        <w:rPr>
          <w:rFonts w:ascii="Arial" w:hAnsi="Arial"/>
          <w:b/>
          <w:bCs/>
        </w:rPr>
      </w:pPr>
      <w:r>
        <w:rPr>
          <w:rFonts w:ascii="Arial" w:hAnsi="Arial" w:hint="cs"/>
          <w:b/>
          <w:bCs/>
          <w:rtl/>
        </w:rPr>
        <w:t>ב.</w:t>
      </w:r>
      <w:r>
        <w:rPr>
          <w:rFonts w:ascii="Arial" w:hAnsi="Arial" w:hint="cs"/>
          <w:b/>
          <w:bCs/>
          <w:rtl/>
        </w:rPr>
        <w:tab/>
      </w:r>
      <w:r>
        <w:rPr>
          <w:rFonts w:ascii="Arial" w:hAnsi="Arial"/>
          <w:b/>
          <w:bCs/>
          <w:rtl/>
        </w:rPr>
        <w:t>עובדות כתב האישום</w:t>
      </w:r>
      <w:r>
        <w:rPr>
          <w:rFonts w:ascii="Arial" w:hAnsi="Arial" w:hint="cs"/>
          <w:b/>
          <w:bCs/>
          <w:rtl/>
        </w:rPr>
        <w:t>:</w:t>
      </w:r>
    </w:p>
    <w:p w14:paraId="6BF869C6" w14:textId="77777777" w:rsidR="00912AF8" w:rsidRDefault="00912AF8">
      <w:pPr>
        <w:tabs>
          <w:tab w:val="right" w:pos="7946"/>
        </w:tabs>
        <w:spacing w:line="360" w:lineRule="auto"/>
        <w:ind w:right="360"/>
        <w:jc w:val="both"/>
        <w:rPr>
          <w:rFonts w:ascii="Arial" w:hAnsi="Arial"/>
          <w:rtl/>
        </w:rPr>
      </w:pPr>
    </w:p>
    <w:p w14:paraId="33FEB602" w14:textId="77777777" w:rsidR="00912AF8" w:rsidRDefault="005E438E">
      <w:pPr>
        <w:tabs>
          <w:tab w:val="right" w:pos="7946"/>
        </w:tabs>
        <w:spacing w:line="360" w:lineRule="auto"/>
        <w:ind w:right="360"/>
        <w:jc w:val="both"/>
        <w:rPr>
          <w:rFonts w:ascii="Arial" w:hAnsi="Arial"/>
          <w:rtl/>
        </w:rPr>
      </w:pPr>
      <w:r>
        <w:rPr>
          <w:rFonts w:ascii="Arial" w:hAnsi="Arial"/>
          <w:rtl/>
        </w:rPr>
        <w:t xml:space="preserve">כרקע לעובדות כתב האישום צוין, כי הנאשמים הם חברים וכי נאשם 1 הוא קרוב משפחה של נאסר בדראן (להלן: </w:t>
      </w:r>
      <w:r>
        <w:rPr>
          <w:rFonts w:ascii="Arial" w:hAnsi="Arial" w:cs="Miriam"/>
          <w:rtl/>
        </w:rPr>
        <w:t>"המנוח"</w:t>
      </w:r>
      <w:r>
        <w:rPr>
          <w:rFonts w:ascii="Arial" w:hAnsi="Arial"/>
          <w:rtl/>
        </w:rPr>
        <w:t xml:space="preserve">). </w:t>
      </w:r>
    </w:p>
    <w:p w14:paraId="4D9945EA" w14:textId="77777777" w:rsidR="00912AF8" w:rsidRDefault="00912AF8">
      <w:pPr>
        <w:tabs>
          <w:tab w:val="right" w:pos="7946"/>
        </w:tabs>
        <w:spacing w:line="360" w:lineRule="auto"/>
        <w:ind w:right="360"/>
        <w:jc w:val="both"/>
        <w:rPr>
          <w:rFonts w:ascii="Arial" w:hAnsi="Arial"/>
          <w:rtl/>
        </w:rPr>
      </w:pPr>
    </w:p>
    <w:p w14:paraId="0C1BFE06" w14:textId="77777777" w:rsidR="00912AF8" w:rsidRDefault="005E438E">
      <w:pPr>
        <w:tabs>
          <w:tab w:val="right" w:pos="7946"/>
        </w:tabs>
        <w:spacing w:line="360" w:lineRule="auto"/>
        <w:ind w:right="360"/>
        <w:jc w:val="both"/>
        <w:rPr>
          <w:rFonts w:ascii="Arial" w:hAnsi="Arial"/>
          <w:rtl/>
        </w:rPr>
      </w:pPr>
      <w:r>
        <w:rPr>
          <w:rFonts w:ascii="Arial" w:hAnsi="Arial"/>
          <w:rtl/>
        </w:rPr>
        <w:t xml:space="preserve">בתאריך 17.11.2011, או בסמוך לכך במועד שאינו ידוע למאשימה, קשרו הנאשמים קשר לפגוע במנוח, על רקע חשדו של נאשם 1 כי המנוח מצוי בקשר עם דודתו. </w:t>
      </w:r>
    </w:p>
    <w:p w14:paraId="28ECE1C1" w14:textId="77777777" w:rsidR="00912AF8" w:rsidRDefault="00912AF8">
      <w:pPr>
        <w:tabs>
          <w:tab w:val="right" w:pos="7946"/>
        </w:tabs>
        <w:spacing w:line="360" w:lineRule="auto"/>
        <w:ind w:right="360"/>
        <w:jc w:val="both"/>
        <w:rPr>
          <w:rFonts w:ascii="Arial" w:hAnsi="Arial"/>
          <w:rtl/>
        </w:rPr>
      </w:pPr>
    </w:p>
    <w:p w14:paraId="229D7E16" w14:textId="77777777" w:rsidR="00912AF8" w:rsidRDefault="005E438E">
      <w:pPr>
        <w:tabs>
          <w:tab w:val="right" w:pos="7946"/>
        </w:tabs>
        <w:spacing w:line="360" w:lineRule="auto"/>
        <w:ind w:right="360"/>
        <w:jc w:val="both"/>
        <w:rPr>
          <w:rFonts w:ascii="Arial" w:hAnsi="Arial"/>
          <w:rtl/>
        </w:rPr>
      </w:pPr>
      <w:r>
        <w:rPr>
          <w:rFonts w:ascii="Arial" w:hAnsi="Arial"/>
          <w:rtl/>
        </w:rPr>
        <w:t xml:space="preserve">במהלך אותו יום, בשעות הצהריים, פנה נאשם 2 לחברו, עבד אל סאלם נאסר (להלן: </w:t>
      </w:r>
      <w:r>
        <w:rPr>
          <w:rFonts w:ascii="Arial" w:hAnsi="Arial" w:cs="Miriam"/>
          <w:rtl/>
        </w:rPr>
        <w:t>"עבד"</w:t>
      </w:r>
      <w:r>
        <w:rPr>
          <w:rFonts w:ascii="Arial" w:hAnsi="Arial"/>
          <w:rtl/>
        </w:rPr>
        <w:t>), וביקש ממנו להשיג לו אקדח. סמוך לאחר מכן מסר עבד אקדח לנאשמים.</w:t>
      </w:r>
    </w:p>
    <w:p w14:paraId="0EFAC4B9" w14:textId="77777777" w:rsidR="00912AF8" w:rsidRDefault="00912AF8">
      <w:pPr>
        <w:tabs>
          <w:tab w:val="right" w:pos="7946"/>
        </w:tabs>
        <w:spacing w:line="360" w:lineRule="auto"/>
        <w:ind w:right="360"/>
        <w:jc w:val="both"/>
        <w:rPr>
          <w:rFonts w:ascii="Arial" w:hAnsi="Arial"/>
          <w:rtl/>
        </w:rPr>
      </w:pPr>
    </w:p>
    <w:p w14:paraId="45599F8F" w14:textId="77777777" w:rsidR="00912AF8" w:rsidRDefault="005E438E">
      <w:pPr>
        <w:tabs>
          <w:tab w:val="right" w:pos="7946"/>
        </w:tabs>
        <w:spacing w:line="360" w:lineRule="auto"/>
        <w:ind w:right="360"/>
        <w:jc w:val="both"/>
        <w:rPr>
          <w:rFonts w:ascii="Arial" w:hAnsi="Arial"/>
          <w:rtl/>
        </w:rPr>
      </w:pPr>
      <w:r>
        <w:rPr>
          <w:rFonts w:ascii="Arial" w:hAnsi="Arial"/>
          <w:rtl/>
        </w:rPr>
        <w:t xml:space="preserve">הנאשמים, שהבחינו במנוח בסמוך לבית הקפה של עלי חוסין (להלן: </w:t>
      </w:r>
      <w:r>
        <w:rPr>
          <w:rFonts w:ascii="Arial" w:hAnsi="Arial" w:cs="Miriam"/>
          <w:rtl/>
        </w:rPr>
        <w:t>"בית הקפה"</w:t>
      </w:r>
      <w:r>
        <w:rPr>
          <w:rFonts w:ascii="Arial" w:hAnsi="Arial"/>
          <w:rtl/>
        </w:rPr>
        <w:t xml:space="preserve">) בכפר בענה, פנו לחברם, נביל מוסא (להלן: </w:t>
      </w:r>
      <w:r>
        <w:rPr>
          <w:rFonts w:ascii="Arial" w:hAnsi="Arial" w:cs="Miriam"/>
          <w:rtl/>
        </w:rPr>
        <w:t>"נביל"</w:t>
      </w:r>
      <w:r>
        <w:rPr>
          <w:rFonts w:ascii="Arial" w:hAnsi="Arial"/>
          <w:rtl/>
        </w:rPr>
        <w:t xml:space="preserve">), וביקשו ממנו שיסיע אותם ברכבו אל בית הקפה. משנענה נביל לבקשתם, הגיעו הנאשמים לביתו כשהם מצוידים באקדח שקיבלו מעבד ובאקדח נוסף, ולאחר מכן נסעו השלושה אל עבר בית הקפה. </w:t>
      </w:r>
    </w:p>
    <w:p w14:paraId="1A4B0D30" w14:textId="77777777" w:rsidR="00912AF8" w:rsidRDefault="00912AF8">
      <w:pPr>
        <w:tabs>
          <w:tab w:val="right" w:pos="7946"/>
        </w:tabs>
        <w:spacing w:line="360" w:lineRule="auto"/>
        <w:ind w:right="360"/>
        <w:jc w:val="both"/>
        <w:rPr>
          <w:rFonts w:ascii="Arial" w:hAnsi="Arial"/>
          <w:rtl/>
        </w:rPr>
      </w:pPr>
    </w:p>
    <w:p w14:paraId="4C45B4EA" w14:textId="77777777" w:rsidR="00912AF8" w:rsidRDefault="005E438E">
      <w:pPr>
        <w:tabs>
          <w:tab w:val="right" w:pos="7946"/>
        </w:tabs>
        <w:spacing w:line="360" w:lineRule="auto"/>
        <w:ind w:right="360"/>
        <w:jc w:val="both"/>
        <w:rPr>
          <w:rFonts w:ascii="Arial" w:hAnsi="Arial"/>
          <w:rtl/>
        </w:rPr>
      </w:pPr>
      <w:r>
        <w:rPr>
          <w:rFonts w:ascii="Arial" w:hAnsi="Arial"/>
          <w:rtl/>
        </w:rPr>
        <w:lastRenderedPageBreak/>
        <w:t xml:space="preserve">בהגיעם לבית הקפה, בשעה 17:50, או בסמוך לכך, ביקשו הנאשמים מנביל שיעצור את הרכב וימתין להם במקום. הנאשמים ירדו מהרכב והתקדמו אל עבר בית הקפה, כאשר הם רעולי פנים והאקדחים ברשותם. </w:t>
      </w:r>
    </w:p>
    <w:p w14:paraId="293A63FA" w14:textId="77777777" w:rsidR="00912AF8" w:rsidRDefault="00912AF8">
      <w:pPr>
        <w:tabs>
          <w:tab w:val="right" w:pos="7946"/>
        </w:tabs>
        <w:spacing w:line="360" w:lineRule="auto"/>
        <w:ind w:right="360"/>
        <w:jc w:val="both"/>
        <w:rPr>
          <w:rFonts w:ascii="Arial" w:hAnsi="Arial"/>
          <w:rtl/>
        </w:rPr>
      </w:pPr>
    </w:p>
    <w:p w14:paraId="401A4809" w14:textId="77777777" w:rsidR="00912AF8" w:rsidRDefault="005E438E">
      <w:pPr>
        <w:tabs>
          <w:tab w:val="right" w:pos="7946"/>
        </w:tabs>
        <w:spacing w:line="360" w:lineRule="auto"/>
        <w:ind w:right="360"/>
        <w:jc w:val="both"/>
        <w:rPr>
          <w:rFonts w:ascii="Arial" w:hAnsi="Arial"/>
          <w:rtl/>
        </w:rPr>
      </w:pPr>
      <w:r>
        <w:rPr>
          <w:rFonts w:ascii="Arial" w:hAnsi="Arial"/>
          <w:rtl/>
        </w:rPr>
        <w:t xml:space="preserve">הנאשמים התקרבו אל עבר המנוח שעבר סמוך לרכבו ליד בית הקפה. נאשם 1 ירה לעברו מספר יריות ופגע בו, בעוד הנאשם 2 מסייע לו בכך שאבטח אותו, בעודו עומד בסמוך אליו ואל המנוח כשבידו אקדח. הקליעים שירה נאשם 1 לעבר המנוח, ארבעה במספר, פגעו במנוח וגרמו למותו. </w:t>
      </w:r>
    </w:p>
    <w:p w14:paraId="4B4A4F6B" w14:textId="77777777" w:rsidR="00912AF8" w:rsidRDefault="00912AF8">
      <w:pPr>
        <w:tabs>
          <w:tab w:val="right" w:pos="7946"/>
        </w:tabs>
        <w:spacing w:line="360" w:lineRule="auto"/>
        <w:ind w:right="360"/>
        <w:jc w:val="both"/>
        <w:rPr>
          <w:rFonts w:ascii="Arial" w:hAnsi="Arial"/>
          <w:rtl/>
        </w:rPr>
      </w:pPr>
    </w:p>
    <w:p w14:paraId="7CD5A704" w14:textId="77777777" w:rsidR="00912AF8" w:rsidRDefault="005E438E">
      <w:pPr>
        <w:tabs>
          <w:tab w:val="right" w:pos="7946"/>
        </w:tabs>
        <w:spacing w:line="360" w:lineRule="auto"/>
        <w:ind w:right="360"/>
        <w:jc w:val="both"/>
        <w:rPr>
          <w:rFonts w:ascii="Arial" w:hAnsi="Arial"/>
          <w:rtl/>
        </w:rPr>
      </w:pPr>
      <w:r>
        <w:rPr>
          <w:rFonts w:ascii="Arial" w:hAnsi="Arial"/>
          <w:rtl/>
        </w:rPr>
        <w:t xml:space="preserve">לאחר הירי, נכנסו הנאשמים לרכבו של נביל וזה האחרון מילט אותם מן המקום. לאחר מכן, החזירו הנאשם 2 ונביל לעבד את האקדח אותו קיבלו הנאשמים ממנו, ובשלב מאוחר יותר קנה נאשם 2 את אותו האקדח. </w:t>
      </w:r>
    </w:p>
    <w:p w14:paraId="2B753AEB" w14:textId="77777777" w:rsidR="00912AF8" w:rsidRDefault="005E438E">
      <w:pPr>
        <w:spacing w:line="360" w:lineRule="auto"/>
        <w:ind w:left="720" w:right="360" w:hanging="720"/>
        <w:jc w:val="both"/>
        <w:rPr>
          <w:rFonts w:ascii="Arial" w:hAnsi="Arial"/>
          <w:b/>
          <w:bCs/>
        </w:rPr>
      </w:pPr>
      <w:r>
        <w:rPr>
          <w:rFonts w:ascii="Arial" w:hAnsi="Arial" w:hint="cs"/>
          <w:b/>
          <w:bCs/>
          <w:rtl/>
        </w:rPr>
        <w:t>ג.</w:t>
      </w:r>
      <w:r>
        <w:rPr>
          <w:rFonts w:ascii="Arial" w:hAnsi="Arial" w:hint="cs"/>
          <w:b/>
          <w:bCs/>
          <w:rtl/>
        </w:rPr>
        <w:tab/>
        <w:t>ת</w:t>
      </w:r>
      <w:r>
        <w:rPr>
          <w:rFonts w:ascii="Arial" w:hAnsi="Arial"/>
          <w:b/>
          <w:bCs/>
          <w:rtl/>
        </w:rPr>
        <w:t>סקיר קצין מבחן לנאשם 1</w:t>
      </w:r>
      <w:r>
        <w:rPr>
          <w:rFonts w:ascii="Arial" w:hAnsi="Arial" w:hint="cs"/>
          <w:b/>
          <w:bCs/>
          <w:rtl/>
        </w:rPr>
        <w:t>:</w:t>
      </w:r>
    </w:p>
    <w:p w14:paraId="4B620397" w14:textId="77777777" w:rsidR="00912AF8" w:rsidRDefault="00912AF8">
      <w:pPr>
        <w:tabs>
          <w:tab w:val="right" w:pos="7946"/>
        </w:tabs>
        <w:spacing w:line="360" w:lineRule="auto"/>
        <w:ind w:right="360"/>
        <w:jc w:val="both"/>
        <w:rPr>
          <w:rFonts w:ascii="Arial" w:hAnsi="Arial"/>
          <w:b/>
          <w:bCs/>
          <w:rtl/>
        </w:rPr>
      </w:pPr>
    </w:p>
    <w:p w14:paraId="0A3096DE" w14:textId="77777777" w:rsidR="00912AF8" w:rsidRDefault="005E438E">
      <w:pPr>
        <w:tabs>
          <w:tab w:val="right" w:pos="7946"/>
        </w:tabs>
        <w:spacing w:line="360" w:lineRule="auto"/>
        <w:ind w:right="360"/>
        <w:jc w:val="both"/>
        <w:rPr>
          <w:rFonts w:ascii="Arial" w:hAnsi="Arial"/>
        </w:rPr>
      </w:pPr>
      <w:r>
        <w:rPr>
          <w:rFonts w:ascii="Arial" w:hAnsi="Arial"/>
          <w:rtl/>
        </w:rPr>
        <w:t xml:space="preserve">לאור גילו של נאשם 1 הורינו על הכנת תסקיר בעניינו בלבד. </w:t>
      </w:r>
    </w:p>
    <w:p w14:paraId="0518826B" w14:textId="77777777" w:rsidR="00912AF8" w:rsidRDefault="00912AF8">
      <w:pPr>
        <w:tabs>
          <w:tab w:val="right" w:pos="7946"/>
        </w:tabs>
        <w:spacing w:line="360" w:lineRule="auto"/>
        <w:ind w:right="360"/>
        <w:jc w:val="both"/>
        <w:rPr>
          <w:rFonts w:ascii="Arial" w:hAnsi="Arial"/>
          <w:b/>
          <w:bCs/>
          <w:rtl/>
        </w:rPr>
      </w:pPr>
    </w:p>
    <w:p w14:paraId="184FE617" w14:textId="77777777" w:rsidR="00912AF8" w:rsidRDefault="005E438E">
      <w:pPr>
        <w:tabs>
          <w:tab w:val="right" w:pos="7946"/>
        </w:tabs>
        <w:spacing w:line="360" w:lineRule="auto"/>
        <w:ind w:right="360"/>
        <w:jc w:val="both"/>
        <w:rPr>
          <w:rFonts w:ascii="Arial" w:hAnsi="Arial"/>
          <w:rtl/>
        </w:rPr>
      </w:pPr>
      <w:r>
        <w:rPr>
          <w:rFonts w:ascii="Arial" w:hAnsi="Arial"/>
          <w:rtl/>
        </w:rPr>
        <w:t>בתסקיר מיום</w:t>
      </w:r>
      <w:r>
        <w:rPr>
          <w:rFonts w:ascii="Arial" w:hAnsi="Arial"/>
          <w:b/>
          <w:bCs/>
          <w:rtl/>
        </w:rPr>
        <w:t xml:space="preserve"> </w:t>
      </w:r>
      <w:r>
        <w:rPr>
          <w:rFonts w:ascii="Arial" w:hAnsi="Arial"/>
          <w:rtl/>
        </w:rPr>
        <w:t>09.12.2013, סקרה קצינת המבחן למבוגרים, גברת מיקה אריאל, את מכלול נסיבותיו האישיות והמשפחתיות של הנאשם, ובכלל זה את היותו כיום בן 22, שירותו בצה"ל כשנתיים וחצי בתור לוחם ביחידת גששים, על אף שלא מחויב היה לעשות כן, וזוהי מעורבותו הראשונה בפלילים.</w:t>
      </w:r>
    </w:p>
    <w:p w14:paraId="4C3AC211" w14:textId="77777777" w:rsidR="00912AF8" w:rsidRDefault="00912AF8">
      <w:pPr>
        <w:tabs>
          <w:tab w:val="right" w:pos="7946"/>
        </w:tabs>
        <w:spacing w:line="360" w:lineRule="auto"/>
        <w:ind w:right="360"/>
        <w:jc w:val="both"/>
        <w:rPr>
          <w:rFonts w:ascii="Arial" w:hAnsi="Arial"/>
          <w:rtl/>
        </w:rPr>
      </w:pPr>
    </w:p>
    <w:p w14:paraId="0533EB7C" w14:textId="77777777" w:rsidR="00912AF8" w:rsidRDefault="005E438E">
      <w:pPr>
        <w:tabs>
          <w:tab w:val="right" w:pos="7946"/>
        </w:tabs>
        <w:spacing w:line="360" w:lineRule="auto"/>
        <w:ind w:right="360"/>
        <w:jc w:val="both"/>
        <w:rPr>
          <w:rFonts w:ascii="Arial" w:hAnsi="Arial"/>
          <w:rtl/>
        </w:rPr>
      </w:pPr>
      <w:r>
        <w:rPr>
          <w:rFonts w:ascii="Arial" w:hAnsi="Arial"/>
          <w:rtl/>
        </w:rPr>
        <w:t>בהתייחס לשירותו בצה"ל צוין, כי משפחתו התנגדה לגיוסו ולאחר שעשה כן נותק הקשר עימה, ובחלק משירותו הצבאי הוכר כחייל בודד וקיבל סיוע סוציאלי מצה"ל.</w:t>
      </w:r>
    </w:p>
    <w:p w14:paraId="33DD9757" w14:textId="77777777" w:rsidR="00912AF8" w:rsidRDefault="00912AF8">
      <w:pPr>
        <w:tabs>
          <w:tab w:val="right" w:pos="7946"/>
        </w:tabs>
        <w:spacing w:line="360" w:lineRule="auto"/>
        <w:ind w:right="360"/>
        <w:jc w:val="both"/>
        <w:rPr>
          <w:rFonts w:ascii="Arial" w:hAnsi="Arial"/>
          <w:rtl/>
        </w:rPr>
      </w:pPr>
    </w:p>
    <w:p w14:paraId="5703AD49" w14:textId="77777777" w:rsidR="00912AF8" w:rsidRDefault="005E438E">
      <w:pPr>
        <w:tabs>
          <w:tab w:val="right" w:pos="7946"/>
        </w:tabs>
        <w:spacing w:line="360" w:lineRule="auto"/>
        <w:ind w:right="360"/>
        <w:jc w:val="both"/>
        <w:rPr>
          <w:rFonts w:ascii="Arial" w:hAnsi="Arial"/>
          <w:rtl/>
        </w:rPr>
      </w:pPr>
      <w:r>
        <w:rPr>
          <w:rFonts w:ascii="Arial" w:hAnsi="Arial"/>
          <w:rtl/>
        </w:rPr>
        <w:t>בפני קצינת המבחן נטל הנאשם אחריות לביצוע העבירה והביע חרטה על מעשיו. לדבריו, מספר ימים לפני ביצוע העבירה נודע לו כי המנוח פגע מינית בדודתו, וחש מחויבות "</w:t>
      </w:r>
      <w:r>
        <w:rPr>
          <w:rFonts w:ascii="Arial" w:hAnsi="Arial" w:cs="Miriam"/>
          <w:rtl/>
        </w:rPr>
        <w:t>להציב לו גבול ברור להתנהלותו</w:t>
      </w:r>
      <w:r>
        <w:rPr>
          <w:rFonts w:ascii="Arial" w:hAnsi="Arial"/>
          <w:rtl/>
        </w:rPr>
        <w:t>", תוך שציין כי במעורבותו בפלילים מושא תיק זה הסב לבני משפחתו "</w:t>
      </w:r>
      <w:r>
        <w:rPr>
          <w:rFonts w:ascii="Arial" w:hAnsi="Arial" w:cs="Miriam"/>
          <w:rtl/>
        </w:rPr>
        <w:t>כאב, צער ובושה</w:t>
      </w:r>
      <w:r>
        <w:rPr>
          <w:rFonts w:ascii="Arial" w:hAnsi="Arial"/>
          <w:rtl/>
        </w:rPr>
        <w:t xml:space="preserve">". </w:t>
      </w:r>
    </w:p>
    <w:p w14:paraId="431BAAB4" w14:textId="77777777" w:rsidR="00912AF8" w:rsidRDefault="00912AF8">
      <w:pPr>
        <w:tabs>
          <w:tab w:val="right" w:pos="7946"/>
        </w:tabs>
        <w:spacing w:line="360" w:lineRule="auto"/>
        <w:ind w:right="360"/>
        <w:jc w:val="both"/>
        <w:rPr>
          <w:rFonts w:ascii="Arial" w:hAnsi="Arial"/>
          <w:rtl/>
        </w:rPr>
      </w:pPr>
    </w:p>
    <w:p w14:paraId="1770856C" w14:textId="77777777" w:rsidR="00912AF8" w:rsidRDefault="005E438E">
      <w:pPr>
        <w:tabs>
          <w:tab w:val="right" w:pos="7946"/>
        </w:tabs>
        <w:spacing w:line="360" w:lineRule="auto"/>
        <w:ind w:right="360"/>
        <w:jc w:val="both"/>
        <w:rPr>
          <w:rFonts w:ascii="Arial" w:hAnsi="Arial"/>
          <w:rtl/>
        </w:rPr>
      </w:pPr>
      <w:r>
        <w:rPr>
          <w:rFonts w:ascii="Arial" w:hAnsi="Arial"/>
          <w:rtl/>
        </w:rPr>
        <w:t>הנאשם</w:t>
      </w:r>
      <w:r>
        <w:rPr>
          <w:rFonts w:ascii="Arial" w:hAnsi="Arial"/>
          <w:b/>
          <w:bCs/>
          <w:rtl/>
        </w:rPr>
        <w:t xml:space="preserve"> </w:t>
      </w:r>
      <w:r>
        <w:rPr>
          <w:rFonts w:ascii="Arial" w:hAnsi="Arial"/>
          <w:rtl/>
        </w:rPr>
        <w:t xml:space="preserve">הדגיש, כי לא תכנן ליטול את חיי המנוח אלא רק להרתיעו, אולם משראה את המנוח התקשה לשלוט בדחפיו וברצונו לפגוע במנוח, ולכן פעל כמתואר בכתב האישום. </w:t>
      </w:r>
    </w:p>
    <w:p w14:paraId="52BB4564" w14:textId="77777777" w:rsidR="00912AF8" w:rsidRDefault="00912AF8">
      <w:pPr>
        <w:tabs>
          <w:tab w:val="right" w:pos="7946"/>
        </w:tabs>
        <w:spacing w:line="360" w:lineRule="auto"/>
        <w:ind w:right="360"/>
        <w:jc w:val="both"/>
        <w:rPr>
          <w:rFonts w:ascii="Arial" w:hAnsi="Arial"/>
          <w:rtl/>
        </w:rPr>
      </w:pPr>
    </w:p>
    <w:p w14:paraId="75620044" w14:textId="77777777" w:rsidR="00912AF8" w:rsidRDefault="005E438E">
      <w:pPr>
        <w:tabs>
          <w:tab w:val="right" w:pos="7946"/>
        </w:tabs>
        <w:spacing w:line="360" w:lineRule="auto"/>
        <w:ind w:right="360"/>
        <w:jc w:val="both"/>
        <w:rPr>
          <w:rFonts w:ascii="Arial" w:hAnsi="Arial"/>
          <w:rtl/>
        </w:rPr>
      </w:pPr>
      <w:r>
        <w:rPr>
          <w:rFonts w:ascii="Arial" w:hAnsi="Arial"/>
          <w:rtl/>
        </w:rPr>
        <w:t>עוד הוסיף, כי היה "</w:t>
      </w:r>
      <w:r>
        <w:rPr>
          <w:rFonts w:ascii="?" w:hAnsi="?" w:cs="Miriam" w:hint="eastAsia"/>
          <w:rtl/>
        </w:rPr>
        <w:t>ממוקד</w:t>
      </w:r>
      <w:r>
        <w:rPr>
          <w:rFonts w:ascii="?" w:hAnsi="?" w:cs="Miriam"/>
          <w:rtl/>
        </w:rPr>
        <w:t xml:space="preserve"> </w:t>
      </w:r>
      <w:r>
        <w:rPr>
          <w:rFonts w:ascii="?" w:hAnsi="?" w:cs="Miriam" w:hint="eastAsia"/>
          <w:rtl/>
        </w:rPr>
        <w:t>בפגיעה</w:t>
      </w:r>
      <w:r>
        <w:rPr>
          <w:rFonts w:ascii="?" w:hAnsi="?" w:cs="Miriam"/>
          <w:rtl/>
        </w:rPr>
        <w:t xml:space="preserve"> </w:t>
      </w:r>
      <w:r>
        <w:rPr>
          <w:rFonts w:ascii="?" w:hAnsi="?" w:cs="Miriam" w:hint="eastAsia"/>
          <w:rtl/>
        </w:rPr>
        <w:t>במנוח</w:t>
      </w:r>
      <w:r>
        <w:rPr>
          <w:rFonts w:ascii="?" w:hAnsi="?" w:cs="Miriam"/>
          <w:rtl/>
        </w:rPr>
        <w:t xml:space="preserve"> </w:t>
      </w:r>
      <w:r>
        <w:rPr>
          <w:rFonts w:ascii="?" w:hAnsi="?" w:cs="Miriam" w:hint="eastAsia"/>
          <w:rtl/>
        </w:rPr>
        <w:t>ונזהר</w:t>
      </w:r>
      <w:r>
        <w:rPr>
          <w:rFonts w:ascii="?" w:hAnsi="?" w:cs="Miriam"/>
          <w:rtl/>
        </w:rPr>
        <w:t xml:space="preserve"> </w:t>
      </w:r>
      <w:r>
        <w:rPr>
          <w:rFonts w:ascii="?" w:hAnsi="?" w:cs="Miriam" w:hint="eastAsia"/>
          <w:rtl/>
        </w:rPr>
        <w:t>שלא</w:t>
      </w:r>
      <w:r>
        <w:rPr>
          <w:rFonts w:ascii="?" w:hAnsi="?" w:cs="Miriam"/>
          <w:rtl/>
        </w:rPr>
        <w:t xml:space="preserve"> </w:t>
      </w:r>
      <w:r>
        <w:rPr>
          <w:rFonts w:ascii="?" w:hAnsi="?" w:cs="Miriam" w:hint="eastAsia"/>
          <w:rtl/>
        </w:rPr>
        <w:t>לפגוע</w:t>
      </w:r>
      <w:r>
        <w:rPr>
          <w:rFonts w:ascii="?" w:hAnsi="?" w:cs="Miriam"/>
          <w:rtl/>
        </w:rPr>
        <w:t xml:space="preserve"> </w:t>
      </w:r>
      <w:r>
        <w:rPr>
          <w:rFonts w:ascii="?" w:hAnsi="?" w:cs="Miriam" w:hint="eastAsia"/>
          <w:rtl/>
        </w:rPr>
        <w:t>באנשים</w:t>
      </w:r>
      <w:r>
        <w:rPr>
          <w:rFonts w:ascii="?" w:hAnsi="?" w:cs="Miriam"/>
          <w:rtl/>
        </w:rPr>
        <w:t xml:space="preserve"> </w:t>
      </w:r>
      <w:r>
        <w:rPr>
          <w:rFonts w:ascii="?" w:hAnsi="?" w:cs="Miriam" w:hint="eastAsia"/>
          <w:rtl/>
        </w:rPr>
        <w:t>שהיו</w:t>
      </w:r>
      <w:r>
        <w:rPr>
          <w:rFonts w:ascii="?" w:hAnsi="?" w:cs="Miriam"/>
          <w:rtl/>
        </w:rPr>
        <w:t xml:space="preserve"> </w:t>
      </w:r>
      <w:r>
        <w:rPr>
          <w:rFonts w:ascii="?" w:hAnsi="?" w:cs="Miriam" w:hint="eastAsia"/>
          <w:rtl/>
        </w:rPr>
        <w:t>בסביבתו</w:t>
      </w:r>
      <w:r>
        <w:rPr>
          <w:rFonts w:ascii="Arial" w:hAnsi="Arial"/>
          <w:rtl/>
        </w:rPr>
        <w:t xml:space="preserve">". </w:t>
      </w:r>
    </w:p>
    <w:p w14:paraId="4BB122F8" w14:textId="77777777" w:rsidR="00912AF8" w:rsidRDefault="00912AF8">
      <w:pPr>
        <w:tabs>
          <w:tab w:val="right" w:pos="7946"/>
        </w:tabs>
        <w:spacing w:line="360" w:lineRule="auto"/>
        <w:ind w:right="360"/>
        <w:jc w:val="both"/>
        <w:rPr>
          <w:rFonts w:ascii="Arial" w:hAnsi="Arial"/>
          <w:rtl/>
        </w:rPr>
      </w:pPr>
    </w:p>
    <w:p w14:paraId="65975E15" w14:textId="77777777" w:rsidR="00912AF8" w:rsidRDefault="005E438E">
      <w:pPr>
        <w:tabs>
          <w:tab w:val="right" w:pos="7946"/>
        </w:tabs>
        <w:spacing w:line="360" w:lineRule="auto"/>
        <w:ind w:right="360"/>
        <w:jc w:val="both"/>
        <w:rPr>
          <w:rFonts w:ascii="Arial" w:hAnsi="Arial"/>
          <w:rtl/>
        </w:rPr>
      </w:pPr>
      <w:r>
        <w:rPr>
          <w:rFonts w:ascii="Arial" w:hAnsi="Arial"/>
          <w:rtl/>
        </w:rPr>
        <w:t>הנאשם תיאר עצמו כאדם שאינו אלים והוסיף שהוא אוהב ומוערך על ידי משפחתו, חבריו ובני כפרו, וטען כי אינו זקוק לטעמו לטיפול "</w:t>
      </w:r>
      <w:r>
        <w:rPr>
          <w:rFonts w:ascii="Arial" w:hAnsi="Arial" w:cs="Miriam"/>
          <w:rtl/>
        </w:rPr>
        <w:t>בתחום האלימות</w:t>
      </w:r>
      <w:r>
        <w:rPr>
          <w:rFonts w:ascii="Arial" w:hAnsi="Arial"/>
          <w:rtl/>
        </w:rPr>
        <w:t xml:space="preserve">". </w:t>
      </w:r>
    </w:p>
    <w:p w14:paraId="7B012B3C" w14:textId="77777777" w:rsidR="00912AF8" w:rsidRDefault="00912AF8">
      <w:pPr>
        <w:tabs>
          <w:tab w:val="right" w:pos="7946"/>
        </w:tabs>
        <w:spacing w:line="360" w:lineRule="auto"/>
        <w:ind w:right="360"/>
        <w:jc w:val="both"/>
        <w:rPr>
          <w:rFonts w:ascii="Arial" w:hAnsi="Arial"/>
          <w:rtl/>
        </w:rPr>
      </w:pPr>
    </w:p>
    <w:p w14:paraId="76E4944E" w14:textId="77777777" w:rsidR="00912AF8" w:rsidRDefault="005E438E">
      <w:pPr>
        <w:tabs>
          <w:tab w:val="right" w:pos="7946"/>
        </w:tabs>
        <w:spacing w:line="360" w:lineRule="auto"/>
        <w:ind w:right="360"/>
        <w:jc w:val="both"/>
        <w:rPr>
          <w:rFonts w:ascii="Arial" w:hAnsi="Arial"/>
          <w:rtl/>
        </w:rPr>
      </w:pPr>
      <w:r>
        <w:rPr>
          <w:rFonts w:ascii="Arial" w:hAnsi="Arial"/>
          <w:rtl/>
        </w:rPr>
        <w:t>קצינת המבחן ציינה בהתייחס לעבירה שביצע נאשם זה, כי ניכר שפעל באופן אימפולסיבי בלא הפעלת שיקול דעת, מתוך חוויות השפלה וכעס.</w:t>
      </w:r>
    </w:p>
    <w:p w14:paraId="3A1A69C0" w14:textId="77777777" w:rsidR="00912AF8" w:rsidRDefault="00912AF8">
      <w:pPr>
        <w:tabs>
          <w:tab w:val="right" w:pos="7946"/>
        </w:tabs>
        <w:spacing w:line="360" w:lineRule="auto"/>
        <w:ind w:right="360"/>
        <w:jc w:val="both"/>
        <w:rPr>
          <w:rFonts w:ascii="Arial" w:hAnsi="Arial"/>
          <w:rtl/>
        </w:rPr>
      </w:pPr>
    </w:p>
    <w:p w14:paraId="2257B681" w14:textId="77777777" w:rsidR="00912AF8" w:rsidRDefault="005E438E">
      <w:pPr>
        <w:tabs>
          <w:tab w:val="right" w:pos="7946"/>
        </w:tabs>
        <w:spacing w:line="360" w:lineRule="auto"/>
        <w:ind w:right="360"/>
        <w:jc w:val="both"/>
        <w:rPr>
          <w:rFonts w:ascii="Arial" w:hAnsi="Arial"/>
          <w:rtl/>
        </w:rPr>
      </w:pPr>
      <w:r>
        <w:rPr>
          <w:rFonts w:ascii="Arial" w:hAnsi="Arial"/>
          <w:rtl/>
        </w:rPr>
        <w:t>קצינת המבחן הוסיפה, כי הנאשם נטל אחריות לעבירה שביצע, אולם, להתרשמותה, ניכר</w:t>
      </w:r>
      <w:r>
        <w:rPr>
          <w:rFonts w:ascii="Arial" w:hAnsi="Arial"/>
          <w:b/>
          <w:bCs/>
          <w:rtl/>
        </w:rPr>
        <w:t xml:space="preserve"> </w:t>
      </w:r>
      <w:r>
        <w:rPr>
          <w:rFonts w:ascii="Arial" w:hAnsi="Arial"/>
          <w:rtl/>
        </w:rPr>
        <w:t>כי הוא</w:t>
      </w:r>
      <w:r>
        <w:rPr>
          <w:rFonts w:ascii="Arial" w:hAnsi="Arial"/>
          <w:b/>
          <w:bCs/>
          <w:rtl/>
        </w:rPr>
        <w:t xml:space="preserve"> </w:t>
      </w:r>
      <w:r>
        <w:rPr>
          <w:rFonts w:ascii="Arial" w:hAnsi="Arial"/>
          <w:rtl/>
        </w:rPr>
        <w:t>"</w:t>
      </w:r>
      <w:r>
        <w:rPr>
          <w:rFonts w:ascii="Arial" w:hAnsi="Arial" w:cs="Miriam"/>
          <w:rtl/>
        </w:rPr>
        <w:t>ממוקד בעצמו ובמחירים שגרם לבני משפחתו</w:t>
      </w:r>
      <w:r>
        <w:rPr>
          <w:rFonts w:ascii="Arial" w:hAnsi="Arial"/>
          <w:rtl/>
        </w:rPr>
        <w:t>", וכן כי הוא מתקשה "</w:t>
      </w:r>
      <w:r>
        <w:rPr>
          <w:rFonts w:ascii="Arial" w:hAnsi="Arial" w:cs="Miriam"/>
          <w:rtl/>
        </w:rPr>
        <w:t>לגלות אמפטיה והבנה לפגיעתו במשפחת המנוח ולמשמעות מעשיו על חייהם</w:t>
      </w:r>
      <w:r>
        <w:rPr>
          <w:rFonts w:ascii="Arial" w:hAnsi="Arial"/>
          <w:rtl/>
        </w:rPr>
        <w:t xml:space="preserve">". </w:t>
      </w:r>
    </w:p>
    <w:p w14:paraId="1A013ED8" w14:textId="77777777" w:rsidR="00912AF8" w:rsidRDefault="00912AF8">
      <w:pPr>
        <w:tabs>
          <w:tab w:val="right" w:pos="7946"/>
        </w:tabs>
        <w:spacing w:line="360" w:lineRule="auto"/>
        <w:ind w:right="360"/>
        <w:jc w:val="both"/>
        <w:rPr>
          <w:rFonts w:ascii="Arial" w:hAnsi="Arial"/>
          <w:rtl/>
        </w:rPr>
      </w:pPr>
    </w:p>
    <w:p w14:paraId="3CD49EFD" w14:textId="77777777" w:rsidR="00912AF8" w:rsidRDefault="005E438E">
      <w:pPr>
        <w:tabs>
          <w:tab w:val="right" w:pos="7946"/>
        </w:tabs>
        <w:spacing w:line="360" w:lineRule="auto"/>
        <w:ind w:right="360"/>
        <w:jc w:val="both"/>
        <w:rPr>
          <w:rFonts w:ascii="Arial" w:hAnsi="Arial"/>
          <w:rtl/>
        </w:rPr>
      </w:pPr>
      <w:r>
        <w:rPr>
          <w:rFonts w:ascii="Arial" w:hAnsi="Arial"/>
          <w:rtl/>
        </w:rPr>
        <w:t>עוד ציינה, כי הנאשם</w:t>
      </w:r>
      <w:r>
        <w:rPr>
          <w:rFonts w:ascii="Arial" w:hAnsi="Arial"/>
          <w:b/>
          <w:bCs/>
          <w:rtl/>
        </w:rPr>
        <w:t xml:space="preserve"> </w:t>
      </w:r>
      <w:r>
        <w:rPr>
          <w:rFonts w:ascii="Arial" w:hAnsi="Arial"/>
          <w:rtl/>
        </w:rPr>
        <w:t>"</w:t>
      </w:r>
      <w:r>
        <w:rPr>
          <w:rFonts w:ascii="Arial" w:hAnsi="Arial" w:cs="Miriam"/>
          <w:rtl/>
        </w:rPr>
        <w:t>אינו מחובר לחלקים התוקפניים והפוגעניים שבאישיותו ולמידת נזקקותו לטיפול בתחום זה</w:t>
      </w:r>
      <w:r>
        <w:rPr>
          <w:rFonts w:ascii="Arial" w:hAnsi="Arial"/>
          <w:rtl/>
        </w:rPr>
        <w:t>".</w:t>
      </w:r>
    </w:p>
    <w:p w14:paraId="43E4246E" w14:textId="77777777" w:rsidR="00912AF8" w:rsidRDefault="00912AF8">
      <w:pPr>
        <w:tabs>
          <w:tab w:val="right" w:pos="7946"/>
        </w:tabs>
        <w:spacing w:line="360" w:lineRule="auto"/>
        <w:ind w:right="360"/>
        <w:jc w:val="both"/>
        <w:rPr>
          <w:rFonts w:ascii="Arial" w:hAnsi="Arial"/>
          <w:rtl/>
        </w:rPr>
      </w:pPr>
    </w:p>
    <w:p w14:paraId="2256659B" w14:textId="77777777" w:rsidR="00912AF8" w:rsidRDefault="005E438E">
      <w:pPr>
        <w:tabs>
          <w:tab w:val="right" w:pos="7946"/>
        </w:tabs>
        <w:spacing w:line="360" w:lineRule="auto"/>
        <w:ind w:right="360"/>
        <w:jc w:val="both"/>
        <w:rPr>
          <w:rFonts w:ascii="Arial" w:hAnsi="Arial"/>
          <w:rtl/>
        </w:rPr>
      </w:pPr>
      <w:r>
        <w:rPr>
          <w:rFonts w:ascii="Arial" w:hAnsi="Arial"/>
          <w:rtl/>
        </w:rPr>
        <w:t>בסיכומו של דבר, המליצה קצינת המבחן למבוגרים לאמץ את הסדר הטיעון שגובש על-ידי הצדדים, וכן לשקול שילובו בהליך טיפולי ממושך, במסגרתו "</w:t>
      </w:r>
      <w:r>
        <w:rPr>
          <w:rFonts w:ascii="Arial" w:hAnsi="Arial" w:cs="Miriam"/>
          <w:rtl/>
        </w:rPr>
        <w:t>יבחן את המניעים שהובילו אותו לביצוע העבירה וירכוש כלים אדפטיביים להתמודדויותיו בעתיד</w:t>
      </w:r>
      <w:r>
        <w:rPr>
          <w:rFonts w:ascii="Arial" w:hAnsi="Arial"/>
          <w:rtl/>
        </w:rPr>
        <w:t xml:space="preserve">". </w:t>
      </w:r>
    </w:p>
    <w:p w14:paraId="6784B662" w14:textId="77777777" w:rsidR="00912AF8" w:rsidRDefault="00912AF8">
      <w:pPr>
        <w:tabs>
          <w:tab w:val="right" w:pos="7946"/>
        </w:tabs>
        <w:spacing w:line="360" w:lineRule="auto"/>
        <w:ind w:right="360"/>
        <w:jc w:val="both"/>
        <w:rPr>
          <w:rFonts w:ascii="Arial" w:hAnsi="Arial"/>
          <w:rtl/>
        </w:rPr>
      </w:pPr>
    </w:p>
    <w:p w14:paraId="6955CDF4" w14:textId="77777777" w:rsidR="00912AF8" w:rsidRDefault="005E438E">
      <w:pPr>
        <w:spacing w:line="360" w:lineRule="auto"/>
        <w:ind w:left="720" w:right="360" w:hanging="720"/>
        <w:jc w:val="both"/>
        <w:rPr>
          <w:rFonts w:ascii="Arial" w:hAnsi="Arial"/>
          <w:b/>
          <w:bCs/>
        </w:rPr>
      </w:pPr>
      <w:r>
        <w:rPr>
          <w:rFonts w:ascii="Arial" w:hAnsi="Arial" w:hint="cs"/>
          <w:b/>
          <w:bCs/>
          <w:rtl/>
        </w:rPr>
        <w:t>ד.</w:t>
      </w:r>
      <w:r>
        <w:rPr>
          <w:rFonts w:ascii="Arial" w:hAnsi="Arial" w:hint="cs"/>
          <w:b/>
          <w:bCs/>
          <w:rtl/>
        </w:rPr>
        <w:tab/>
      </w:r>
      <w:r>
        <w:rPr>
          <w:rFonts w:ascii="Arial" w:hAnsi="Arial"/>
          <w:b/>
          <w:bCs/>
          <w:rtl/>
        </w:rPr>
        <w:t>טיעונים לעונש</w:t>
      </w:r>
      <w:r>
        <w:rPr>
          <w:rFonts w:ascii="Arial" w:hAnsi="Arial" w:hint="cs"/>
          <w:b/>
          <w:bCs/>
          <w:rtl/>
        </w:rPr>
        <w:t>:</w:t>
      </w:r>
    </w:p>
    <w:p w14:paraId="1BCAE940" w14:textId="77777777" w:rsidR="00912AF8" w:rsidRDefault="00912AF8">
      <w:pPr>
        <w:tabs>
          <w:tab w:val="right" w:pos="7946"/>
        </w:tabs>
        <w:spacing w:line="360" w:lineRule="auto"/>
        <w:ind w:left="360" w:right="360"/>
        <w:jc w:val="both"/>
        <w:rPr>
          <w:rFonts w:ascii="Arial" w:hAnsi="Arial"/>
          <w:b/>
          <w:bCs/>
        </w:rPr>
      </w:pPr>
    </w:p>
    <w:p w14:paraId="52630D66" w14:textId="77777777" w:rsidR="00912AF8" w:rsidRDefault="005E438E">
      <w:pPr>
        <w:tabs>
          <w:tab w:val="right" w:pos="7946"/>
        </w:tabs>
        <w:spacing w:line="360" w:lineRule="auto"/>
        <w:ind w:right="360"/>
        <w:jc w:val="both"/>
        <w:rPr>
          <w:rFonts w:ascii="Arial" w:hAnsi="Arial"/>
          <w:rtl/>
        </w:rPr>
      </w:pPr>
      <w:r>
        <w:rPr>
          <w:rFonts w:ascii="Arial" w:hAnsi="Arial"/>
          <w:rtl/>
        </w:rPr>
        <w:t>בפתח דבריו, ביקש ב"כ המאשימה לכבד את הסדר הטיעון, תוך שהפנה תחילה לעובדה כי בית-המשפט נחשף למרבית פרשת ראיות המאשימה, ומשכך נחשף לקשיים הראייתיים המהווים בסופו של דבר את הרקע להגעה להסדר טיעון ולשינוי שבוצע בכתב האישום המקורי ולעבירות שבהן הורשעו הנאשמים.</w:t>
      </w:r>
    </w:p>
    <w:p w14:paraId="3D05D108" w14:textId="77777777" w:rsidR="00912AF8" w:rsidRDefault="00912AF8">
      <w:pPr>
        <w:tabs>
          <w:tab w:val="right" w:pos="7946"/>
        </w:tabs>
        <w:spacing w:line="360" w:lineRule="auto"/>
        <w:ind w:right="360"/>
        <w:jc w:val="both"/>
        <w:rPr>
          <w:rFonts w:ascii="Arial" w:hAnsi="Arial"/>
          <w:rtl/>
        </w:rPr>
      </w:pPr>
    </w:p>
    <w:p w14:paraId="2330E49E" w14:textId="77777777" w:rsidR="00912AF8" w:rsidRDefault="005E438E">
      <w:pPr>
        <w:tabs>
          <w:tab w:val="right" w:pos="7946"/>
        </w:tabs>
        <w:spacing w:line="360" w:lineRule="auto"/>
        <w:ind w:right="360"/>
        <w:jc w:val="both"/>
        <w:rPr>
          <w:rFonts w:ascii="Arial" w:hAnsi="Arial"/>
          <w:rtl/>
        </w:rPr>
      </w:pPr>
      <w:r>
        <w:rPr>
          <w:rFonts w:ascii="Arial" w:hAnsi="Arial"/>
          <w:rtl/>
        </w:rPr>
        <w:t xml:space="preserve">לשיטת ב"כ המאשימה, העונשים עליהם הסכימו הצדדים, נמצאים ברף העליון של העבירות המיוחסות לנאשמים ותואמים את הענישה שבפסיקה, את חומרת המעשים ואת הסלידה מפתרון סכסוכים באמצעות אלימות. </w:t>
      </w:r>
    </w:p>
    <w:p w14:paraId="25BF4A88" w14:textId="77777777" w:rsidR="00912AF8" w:rsidRDefault="00912AF8">
      <w:pPr>
        <w:tabs>
          <w:tab w:val="right" w:pos="7946"/>
        </w:tabs>
        <w:spacing w:line="360" w:lineRule="auto"/>
        <w:ind w:right="360"/>
        <w:jc w:val="both"/>
        <w:rPr>
          <w:rFonts w:ascii="Arial" w:hAnsi="Arial"/>
          <w:rtl/>
        </w:rPr>
      </w:pPr>
    </w:p>
    <w:p w14:paraId="369B01AC" w14:textId="77777777" w:rsidR="00912AF8" w:rsidRDefault="005E438E">
      <w:pPr>
        <w:tabs>
          <w:tab w:val="right" w:pos="7946"/>
        </w:tabs>
        <w:spacing w:line="360" w:lineRule="auto"/>
        <w:ind w:right="360"/>
        <w:jc w:val="both"/>
        <w:rPr>
          <w:rFonts w:ascii="Arial" w:hAnsi="Arial"/>
          <w:rtl/>
        </w:rPr>
      </w:pPr>
      <w:r>
        <w:rPr>
          <w:rFonts w:ascii="Arial" w:hAnsi="Arial"/>
          <w:rtl/>
        </w:rPr>
        <w:t>בנוסף לאמור לעיל, הדגיש את עובדת העדר עבר פלילי לנאשמים.</w:t>
      </w:r>
    </w:p>
    <w:p w14:paraId="739BFB26" w14:textId="77777777" w:rsidR="00912AF8" w:rsidRDefault="00912AF8">
      <w:pPr>
        <w:tabs>
          <w:tab w:val="right" w:pos="7946"/>
        </w:tabs>
        <w:spacing w:line="360" w:lineRule="auto"/>
        <w:ind w:right="360"/>
        <w:jc w:val="both"/>
        <w:rPr>
          <w:rFonts w:ascii="Arial" w:hAnsi="Arial"/>
          <w:rtl/>
        </w:rPr>
      </w:pPr>
    </w:p>
    <w:p w14:paraId="41FECE93" w14:textId="77777777" w:rsidR="00912AF8" w:rsidRDefault="005E438E">
      <w:pPr>
        <w:tabs>
          <w:tab w:val="right" w:pos="7946"/>
        </w:tabs>
        <w:spacing w:line="360" w:lineRule="auto"/>
        <w:ind w:right="360"/>
        <w:jc w:val="both"/>
        <w:rPr>
          <w:rFonts w:ascii="Arial" w:hAnsi="Arial"/>
          <w:rtl/>
        </w:rPr>
      </w:pPr>
      <w:r>
        <w:rPr>
          <w:rFonts w:ascii="Arial" w:hAnsi="Arial"/>
          <w:rtl/>
        </w:rPr>
        <w:t>ב"כ המאשימה ביקש לפסוק פיצוי כספי לעיזבון המנוח. עם זאת ציין כי רכיב הפיצוי לא היה חלק מההסדר, אך טען כי יש מקום לפצות את אם המנוח בסכום כלשהו, והוסיף "</w:t>
      </w:r>
      <w:r>
        <w:rPr>
          <w:rFonts w:ascii="Arial" w:hAnsi="Arial" w:cs="Miriam"/>
          <w:rtl/>
        </w:rPr>
        <w:t>לא נבקש סכום גבוה, מאחר ובסופו של יום הגענו להסדר ללא פיצוי</w:t>
      </w:r>
      <w:r>
        <w:rPr>
          <w:rFonts w:ascii="Arial" w:hAnsi="Arial"/>
          <w:rtl/>
        </w:rPr>
        <w:t xml:space="preserve">". </w:t>
      </w:r>
    </w:p>
    <w:p w14:paraId="6747BB49" w14:textId="77777777" w:rsidR="00912AF8" w:rsidRDefault="00912AF8">
      <w:pPr>
        <w:tabs>
          <w:tab w:val="right" w:pos="7946"/>
        </w:tabs>
        <w:spacing w:line="360" w:lineRule="auto"/>
        <w:ind w:right="360"/>
        <w:jc w:val="both"/>
        <w:rPr>
          <w:rFonts w:ascii="Arial" w:hAnsi="Arial"/>
          <w:rtl/>
        </w:rPr>
      </w:pPr>
    </w:p>
    <w:p w14:paraId="45E8D036" w14:textId="77777777" w:rsidR="00912AF8" w:rsidRDefault="005E438E">
      <w:pPr>
        <w:tabs>
          <w:tab w:val="right" w:pos="7946"/>
        </w:tabs>
        <w:spacing w:line="360" w:lineRule="auto"/>
        <w:ind w:right="360"/>
        <w:jc w:val="both"/>
        <w:rPr>
          <w:rFonts w:ascii="Arial" w:hAnsi="Arial"/>
          <w:rtl/>
        </w:rPr>
      </w:pPr>
      <w:r>
        <w:rPr>
          <w:rFonts w:ascii="Arial" w:hAnsi="Arial"/>
          <w:rtl/>
        </w:rPr>
        <w:t xml:space="preserve">מנגד, באי כח הנאשמים טענו כל אשר יכלו לזכות הנאשמים, תוך שב"כ הנאשם 1 הצטרף לעמדת ב"כ המאשימה, וביקש לאמץ את הסדר הטיעון, בציינו כי הסדר הטיעון הושג לאחר משא ומתן ארוך וממושך ולאחר שהמאשימה בחנה את מכלול ההיבטים המצדיקים את ההסדר, ובכלל זה את הבעייתיות בתשתית הראייתית שהונחה לפתחו של בית המשפט. </w:t>
      </w:r>
    </w:p>
    <w:p w14:paraId="0F8888A7" w14:textId="77777777" w:rsidR="00912AF8" w:rsidRDefault="00912AF8">
      <w:pPr>
        <w:tabs>
          <w:tab w:val="right" w:pos="7946"/>
        </w:tabs>
        <w:spacing w:line="360" w:lineRule="auto"/>
        <w:ind w:right="360"/>
        <w:jc w:val="both"/>
        <w:rPr>
          <w:rFonts w:ascii="Arial" w:hAnsi="Arial"/>
          <w:rtl/>
        </w:rPr>
      </w:pPr>
    </w:p>
    <w:p w14:paraId="03EF2AC4" w14:textId="77777777" w:rsidR="00912AF8" w:rsidRDefault="005E438E">
      <w:pPr>
        <w:tabs>
          <w:tab w:val="right" w:pos="7946"/>
        </w:tabs>
        <w:spacing w:line="360" w:lineRule="auto"/>
        <w:ind w:right="360"/>
        <w:jc w:val="both"/>
        <w:rPr>
          <w:rFonts w:ascii="Arial" w:hAnsi="Arial"/>
          <w:rtl/>
        </w:rPr>
      </w:pPr>
      <w:r>
        <w:rPr>
          <w:rFonts w:ascii="Arial" w:hAnsi="Arial"/>
          <w:rtl/>
        </w:rPr>
        <w:t>כמו כן, הפנה ב"כ נאשם 1 לאמור בתסקיר שירות המבחן, ובכלל זה לנטילת האחריות על-ידי נאשם 1 ולכך שבסיכומו של דבר הומלץ על קבלת הסדר הטיעון.</w:t>
      </w:r>
    </w:p>
    <w:p w14:paraId="0948483F" w14:textId="77777777" w:rsidR="00912AF8" w:rsidRDefault="00912AF8">
      <w:pPr>
        <w:tabs>
          <w:tab w:val="right" w:pos="7946"/>
        </w:tabs>
        <w:spacing w:line="360" w:lineRule="auto"/>
        <w:ind w:right="360"/>
        <w:jc w:val="both"/>
        <w:rPr>
          <w:rFonts w:ascii="Arial" w:hAnsi="Arial"/>
          <w:rtl/>
        </w:rPr>
      </w:pPr>
    </w:p>
    <w:p w14:paraId="35083E5A" w14:textId="77777777" w:rsidR="00912AF8" w:rsidRDefault="005E438E">
      <w:pPr>
        <w:tabs>
          <w:tab w:val="right" w:pos="7946"/>
        </w:tabs>
        <w:spacing w:line="360" w:lineRule="auto"/>
        <w:ind w:right="360"/>
        <w:jc w:val="both"/>
        <w:rPr>
          <w:rFonts w:ascii="Arial" w:hAnsi="Arial"/>
          <w:rtl/>
        </w:rPr>
      </w:pPr>
      <w:r>
        <w:rPr>
          <w:rFonts w:ascii="Arial" w:hAnsi="Arial"/>
          <w:rtl/>
        </w:rPr>
        <w:t xml:space="preserve">באשר לפיצוי, טען ב"כ נאשם 1 כי הסדר הטיעון "שותק" מבחינת רכיב הפיצוי הכספי, ומשכך, לשיטתו הטלת פיצוי משמעותה חריגה מהסדר הטיעון. </w:t>
      </w:r>
    </w:p>
    <w:p w14:paraId="184CD5A5" w14:textId="77777777" w:rsidR="00912AF8" w:rsidRDefault="00912AF8">
      <w:pPr>
        <w:tabs>
          <w:tab w:val="right" w:pos="7946"/>
        </w:tabs>
        <w:spacing w:line="360" w:lineRule="auto"/>
        <w:ind w:right="360"/>
        <w:jc w:val="both"/>
        <w:rPr>
          <w:rFonts w:ascii="Arial" w:hAnsi="Arial"/>
          <w:rtl/>
        </w:rPr>
      </w:pPr>
    </w:p>
    <w:p w14:paraId="56ACD157" w14:textId="77777777" w:rsidR="00912AF8" w:rsidRDefault="005E438E">
      <w:pPr>
        <w:tabs>
          <w:tab w:val="right" w:pos="7946"/>
        </w:tabs>
        <w:spacing w:line="360" w:lineRule="auto"/>
        <w:ind w:right="360"/>
        <w:jc w:val="both"/>
        <w:rPr>
          <w:rFonts w:ascii="Arial" w:hAnsi="Arial" w:cs="Miriam"/>
          <w:rtl/>
        </w:rPr>
      </w:pPr>
      <w:r>
        <w:rPr>
          <w:rFonts w:ascii="Arial" w:hAnsi="Arial"/>
          <w:rtl/>
        </w:rPr>
        <w:t xml:space="preserve">כמו כן, ציין ב"כ נאשם 1, כי מדובר בחייל, ללא רכוש, אשר עומד בפני תקופת מאסר ממושכת, ולפיכך בנסיבות אלו אם יוטל פיצוי, משפחתו היא שתישא בו, וכך תוחמץ למעשה מטרת הפיצוי ולחילופין, ביקש כי היה ובית המשפט יחליט להטיל פיצוי, הרי שיהא זה </w:t>
      </w:r>
      <w:r>
        <w:rPr>
          <w:rFonts w:ascii="Arial" w:hAnsi="Arial" w:cs="Miriam"/>
          <w:rtl/>
        </w:rPr>
        <w:t>"פיצוי מינימאלי".</w:t>
      </w:r>
    </w:p>
    <w:p w14:paraId="3EE7CB80" w14:textId="77777777" w:rsidR="00912AF8" w:rsidRDefault="00912AF8">
      <w:pPr>
        <w:tabs>
          <w:tab w:val="right" w:pos="7946"/>
        </w:tabs>
        <w:spacing w:line="360" w:lineRule="auto"/>
        <w:ind w:right="360"/>
        <w:jc w:val="both"/>
        <w:rPr>
          <w:rFonts w:ascii="Arial" w:hAnsi="Arial"/>
          <w:rtl/>
        </w:rPr>
      </w:pPr>
    </w:p>
    <w:p w14:paraId="5D76BF9F" w14:textId="77777777" w:rsidR="00912AF8" w:rsidRDefault="005E438E">
      <w:pPr>
        <w:tabs>
          <w:tab w:val="right" w:pos="7946"/>
        </w:tabs>
        <w:spacing w:line="360" w:lineRule="auto"/>
        <w:ind w:right="360"/>
        <w:jc w:val="both"/>
        <w:rPr>
          <w:rFonts w:ascii="Arial" w:hAnsi="Arial"/>
          <w:rtl/>
        </w:rPr>
      </w:pPr>
      <w:r>
        <w:rPr>
          <w:rFonts w:ascii="Arial" w:hAnsi="Arial"/>
          <w:rtl/>
        </w:rPr>
        <w:t xml:space="preserve">ב"כ נאשם 2 בטיעוניה לעונש, ביקשה אף היא לאמץ את הסדר הטיעון תוך שציינה את השינויים המשמעותיים שנעשו בכתב האישום, ועל כך, כי ניהול המשפט עד לשלב ההגעה להסדר היה חיוני מאוד לצורך ההגעה להסדר. </w:t>
      </w:r>
    </w:p>
    <w:p w14:paraId="2FA21399" w14:textId="77777777" w:rsidR="00912AF8" w:rsidRDefault="00912AF8">
      <w:pPr>
        <w:tabs>
          <w:tab w:val="right" w:pos="7946"/>
        </w:tabs>
        <w:spacing w:line="360" w:lineRule="auto"/>
        <w:ind w:right="360"/>
        <w:jc w:val="both"/>
        <w:rPr>
          <w:rFonts w:ascii="Arial" w:hAnsi="Arial"/>
          <w:rtl/>
        </w:rPr>
      </w:pPr>
    </w:p>
    <w:p w14:paraId="77D6B071" w14:textId="77777777" w:rsidR="00912AF8" w:rsidRDefault="005E438E">
      <w:pPr>
        <w:tabs>
          <w:tab w:val="right" w:pos="7946"/>
        </w:tabs>
        <w:spacing w:line="360" w:lineRule="auto"/>
        <w:ind w:right="360"/>
        <w:jc w:val="both"/>
        <w:rPr>
          <w:rFonts w:ascii="Arial" w:hAnsi="Arial"/>
          <w:rtl/>
        </w:rPr>
      </w:pPr>
      <w:r>
        <w:rPr>
          <w:rFonts w:ascii="Arial" w:hAnsi="Arial"/>
          <w:rtl/>
        </w:rPr>
        <w:t>עם זאת, הוסיפה, כי נחסך זמן שיפוטי יקר שכן פרשת ההגנה טרם החלה.</w:t>
      </w:r>
    </w:p>
    <w:p w14:paraId="023BD36B" w14:textId="77777777" w:rsidR="00912AF8" w:rsidRDefault="00912AF8">
      <w:pPr>
        <w:tabs>
          <w:tab w:val="right" w:pos="7946"/>
        </w:tabs>
        <w:spacing w:line="360" w:lineRule="auto"/>
        <w:ind w:right="360"/>
        <w:jc w:val="both"/>
        <w:rPr>
          <w:rFonts w:ascii="Arial" w:hAnsi="Arial"/>
          <w:rtl/>
        </w:rPr>
      </w:pPr>
    </w:p>
    <w:p w14:paraId="4C2A66CB" w14:textId="77777777" w:rsidR="00912AF8" w:rsidRDefault="005E438E">
      <w:pPr>
        <w:tabs>
          <w:tab w:val="right" w:pos="7946"/>
        </w:tabs>
        <w:spacing w:line="360" w:lineRule="auto"/>
        <w:ind w:right="360"/>
        <w:jc w:val="both"/>
        <w:rPr>
          <w:rFonts w:ascii="Arial" w:hAnsi="Arial"/>
          <w:rtl/>
        </w:rPr>
      </w:pPr>
      <w:r>
        <w:rPr>
          <w:rFonts w:ascii="Arial" w:hAnsi="Arial"/>
          <w:rtl/>
        </w:rPr>
        <w:t xml:space="preserve">בהתייחס למרשה טענה כי הלה בחור צעיר, ללא עבר פלילי, אשר נטל אחריות מלאה על מעשיו. </w:t>
      </w:r>
    </w:p>
    <w:p w14:paraId="11B6590F" w14:textId="77777777" w:rsidR="00912AF8" w:rsidRDefault="00912AF8">
      <w:pPr>
        <w:tabs>
          <w:tab w:val="right" w:pos="7946"/>
        </w:tabs>
        <w:spacing w:line="360" w:lineRule="auto"/>
        <w:ind w:right="360"/>
        <w:jc w:val="both"/>
        <w:rPr>
          <w:rFonts w:ascii="Arial" w:hAnsi="Arial"/>
          <w:rtl/>
        </w:rPr>
      </w:pPr>
    </w:p>
    <w:p w14:paraId="1B8360BB" w14:textId="77777777" w:rsidR="00912AF8" w:rsidRDefault="005E438E">
      <w:pPr>
        <w:tabs>
          <w:tab w:val="right" w:pos="7946"/>
        </w:tabs>
        <w:spacing w:line="360" w:lineRule="auto"/>
        <w:ind w:right="360"/>
        <w:jc w:val="both"/>
        <w:rPr>
          <w:rFonts w:ascii="Arial" w:hAnsi="Arial"/>
          <w:rtl/>
        </w:rPr>
      </w:pPr>
      <w:r>
        <w:rPr>
          <w:rFonts w:ascii="Arial" w:hAnsi="Arial"/>
          <w:rtl/>
        </w:rPr>
        <w:t>באשר לרכיב הפיצוי, הצטרפה באת כח הנאשם 2 לעמדת ב"כ נאשם 1, והוסיפה כי משפחתו מצויה בהליכי "סולחה" עם משפחת המנוח, והיא משוכנעת שהם יגיעו להסכם בעניין זה.</w:t>
      </w:r>
    </w:p>
    <w:p w14:paraId="1A2295F7" w14:textId="77777777" w:rsidR="00912AF8" w:rsidRDefault="00912AF8">
      <w:pPr>
        <w:tabs>
          <w:tab w:val="right" w:pos="7946"/>
        </w:tabs>
        <w:spacing w:line="360" w:lineRule="auto"/>
        <w:ind w:right="360"/>
        <w:jc w:val="both"/>
        <w:rPr>
          <w:rFonts w:ascii="Arial" w:hAnsi="Arial"/>
          <w:rtl/>
        </w:rPr>
      </w:pPr>
    </w:p>
    <w:p w14:paraId="3BDFE8C4" w14:textId="77777777" w:rsidR="00912AF8" w:rsidRDefault="005E438E">
      <w:pPr>
        <w:tabs>
          <w:tab w:val="right" w:pos="7946"/>
        </w:tabs>
        <w:spacing w:line="360" w:lineRule="auto"/>
        <w:ind w:right="360"/>
        <w:jc w:val="both"/>
        <w:rPr>
          <w:rFonts w:ascii="Arial" w:hAnsi="Arial"/>
          <w:rtl/>
        </w:rPr>
      </w:pPr>
      <w:r>
        <w:rPr>
          <w:rFonts w:ascii="Arial" w:hAnsi="Arial"/>
          <w:rtl/>
        </w:rPr>
        <w:t xml:space="preserve">כמו כן, הגישה ב"כ נאשם 2 תדפיסי מצב חשבון בנק של אחיו ואביו של הנאשם (ס/1), וטענה כי מצבה הכלכלי של המשפחה קשה. </w:t>
      </w:r>
    </w:p>
    <w:p w14:paraId="17F17E59" w14:textId="77777777" w:rsidR="00912AF8" w:rsidRDefault="00912AF8">
      <w:pPr>
        <w:tabs>
          <w:tab w:val="right" w:pos="7946"/>
        </w:tabs>
        <w:spacing w:line="360" w:lineRule="auto"/>
        <w:ind w:right="360"/>
        <w:jc w:val="both"/>
        <w:rPr>
          <w:rFonts w:ascii="Arial" w:hAnsi="Arial"/>
          <w:rtl/>
        </w:rPr>
      </w:pPr>
    </w:p>
    <w:p w14:paraId="2688D953" w14:textId="77777777" w:rsidR="00912AF8" w:rsidRDefault="005E438E">
      <w:pPr>
        <w:tabs>
          <w:tab w:val="right" w:pos="7946"/>
        </w:tabs>
        <w:spacing w:line="360" w:lineRule="auto"/>
        <w:ind w:right="360"/>
        <w:jc w:val="both"/>
        <w:rPr>
          <w:rFonts w:ascii="Arial" w:hAnsi="Arial"/>
          <w:rtl/>
        </w:rPr>
      </w:pPr>
      <w:r>
        <w:rPr>
          <w:rFonts w:ascii="Arial" w:hAnsi="Arial"/>
          <w:rtl/>
        </w:rPr>
        <w:t xml:space="preserve">בסיכומו של דבר, ביקשה ב"כ נאשם 2 לאמץ את הסדר הטיעון. </w:t>
      </w:r>
    </w:p>
    <w:p w14:paraId="6B061972" w14:textId="77777777" w:rsidR="00912AF8" w:rsidRDefault="00912AF8">
      <w:pPr>
        <w:tabs>
          <w:tab w:val="right" w:pos="7946"/>
        </w:tabs>
        <w:spacing w:line="360" w:lineRule="auto"/>
        <w:ind w:right="360"/>
        <w:jc w:val="both"/>
        <w:rPr>
          <w:rFonts w:ascii="Arial" w:hAnsi="Arial"/>
          <w:rtl/>
        </w:rPr>
      </w:pPr>
    </w:p>
    <w:p w14:paraId="640B1183" w14:textId="77777777" w:rsidR="00912AF8" w:rsidRDefault="005E438E">
      <w:pPr>
        <w:tabs>
          <w:tab w:val="right" w:pos="7946"/>
        </w:tabs>
        <w:spacing w:line="360" w:lineRule="auto"/>
        <w:ind w:right="360"/>
        <w:jc w:val="both"/>
        <w:rPr>
          <w:rFonts w:ascii="Arial" w:hAnsi="Arial"/>
          <w:rtl/>
        </w:rPr>
      </w:pPr>
      <w:r>
        <w:rPr>
          <w:rFonts w:ascii="Arial" w:hAnsi="Arial"/>
          <w:rtl/>
        </w:rPr>
        <w:t>הנאשמים בפנותם לבית המשפט הביעו חרטה ונטלו אחריות מלאה על מעשיהם. כך, הנאשם 1 אשר ציין "</w:t>
      </w:r>
      <w:r>
        <w:rPr>
          <w:rFonts w:ascii="Arial" w:hAnsi="Arial" w:cs="Miriam"/>
          <w:rtl/>
        </w:rPr>
        <w:t>אני מביע חרטה ולוקח אחריות על כל דבר</w:t>
      </w:r>
      <w:r>
        <w:rPr>
          <w:rFonts w:ascii="Arial" w:hAnsi="Arial"/>
          <w:rtl/>
        </w:rPr>
        <w:t>".</w:t>
      </w:r>
    </w:p>
    <w:p w14:paraId="17ABCC66" w14:textId="77777777" w:rsidR="00912AF8" w:rsidRDefault="00912AF8">
      <w:pPr>
        <w:tabs>
          <w:tab w:val="right" w:pos="7946"/>
        </w:tabs>
        <w:spacing w:line="360" w:lineRule="auto"/>
        <w:ind w:right="360"/>
        <w:jc w:val="both"/>
        <w:rPr>
          <w:rFonts w:ascii="Arial" w:hAnsi="Arial"/>
          <w:rtl/>
        </w:rPr>
      </w:pPr>
    </w:p>
    <w:p w14:paraId="34CD178F" w14:textId="77777777" w:rsidR="00912AF8" w:rsidRDefault="005E438E">
      <w:pPr>
        <w:tabs>
          <w:tab w:val="right" w:pos="7946"/>
        </w:tabs>
        <w:ind w:right="360"/>
        <w:jc w:val="both"/>
        <w:rPr>
          <w:rFonts w:ascii="Arial" w:hAnsi="Arial"/>
          <w:rtl/>
        </w:rPr>
      </w:pPr>
      <w:r>
        <w:rPr>
          <w:rFonts w:ascii="Arial" w:hAnsi="Arial"/>
          <w:rtl/>
        </w:rPr>
        <w:t>הנאשם 2:</w:t>
      </w:r>
    </w:p>
    <w:p w14:paraId="3B0D8CC3" w14:textId="77777777" w:rsidR="00912AF8" w:rsidRDefault="00912AF8">
      <w:pPr>
        <w:tabs>
          <w:tab w:val="right" w:pos="7946"/>
        </w:tabs>
        <w:spacing w:line="360" w:lineRule="auto"/>
        <w:ind w:right="360"/>
        <w:jc w:val="both"/>
        <w:rPr>
          <w:rFonts w:ascii="Arial" w:hAnsi="Arial"/>
          <w:rtl/>
        </w:rPr>
      </w:pPr>
    </w:p>
    <w:p w14:paraId="11DDD714" w14:textId="77777777" w:rsidR="00912AF8" w:rsidRDefault="005E438E">
      <w:pPr>
        <w:spacing w:line="360" w:lineRule="auto"/>
        <w:ind w:left="1466" w:right="360"/>
        <w:jc w:val="both"/>
        <w:rPr>
          <w:rFonts w:ascii="Arial" w:hAnsi="Arial"/>
          <w:rtl/>
        </w:rPr>
      </w:pPr>
      <w:r>
        <w:rPr>
          <w:rFonts w:ascii="Arial" w:hAnsi="Arial"/>
          <w:rtl/>
        </w:rPr>
        <w:t>"</w:t>
      </w:r>
      <w:r>
        <w:rPr>
          <w:rFonts w:ascii="Arial" w:hAnsi="Arial" w:cs="Miriam"/>
          <w:rtl/>
        </w:rPr>
        <w:t>אני מודה במה שעשיתי, ולוקח אחריות על כל דבר</w:t>
      </w:r>
      <w:r>
        <w:rPr>
          <w:rFonts w:ascii="Arial" w:hAnsi="Arial"/>
          <w:rtl/>
        </w:rPr>
        <w:t>".</w:t>
      </w:r>
    </w:p>
    <w:p w14:paraId="0690E3A0" w14:textId="77777777" w:rsidR="00912AF8" w:rsidRDefault="00912AF8">
      <w:pPr>
        <w:tabs>
          <w:tab w:val="right" w:pos="7946"/>
        </w:tabs>
        <w:spacing w:line="360" w:lineRule="auto"/>
        <w:ind w:left="360" w:right="360"/>
        <w:jc w:val="both"/>
        <w:rPr>
          <w:rFonts w:ascii="Arial" w:hAnsi="Arial"/>
          <w:b/>
          <w:bCs/>
          <w:rtl/>
        </w:rPr>
      </w:pPr>
    </w:p>
    <w:p w14:paraId="7F791DEE" w14:textId="77777777" w:rsidR="00912AF8" w:rsidRDefault="00912AF8">
      <w:pPr>
        <w:tabs>
          <w:tab w:val="right" w:pos="7946"/>
        </w:tabs>
        <w:spacing w:line="360" w:lineRule="auto"/>
        <w:ind w:left="360" w:right="360"/>
        <w:jc w:val="both"/>
        <w:rPr>
          <w:rFonts w:ascii="Arial" w:hAnsi="Arial"/>
          <w:b/>
          <w:bCs/>
          <w:rtl/>
        </w:rPr>
      </w:pPr>
    </w:p>
    <w:p w14:paraId="647E2520" w14:textId="77777777" w:rsidR="00912AF8" w:rsidRDefault="00912AF8">
      <w:pPr>
        <w:tabs>
          <w:tab w:val="right" w:pos="7946"/>
        </w:tabs>
        <w:spacing w:line="360" w:lineRule="auto"/>
        <w:ind w:left="360" w:right="360"/>
        <w:jc w:val="both"/>
        <w:rPr>
          <w:rFonts w:ascii="Arial" w:hAnsi="Arial"/>
          <w:b/>
          <w:bCs/>
        </w:rPr>
      </w:pPr>
    </w:p>
    <w:p w14:paraId="56632B98" w14:textId="77777777" w:rsidR="00912AF8" w:rsidRDefault="005E438E">
      <w:pPr>
        <w:spacing w:line="360" w:lineRule="auto"/>
        <w:ind w:left="720" w:right="360" w:hanging="720"/>
        <w:jc w:val="both"/>
        <w:rPr>
          <w:rFonts w:ascii="Arial" w:hAnsi="Arial"/>
          <w:b/>
          <w:bCs/>
        </w:rPr>
      </w:pPr>
      <w:r>
        <w:rPr>
          <w:rFonts w:ascii="Arial" w:hAnsi="Arial" w:hint="cs"/>
          <w:b/>
          <w:bCs/>
          <w:rtl/>
        </w:rPr>
        <w:t>ה.</w:t>
      </w:r>
      <w:r>
        <w:rPr>
          <w:rFonts w:ascii="Arial" w:hAnsi="Arial" w:hint="cs"/>
          <w:b/>
          <w:bCs/>
          <w:rtl/>
        </w:rPr>
        <w:tab/>
      </w:r>
      <w:r>
        <w:rPr>
          <w:rFonts w:ascii="Arial" w:hAnsi="Arial"/>
          <w:b/>
          <w:bCs/>
          <w:rtl/>
        </w:rPr>
        <w:t>דיון</w:t>
      </w:r>
      <w:r>
        <w:rPr>
          <w:rFonts w:ascii="Arial" w:hAnsi="Arial" w:hint="cs"/>
          <w:b/>
          <w:bCs/>
          <w:rtl/>
        </w:rPr>
        <w:t>:</w:t>
      </w:r>
    </w:p>
    <w:p w14:paraId="358C406F" w14:textId="77777777" w:rsidR="00912AF8" w:rsidRDefault="00912AF8">
      <w:pPr>
        <w:tabs>
          <w:tab w:val="right" w:pos="7946"/>
        </w:tabs>
        <w:spacing w:line="360" w:lineRule="auto"/>
        <w:ind w:right="360"/>
        <w:jc w:val="both"/>
        <w:rPr>
          <w:rFonts w:ascii="Arial" w:hAnsi="Arial"/>
          <w:rtl/>
        </w:rPr>
      </w:pPr>
    </w:p>
    <w:p w14:paraId="6090B079" w14:textId="77777777" w:rsidR="00912AF8" w:rsidRDefault="005E438E">
      <w:pPr>
        <w:tabs>
          <w:tab w:val="right" w:pos="7946"/>
        </w:tabs>
        <w:spacing w:line="360" w:lineRule="auto"/>
        <w:ind w:right="360"/>
        <w:jc w:val="both"/>
        <w:rPr>
          <w:rFonts w:ascii="Arial" w:hAnsi="Arial"/>
          <w:rtl/>
        </w:rPr>
      </w:pPr>
      <w:r>
        <w:rPr>
          <w:rFonts w:ascii="Arial" w:hAnsi="Arial"/>
          <w:rtl/>
        </w:rPr>
        <w:t xml:space="preserve">בטרם הגעת הצדדים להסדר טיעון, הונחו בפנינו מרבית ראיות המאשימה, ומשכך נחשפנו למכלול הקשיים הראייתים אשר בבסיס ההגעה להסדר הטיעון שבמסגרתו תוקן כתב האישום ושונו הוראות החיקוק בהתאם לכך.  </w:t>
      </w:r>
    </w:p>
    <w:p w14:paraId="29CEFD1B" w14:textId="77777777" w:rsidR="00912AF8" w:rsidRDefault="00912AF8">
      <w:pPr>
        <w:tabs>
          <w:tab w:val="right" w:pos="7946"/>
        </w:tabs>
        <w:spacing w:line="360" w:lineRule="auto"/>
        <w:ind w:right="360"/>
        <w:jc w:val="both"/>
        <w:rPr>
          <w:rFonts w:ascii="Arial" w:hAnsi="Arial"/>
          <w:rtl/>
        </w:rPr>
      </w:pPr>
    </w:p>
    <w:p w14:paraId="04D0C4E9" w14:textId="77777777" w:rsidR="00912AF8" w:rsidRDefault="005E438E">
      <w:pPr>
        <w:tabs>
          <w:tab w:val="right" w:pos="7946"/>
        </w:tabs>
        <w:spacing w:line="360" w:lineRule="auto"/>
        <w:ind w:right="360"/>
        <w:jc w:val="both"/>
        <w:rPr>
          <w:rFonts w:ascii="Arial" w:hAnsi="Arial"/>
          <w:rtl/>
        </w:rPr>
      </w:pPr>
      <w:r>
        <w:rPr>
          <w:rFonts w:ascii="Arial" w:hAnsi="Arial"/>
          <w:rtl/>
        </w:rPr>
        <w:t>בנסיבות אלה, אנו סבורים כי נכון עשה ב"כ המאשימה בהגיעו להסדר ובהגשת כתב האישום המתוקן.</w:t>
      </w:r>
    </w:p>
    <w:p w14:paraId="581ED8CA" w14:textId="77777777" w:rsidR="00912AF8" w:rsidRDefault="00912AF8">
      <w:pPr>
        <w:tabs>
          <w:tab w:val="right" w:pos="7946"/>
        </w:tabs>
        <w:spacing w:line="360" w:lineRule="auto"/>
        <w:ind w:right="360"/>
        <w:jc w:val="both"/>
        <w:rPr>
          <w:rFonts w:ascii="Arial" w:hAnsi="Arial"/>
          <w:rtl/>
        </w:rPr>
      </w:pPr>
    </w:p>
    <w:p w14:paraId="326F956D" w14:textId="77777777" w:rsidR="00912AF8" w:rsidRDefault="005E438E">
      <w:pPr>
        <w:tabs>
          <w:tab w:val="right" w:pos="7946"/>
        </w:tabs>
        <w:spacing w:line="360" w:lineRule="auto"/>
        <w:ind w:right="360"/>
        <w:jc w:val="both"/>
        <w:rPr>
          <w:rFonts w:ascii="Arial" w:hAnsi="Arial"/>
          <w:rtl/>
        </w:rPr>
      </w:pPr>
      <w:r>
        <w:rPr>
          <w:rFonts w:ascii="Arial" w:hAnsi="Arial"/>
          <w:rtl/>
        </w:rPr>
        <w:t>לפנינו, כאמור, הסדר טיעון שכלל גם הסכמה לעניין העונש. ואולם, למרות קיומו של הסדר הטיעון ועל אף שיש להביאו בחשבון ולהעניק לו משקל רב בעת גזירת העונש, חייב בית-המשפט לבחון את כלל השיקולים הרלוונטיים לעונש ואל לו לקבל את הסדר הטיעון מבלי לבוחנו היטב. ראויים לאזכור בהקשר זה דבריה של כב' השופטת ביניש (כתוארה אז) ב</w:t>
      </w:r>
      <w:hyperlink r:id="rId31" w:history="1">
        <w:r w:rsidR="00985428" w:rsidRPr="00985428">
          <w:rPr>
            <w:rStyle w:val="Hyperlink"/>
            <w:rFonts w:ascii="Arial" w:hAnsi="Arial"/>
            <w:rtl/>
          </w:rPr>
          <w:t>ע"פ 1958/98</w:t>
        </w:r>
      </w:hyperlink>
      <w:r>
        <w:rPr>
          <w:rFonts w:ascii="Arial" w:hAnsi="Arial"/>
          <w:rtl/>
        </w:rPr>
        <w:t>:</w:t>
      </w:r>
    </w:p>
    <w:p w14:paraId="7DC43A7B" w14:textId="77777777" w:rsidR="00912AF8" w:rsidRDefault="00912AF8">
      <w:pPr>
        <w:tabs>
          <w:tab w:val="right" w:pos="7046"/>
        </w:tabs>
        <w:spacing w:line="360" w:lineRule="auto"/>
        <w:ind w:right="360"/>
        <w:jc w:val="both"/>
        <w:rPr>
          <w:rFonts w:ascii="Arial" w:hAnsi="Arial"/>
          <w:rtl/>
        </w:rPr>
      </w:pPr>
    </w:p>
    <w:p w14:paraId="6C047040" w14:textId="77777777" w:rsidR="00912AF8" w:rsidRDefault="005E438E">
      <w:pPr>
        <w:tabs>
          <w:tab w:val="right" w:pos="7046"/>
        </w:tabs>
        <w:ind w:left="567" w:right="902"/>
        <w:jc w:val="both"/>
        <w:rPr>
          <w:rtl/>
        </w:rPr>
      </w:pPr>
      <w:r>
        <w:rPr>
          <w:rFonts w:ascii="Arial" w:hAnsi="Arial" w:cs="Miriam"/>
          <w:rtl/>
        </w:rPr>
        <w:t>"</w:t>
      </w:r>
      <w:r>
        <w:rPr>
          <w:rFonts w:cs="Miriam"/>
          <w:rtl/>
        </w:rPr>
        <w:t>תמיד חייב בית</w:t>
      </w:r>
      <w:r>
        <w:rPr>
          <w:rFonts w:cs="Miriam"/>
          <w:position w:val="4"/>
          <w:rtl/>
        </w:rPr>
        <w:t>-</w:t>
      </w:r>
      <w:r>
        <w:rPr>
          <w:rFonts w:cs="Miriam"/>
          <w:rtl/>
        </w:rPr>
        <w:t>המשפט עצמו לשקול את השיקולים הראויים לעונש, שכן תפקידו ואחריותו אינם מאפשרים לו להסתתר מאחורי גבה של התביעה. במסגרת בחינתו של העונש המוצע ייתן בית</w:t>
      </w:r>
      <w:r>
        <w:rPr>
          <w:rFonts w:cs="Miriam"/>
          <w:position w:val="4"/>
          <w:rtl/>
        </w:rPr>
        <w:t>-</w:t>
      </w:r>
      <w:r>
        <w:rPr>
          <w:rFonts w:cs="Miriam"/>
          <w:rtl/>
        </w:rPr>
        <w:t>המשפט דעתו על כל שיקולי הענישה הרלוונטיים ויבחן אם העונש המוצע מקיים את האיזון הדרוש ביניהם. לשם כך יבחן בית</w:t>
      </w:r>
      <w:r>
        <w:rPr>
          <w:rFonts w:cs="Miriam"/>
          <w:position w:val="4"/>
          <w:rtl/>
        </w:rPr>
        <w:t>-</w:t>
      </w:r>
      <w:r>
        <w:rPr>
          <w:rFonts w:cs="Miriam"/>
          <w:rtl/>
        </w:rPr>
        <w:t xml:space="preserve">המשפט את העונש ההולם בנסיבות העניין וישקיף עליו גם באספקלריה שהעמידה לרשותו התביעה בהסדר הטיעון שערכה" </w:t>
      </w:r>
      <w:r>
        <w:rPr>
          <w:rtl/>
        </w:rPr>
        <w:t>(</w:t>
      </w:r>
      <w:r>
        <w:rPr>
          <w:b/>
          <w:bCs/>
          <w:rtl/>
        </w:rPr>
        <w:t>פלוני נ' מדינת ישראל</w:t>
      </w:r>
      <w:r>
        <w:rPr>
          <w:rtl/>
        </w:rPr>
        <w:t xml:space="preserve">, פ"ד נז(1) 577) (להלן: </w:t>
      </w:r>
      <w:r>
        <w:rPr>
          <w:rFonts w:cs="Miriam"/>
          <w:rtl/>
        </w:rPr>
        <w:t>"פרשת פלוני"</w:t>
      </w:r>
      <w:r>
        <w:rPr>
          <w:rtl/>
        </w:rPr>
        <w:t xml:space="preserve">). </w:t>
      </w:r>
    </w:p>
    <w:p w14:paraId="015332ED" w14:textId="77777777" w:rsidR="00912AF8" w:rsidRDefault="00912AF8">
      <w:pPr>
        <w:tabs>
          <w:tab w:val="right" w:pos="7946"/>
        </w:tabs>
        <w:spacing w:line="360" w:lineRule="auto"/>
        <w:ind w:right="360"/>
        <w:jc w:val="both"/>
        <w:rPr>
          <w:rtl/>
        </w:rPr>
      </w:pPr>
    </w:p>
    <w:p w14:paraId="6FD56252" w14:textId="77777777" w:rsidR="00912AF8" w:rsidRDefault="005E438E">
      <w:pPr>
        <w:tabs>
          <w:tab w:val="right" w:pos="7946"/>
        </w:tabs>
        <w:spacing w:line="360" w:lineRule="auto"/>
        <w:ind w:right="360"/>
        <w:jc w:val="both"/>
        <w:rPr>
          <w:rtl/>
        </w:rPr>
      </w:pPr>
      <w:r>
        <w:rPr>
          <w:rtl/>
        </w:rPr>
        <w:t xml:space="preserve">בעת בחינת הסדר הטיעון על בית-המשפט לבחון את מידת העונש המוצע בשים לב לסוג העבירה, לחומרתה ולנסיבות ביצועה. כמו כן, יבחן בית-המשפט את הנסיבות האישיות של הנאשם, את שיקולי מדיניות הענישה הראויה, את שיקוליה הפרטניים של התביעה, לרבות הקשיים הצפויים בניהול המשפט, ואת כל יתר השיקולים הרלוונטיים. </w:t>
      </w:r>
    </w:p>
    <w:p w14:paraId="6829D4C8" w14:textId="77777777" w:rsidR="00912AF8" w:rsidRDefault="00912AF8">
      <w:pPr>
        <w:tabs>
          <w:tab w:val="right" w:pos="7946"/>
        </w:tabs>
        <w:spacing w:line="360" w:lineRule="auto"/>
        <w:ind w:right="360"/>
        <w:jc w:val="both"/>
        <w:rPr>
          <w:rtl/>
        </w:rPr>
      </w:pPr>
    </w:p>
    <w:p w14:paraId="27D4DEBD" w14:textId="77777777" w:rsidR="00912AF8" w:rsidRDefault="005E438E">
      <w:pPr>
        <w:pStyle w:val="Quote"/>
        <w:spacing w:line="360" w:lineRule="auto"/>
        <w:ind w:left="0"/>
        <w:rPr>
          <w:rFonts w:cs="David"/>
          <w:sz w:val="24"/>
          <w:rtl/>
        </w:rPr>
      </w:pPr>
      <w:r>
        <w:rPr>
          <w:rFonts w:cs="David"/>
          <w:sz w:val="24"/>
          <w:rtl/>
        </w:rPr>
        <w:t>כפי שעולה מעובדות כתב האישום, נאשם 1 נטל את חייו של המנוח בשל חשדו כי האחרון מצוי בקשר עם דודתו, בעוד נאשם 2 סייע לו בכך.</w:t>
      </w:r>
    </w:p>
    <w:p w14:paraId="2C71C996" w14:textId="77777777" w:rsidR="00912AF8" w:rsidRDefault="005E438E">
      <w:pPr>
        <w:pStyle w:val="Quote"/>
        <w:spacing w:line="360" w:lineRule="auto"/>
        <w:ind w:left="0"/>
        <w:rPr>
          <w:rFonts w:cs="David"/>
          <w:sz w:val="24"/>
          <w:rtl/>
        </w:rPr>
      </w:pPr>
      <w:r>
        <w:rPr>
          <w:rFonts w:cs="David"/>
          <w:sz w:val="24"/>
          <w:rtl/>
        </w:rPr>
        <w:t xml:space="preserve">על החומרה שיש לראות במעשי אלימות שבמהלכם קופדו חיי אדם עמדו בתי המשפט לא אחת, תוך הדגשת קדושת החיים כערך עליון.  </w:t>
      </w:r>
    </w:p>
    <w:p w14:paraId="244F3990" w14:textId="77777777" w:rsidR="00912AF8" w:rsidRDefault="005E438E">
      <w:pPr>
        <w:pStyle w:val="Quote"/>
        <w:spacing w:line="360" w:lineRule="auto"/>
        <w:ind w:left="0"/>
        <w:rPr>
          <w:rFonts w:cs="David"/>
          <w:sz w:val="24"/>
          <w:rtl/>
        </w:rPr>
      </w:pPr>
      <w:r>
        <w:rPr>
          <w:rFonts w:cs="David"/>
          <w:sz w:val="24"/>
          <w:rtl/>
        </w:rPr>
        <w:t>למרבה הצער, בעת האחרונה רבו המקרים שבהם בקלות יתרה ובלתי נסבלת נעשה שימוש בנשק חם לצורך פתרון סכסוכים, או מעשי נקמנות לשמן.</w:t>
      </w:r>
    </w:p>
    <w:p w14:paraId="0E601A63" w14:textId="77777777" w:rsidR="00912AF8" w:rsidRDefault="005E438E">
      <w:pPr>
        <w:pStyle w:val="Quote"/>
        <w:spacing w:line="360" w:lineRule="auto"/>
        <w:ind w:left="0"/>
        <w:rPr>
          <w:rFonts w:cs="David"/>
          <w:sz w:val="24"/>
          <w:rtl/>
        </w:rPr>
      </w:pPr>
      <w:r>
        <w:rPr>
          <w:rFonts w:cs="David"/>
          <w:sz w:val="24"/>
          <w:rtl/>
        </w:rPr>
        <w:t xml:space="preserve">חומרתן של העבירות שבהן הורשעו הנאשמים, שעניינן כאמור קיפוח חייו של אדם, דורשת שהענישה תמצא ביטוייה במפורש בבחינת סלידתה העמוקה של החברה מנטילת חיים של אחר, תוך מתן משקל רב למסר הרתעתי הן כלפי הנאשמים והן כלפי אחרים העלולים להתפתות למעשים בלתי נסבלים כאלה. </w:t>
      </w:r>
    </w:p>
    <w:p w14:paraId="17E10FF9" w14:textId="77777777" w:rsidR="00912AF8" w:rsidRDefault="005E438E">
      <w:pPr>
        <w:pStyle w:val="Quote"/>
        <w:spacing w:line="360" w:lineRule="auto"/>
        <w:ind w:left="0"/>
        <w:rPr>
          <w:rFonts w:cs="David"/>
          <w:rtl/>
        </w:rPr>
      </w:pPr>
      <w:r>
        <w:rPr>
          <w:rFonts w:cs="David"/>
          <w:sz w:val="24"/>
          <w:rtl/>
        </w:rPr>
        <w:t xml:space="preserve">יפים לעניין זה דבריה של כב' </w:t>
      </w:r>
      <w:r>
        <w:rPr>
          <w:rFonts w:cs="David"/>
          <w:rtl/>
        </w:rPr>
        <w:t>השופטת שטרסבורג-כהן ב</w:t>
      </w:r>
      <w:hyperlink r:id="rId32" w:history="1">
        <w:r w:rsidR="00985428" w:rsidRPr="00985428">
          <w:rPr>
            <w:rStyle w:val="Hyperlink"/>
            <w:rFonts w:cs="David"/>
            <w:rtl/>
          </w:rPr>
          <w:t>ע"פ 7147/96</w:t>
        </w:r>
      </w:hyperlink>
      <w:r>
        <w:rPr>
          <w:rFonts w:cs="David"/>
          <w:rtl/>
        </w:rPr>
        <w:t xml:space="preserve">: </w:t>
      </w:r>
    </w:p>
    <w:p w14:paraId="302E8C4A" w14:textId="77777777" w:rsidR="00912AF8" w:rsidRDefault="005E438E">
      <w:pPr>
        <w:pStyle w:val="Quote"/>
        <w:spacing w:line="240" w:lineRule="auto"/>
        <w:ind w:left="566" w:right="1260"/>
        <w:rPr>
          <w:rFonts w:cs="Miriam"/>
          <w:sz w:val="24"/>
          <w:rtl/>
        </w:rPr>
      </w:pPr>
      <w:r>
        <w:rPr>
          <w:rFonts w:cs="Miriam"/>
          <w:rtl/>
        </w:rPr>
        <w:t>"ידע הציבור, ידעו עבריינים פוטנציאליים וידע המערער כי נטילת חיי אדם היא החמורה שבעבירות [...] יש למצות את הדין עם הנאשם באופן שיבטא את הערכת החברה לחיי אדם כערך עליון, את סלידתה ושאט נפשה ממעשיו ואת חוסר נכונותה להתייחס בסלחנות כלפי מי שנתן דרור לעצמו 'לחסל את חשבונותיו'</w:t>
      </w:r>
      <w:r>
        <w:rPr>
          <w:rFonts w:cs="Miriam"/>
          <w:sz w:val="24"/>
          <w:rtl/>
        </w:rPr>
        <w:t xml:space="preserve">" </w:t>
      </w:r>
      <w:r>
        <w:rPr>
          <w:rFonts w:cs="David"/>
          <w:sz w:val="24"/>
          <w:rtl/>
        </w:rPr>
        <w:t>(</w:t>
      </w:r>
      <w:r>
        <w:rPr>
          <w:rFonts w:cs="David"/>
          <w:b/>
          <w:bCs/>
          <w:rtl/>
        </w:rPr>
        <w:t>אזואלוס נ' מדינת ישראל</w:t>
      </w:r>
      <w:r>
        <w:rPr>
          <w:rFonts w:cs="David"/>
          <w:rtl/>
        </w:rPr>
        <w:t xml:space="preserve"> פ"ד נב(2) 412).</w:t>
      </w:r>
    </w:p>
    <w:p w14:paraId="04C8BBA4" w14:textId="77777777" w:rsidR="00912AF8" w:rsidRDefault="00912AF8">
      <w:pPr>
        <w:tabs>
          <w:tab w:val="right" w:pos="7946"/>
        </w:tabs>
        <w:spacing w:line="360" w:lineRule="auto"/>
        <w:ind w:right="360"/>
        <w:jc w:val="both"/>
        <w:rPr>
          <w:rFonts w:ascii="Arial" w:hAnsi="Arial"/>
          <w:rtl/>
        </w:rPr>
      </w:pPr>
    </w:p>
    <w:p w14:paraId="23D3445E" w14:textId="77777777" w:rsidR="00912AF8" w:rsidRDefault="005E438E">
      <w:pPr>
        <w:tabs>
          <w:tab w:val="right" w:pos="7946"/>
        </w:tabs>
        <w:spacing w:line="360" w:lineRule="auto"/>
        <w:ind w:right="360"/>
        <w:jc w:val="both"/>
        <w:rPr>
          <w:rFonts w:ascii="Arial" w:hAnsi="Arial"/>
          <w:rtl/>
        </w:rPr>
      </w:pPr>
      <w:r>
        <w:rPr>
          <w:rFonts w:ascii="Arial" w:hAnsi="Arial"/>
          <w:rtl/>
        </w:rPr>
        <w:t xml:space="preserve">באשר לנאשמים שבפנינו, לא נעלמו מעיננו מכלול השיקולים לקולא בעניינם, ובכלל זה הודאתם והבעת החרטה, כמו גם עריכת הסדר טיעון זה על דעת משפחת המנוח והסכמתה לו. </w:t>
      </w:r>
    </w:p>
    <w:p w14:paraId="7AF2900E" w14:textId="77777777" w:rsidR="00912AF8" w:rsidRDefault="00912AF8">
      <w:pPr>
        <w:tabs>
          <w:tab w:val="right" w:pos="7946"/>
        </w:tabs>
        <w:spacing w:line="360" w:lineRule="auto"/>
        <w:ind w:right="360"/>
        <w:jc w:val="both"/>
        <w:rPr>
          <w:rFonts w:ascii="Arial" w:hAnsi="Arial"/>
          <w:rtl/>
        </w:rPr>
      </w:pPr>
    </w:p>
    <w:p w14:paraId="468D54FC" w14:textId="77777777" w:rsidR="00912AF8" w:rsidRDefault="005E438E">
      <w:pPr>
        <w:tabs>
          <w:tab w:val="right" w:pos="7946"/>
        </w:tabs>
        <w:spacing w:line="360" w:lineRule="auto"/>
        <w:ind w:right="360"/>
        <w:jc w:val="both"/>
        <w:rPr>
          <w:rFonts w:ascii="Arial" w:hAnsi="Arial"/>
          <w:rtl/>
        </w:rPr>
      </w:pPr>
      <w:r>
        <w:rPr>
          <w:rFonts w:ascii="Arial" w:hAnsi="Arial"/>
          <w:rtl/>
        </w:rPr>
        <w:t xml:space="preserve">יש להוסיף על כך את העובדה כי נחשפנו, כאמור, במהלך שמיעת הראיות לחלק נכבד מראיות המאשימה ולקשיים הראייתיים שהוו את הרקע להסדר הטיעון, ובכלל זה המרת עבירת הרצח לעבירות של הריגה ולסיוע להריגה. </w:t>
      </w:r>
    </w:p>
    <w:p w14:paraId="3702109A" w14:textId="77777777" w:rsidR="00912AF8" w:rsidRDefault="00912AF8">
      <w:pPr>
        <w:tabs>
          <w:tab w:val="right" w:pos="7946"/>
        </w:tabs>
        <w:spacing w:line="360" w:lineRule="auto"/>
        <w:ind w:right="360"/>
        <w:jc w:val="both"/>
        <w:rPr>
          <w:rFonts w:ascii="Arial" w:hAnsi="Arial"/>
          <w:rtl/>
        </w:rPr>
      </w:pPr>
    </w:p>
    <w:p w14:paraId="6543C19B" w14:textId="77777777" w:rsidR="00912AF8" w:rsidRDefault="005E438E">
      <w:pPr>
        <w:tabs>
          <w:tab w:val="right" w:pos="7946"/>
        </w:tabs>
        <w:spacing w:line="360" w:lineRule="auto"/>
        <w:ind w:right="360"/>
        <w:jc w:val="both"/>
        <w:rPr>
          <w:rFonts w:ascii="Arial" w:hAnsi="Arial"/>
          <w:rtl/>
        </w:rPr>
      </w:pPr>
      <w:r>
        <w:rPr>
          <w:rFonts w:ascii="Arial" w:hAnsi="Arial"/>
          <w:rtl/>
        </w:rPr>
        <w:t>בנסיבות העניין אנו סבורים, כי ההסדר שהונח בפנינו, ובכלל זה מסגרת הענישה, תואם את העקרונות המנחים שהונחו ב</w:t>
      </w:r>
      <w:r>
        <w:rPr>
          <w:rFonts w:ascii="Arial" w:hAnsi="Arial"/>
          <w:b/>
          <w:bCs/>
          <w:rtl/>
        </w:rPr>
        <w:t>פרשת פלוני</w:t>
      </w:r>
      <w:r>
        <w:rPr>
          <w:rFonts w:ascii="Arial" w:hAnsi="Arial"/>
          <w:rtl/>
        </w:rPr>
        <w:t xml:space="preserve"> באשר לכיבודם של הסדרי טיעון, והוא מאזן כראוי בין מכלול השיקולים לחומרה ובין מכלול השיקולים לקולא.</w:t>
      </w:r>
    </w:p>
    <w:p w14:paraId="73673318" w14:textId="77777777" w:rsidR="00912AF8" w:rsidRDefault="00912AF8">
      <w:pPr>
        <w:tabs>
          <w:tab w:val="right" w:pos="7946"/>
        </w:tabs>
        <w:spacing w:line="360" w:lineRule="auto"/>
        <w:ind w:right="360"/>
        <w:jc w:val="both"/>
        <w:rPr>
          <w:rFonts w:ascii="Arial" w:hAnsi="Arial"/>
          <w:rtl/>
        </w:rPr>
      </w:pPr>
    </w:p>
    <w:p w14:paraId="59200D1D" w14:textId="77777777" w:rsidR="00912AF8" w:rsidRDefault="005E438E">
      <w:pPr>
        <w:tabs>
          <w:tab w:val="right" w:pos="7946"/>
        </w:tabs>
        <w:spacing w:line="360" w:lineRule="auto"/>
        <w:ind w:right="360"/>
        <w:jc w:val="both"/>
        <w:rPr>
          <w:rFonts w:ascii="Arial" w:hAnsi="Arial"/>
          <w:rtl/>
        </w:rPr>
      </w:pPr>
      <w:r>
        <w:rPr>
          <w:rFonts w:ascii="Arial" w:hAnsi="Arial"/>
          <w:rtl/>
        </w:rPr>
        <w:t>לאחר ששקלנו את מכלול השיקולים הרלוונטיים כפי שפורטו לעיל, אנו גוזרים על הנאשמים את העונשים כדלקמן:</w:t>
      </w:r>
    </w:p>
    <w:p w14:paraId="3DA3F2DE" w14:textId="77777777" w:rsidR="00912AF8" w:rsidRDefault="00912AF8">
      <w:pPr>
        <w:tabs>
          <w:tab w:val="right" w:pos="7946"/>
        </w:tabs>
        <w:ind w:right="360"/>
        <w:jc w:val="both"/>
        <w:rPr>
          <w:rFonts w:ascii="Arial" w:hAnsi="Arial"/>
          <w:rtl/>
        </w:rPr>
      </w:pPr>
    </w:p>
    <w:p w14:paraId="55A9069D" w14:textId="77777777" w:rsidR="00912AF8" w:rsidRDefault="005E438E">
      <w:pPr>
        <w:tabs>
          <w:tab w:val="right" w:pos="7946"/>
        </w:tabs>
        <w:spacing w:line="360" w:lineRule="auto"/>
        <w:ind w:right="360"/>
        <w:jc w:val="both"/>
        <w:rPr>
          <w:rFonts w:ascii="Arial" w:hAnsi="Arial"/>
          <w:b/>
          <w:bCs/>
          <w:u w:val="single"/>
          <w:rtl/>
        </w:rPr>
      </w:pPr>
      <w:r>
        <w:rPr>
          <w:rFonts w:ascii="Arial" w:hAnsi="Arial"/>
          <w:b/>
          <w:bCs/>
          <w:u w:val="single"/>
          <w:rtl/>
        </w:rPr>
        <w:t>על נאשם 1:</w:t>
      </w:r>
    </w:p>
    <w:p w14:paraId="506F9851" w14:textId="77777777" w:rsidR="00912AF8" w:rsidRDefault="00912AF8">
      <w:pPr>
        <w:tabs>
          <w:tab w:val="right" w:pos="7946"/>
        </w:tabs>
        <w:spacing w:line="360" w:lineRule="auto"/>
        <w:ind w:right="360"/>
        <w:jc w:val="both"/>
        <w:rPr>
          <w:rFonts w:ascii="Arial" w:hAnsi="Arial"/>
          <w:b/>
          <w:bCs/>
          <w:u w:val="single"/>
          <w:rtl/>
        </w:rPr>
      </w:pPr>
    </w:p>
    <w:p w14:paraId="643328C0" w14:textId="77777777" w:rsidR="00912AF8" w:rsidRDefault="005E438E">
      <w:pPr>
        <w:numPr>
          <w:ilvl w:val="0"/>
          <w:numId w:val="1"/>
        </w:numPr>
        <w:spacing w:line="360" w:lineRule="auto"/>
        <w:ind w:right="360"/>
        <w:jc w:val="both"/>
        <w:rPr>
          <w:rFonts w:ascii="Arial" w:hAnsi="Arial"/>
          <w:rtl/>
        </w:rPr>
      </w:pPr>
      <w:r>
        <w:rPr>
          <w:rFonts w:ascii="Arial" w:hAnsi="Arial"/>
          <w:u w:val="single"/>
          <w:rtl/>
        </w:rPr>
        <w:t>19</w:t>
      </w:r>
      <w:r>
        <w:rPr>
          <w:rFonts w:ascii="Arial" w:hAnsi="Arial"/>
          <w:rtl/>
        </w:rPr>
        <w:t xml:space="preserve"> שנות מאסר בפועל.</w:t>
      </w:r>
    </w:p>
    <w:p w14:paraId="19AF38FA" w14:textId="77777777" w:rsidR="00912AF8" w:rsidRDefault="005E438E">
      <w:pPr>
        <w:numPr>
          <w:ilvl w:val="0"/>
          <w:numId w:val="1"/>
        </w:numPr>
        <w:tabs>
          <w:tab w:val="right" w:pos="7946"/>
        </w:tabs>
        <w:spacing w:line="360" w:lineRule="auto"/>
        <w:ind w:right="360"/>
        <w:jc w:val="both"/>
        <w:rPr>
          <w:rFonts w:ascii="Arial" w:hAnsi="Arial"/>
        </w:rPr>
      </w:pPr>
      <w:r>
        <w:rPr>
          <w:rFonts w:ascii="Arial" w:hAnsi="Arial"/>
          <w:u w:val="single"/>
          <w:rtl/>
        </w:rPr>
        <w:t>24</w:t>
      </w:r>
      <w:r>
        <w:rPr>
          <w:rFonts w:ascii="Arial" w:hAnsi="Arial"/>
          <w:rtl/>
        </w:rPr>
        <w:t xml:space="preserve"> חודשי מאסר על תנאי למשך </w:t>
      </w:r>
      <w:r>
        <w:rPr>
          <w:rFonts w:ascii="Arial" w:hAnsi="Arial"/>
          <w:u w:val="single"/>
          <w:rtl/>
        </w:rPr>
        <w:t>3</w:t>
      </w:r>
      <w:r>
        <w:rPr>
          <w:rFonts w:ascii="Arial" w:hAnsi="Arial"/>
          <w:rtl/>
        </w:rPr>
        <w:t xml:space="preserve"> שנים לבל יעבור עבירה של אלימות מסוג פשע</w:t>
      </w:r>
      <w:r>
        <w:rPr>
          <w:rFonts w:ascii="Arial" w:hAnsi="Arial" w:hint="cs"/>
          <w:rtl/>
        </w:rPr>
        <w:t>.</w:t>
      </w:r>
    </w:p>
    <w:p w14:paraId="72297F85" w14:textId="77777777" w:rsidR="00912AF8" w:rsidRDefault="00912AF8">
      <w:pPr>
        <w:tabs>
          <w:tab w:val="right" w:pos="7946"/>
        </w:tabs>
        <w:ind w:left="360" w:right="360"/>
        <w:jc w:val="both"/>
        <w:rPr>
          <w:rFonts w:ascii="Arial" w:hAnsi="Arial"/>
          <w:rtl/>
        </w:rPr>
      </w:pPr>
    </w:p>
    <w:p w14:paraId="3D0E1411" w14:textId="77777777" w:rsidR="00912AF8" w:rsidRDefault="00912AF8">
      <w:pPr>
        <w:tabs>
          <w:tab w:val="right" w:pos="7946"/>
        </w:tabs>
        <w:ind w:left="360" w:right="360"/>
        <w:jc w:val="both"/>
        <w:rPr>
          <w:rFonts w:ascii="Arial" w:hAnsi="Arial"/>
          <w:rtl/>
        </w:rPr>
      </w:pPr>
    </w:p>
    <w:p w14:paraId="6024A8AA" w14:textId="77777777" w:rsidR="00912AF8" w:rsidRDefault="00912AF8">
      <w:pPr>
        <w:tabs>
          <w:tab w:val="right" w:pos="7946"/>
        </w:tabs>
        <w:ind w:left="360" w:right="360"/>
        <w:jc w:val="both"/>
        <w:rPr>
          <w:rFonts w:ascii="Arial" w:hAnsi="Arial"/>
          <w:rtl/>
        </w:rPr>
      </w:pPr>
    </w:p>
    <w:p w14:paraId="79676F73" w14:textId="77777777" w:rsidR="00912AF8" w:rsidRDefault="00912AF8">
      <w:pPr>
        <w:tabs>
          <w:tab w:val="right" w:pos="7946"/>
        </w:tabs>
        <w:ind w:left="360" w:right="360"/>
        <w:jc w:val="both"/>
        <w:rPr>
          <w:rFonts w:ascii="Arial" w:hAnsi="Arial"/>
          <w:rtl/>
        </w:rPr>
      </w:pPr>
    </w:p>
    <w:p w14:paraId="102B8BFC" w14:textId="77777777" w:rsidR="00912AF8" w:rsidRDefault="00912AF8">
      <w:pPr>
        <w:tabs>
          <w:tab w:val="right" w:pos="7946"/>
        </w:tabs>
        <w:ind w:left="360" w:right="360"/>
        <w:jc w:val="both"/>
        <w:rPr>
          <w:rFonts w:ascii="Arial" w:hAnsi="Arial"/>
          <w:rtl/>
        </w:rPr>
      </w:pPr>
    </w:p>
    <w:p w14:paraId="71A60A1A" w14:textId="77777777" w:rsidR="00912AF8" w:rsidRDefault="00912AF8">
      <w:pPr>
        <w:tabs>
          <w:tab w:val="right" w:pos="7946"/>
        </w:tabs>
        <w:ind w:left="360" w:right="360"/>
        <w:jc w:val="both"/>
        <w:rPr>
          <w:rFonts w:ascii="Arial" w:hAnsi="Arial"/>
          <w:rtl/>
        </w:rPr>
      </w:pPr>
    </w:p>
    <w:p w14:paraId="09DE7332" w14:textId="77777777" w:rsidR="00912AF8" w:rsidRDefault="005E438E">
      <w:pPr>
        <w:tabs>
          <w:tab w:val="right" w:pos="7946"/>
        </w:tabs>
        <w:spacing w:line="360" w:lineRule="auto"/>
        <w:ind w:right="360"/>
        <w:jc w:val="both"/>
        <w:rPr>
          <w:rFonts w:ascii="Arial" w:hAnsi="Arial"/>
          <w:b/>
          <w:bCs/>
          <w:u w:val="single"/>
          <w:rtl/>
        </w:rPr>
      </w:pPr>
      <w:r>
        <w:rPr>
          <w:rFonts w:ascii="Arial" w:hAnsi="Arial"/>
          <w:b/>
          <w:bCs/>
          <w:u w:val="single"/>
          <w:rtl/>
        </w:rPr>
        <w:t>על נאשם 2:</w:t>
      </w:r>
    </w:p>
    <w:p w14:paraId="35F6006F" w14:textId="77777777" w:rsidR="00912AF8" w:rsidRDefault="00912AF8">
      <w:pPr>
        <w:tabs>
          <w:tab w:val="right" w:pos="7946"/>
        </w:tabs>
        <w:spacing w:line="360" w:lineRule="auto"/>
        <w:ind w:right="360"/>
        <w:jc w:val="both"/>
        <w:rPr>
          <w:rFonts w:ascii="Arial" w:hAnsi="Arial"/>
          <w:b/>
          <w:bCs/>
          <w:u w:val="single"/>
          <w:rtl/>
        </w:rPr>
      </w:pPr>
    </w:p>
    <w:p w14:paraId="397B6FCD" w14:textId="77777777" w:rsidR="00912AF8" w:rsidRDefault="005E438E">
      <w:pPr>
        <w:numPr>
          <w:ilvl w:val="0"/>
          <w:numId w:val="2"/>
        </w:numPr>
        <w:spacing w:line="360" w:lineRule="auto"/>
        <w:ind w:right="360"/>
        <w:jc w:val="both"/>
        <w:rPr>
          <w:rFonts w:ascii="Arial" w:hAnsi="Arial"/>
        </w:rPr>
      </w:pPr>
      <w:r>
        <w:rPr>
          <w:rFonts w:ascii="Arial" w:hAnsi="Arial"/>
          <w:u w:val="single"/>
          <w:rtl/>
        </w:rPr>
        <w:t>11</w:t>
      </w:r>
      <w:r>
        <w:rPr>
          <w:rFonts w:ascii="Arial" w:hAnsi="Arial"/>
          <w:rtl/>
        </w:rPr>
        <w:t xml:space="preserve"> שנות מאסר בפועל.</w:t>
      </w:r>
    </w:p>
    <w:p w14:paraId="4F7CDE45" w14:textId="77777777" w:rsidR="00912AF8" w:rsidRDefault="005E438E">
      <w:pPr>
        <w:numPr>
          <w:ilvl w:val="0"/>
          <w:numId w:val="2"/>
        </w:numPr>
        <w:spacing w:line="360" w:lineRule="auto"/>
        <w:ind w:right="360"/>
        <w:jc w:val="both"/>
        <w:rPr>
          <w:rFonts w:ascii="Arial" w:hAnsi="Arial"/>
        </w:rPr>
      </w:pPr>
      <w:r>
        <w:rPr>
          <w:rFonts w:ascii="Arial" w:hAnsi="Arial"/>
          <w:u w:val="single"/>
          <w:rtl/>
        </w:rPr>
        <w:t>18</w:t>
      </w:r>
      <w:r>
        <w:rPr>
          <w:rFonts w:ascii="Arial" w:hAnsi="Arial"/>
          <w:rtl/>
        </w:rPr>
        <w:t xml:space="preserve"> חודשי מאסר על תנאי למשך </w:t>
      </w:r>
      <w:r>
        <w:rPr>
          <w:rFonts w:ascii="Arial" w:hAnsi="Arial"/>
          <w:u w:val="single"/>
          <w:rtl/>
        </w:rPr>
        <w:t>3</w:t>
      </w:r>
      <w:r>
        <w:rPr>
          <w:rFonts w:ascii="Arial" w:hAnsi="Arial"/>
          <w:rtl/>
        </w:rPr>
        <w:t xml:space="preserve"> שנים לבל יעבור עבירה של אלימות מסוג פשע.</w:t>
      </w:r>
    </w:p>
    <w:p w14:paraId="0467CBE5" w14:textId="77777777" w:rsidR="00912AF8" w:rsidRDefault="00912AF8">
      <w:pPr>
        <w:tabs>
          <w:tab w:val="right" w:pos="7946"/>
        </w:tabs>
        <w:spacing w:line="360" w:lineRule="auto"/>
        <w:ind w:left="360" w:right="360"/>
        <w:jc w:val="both"/>
        <w:rPr>
          <w:rFonts w:ascii="Arial" w:hAnsi="Arial"/>
          <w:rtl/>
        </w:rPr>
      </w:pPr>
    </w:p>
    <w:p w14:paraId="1D05C6F7" w14:textId="77777777" w:rsidR="00912AF8" w:rsidRDefault="005E438E">
      <w:pPr>
        <w:tabs>
          <w:tab w:val="right" w:pos="7946"/>
        </w:tabs>
        <w:spacing w:line="360" w:lineRule="auto"/>
        <w:ind w:right="360"/>
        <w:jc w:val="both"/>
        <w:rPr>
          <w:rFonts w:ascii="Arial" w:hAnsi="Arial"/>
          <w:u w:val="single"/>
          <w:rtl/>
        </w:rPr>
      </w:pPr>
      <w:r>
        <w:rPr>
          <w:rFonts w:ascii="Arial" w:hAnsi="Arial"/>
          <w:rtl/>
        </w:rPr>
        <w:t xml:space="preserve">לצורך מניין תקופות המאסר, תימנה תקופת שהותו של </w:t>
      </w:r>
      <w:r>
        <w:rPr>
          <w:rFonts w:ascii="Arial" w:hAnsi="Arial"/>
          <w:b/>
          <w:bCs/>
          <w:rtl/>
        </w:rPr>
        <w:t>נאשם 1</w:t>
      </w:r>
      <w:r>
        <w:rPr>
          <w:rFonts w:ascii="Arial" w:hAnsi="Arial"/>
          <w:rtl/>
        </w:rPr>
        <w:t xml:space="preserve"> במעצר </w:t>
      </w:r>
      <w:r>
        <w:rPr>
          <w:rFonts w:ascii="Arial" w:hAnsi="Arial"/>
          <w:u w:val="single"/>
          <w:rtl/>
        </w:rPr>
        <w:t xml:space="preserve">מיום 15.03.2012 </w:t>
      </w:r>
      <w:r>
        <w:rPr>
          <w:rFonts w:ascii="Arial" w:hAnsi="Arial"/>
          <w:rtl/>
        </w:rPr>
        <w:t xml:space="preserve">ותקופת שהייתו של </w:t>
      </w:r>
      <w:r>
        <w:rPr>
          <w:rFonts w:ascii="Arial" w:hAnsi="Arial"/>
          <w:b/>
          <w:bCs/>
          <w:rtl/>
        </w:rPr>
        <w:t>נאשם 2</w:t>
      </w:r>
      <w:r>
        <w:rPr>
          <w:rFonts w:ascii="Arial" w:hAnsi="Arial"/>
          <w:rtl/>
        </w:rPr>
        <w:t xml:space="preserve"> במעצר </w:t>
      </w:r>
      <w:r>
        <w:rPr>
          <w:rFonts w:ascii="Arial" w:hAnsi="Arial"/>
          <w:u w:val="single"/>
          <w:rtl/>
        </w:rPr>
        <w:t xml:space="preserve">מיום 20.03.2012. </w:t>
      </w:r>
    </w:p>
    <w:p w14:paraId="01AEC31B" w14:textId="77777777" w:rsidR="00912AF8" w:rsidRDefault="00912AF8">
      <w:pPr>
        <w:tabs>
          <w:tab w:val="right" w:pos="7946"/>
        </w:tabs>
        <w:spacing w:line="360" w:lineRule="auto"/>
        <w:ind w:right="360"/>
        <w:jc w:val="both"/>
        <w:rPr>
          <w:rFonts w:ascii="Arial" w:hAnsi="Arial"/>
          <w:rtl/>
        </w:rPr>
      </w:pPr>
    </w:p>
    <w:p w14:paraId="287FA054" w14:textId="77777777" w:rsidR="00912AF8" w:rsidRDefault="005E438E">
      <w:pPr>
        <w:tabs>
          <w:tab w:val="right" w:pos="7946"/>
        </w:tabs>
        <w:spacing w:line="360" w:lineRule="auto"/>
        <w:ind w:right="360"/>
        <w:jc w:val="both"/>
        <w:rPr>
          <w:rFonts w:ascii="Arial" w:hAnsi="Arial"/>
          <w:rtl/>
        </w:rPr>
      </w:pPr>
      <w:r>
        <w:rPr>
          <w:rFonts w:ascii="Arial" w:hAnsi="Arial"/>
          <w:rtl/>
        </w:rPr>
        <w:t xml:space="preserve">באשר לפיצוי הכספי לעיזבון המנוח, איננו מקבלים את עמדת ב"כ הנאשם 1, אך יחד עם זאת סברנו כי בנסיבות העניין  יהא זה נכון להימנע מפיצוי כספי מינימאלי, כפי שנתבקשנו ולהותיר זאת להליך אזרחי או לכל הליך אחר בין משפחת הקרבן לנאשמים – אשר יתן ביטוי הולם יותר לפיצוי כספי נכון וראוי. </w:t>
      </w:r>
    </w:p>
    <w:p w14:paraId="43366EDD" w14:textId="77777777" w:rsidR="00912AF8" w:rsidRDefault="00912AF8">
      <w:pPr>
        <w:tabs>
          <w:tab w:val="right" w:pos="7946"/>
        </w:tabs>
        <w:spacing w:line="360" w:lineRule="auto"/>
        <w:ind w:right="360"/>
        <w:jc w:val="both"/>
        <w:rPr>
          <w:rFonts w:ascii="Arial" w:hAnsi="Arial"/>
          <w:rtl/>
        </w:rPr>
      </w:pPr>
    </w:p>
    <w:p w14:paraId="1A47F58B" w14:textId="77777777" w:rsidR="00912AF8" w:rsidRDefault="005E438E">
      <w:pPr>
        <w:tabs>
          <w:tab w:val="right" w:pos="7946"/>
        </w:tabs>
        <w:spacing w:line="360" w:lineRule="auto"/>
        <w:ind w:right="360"/>
        <w:jc w:val="both"/>
        <w:rPr>
          <w:rFonts w:ascii="Arial" w:hAnsi="Arial"/>
          <w:rtl/>
        </w:rPr>
      </w:pPr>
      <w:r>
        <w:rPr>
          <w:rFonts w:ascii="Arial" w:hAnsi="Arial"/>
          <w:rtl/>
        </w:rPr>
        <w:t>אנו מפנים את תשומת לב שירות בתי הסוהר, לאמור בתסקיר שירות המבחן בעניינו של הנאשם 1 בדבר שקילת אפשרות שילובו בהליך טיפולי ממושך במסגרתו יבחנו המניעים שהובילו אותו לביצוע העבירה.</w:t>
      </w:r>
    </w:p>
    <w:p w14:paraId="55A3A67E" w14:textId="77777777" w:rsidR="00912AF8" w:rsidRDefault="00912AF8">
      <w:pPr>
        <w:tabs>
          <w:tab w:val="right" w:pos="7946"/>
        </w:tabs>
        <w:spacing w:line="360" w:lineRule="auto"/>
        <w:ind w:right="360"/>
        <w:jc w:val="both"/>
        <w:rPr>
          <w:rFonts w:ascii="Arial" w:hAnsi="Arial"/>
          <w:rtl/>
        </w:rPr>
      </w:pPr>
    </w:p>
    <w:p w14:paraId="0237172E" w14:textId="77777777" w:rsidR="00912AF8" w:rsidRDefault="005E438E">
      <w:pPr>
        <w:tabs>
          <w:tab w:val="right" w:pos="7946"/>
        </w:tabs>
        <w:ind w:right="360"/>
        <w:jc w:val="both"/>
        <w:rPr>
          <w:rFonts w:ascii="Arial" w:hAnsi="Arial"/>
          <w:b/>
          <w:bCs/>
          <w:rtl/>
        </w:rPr>
      </w:pPr>
      <w:r>
        <w:rPr>
          <w:rFonts w:ascii="Arial" w:hAnsi="Arial"/>
          <w:b/>
          <w:bCs/>
          <w:rtl/>
        </w:rPr>
        <w:t>זכות ערעור לבית המשפט העליון תוך 45 יום מהיום.</w:t>
      </w:r>
    </w:p>
    <w:p w14:paraId="1680E64D" w14:textId="77777777" w:rsidR="00912AF8" w:rsidRDefault="00912AF8">
      <w:pPr>
        <w:rPr>
          <w:rtl/>
        </w:rPr>
      </w:pPr>
    </w:p>
    <w:p w14:paraId="6A0FE05A" w14:textId="77777777" w:rsidR="00912AF8" w:rsidRDefault="00912AF8">
      <w:pPr>
        <w:spacing w:line="360" w:lineRule="auto"/>
        <w:jc w:val="both"/>
        <w:rPr>
          <w:rFonts w:ascii="Arial" w:hAnsi="Arial"/>
          <w:b/>
          <w:bCs/>
          <w:rtl/>
        </w:rPr>
      </w:pPr>
    </w:p>
    <w:p w14:paraId="7E1EDF5E" w14:textId="77777777" w:rsidR="00912AF8" w:rsidRDefault="005E438E">
      <w:pPr>
        <w:spacing w:line="360" w:lineRule="auto"/>
        <w:jc w:val="both"/>
        <w:rPr>
          <w:rFonts w:ascii="Arial" w:hAnsi="Arial"/>
          <w:rtl/>
        </w:rPr>
      </w:pPr>
      <w:r>
        <w:rPr>
          <w:rFonts w:ascii="Arial" w:hAnsi="Arial"/>
          <w:b/>
          <w:bCs/>
          <w:rtl/>
        </w:rPr>
        <w:t xml:space="preserve">ניתן היום,  18 דצמבר 2013, במעמד באי כח הצדדים והנאשמים. </w:t>
      </w:r>
    </w:p>
    <w:p w14:paraId="016C10F7" w14:textId="77777777" w:rsidR="00912AF8" w:rsidRDefault="00912AF8">
      <w:pPr>
        <w:spacing w:line="360" w:lineRule="auto"/>
        <w:jc w:val="both"/>
        <w:rPr>
          <w:rFonts w:ascii="Arial" w:hAnsi="Arial"/>
          <w:rtl/>
        </w:rPr>
      </w:pPr>
    </w:p>
    <w:p w14:paraId="29D371EE" w14:textId="77777777" w:rsidR="00912AF8" w:rsidRPr="005E438E" w:rsidRDefault="005E438E">
      <w:pPr>
        <w:spacing w:line="360" w:lineRule="auto"/>
        <w:jc w:val="both"/>
        <w:rPr>
          <w:rFonts w:ascii="Arial" w:hAnsi="Arial"/>
          <w:color w:val="FFFFFF"/>
          <w:sz w:val="2"/>
          <w:szCs w:val="2"/>
          <w:rtl/>
        </w:rPr>
      </w:pPr>
      <w:r w:rsidRPr="005E438E">
        <w:rPr>
          <w:rFonts w:ascii="Arial" w:hAnsi="Arial"/>
          <w:color w:val="FFFFFF"/>
          <w:sz w:val="2"/>
          <w:szCs w:val="2"/>
          <w:rtl/>
        </w:rPr>
        <w:t>5129371</w:t>
      </w:r>
    </w:p>
    <w:tbl>
      <w:tblPr>
        <w:bidiVisual/>
        <w:tblW w:w="0" w:type="auto"/>
        <w:tblLook w:val="01E0" w:firstRow="1" w:lastRow="1" w:firstColumn="1" w:lastColumn="1" w:noHBand="0" w:noVBand="0"/>
      </w:tblPr>
      <w:tblGrid>
        <w:gridCol w:w="2474"/>
        <w:gridCol w:w="360"/>
        <w:gridCol w:w="2392"/>
        <w:gridCol w:w="308"/>
        <w:gridCol w:w="2520"/>
      </w:tblGrid>
      <w:tr w:rsidR="00912AF8" w14:paraId="3F6E78A4" w14:textId="77777777">
        <w:tc>
          <w:tcPr>
            <w:tcW w:w="2474" w:type="dxa"/>
            <w:tcBorders>
              <w:top w:val="nil"/>
              <w:left w:val="nil"/>
              <w:bottom w:val="single" w:sz="4" w:space="0" w:color="auto"/>
              <w:right w:val="nil"/>
            </w:tcBorders>
            <w:vAlign w:val="center"/>
          </w:tcPr>
          <w:p w14:paraId="2FC672A8" w14:textId="77777777" w:rsidR="00912AF8" w:rsidRPr="005E438E" w:rsidRDefault="005E438E">
            <w:pPr>
              <w:jc w:val="center"/>
              <w:rPr>
                <w:rFonts w:ascii="Courier New" w:hAnsi="Courier New"/>
                <w:b/>
                <w:bCs/>
                <w:color w:val="FFFFFF"/>
                <w:sz w:val="2"/>
                <w:szCs w:val="2"/>
              </w:rPr>
            </w:pPr>
            <w:r w:rsidRPr="005E438E">
              <w:rPr>
                <w:rFonts w:ascii="Courier New" w:hAnsi="Courier New"/>
                <w:b/>
                <w:bCs/>
                <w:color w:val="FFFFFF"/>
                <w:sz w:val="2"/>
                <w:szCs w:val="2"/>
                <w:rtl/>
              </w:rPr>
              <w:t>54678313</w:t>
            </w:r>
          </w:p>
        </w:tc>
        <w:tc>
          <w:tcPr>
            <w:tcW w:w="360" w:type="dxa"/>
            <w:vAlign w:val="center"/>
          </w:tcPr>
          <w:p w14:paraId="6B29690A" w14:textId="77777777" w:rsidR="00912AF8" w:rsidRDefault="00912AF8">
            <w:pPr>
              <w:jc w:val="center"/>
              <w:rPr>
                <w:rFonts w:ascii="Courier New" w:hAnsi="Courier New"/>
                <w:b/>
                <w:bCs/>
              </w:rPr>
            </w:pPr>
          </w:p>
        </w:tc>
        <w:tc>
          <w:tcPr>
            <w:tcW w:w="2392" w:type="dxa"/>
            <w:tcBorders>
              <w:top w:val="nil"/>
              <w:left w:val="nil"/>
              <w:bottom w:val="single" w:sz="4" w:space="0" w:color="auto"/>
              <w:right w:val="nil"/>
            </w:tcBorders>
            <w:vAlign w:val="center"/>
          </w:tcPr>
          <w:p w14:paraId="2EAF8A33" w14:textId="77777777" w:rsidR="00912AF8" w:rsidRDefault="00912AF8">
            <w:pPr>
              <w:jc w:val="center"/>
              <w:rPr>
                <w:rFonts w:ascii="Courier New" w:hAnsi="Courier New"/>
                <w:b/>
                <w:bCs/>
              </w:rPr>
            </w:pPr>
          </w:p>
        </w:tc>
        <w:tc>
          <w:tcPr>
            <w:tcW w:w="308" w:type="dxa"/>
            <w:vAlign w:val="center"/>
          </w:tcPr>
          <w:p w14:paraId="1F55956E" w14:textId="77777777" w:rsidR="00912AF8" w:rsidRDefault="00912AF8">
            <w:pPr>
              <w:jc w:val="center"/>
              <w:rPr>
                <w:rFonts w:ascii="Courier New" w:hAnsi="Courier New"/>
                <w:b/>
                <w:bCs/>
              </w:rPr>
            </w:pPr>
          </w:p>
        </w:tc>
        <w:tc>
          <w:tcPr>
            <w:tcW w:w="2520" w:type="dxa"/>
            <w:tcBorders>
              <w:top w:val="nil"/>
              <w:left w:val="nil"/>
              <w:bottom w:val="single" w:sz="4" w:space="0" w:color="auto"/>
              <w:right w:val="nil"/>
            </w:tcBorders>
            <w:vAlign w:val="center"/>
          </w:tcPr>
          <w:p w14:paraId="31525AB4" w14:textId="77777777" w:rsidR="00912AF8" w:rsidRDefault="00912AF8">
            <w:pPr>
              <w:jc w:val="center"/>
              <w:rPr>
                <w:rFonts w:ascii="Courier New" w:hAnsi="Courier New"/>
                <w:b/>
                <w:bCs/>
              </w:rPr>
            </w:pPr>
          </w:p>
        </w:tc>
      </w:tr>
      <w:tr w:rsidR="00912AF8" w14:paraId="7754D529" w14:textId="77777777">
        <w:tc>
          <w:tcPr>
            <w:tcW w:w="2474" w:type="dxa"/>
            <w:tcBorders>
              <w:top w:val="single" w:sz="4" w:space="0" w:color="auto"/>
              <w:left w:val="nil"/>
              <w:bottom w:val="nil"/>
              <w:right w:val="nil"/>
            </w:tcBorders>
          </w:tcPr>
          <w:p w14:paraId="0C170FD6" w14:textId="77777777" w:rsidR="00912AF8" w:rsidRDefault="005E438E">
            <w:pPr>
              <w:jc w:val="center"/>
              <w:rPr>
                <w:b/>
                <w:bCs/>
                <w:noProof/>
                <w:sz w:val="28"/>
                <w:rtl/>
              </w:rPr>
            </w:pPr>
            <w:r>
              <w:rPr>
                <w:rFonts w:hint="cs"/>
                <w:b/>
                <w:bCs/>
                <w:sz w:val="28"/>
                <w:rtl/>
              </w:rPr>
              <w:t>י. אלרון - נשיא</w:t>
            </w:r>
          </w:p>
          <w:p w14:paraId="6BC73990" w14:textId="77777777" w:rsidR="00912AF8" w:rsidRDefault="005E438E">
            <w:pPr>
              <w:jc w:val="center"/>
              <w:rPr>
                <w:b/>
                <w:bCs/>
                <w:noProof/>
                <w:sz w:val="28"/>
              </w:rPr>
            </w:pPr>
            <w:r>
              <w:rPr>
                <w:rFonts w:hint="cs"/>
                <w:b/>
                <w:bCs/>
                <w:sz w:val="28"/>
                <w:rtl/>
              </w:rPr>
              <w:t>[אב"ד]</w:t>
            </w:r>
          </w:p>
        </w:tc>
        <w:tc>
          <w:tcPr>
            <w:tcW w:w="360" w:type="dxa"/>
          </w:tcPr>
          <w:p w14:paraId="54F84BB0" w14:textId="77777777" w:rsidR="00912AF8" w:rsidRDefault="00912AF8">
            <w:pPr>
              <w:jc w:val="center"/>
              <w:rPr>
                <w:b/>
                <w:bCs/>
                <w:noProof/>
                <w:color w:val="FF0000"/>
                <w:sz w:val="28"/>
              </w:rPr>
            </w:pPr>
          </w:p>
        </w:tc>
        <w:tc>
          <w:tcPr>
            <w:tcW w:w="2392" w:type="dxa"/>
            <w:tcBorders>
              <w:top w:val="single" w:sz="4" w:space="0" w:color="auto"/>
              <w:left w:val="nil"/>
              <w:bottom w:val="nil"/>
              <w:right w:val="nil"/>
            </w:tcBorders>
          </w:tcPr>
          <w:p w14:paraId="547C7AE0" w14:textId="77777777" w:rsidR="00912AF8" w:rsidRDefault="005E438E">
            <w:pPr>
              <w:pStyle w:val="3"/>
              <w:jc w:val="center"/>
              <w:rPr>
                <w:sz w:val="28"/>
              </w:rPr>
            </w:pPr>
            <w:r>
              <w:rPr>
                <w:rFonts w:hint="cs"/>
                <w:sz w:val="28"/>
                <w:rtl/>
              </w:rPr>
              <w:t>ע. גרשון, שופט</w:t>
            </w:r>
          </w:p>
        </w:tc>
        <w:tc>
          <w:tcPr>
            <w:tcW w:w="308" w:type="dxa"/>
          </w:tcPr>
          <w:p w14:paraId="4682B858" w14:textId="77777777" w:rsidR="00912AF8" w:rsidRDefault="00912AF8">
            <w:pPr>
              <w:jc w:val="center"/>
              <w:rPr>
                <w:b/>
                <w:bCs/>
                <w:noProof/>
                <w:color w:val="FF0000"/>
                <w:sz w:val="28"/>
              </w:rPr>
            </w:pPr>
          </w:p>
        </w:tc>
        <w:tc>
          <w:tcPr>
            <w:tcW w:w="2520" w:type="dxa"/>
            <w:tcBorders>
              <w:top w:val="single" w:sz="4" w:space="0" w:color="auto"/>
              <w:left w:val="nil"/>
              <w:bottom w:val="nil"/>
              <w:right w:val="nil"/>
            </w:tcBorders>
          </w:tcPr>
          <w:p w14:paraId="1FE6E110" w14:textId="77777777" w:rsidR="00912AF8" w:rsidRDefault="005E438E">
            <w:pPr>
              <w:jc w:val="center"/>
              <w:rPr>
                <w:b/>
                <w:bCs/>
                <w:noProof/>
                <w:sz w:val="28"/>
              </w:rPr>
            </w:pPr>
            <w:r>
              <w:rPr>
                <w:rFonts w:hint="cs"/>
                <w:b/>
                <w:bCs/>
                <w:sz w:val="28"/>
                <w:rtl/>
              </w:rPr>
              <w:t>א. אליקים, שופט</w:t>
            </w:r>
          </w:p>
        </w:tc>
      </w:tr>
    </w:tbl>
    <w:p w14:paraId="0C82887F" w14:textId="77777777" w:rsidR="00912AF8" w:rsidRDefault="00912AF8">
      <w:pPr>
        <w:pStyle w:val="a3"/>
        <w:rPr>
          <w:sz w:val="20"/>
          <w:szCs w:val="20"/>
          <w:rtl/>
        </w:rPr>
      </w:pPr>
    </w:p>
    <w:p w14:paraId="06BB3AB2" w14:textId="77777777" w:rsidR="00912AF8" w:rsidRDefault="005E438E">
      <w:pPr>
        <w:pStyle w:val="a3"/>
        <w:rPr>
          <w:sz w:val="20"/>
          <w:szCs w:val="20"/>
          <w:rtl/>
        </w:rPr>
      </w:pPr>
      <w:r>
        <w:rPr>
          <w:rFonts w:hint="cs"/>
          <w:sz w:val="20"/>
          <w:szCs w:val="20"/>
          <w:rtl/>
        </w:rPr>
        <w:t>אתי עטיאס</w:t>
      </w:r>
      <w:bookmarkStart w:id="7" w:name="_GoBack"/>
      <w:bookmarkEnd w:id="7"/>
    </w:p>
    <w:p w14:paraId="57C767E0" w14:textId="77777777" w:rsidR="005E438E" w:rsidRPr="005E438E" w:rsidRDefault="005E438E" w:rsidP="005E438E">
      <w:pPr>
        <w:keepNext/>
        <w:rPr>
          <w:rFonts w:ascii="David" w:hAnsi="David"/>
          <w:color w:val="000000"/>
          <w:sz w:val="22"/>
          <w:szCs w:val="22"/>
          <w:rtl/>
        </w:rPr>
      </w:pPr>
    </w:p>
    <w:p w14:paraId="17E8D278" w14:textId="77777777" w:rsidR="005E438E" w:rsidRPr="005E438E" w:rsidRDefault="005E438E" w:rsidP="005E438E">
      <w:pPr>
        <w:keepNext/>
        <w:rPr>
          <w:rFonts w:ascii="David" w:hAnsi="David"/>
          <w:color w:val="000000"/>
          <w:sz w:val="22"/>
          <w:szCs w:val="22"/>
          <w:rtl/>
        </w:rPr>
      </w:pPr>
      <w:r w:rsidRPr="005E438E">
        <w:rPr>
          <w:rFonts w:ascii="David" w:hAnsi="David"/>
          <w:color w:val="000000"/>
          <w:sz w:val="22"/>
          <w:szCs w:val="22"/>
          <w:rtl/>
        </w:rPr>
        <w:t>יוסף אלרון 54678313</w:t>
      </w:r>
    </w:p>
    <w:p w14:paraId="59DF141E" w14:textId="77777777" w:rsidR="005E438E" w:rsidRDefault="005E438E" w:rsidP="005E438E">
      <w:r w:rsidRPr="005E438E">
        <w:rPr>
          <w:color w:val="000000"/>
          <w:rtl/>
        </w:rPr>
        <w:t>נוסח מסמך זה כפוף לשינויי ניסוח ועריכה</w:t>
      </w:r>
    </w:p>
    <w:p w14:paraId="5E13AA86" w14:textId="77777777" w:rsidR="005E438E" w:rsidRDefault="005E438E" w:rsidP="005E438E">
      <w:pPr>
        <w:rPr>
          <w:rtl/>
        </w:rPr>
      </w:pPr>
    </w:p>
    <w:p w14:paraId="3381B88A" w14:textId="77777777" w:rsidR="005E438E" w:rsidRDefault="005E438E" w:rsidP="005E438E">
      <w:pPr>
        <w:jc w:val="center"/>
        <w:rPr>
          <w:color w:val="0000FF"/>
          <w:u w:val="single"/>
        </w:rPr>
      </w:pPr>
      <w:r w:rsidRPr="00965807">
        <w:rPr>
          <w:color w:val="000000"/>
          <w:rtl/>
        </w:rPr>
        <w:t>בעניין עריכה ושינויים במסמכי פסיקה, חקיקה ועוד באתר נבו – הקש כאן</w:t>
      </w:r>
    </w:p>
    <w:p w14:paraId="12914227" w14:textId="77777777" w:rsidR="00912AF8" w:rsidRPr="005E438E" w:rsidRDefault="00912AF8" w:rsidP="005E438E">
      <w:pPr>
        <w:jc w:val="center"/>
        <w:rPr>
          <w:color w:val="0000FF"/>
          <w:u w:val="single"/>
        </w:rPr>
      </w:pPr>
    </w:p>
    <w:sectPr w:rsidR="00912AF8" w:rsidRPr="005E438E" w:rsidSect="005E438E">
      <w:headerReference w:type="even" r:id="rId33"/>
      <w:headerReference w:type="default" r:id="rId34"/>
      <w:footerReference w:type="even" r:id="rId35"/>
      <w:footerReference w:type="default" r:id="rId36"/>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81CD9F6" w14:textId="77777777" w:rsidR="00144E5D" w:rsidRPr="00655212" w:rsidRDefault="00144E5D">
      <w:pPr>
        <w:rPr>
          <w:rFonts w:cs="Arial"/>
          <w:szCs w:val="20"/>
        </w:rPr>
      </w:pPr>
      <w:r>
        <w:separator/>
      </w:r>
    </w:p>
  </w:endnote>
  <w:endnote w:type="continuationSeparator" w:id="0">
    <w:p w14:paraId="6BE244B0" w14:textId="77777777" w:rsidR="00144E5D" w:rsidRPr="00655212" w:rsidRDefault="00144E5D">
      <w:pPr>
        <w:rPr>
          <w:rFonts w:cs="Arial"/>
          <w:szCs w:val="20"/>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iriam">
    <w:panose1 w:val="020B0502050101010101"/>
    <w:charset w:val="00"/>
    <w:family w:val="swiss"/>
    <w:pitch w:val="variable"/>
    <w:sig w:usb0="00000803" w:usb1="00000000" w:usb2="00000000" w:usb3="00000000" w:csb0="00000021" w:csb1="00000000"/>
  </w:font>
  <w:font w:name="?">
    <w:altName w:val="Times New Roman"/>
    <w:panose1 w:val="00000000000000000000"/>
    <w:charset w:val="00"/>
    <w:family w:val="roman"/>
    <w:notTrueType/>
    <w:pitch w:val="default"/>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0C8272" w14:textId="77777777" w:rsidR="006C74F4" w:rsidRDefault="006C74F4" w:rsidP="005E438E">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2DF53997" w14:textId="77777777" w:rsidR="006C74F4" w:rsidRPr="005E438E" w:rsidRDefault="006C74F4" w:rsidP="005E438E">
    <w:pPr>
      <w:pStyle w:val="a4"/>
      <w:pBdr>
        <w:top w:val="single" w:sz="4" w:space="1" w:color="auto"/>
        <w:between w:val="single" w:sz="4" w:space="0" w:color="auto"/>
      </w:pBdr>
      <w:spacing w:after="60"/>
      <w:jc w:val="center"/>
      <w:rPr>
        <w:rFonts w:ascii="FrankRuehl" w:hAnsi="FrankRuehl" w:cs="FrankRuehl"/>
        <w:color w:val="000000"/>
      </w:rPr>
    </w:pPr>
    <w:r w:rsidRPr="005E438E">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3C1A12" w14:textId="77777777" w:rsidR="006C74F4" w:rsidRDefault="006C74F4" w:rsidP="005E438E">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FA694A">
      <w:rPr>
        <w:rFonts w:ascii="FrankRuehl" w:hAnsi="FrankRuehl" w:cs="FrankRuehl"/>
        <w:noProof/>
        <w:rtl/>
      </w:rPr>
      <w:t>1</w:t>
    </w:r>
    <w:r>
      <w:rPr>
        <w:rFonts w:ascii="FrankRuehl" w:hAnsi="FrankRuehl" w:cs="FrankRuehl"/>
        <w:rtl/>
      </w:rPr>
      <w:fldChar w:fldCharType="end"/>
    </w:r>
  </w:p>
  <w:p w14:paraId="1FC11E13" w14:textId="77777777" w:rsidR="006C74F4" w:rsidRPr="005E438E" w:rsidRDefault="006C74F4" w:rsidP="005E438E">
    <w:pPr>
      <w:pStyle w:val="a4"/>
      <w:pBdr>
        <w:top w:val="single" w:sz="4" w:space="1" w:color="auto"/>
        <w:between w:val="single" w:sz="4" w:space="0" w:color="auto"/>
      </w:pBdr>
      <w:spacing w:after="60"/>
      <w:jc w:val="center"/>
      <w:rPr>
        <w:rFonts w:ascii="FrankRuehl" w:hAnsi="FrankRuehl" w:cs="FrankRuehl"/>
        <w:color w:val="000000"/>
      </w:rPr>
    </w:pPr>
    <w:r w:rsidRPr="005E438E">
      <w:rPr>
        <w:rFonts w:ascii="FrankRuehl" w:hAnsi="FrankRuehl" w:cs="FrankRuehl"/>
        <w:color w:val="000000"/>
      </w:rPr>
      <w:pict w14:anchorId="64B9814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4221BE5" w14:textId="77777777" w:rsidR="00144E5D" w:rsidRPr="00655212" w:rsidRDefault="00144E5D">
      <w:pPr>
        <w:rPr>
          <w:rFonts w:cs="Arial"/>
          <w:szCs w:val="20"/>
        </w:rPr>
      </w:pPr>
      <w:r>
        <w:separator/>
      </w:r>
    </w:p>
  </w:footnote>
  <w:footnote w:type="continuationSeparator" w:id="0">
    <w:p w14:paraId="4C32031F" w14:textId="77777777" w:rsidR="00144E5D" w:rsidRPr="00655212" w:rsidRDefault="00144E5D">
      <w:pPr>
        <w:rPr>
          <w:rFonts w:cs="Arial"/>
          <w:szCs w:val="20"/>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C6E581" w14:textId="77777777" w:rsidR="006C74F4" w:rsidRPr="005E438E" w:rsidRDefault="006C74F4" w:rsidP="005E438E">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תפח (חי') 14480-04-12</w:t>
    </w:r>
    <w:r>
      <w:rPr>
        <w:rFonts w:ascii="David" w:hAnsi="David"/>
        <w:color w:val="000000"/>
        <w:sz w:val="22"/>
        <w:szCs w:val="22"/>
        <w:rtl/>
      </w:rPr>
      <w:tab/>
      <w:t xml:space="preserve"> מדינת ישראל נ' אמיר בדראן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B6C748" w14:textId="77777777" w:rsidR="006C74F4" w:rsidRPr="005E438E" w:rsidRDefault="006C74F4" w:rsidP="005E438E">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תפח (חי') 14480-04-12</w:t>
    </w:r>
    <w:r>
      <w:rPr>
        <w:rFonts w:ascii="David" w:hAnsi="David"/>
        <w:color w:val="000000"/>
        <w:sz w:val="22"/>
        <w:szCs w:val="22"/>
        <w:rtl/>
      </w:rPr>
      <w:tab/>
      <w:t xml:space="preserve"> מדינת ישראל נ' אמיר בדראן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BF07969"/>
    <w:multiLevelType w:val="hybridMultilevel"/>
    <w:tmpl w:val="4A6EEDE2"/>
    <w:lvl w:ilvl="0" w:tplc="04E2B3C6">
      <w:start w:val="1"/>
      <w:numFmt w:val="hebrew1"/>
      <w:lvlText w:val="%1."/>
      <w:lvlJc w:val="left"/>
      <w:pPr>
        <w:tabs>
          <w:tab w:val="num" w:pos="720"/>
        </w:tabs>
        <w:ind w:left="720" w:hanging="360"/>
      </w:pPr>
      <w:rPr>
        <w:rFonts w:cs="Times New Roman" w:hint="default"/>
        <w:szCs w:val="24"/>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 w15:restartNumberingAfterBreak="0">
    <w:nsid w:val="62727DF0"/>
    <w:multiLevelType w:val="hybridMultilevel"/>
    <w:tmpl w:val="FA3EA20A"/>
    <w:lvl w:ilvl="0" w:tplc="54DE28D6">
      <w:start w:val="1"/>
      <w:numFmt w:val="hebrew1"/>
      <w:lvlText w:val="%1."/>
      <w:lvlJc w:val="left"/>
      <w:pPr>
        <w:tabs>
          <w:tab w:val="num" w:pos="720"/>
        </w:tabs>
        <w:ind w:left="720" w:hanging="360"/>
      </w:pPr>
      <w:rPr>
        <w:rFonts w:cs="Times New Roman" w:hint="default"/>
        <w:szCs w:val="24"/>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num w:numId="1" w16cid:durableId="1341733792">
    <w:abstractNumId w:val="1"/>
  </w:num>
  <w:num w:numId="2" w16cid:durableId="8534227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912AF8"/>
    <w:rsid w:val="00113BD5"/>
    <w:rsid w:val="00144E5D"/>
    <w:rsid w:val="0032514D"/>
    <w:rsid w:val="00405788"/>
    <w:rsid w:val="005E438E"/>
    <w:rsid w:val="006C74F4"/>
    <w:rsid w:val="006D638B"/>
    <w:rsid w:val="008B79F7"/>
    <w:rsid w:val="008D41E3"/>
    <w:rsid w:val="008F5421"/>
    <w:rsid w:val="00912AF8"/>
    <w:rsid w:val="00965807"/>
    <w:rsid w:val="00985428"/>
    <w:rsid w:val="00A57D69"/>
    <w:rsid w:val="00C03FA1"/>
    <w:rsid w:val="00C54EE5"/>
    <w:rsid w:val="00FA694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25BD3E3B"/>
  <w15:chartTrackingRefBased/>
  <w15:docId w15:val="{AEFA9F65-7D8D-4A51-9A6D-F4C51B5C09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912AF8"/>
    <w:pPr>
      <w:bidi/>
    </w:pPr>
    <w:rPr>
      <w:rFonts w:cs="David"/>
      <w:sz w:val="24"/>
      <w:szCs w:val="24"/>
    </w:rPr>
  </w:style>
  <w:style w:type="paragraph" w:styleId="3">
    <w:name w:val="heading 3"/>
    <w:basedOn w:val="a"/>
    <w:next w:val="a"/>
    <w:link w:val="30"/>
    <w:qFormat/>
    <w:rsid w:val="00912AF8"/>
    <w:pPr>
      <w:keepNext/>
      <w:spacing w:line="360" w:lineRule="auto"/>
      <w:jc w:val="both"/>
      <w:outlineLvl w:val="2"/>
    </w:pPr>
    <w:rPr>
      <w:b/>
      <w:bCs/>
      <w:noProof/>
      <w:sz w:val="20"/>
      <w:lang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rsid w:val="00912AF8"/>
    <w:pPr>
      <w:tabs>
        <w:tab w:val="center" w:pos="4153"/>
        <w:tab w:val="right" w:pos="8306"/>
      </w:tabs>
    </w:pPr>
  </w:style>
  <w:style w:type="paragraph" w:styleId="a4">
    <w:name w:val="footer"/>
    <w:basedOn w:val="a"/>
    <w:rsid w:val="00912AF8"/>
    <w:pPr>
      <w:tabs>
        <w:tab w:val="center" w:pos="4153"/>
        <w:tab w:val="right" w:pos="8306"/>
      </w:tabs>
    </w:pPr>
  </w:style>
  <w:style w:type="character" w:styleId="a5">
    <w:name w:val="page number"/>
    <w:basedOn w:val="a0"/>
    <w:rsid w:val="00912AF8"/>
  </w:style>
  <w:style w:type="paragraph" w:customStyle="1" w:styleId="Quote">
    <w:name w:val="Quote"/>
    <w:basedOn w:val="a"/>
    <w:link w:val="QuoteChar"/>
    <w:qFormat/>
    <w:rsid w:val="00912AF8"/>
    <w:pPr>
      <w:overflowPunct w:val="0"/>
      <w:autoSpaceDE w:val="0"/>
      <w:autoSpaceDN w:val="0"/>
      <w:adjustRightInd w:val="0"/>
      <w:spacing w:after="220" w:line="270" w:lineRule="exact"/>
      <w:ind w:left="454" w:right="454"/>
      <w:jc w:val="both"/>
      <w:textAlignment w:val="baseline"/>
    </w:pPr>
    <w:rPr>
      <w:rFonts w:cs="FrankRuehl"/>
      <w:sz w:val="20"/>
      <w:lang w:eastAsia="he-IL"/>
    </w:rPr>
  </w:style>
  <w:style w:type="character" w:customStyle="1" w:styleId="QuoteChar">
    <w:name w:val="Quote Char"/>
    <w:link w:val="Quote"/>
    <w:rsid w:val="00912AF8"/>
    <w:rPr>
      <w:rFonts w:cs="FrankRuehl"/>
      <w:szCs w:val="24"/>
      <w:lang w:val="en-US" w:eastAsia="he-IL" w:bidi="he-IL"/>
    </w:rPr>
  </w:style>
  <w:style w:type="character" w:customStyle="1" w:styleId="30">
    <w:name w:val="כותרת 3 תו"/>
    <w:link w:val="3"/>
    <w:rsid w:val="00912AF8"/>
    <w:rPr>
      <w:rFonts w:cs="David"/>
      <w:b/>
      <w:bCs/>
      <w:noProof/>
      <w:szCs w:val="24"/>
      <w:lang w:val="en-US" w:eastAsia="he-IL" w:bidi="he-IL"/>
    </w:rPr>
  </w:style>
  <w:style w:type="character" w:styleId="Hyperlink">
    <w:name w:val="Hyperlink"/>
    <w:rsid w:val="005E438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499.a.1" TargetMode="External"/><Relationship Id="rId18" Type="http://schemas.openxmlformats.org/officeDocument/2006/relationships/hyperlink" Target="http://www.nevo.co.il/law/70301/29" TargetMode="External"/><Relationship Id="rId26" Type="http://schemas.openxmlformats.org/officeDocument/2006/relationships/hyperlink" Target="http://www.nevo.co.il/law/70301/29" TargetMode="External"/><Relationship Id="rId21" Type="http://schemas.openxmlformats.org/officeDocument/2006/relationships/hyperlink" Target="http://www.nevo.co.il/law/70301/29" TargetMode="External"/><Relationship Id="rId34" Type="http://schemas.openxmlformats.org/officeDocument/2006/relationships/header" Target="header2.xml"/><Relationship Id="rId7" Type="http://schemas.openxmlformats.org/officeDocument/2006/relationships/hyperlink" Target="http://www.nevo.co.il/law/70301" TargetMode="External"/><Relationship Id="rId12" Type="http://schemas.openxmlformats.org/officeDocument/2006/relationships/hyperlink" Target="http://www.nevo.co.il/law/70301/298" TargetMode="External"/><Relationship Id="rId17" Type="http://schemas.openxmlformats.org/officeDocument/2006/relationships/hyperlink" Target="http://www.nevo.co.il/law/70301/499.a.1" TargetMode="External"/><Relationship Id="rId25" Type="http://schemas.openxmlformats.org/officeDocument/2006/relationships/hyperlink" Target="http://www.nevo.co.il/law/70301/499.a.1" TargetMode="External"/><Relationship Id="rId33" Type="http://schemas.openxmlformats.org/officeDocument/2006/relationships/header" Target="header1.xm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www.nevo.co.il/law/70301" TargetMode="External"/><Relationship Id="rId20" Type="http://schemas.openxmlformats.org/officeDocument/2006/relationships/hyperlink" Target="http://www.nevo.co.il/law/70301/144.b" TargetMode="External"/><Relationship Id="rId29" Type="http://schemas.openxmlformats.org/officeDocument/2006/relationships/hyperlink" Target="http://www.nevo.co.il/law/70301/29"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144.b" TargetMode="External"/><Relationship Id="rId24" Type="http://schemas.openxmlformats.org/officeDocument/2006/relationships/hyperlink" Target="http://www.nevo.co.il/law/70301/31" TargetMode="External"/><Relationship Id="rId32" Type="http://schemas.openxmlformats.org/officeDocument/2006/relationships/hyperlink" Target="http://www.nevo.co.il/case/5891863" TargetMode="External"/><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www.nevo.co.il/law/70301/29" TargetMode="External"/><Relationship Id="rId23" Type="http://schemas.openxmlformats.org/officeDocument/2006/relationships/hyperlink" Target="http://www.nevo.co.il/law/70301/298" TargetMode="External"/><Relationship Id="rId28" Type="http://schemas.openxmlformats.org/officeDocument/2006/relationships/hyperlink" Target="http://www.nevo.co.il/law/70301/144.b" TargetMode="External"/><Relationship Id="rId36" Type="http://schemas.openxmlformats.org/officeDocument/2006/relationships/footer" Target="footer2.xml"/><Relationship Id="rId10" Type="http://schemas.openxmlformats.org/officeDocument/2006/relationships/hyperlink" Target="http://www.nevo.co.il/law/70301/144.a" TargetMode="External"/><Relationship Id="rId19" Type="http://schemas.openxmlformats.org/officeDocument/2006/relationships/hyperlink" Target="http://www.nevo.co.il/law/70301/144.a" TargetMode="External"/><Relationship Id="rId31" Type="http://schemas.openxmlformats.org/officeDocument/2006/relationships/hyperlink" Target="http://www.nevo.co.il/case/161892" TargetMode="External"/><Relationship Id="rId4" Type="http://schemas.openxmlformats.org/officeDocument/2006/relationships/webSettings" Target="webSettings.xml"/><Relationship Id="rId9" Type="http://schemas.openxmlformats.org/officeDocument/2006/relationships/hyperlink" Target="http://www.nevo.co.il/law/70301/31" TargetMode="External"/><Relationship Id="rId14" Type="http://schemas.openxmlformats.org/officeDocument/2006/relationships/hyperlink" Target="http://www.nevo.co.il/law/70301/298" TargetMode="External"/><Relationship Id="rId22" Type="http://schemas.openxmlformats.org/officeDocument/2006/relationships/hyperlink" Target="http://www.nevo.co.il/law/70301/144.a" TargetMode="External"/><Relationship Id="rId27" Type="http://schemas.openxmlformats.org/officeDocument/2006/relationships/hyperlink" Target="http://www.nevo.co.il/law/70301/144.a" TargetMode="External"/><Relationship Id="rId30" Type="http://schemas.openxmlformats.org/officeDocument/2006/relationships/hyperlink" Target="http://www.nevo.co.il/law/70301/144.a" TargetMode="External"/><Relationship Id="rId35" Type="http://schemas.openxmlformats.org/officeDocument/2006/relationships/footer" Target="footer1.xml"/><Relationship Id="rId8" Type="http://schemas.openxmlformats.org/officeDocument/2006/relationships/hyperlink" Target="http://www.nevo.co.il/law/70301/29" TargetMode="External"/><Relationship Id="rId3" Type="http://schemas.openxmlformats.org/officeDocument/2006/relationships/settings" Target="setting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2066</Words>
  <Characters>10333</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12375</CharactersWithSpaces>
  <SharedDoc>false</SharedDoc>
  <HLinks>
    <vt:vector size="156" baseType="variant">
      <vt:variant>
        <vt:i4>3604603</vt:i4>
      </vt:variant>
      <vt:variant>
        <vt:i4>75</vt:i4>
      </vt:variant>
      <vt:variant>
        <vt:i4>0</vt:i4>
      </vt:variant>
      <vt:variant>
        <vt:i4>5</vt:i4>
      </vt:variant>
      <vt:variant>
        <vt:lpwstr>http://www.nevo.co.il/case/5891863</vt:lpwstr>
      </vt:variant>
      <vt:variant>
        <vt:lpwstr/>
      </vt:variant>
      <vt:variant>
        <vt:i4>589898</vt:i4>
      </vt:variant>
      <vt:variant>
        <vt:i4>72</vt:i4>
      </vt:variant>
      <vt:variant>
        <vt:i4>0</vt:i4>
      </vt:variant>
      <vt:variant>
        <vt:i4>5</vt:i4>
      </vt:variant>
      <vt:variant>
        <vt:lpwstr>http://www.nevo.co.il/case/161892</vt:lpwstr>
      </vt:variant>
      <vt:variant>
        <vt:lpwstr/>
      </vt:variant>
      <vt:variant>
        <vt:i4>5177424</vt:i4>
      </vt:variant>
      <vt:variant>
        <vt:i4>69</vt:i4>
      </vt:variant>
      <vt:variant>
        <vt:i4>0</vt:i4>
      </vt:variant>
      <vt:variant>
        <vt:i4>5</vt:i4>
      </vt:variant>
      <vt:variant>
        <vt:lpwstr>http://www.nevo.co.il/law/70301/144.a</vt:lpwstr>
      </vt:variant>
      <vt:variant>
        <vt:lpwstr/>
      </vt:variant>
      <vt:variant>
        <vt:i4>7077991</vt:i4>
      </vt:variant>
      <vt:variant>
        <vt:i4>66</vt:i4>
      </vt:variant>
      <vt:variant>
        <vt:i4>0</vt:i4>
      </vt:variant>
      <vt:variant>
        <vt:i4>5</vt:i4>
      </vt:variant>
      <vt:variant>
        <vt:lpwstr>http://www.nevo.co.il/law/70301/29</vt:lpwstr>
      </vt:variant>
      <vt:variant>
        <vt:lpwstr/>
      </vt:variant>
      <vt:variant>
        <vt:i4>5177424</vt:i4>
      </vt:variant>
      <vt:variant>
        <vt:i4>63</vt:i4>
      </vt:variant>
      <vt:variant>
        <vt:i4>0</vt:i4>
      </vt:variant>
      <vt:variant>
        <vt:i4>5</vt:i4>
      </vt:variant>
      <vt:variant>
        <vt:lpwstr>http://www.nevo.co.il/law/70301/144.b</vt:lpwstr>
      </vt:variant>
      <vt:variant>
        <vt:lpwstr/>
      </vt:variant>
      <vt:variant>
        <vt:i4>5177424</vt:i4>
      </vt:variant>
      <vt:variant>
        <vt:i4>60</vt:i4>
      </vt:variant>
      <vt:variant>
        <vt:i4>0</vt:i4>
      </vt:variant>
      <vt:variant>
        <vt:i4>5</vt:i4>
      </vt:variant>
      <vt:variant>
        <vt:lpwstr>http://www.nevo.co.il/law/70301/144.a</vt:lpwstr>
      </vt:variant>
      <vt:variant>
        <vt:lpwstr/>
      </vt:variant>
      <vt:variant>
        <vt:i4>7077991</vt:i4>
      </vt:variant>
      <vt:variant>
        <vt:i4>57</vt:i4>
      </vt:variant>
      <vt:variant>
        <vt:i4>0</vt:i4>
      </vt:variant>
      <vt:variant>
        <vt:i4>5</vt:i4>
      </vt:variant>
      <vt:variant>
        <vt:lpwstr>http://www.nevo.co.il/law/70301/29</vt:lpwstr>
      </vt:variant>
      <vt:variant>
        <vt:lpwstr/>
      </vt:variant>
      <vt:variant>
        <vt:i4>7077945</vt:i4>
      </vt:variant>
      <vt:variant>
        <vt:i4>54</vt:i4>
      </vt:variant>
      <vt:variant>
        <vt:i4>0</vt:i4>
      </vt:variant>
      <vt:variant>
        <vt:i4>5</vt:i4>
      </vt:variant>
      <vt:variant>
        <vt:lpwstr>http://www.nevo.co.il/law/70301/499.a.1</vt:lpwstr>
      </vt:variant>
      <vt:variant>
        <vt:lpwstr/>
      </vt:variant>
      <vt:variant>
        <vt:i4>6553702</vt:i4>
      </vt:variant>
      <vt:variant>
        <vt:i4>51</vt:i4>
      </vt:variant>
      <vt:variant>
        <vt:i4>0</vt:i4>
      </vt:variant>
      <vt:variant>
        <vt:i4>5</vt:i4>
      </vt:variant>
      <vt:variant>
        <vt:lpwstr>http://www.nevo.co.il/law/70301/31</vt:lpwstr>
      </vt:variant>
      <vt:variant>
        <vt:lpwstr/>
      </vt:variant>
      <vt:variant>
        <vt:i4>7077991</vt:i4>
      </vt:variant>
      <vt:variant>
        <vt:i4>48</vt:i4>
      </vt:variant>
      <vt:variant>
        <vt:i4>0</vt:i4>
      </vt:variant>
      <vt:variant>
        <vt:i4>5</vt:i4>
      </vt:variant>
      <vt:variant>
        <vt:lpwstr>http://www.nevo.co.il/law/70301/298</vt:lpwstr>
      </vt:variant>
      <vt:variant>
        <vt:lpwstr/>
      </vt:variant>
      <vt:variant>
        <vt:i4>5177424</vt:i4>
      </vt:variant>
      <vt:variant>
        <vt:i4>45</vt:i4>
      </vt:variant>
      <vt:variant>
        <vt:i4>0</vt:i4>
      </vt:variant>
      <vt:variant>
        <vt:i4>5</vt:i4>
      </vt:variant>
      <vt:variant>
        <vt:lpwstr>http://www.nevo.co.il/law/70301/144.a</vt:lpwstr>
      </vt:variant>
      <vt:variant>
        <vt:lpwstr/>
      </vt:variant>
      <vt:variant>
        <vt:i4>7077991</vt:i4>
      </vt:variant>
      <vt:variant>
        <vt:i4>42</vt:i4>
      </vt:variant>
      <vt:variant>
        <vt:i4>0</vt:i4>
      </vt:variant>
      <vt:variant>
        <vt:i4>5</vt:i4>
      </vt:variant>
      <vt:variant>
        <vt:lpwstr>http://www.nevo.co.il/law/70301/29</vt:lpwstr>
      </vt:variant>
      <vt:variant>
        <vt:lpwstr/>
      </vt:variant>
      <vt:variant>
        <vt:i4>5177424</vt:i4>
      </vt:variant>
      <vt:variant>
        <vt:i4>39</vt:i4>
      </vt:variant>
      <vt:variant>
        <vt:i4>0</vt:i4>
      </vt:variant>
      <vt:variant>
        <vt:i4>5</vt:i4>
      </vt:variant>
      <vt:variant>
        <vt:lpwstr>http://www.nevo.co.il/law/70301/144.b</vt:lpwstr>
      </vt:variant>
      <vt:variant>
        <vt:lpwstr/>
      </vt:variant>
      <vt:variant>
        <vt:i4>5177424</vt:i4>
      </vt:variant>
      <vt:variant>
        <vt:i4>36</vt:i4>
      </vt:variant>
      <vt:variant>
        <vt:i4>0</vt:i4>
      </vt:variant>
      <vt:variant>
        <vt:i4>5</vt:i4>
      </vt:variant>
      <vt:variant>
        <vt:lpwstr>http://www.nevo.co.il/law/70301/144.a</vt:lpwstr>
      </vt:variant>
      <vt:variant>
        <vt:lpwstr/>
      </vt:variant>
      <vt:variant>
        <vt:i4>7077991</vt:i4>
      </vt:variant>
      <vt:variant>
        <vt:i4>33</vt:i4>
      </vt:variant>
      <vt:variant>
        <vt:i4>0</vt:i4>
      </vt:variant>
      <vt:variant>
        <vt:i4>5</vt:i4>
      </vt:variant>
      <vt:variant>
        <vt:lpwstr>http://www.nevo.co.il/law/70301/29</vt:lpwstr>
      </vt:variant>
      <vt:variant>
        <vt:lpwstr/>
      </vt:variant>
      <vt:variant>
        <vt:i4>7077945</vt:i4>
      </vt:variant>
      <vt:variant>
        <vt:i4>30</vt:i4>
      </vt:variant>
      <vt:variant>
        <vt:i4>0</vt:i4>
      </vt:variant>
      <vt:variant>
        <vt:i4>5</vt:i4>
      </vt:variant>
      <vt:variant>
        <vt:lpwstr>http://www.nevo.co.il/law/70301/499.a.1</vt:lpwstr>
      </vt:variant>
      <vt:variant>
        <vt:lpwstr/>
      </vt:variant>
      <vt:variant>
        <vt:i4>7995492</vt:i4>
      </vt:variant>
      <vt:variant>
        <vt:i4>27</vt:i4>
      </vt:variant>
      <vt:variant>
        <vt:i4>0</vt:i4>
      </vt:variant>
      <vt:variant>
        <vt:i4>5</vt:i4>
      </vt:variant>
      <vt:variant>
        <vt:lpwstr>http://www.nevo.co.il/law/70301</vt:lpwstr>
      </vt:variant>
      <vt:variant>
        <vt:lpwstr/>
      </vt:variant>
      <vt:variant>
        <vt:i4>7077991</vt:i4>
      </vt:variant>
      <vt:variant>
        <vt:i4>24</vt:i4>
      </vt:variant>
      <vt:variant>
        <vt:i4>0</vt:i4>
      </vt:variant>
      <vt:variant>
        <vt:i4>5</vt:i4>
      </vt:variant>
      <vt:variant>
        <vt:lpwstr>http://www.nevo.co.il/law/70301/29</vt:lpwstr>
      </vt:variant>
      <vt:variant>
        <vt:lpwstr/>
      </vt:variant>
      <vt:variant>
        <vt:i4>7077991</vt:i4>
      </vt:variant>
      <vt:variant>
        <vt:i4>21</vt:i4>
      </vt:variant>
      <vt:variant>
        <vt:i4>0</vt:i4>
      </vt:variant>
      <vt:variant>
        <vt:i4>5</vt:i4>
      </vt:variant>
      <vt:variant>
        <vt:lpwstr>http://www.nevo.co.il/law/70301/298</vt:lpwstr>
      </vt:variant>
      <vt:variant>
        <vt:lpwstr/>
      </vt:variant>
      <vt:variant>
        <vt:i4>7077945</vt:i4>
      </vt:variant>
      <vt:variant>
        <vt:i4>18</vt:i4>
      </vt:variant>
      <vt:variant>
        <vt:i4>0</vt:i4>
      </vt:variant>
      <vt:variant>
        <vt:i4>5</vt:i4>
      </vt:variant>
      <vt:variant>
        <vt:lpwstr>http://www.nevo.co.il/law/70301/499.a.1</vt:lpwstr>
      </vt:variant>
      <vt:variant>
        <vt:lpwstr/>
      </vt:variant>
      <vt:variant>
        <vt:i4>7077991</vt:i4>
      </vt:variant>
      <vt:variant>
        <vt:i4>15</vt:i4>
      </vt:variant>
      <vt:variant>
        <vt:i4>0</vt:i4>
      </vt:variant>
      <vt:variant>
        <vt:i4>5</vt:i4>
      </vt:variant>
      <vt:variant>
        <vt:lpwstr>http://www.nevo.co.il/law/70301/298</vt:lpwstr>
      </vt:variant>
      <vt:variant>
        <vt:lpwstr/>
      </vt:variant>
      <vt:variant>
        <vt:i4>5177424</vt:i4>
      </vt:variant>
      <vt:variant>
        <vt:i4>12</vt:i4>
      </vt:variant>
      <vt:variant>
        <vt:i4>0</vt:i4>
      </vt:variant>
      <vt:variant>
        <vt:i4>5</vt:i4>
      </vt:variant>
      <vt:variant>
        <vt:lpwstr>http://www.nevo.co.il/law/70301/144.b</vt:lpwstr>
      </vt:variant>
      <vt:variant>
        <vt:lpwstr/>
      </vt:variant>
      <vt:variant>
        <vt:i4>5177424</vt:i4>
      </vt:variant>
      <vt:variant>
        <vt:i4>9</vt:i4>
      </vt:variant>
      <vt:variant>
        <vt:i4>0</vt:i4>
      </vt:variant>
      <vt:variant>
        <vt:i4>5</vt:i4>
      </vt:variant>
      <vt:variant>
        <vt:lpwstr>http://www.nevo.co.il/law/70301/144.a</vt:lpwstr>
      </vt:variant>
      <vt:variant>
        <vt:lpwstr/>
      </vt:variant>
      <vt:variant>
        <vt:i4>6553702</vt:i4>
      </vt:variant>
      <vt:variant>
        <vt:i4>6</vt:i4>
      </vt:variant>
      <vt:variant>
        <vt:i4>0</vt:i4>
      </vt:variant>
      <vt:variant>
        <vt:i4>5</vt:i4>
      </vt:variant>
      <vt:variant>
        <vt:lpwstr>http://www.nevo.co.il/law/70301/31</vt:lpwstr>
      </vt:variant>
      <vt:variant>
        <vt:lpwstr/>
      </vt:variant>
      <vt:variant>
        <vt:i4>7077991</vt:i4>
      </vt:variant>
      <vt:variant>
        <vt:i4>3</vt:i4>
      </vt:variant>
      <vt:variant>
        <vt:i4>0</vt:i4>
      </vt:variant>
      <vt:variant>
        <vt:i4>5</vt:i4>
      </vt:variant>
      <vt:variant>
        <vt:lpwstr>http://www.nevo.co.il/law/70301/29</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2025-04-25T10:27:00Z</dcterms:created>
  <dcterms:modified xsi:type="dcterms:W3CDTF">2025-04-25T10:27:00Z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תפח</vt:lpwstr>
  </property>
  <property fmtid="{D5CDD505-2E9C-101B-9397-08002B2CF9AE}" pid="5" name="NEWPARTA">
    <vt:lpwstr>14480</vt:lpwstr>
  </property>
  <property fmtid="{D5CDD505-2E9C-101B-9397-08002B2CF9AE}" pid="6" name="NEWPARTB">
    <vt:lpwstr>04</vt:lpwstr>
  </property>
  <property fmtid="{D5CDD505-2E9C-101B-9397-08002B2CF9AE}" pid="7" name="NEWPARTC">
    <vt:lpwstr>12</vt:lpwstr>
  </property>
  <property fmtid="{D5CDD505-2E9C-101B-9397-08002B2CF9AE}" pid="8" name="APPELLANT">
    <vt:lpwstr>מדינת ישראל</vt:lpwstr>
  </property>
  <property fmtid="{D5CDD505-2E9C-101B-9397-08002B2CF9AE}" pid="9" name="APPELLEE">
    <vt:lpwstr>אמיר בדראן ;טאהא טאהא </vt:lpwstr>
  </property>
  <property fmtid="{D5CDD505-2E9C-101B-9397-08002B2CF9AE}" pid="10" name="JUDGE">
    <vt:lpwstr>יוסף אלרון;עודד גרשון;אברהם אליקים</vt:lpwstr>
  </property>
  <property fmtid="{D5CDD505-2E9C-101B-9397-08002B2CF9AE}" pid="11" name="CITY">
    <vt:lpwstr>חי'</vt:lpwstr>
  </property>
  <property fmtid="{D5CDD505-2E9C-101B-9397-08002B2CF9AE}" pid="12" name="DATE">
    <vt:lpwstr>20131218</vt:lpwstr>
  </property>
  <property fmtid="{D5CDD505-2E9C-101B-9397-08002B2CF9AE}" pid="13" name="TYPE_N_DATE">
    <vt:lpwstr>39020131218</vt:lpwstr>
  </property>
  <property fmtid="{D5CDD505-2E9C-101B-9397-08002B2CF9AE}" pid="14" name="WORDNUMPAGES">
    <vt:lpwstr>8</vt:lpwstr>
  </property>
  <property fmtid="{D5CDD505-2E9C-101B-9397-08002B2CF9AE}" pid="15" name="TYPE_ABS_DATE">
    <vt:lpwstr>390020131218</vt:lpwstr>
  </property>
  <property fmtid="{D5CDD505-2E9C-101B-9397-08002B2CF9AE}" pid="16" name="ISABSTRACT">
    <vt:lpwstr>Y</vt:lpwstr>
  </property>
  <property fmtid="{D5CDD505-2E9C-101B-9397-08002B2CF9AE}" pid="17" name="LAWYER">
    <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161892;5891863</vt:lpwstr>
  </property>
  <property fmtid="{D5CDD505-2E9C-101B-9397-08002B2CF9AE}" pid="36" name="LAWLISTTMP1">
    <vt:lpwstr>70301/298:2;029:5;499.a.1:2;144.a:4;144.b:2;031</vt:lpwstr>
  </property>
</Properties>
</file>