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6272A" w:rsidRPr="001C600E" w14:paraId="6B513953" w14:textId="77777777">
        <w:trPr>
          <w:trHeight w:hRule="exact" w:val="418"/>
          <w:jc w:val="center"/>
        </w:trPr>
        <w:tc>
          <w:tcPr>
            <w:tcW w:w="8721" w:type="dxa"/>
            <w:gridSpan w:val="2"/>
          </w:tcPr>
          <w:p w14:paraId="4A3195EB" w14:textId="77777777" w:rsidR="0076272A" w:rsidRPr="001C600E" w:rsidRDefault="001C600E">
            <w:pPr>
              <w:pStyle w:val="a3"/>
              <w:jc w:val="center"/>
              <w:rPr>
                <w:rFonts w:ascii="Tahoma" w:hAnsi="Tahoma" w:cs="Tahoma"/>
                <w:color w:val="000080"/>
                <w:rtl/>
              </w:rPr>
            </w:pPr>
            <w:bookmarkStart w:id="0" w:name="LastJudge"/>
            <w:r w:rsidRPr="001C600E">
              <w:rPr>
                <w:rFonts w:ascii="Tahoma" w:hAnsi="Tahoma" w:cs="Tahoma"/>
                <w:b/>
                <w:bCs/>
                <w:color w:val="000080"/>
                <w:rtl/>
              </w:rPr>
              <w:t>בית המשפט המחוזי בחיפה</w:t>
            </w:r>
          </w:p>
        </w:tc>
      </w:tr>
      <w:tr w:rsidR="0076272A" w:rsidRPr="001C600E" w14:paraId="3E885CBB" w14:textId="77777777">
        <w:trPr>
          <w:trHeight w:val="337"/>
          <w:jc w:val="center"/>
        </w:trPr>
        <w:tc>
          <w:tcPr>
            <w:tcW w:w="5058" w:type="dxa"/>
          </w:tcPr>
          <w:p w14:paraId="26112701" w14:textId="77777777" w:rsidR="0076272A" w:rsidRPr="001C600E" w:rsidRDefault="001C600E">
            <w:pPr>
              <w:rPr>
                <w:rFonts w:cs="FrankRuehl"/>
                <w:sz w:val="28"/>
                <w:szCs w:val="28"/>
                <w:rtl/>
              </w:rPr>
            </w:pPr>
            <w:r w:rsidRPr="001C600E">
              <w:rPr>
                <w:rFonts w:cs="FrankRuehl"/>
                <w:sz w:val="28"/>
                <w:szCs w:val="28"/>
                <w:rtl/>
              </w:rPr>
              <w:t>ת"פ</w:t>
            </w:r>
            <w:r w:rsidRPr="001C600E">
              <w:rPr>
                <w:rFonts w:cs="FrankRuehl" w:hint="cs"/>
                <w:sz w:val="28"/>
                <w:szCs w:val="28"/>
                <w:rtl/>
              </w:rPr>
              <w:t xml:space="preserve"> </w:t>
            </w:r>
            <w:r w:rsidRPr="001C600E">
              <w:rPr>
                <w:rFonts w:cs="FrankRuehl"/>
                <w:sz w:val="28"/>
                <w:szCs w:val="28"/>
                <w:rtl/>
              </w:rPr>
              <w:t>30672-04-12</w:t>
            </w:r>
            <w:r w:rsidRPr="001C600E">
              <w:rPr>
                <w:rFonts w:cs="FrankRuehl" w:hint="cs"/>
                <w:sz w:val="28"/>
                <w:szCs w:val="28"/>
                <w:rtl/>
              </w:rPr>
              <w:t xml:space="preserve"> </w:t>
            </w:r>
            <w:r w:rsidRPr="001C600E">
              <w:rPr>
                <w:rFonts w:cs="FrankRuehl"/>
                <w:sz w:val="28"/>
                <w:szCs w:val="28"/>
                <w:rtl/>
              </w:rPr>
              <w:t>מדינת ישראל נ' חג'אב(עציר)</w:t>
            </w:r>
          </w:p>
          <w:p w14:paraId="7B1222F5" w14:textId="77777777" w:rsidR="0076272A" w:rsidRPr="001C600E" w:rsidRDefault="0076272A">
            <w:pPr>
              <w:pStyle w:val="a3"/>
              <w:rPr>
                <w:rFonts w:cs="FrankRuehl"/>
                <w:sz w:val="28"/>
                <w:szCs w:val="28"/>
                <w:rtl/>
              </w:rPr>
            </w:pPr>
          </w:p>
        </w:tc>
        <w:tc>
          <w:tcPr>
            <w:tcW w:w="3663" w:type="dxa"/>
          </w:tcPr>
          <w:p w14:paraId="01D409CB" w14:textId="77777777" w:rsidR="0076272A" w:rsidRPr="001C600E" w:rsidRDefault="0076272A">
            <w:pPr>
              <w:pStyle w:val="a3"/>
              <w:jc w:val="right"/>
              <w:rPr>
                <w:rFonts w:cs="FrankRuehl"/>
                <w:sz w:val="28"/>
                <w:szCs w:val="28"/>
                <w:rtl/>
              </w:rPr>
            </w:pPr>
          </w:p>
        </w:tc>
      </w:tr>
    </w:tbl>
    <w:p w14:paraId="105A3D51" w14:textId="77777777" w:rsidR="0076272A" w:rsidRPr="001C600E" w:rsidRDefault="001C600E">
      <w:pPr>
        <w:pStyle w:val="a3"/>
        <w:rPr>
          <w:rtl/>
        </w:rPr>
      </w:pPr>
      <w:r w:rsidRPr="001C600E">
        <w:rPr>
          <w:rFonts w:hint="cs"/>
          <w:rtl/>
        </w:rPr>
        <w:t xml:space="preserve"> </w:t>
      </w:r>
    </w:p>
    <w:p w14:paraId="70EF0C90" w14:textId="77777777" w:rsidR="0076272A" w:rsidRPr="001C600E" w:rsidRDefault="0076272A">
      <w:pPr>
        <w:rPr>
          <w:rtl/>
        </w:rPr>
      </w:pPr>
    </w:p>
    <w:tbl>
      <w:tblPr>
        <w:bidiVisual/>
        <w:tblW w:w="8802" w:type="dxa"/>
        <w:tblInd w:w="-28" w:type="dxa"/>
        <w:tblLook w:val="01E0" w:firstRow="1" w:lastRow="1" w:firstColumn="1" w:lastColumn="1" w:noHBand="0" w:noVBand="0"/>
      </w:tblPr>
      <w:tblGrid>
        <w:gridCol w:w="2880"/>
        <w:gridCol w:w="5839"/>
        <w:gridCol w:w="83"/>
      </w:tblGrid>
      <w:tr w:rsidR="0076272A" w:rsidRPr="001C600E" w14:paraId="313DEBD8" w14:textId="77777777">
        <w:trPr>
          <w:gridAfter w:val="1"/>
          <w:wAfter w:w="55" w:type="dxa"/>
        </w:trPr>
        <w:tc>
          <w:tcPr>
            <w:tcW w:w="8719" w:type="dxa"/>
            <w:gridSpan w:val="2"/>
          </w:tcPr>
          <w:p w14:paraId="1DC1DCBC" w14:textId="77777777" w:rsidR="0076272A" w:rsidRPr="001C600E" w:rsidRDefault="001C600E">
            <w:pPr>
              <w:spacing w:line="360" w:lineRule="auto"/>
              <w:jc w:val="both"/>
              <w:rPr>
                <w:rFonts w:ascii="David" w:eastAsia="David" w:hAnsi="David"/>
                <w:b/>
                <w:bCs/>
                <w:sz w:val="26"/>
                <w:szCs w:val="26"/>
              </w:rPr>
            </w:pPr>
            <w:bookmarkStart w:id="1" w:name="_GoBack"/>
            <w:bookmarkEnd w:id="1"/>
            <w:r w:rsidRPr="001C600E">
              <w:rPr>
                <w:rFonts w:hint="cs"/>
                <w:b/>
                <w:bCs/>
                <w:sz w:val="26"/>
                <w:szCs w:val="26"/>
                <w:rtl/>
              </w:rPr>
              <w:t>בפני כב' השופט אברהם אליקים</w:t>
            </w:r>
            <w:r w:rsidRPr="001C600E">
              <w:rPr>
                <w:rStyle w:val="TimesNewRomanTimesNewRoman"/>
                <w:rFonts w:hint="cs"/>
                <w:rtl/>
              </w:rPr>
              <w:t xml:space="preserve"> </w:t>
            </w:r>
          </w:p>
        </w:tc>
      </w:tr>
      <w:tr w:rsidR="0076272A" w:rsidRPr="001C600E" w14:paraId="535CFD40" w14:textId="77777777">
        <w:tc>
          <w:tcPr>
            <w:tcW w:w="2880" w:type="dxa"/>
          </w:tcPr>
          <w:p w14:paraId="2F8D8540" w14:textId="77777777" w:rsidR="0076272A" w:rsidRPr="001C600E" w:rsidRDefault="001C600E">
            <w:pPr>
              <w:ind w:left="26"/>
              <w:rPr>
                <w:rFonts w:ascii="David" w:eastAsia="David" w:hAnsi="David"/>
                <w:b/>
                <w:bCs/>
                <w:sz w:val="26"/>
                <w:szCs w:val="26"/>
              </w:rPr>
            </w:pPr>
            <w:bookmarkStart w:id="2" w:name="FirstAppellant"/>
            <w:r w:rsidRPr="001C600E">
              <w:rPr>
                <w:rFonts w:hint="cs"/>
                <w:b/>
                <w:bCs/>
                <w:sz w:val="26"/>
                <w:szCs w:val="26"/>
                <w:rtl/>
              </w:rPr>
              <w:t>המאשימה</w:t>
            </w:r>
          </w:p>
        </w:tc>
        <w:tc>
          <w:tcPr>
            <w:tcW w:w="5922" w:type="dxa"/>
            <w:gridSpan w:val="2"/>
          </w:tcPr>
          <w:p w14:paraId="633DC289" w14:textId="77777777" w:rsidR="0076272A" w:rsidRPr="001C600E" w:rsidRDefault="001C600E">
            <w:pPr>
              <w:rPr>
                <w:rFonts w:ascii="David" w:eastAsia="David" w:hAnsi="David"/>
                <w:b/>
                <w:bCs/>
                <w:sz w:val="26"/>
                <w:szCs w:val="26"/>
              </w:rPr>
            </w:pPr>
            <w:r w:rsidRPr="001C600E">
              <w:rPr>
                <w:rFonts w:hint="cs"/>
                <w:b/>
                <w:bCs/>
                <w:sz w:val="26"/>
                <w:szCs w:val="26"/>
                <w:rtl/>
              </w:rPr>
              <w:t>מדינת ישראל</w:t>
            </w:r>
          </w:p>
        </w:tc>
      </w:tr>
      <w:bookmarkEnd w:id="2"/>
      <w:tr w:rsidR="0076272A" w:rsidRPr="001C600E" w14:paraId="0D1919BD" w14:textId="77777777">
        <w:tc>
          <w:tcPr>
            <w:tcW w:w="8802" w:type="dxa"/>
            <w:gridSpan w:val="3"/>
          </w:tcPr>
          <w:p w14:paraId="316C6747" w14:textId="77777777" w:rsidR="0076272A" w:rsidRPr="001C600E" w:rsidRDefault="0076272A">
            <w:pPr>
              <w:jc w:val="both"/>
              <w:rPr>
                <w:rFonts w:ascii="Arial" w:eastAsia="David" w:hAnsi="Arial"/>
                <w:b/>
                <w:bCs/>
                <w:sz w:val="26"/>
                <w:szCs w:val="26"/>
                <w:rtl/>
              </w:rPr>
            </w:pPr>
          </w:p>
          <w:p w14:paraId="26C2DF45" w14:textId="77777777" w:rsidR="0076272A" w:rsidRPr="001C600E" w:rsidRDefault="001C600E">
            <w:pPr>
              <w:jc w:val="center"/>
              <w:rPr>
                <w:rFonts w:ascii="Arial" w:hAnsi="Arial"/>
                <w:b/>
                <w:bCs/>
                <w:sz w:val="26"/>
                <w:szCs w:val="26"/>
                <w:rtl/>
              </w:rPr>
            </w:pPr>
            <w:r w:rsidRPr="001C600E">
              <w:rPr>
                <w:rFonts w:ascii="Arial" w:hAnsi="Arial" w:hint="cs"/>
                <w:b/>
                <w:bCs/>
                <w:sz w:val="26"/>
                <w:szCs w:val="26"/>
                <w:rtl/>
              </w:rPr>
              <w:t>נגד</w:t>
            </w:r>
          </w:p>
          <w:p w14:paraId="1CFC10B1" w14:textId="77777777" w:rsidR="0076272A" w:rsidRPr="001C600E" w:rsidRDefault="0076272A">
            <w:pPr>
              <w:jc w:val="center"/>
              <w:rPr>
                <w:rFonts w:ascii="Arial" w:eastAsia="David" w:hAnsi="Arial"/>
                <w:b/>
                <w:bCs/>
                <w:sz w:val="26"/>
                <w:szCs w:val="26"/>
              </w:rPr>
            </w:pPr>
          </w:p>
        </w:tc>
      </w:tr>
      <w:tr w:rsidR="0076272A" w:rsidRPr="001C600E" w14:paraId="48D19FAD" w14:textId="77777777">
        <w:tc>
          <w:tcPr>
            <w:tcW w:w="2880" w:type="dxa"/>
          </w:tcPr>
          <w:p w14:paraId="16FD2D6C" w14:textId="77777777" w:rsidR="0076272A" w:rsidRPr="001C600E" w:rsidRDefault="001C600E">
            <w:pPr>
              <w:ind w:left="26"/>
              <w:rPr>
                <w:rFonts w:ascii="David" w:eastAsia="David" w:hAnsi="David"/>
                <w:b/>
                <w:bCs/>
                <w:sz w:val="26"/>
                <w:szCs w:val="26"/>
              </w:rPr>
            </w:pPr>
            <w:r w:rsidRPr="001C600E">
              <w:rPr>
                <w:rFonts w:hint="cs"/>
                <w:b/>
                <w:bCs/>
                <w:sz w:val="26"/>
                <w:szCs w:val="26"/>
                <w:rtl/>
              </w:rPr>
              <w:t>הנאשם</w:t>
            </w:r>
          </w:p>
        </w:tc>
        <w:tc>
          <w:tcPr>
            <w:tcW w:w="5922" w:type="dxa"/>
            <w:gridSpan w:val="2"/>
          </w:tcPr>
          <w:p w14:paraId="09C43FD6" w14:textId="77777777" w:rsidR="0076272A" w:rsidRPr="001C600E" w:rsidRDefault="001C600E">
            <w:pPr>
              <w:rPr>
                <w:rFonts w:ascii="David" w:eastAsia="David" w:hAnsi="David"/>
                <w:b/>
                <w:bCs/>
                <w:sz w:val="26"/>
                <w:szCs w:val="26"/>
              </w:rPr>
            </w:pPr>
            <w:r w:rsidRPr="001C600E">
              <w:rPr>
                <w:rFonts w:hint="cs"/>
                <w:b/>
                <w:bCs/>
                <w:sz w:val="26"/>
                <w:szCs w:val="26"/>
                <w:rtl/>
              </w:rPr>
              <w:t>מוחמד חג'אב (עציר) ת.ז. 040245680</w:t>
            </w:r>
          </w:p>
        </w:tc>
      </w:tr>
    </w:tbl>
    <w:p w14:paraId="2CE78CC3" w14:textId="77777777" w:rsidR="00AD3BDF" w:rsidRDefault="00AD3BDF">
      <w:pPr>
        <w:rPr>
          <w:rtl/>
        </w:rPr>
      </w:pPr>
      <w:bookmarkStart w:id="3" w:name="LawTable"/>
      <w:bookmarkEnd w:id="3"/>
    </w:p>
    <w:p w14:paraId="4A0FD14F" w14:textId="77777777" w:rsidR="00AD3BDF" w:rsidRPr="00AD3BDF" w:rsidRDefault="00AD3BDF" w:rsidP="00AD3BDF">
      <w:pPr>
        <w:spacing w:after="120" w:line="240" w:lineRule="exact"/>
        <w:ind w:left="283" w:hanging="283"/>
        <w:jc w:val="both"/>
        <w:rPr>
          <w:rFonts w:ascii="FrankRuehl" w:hAnsi="FrankRuehl" w:cs="FrankRuehl"/>
          <w:rtl/>
        </w:rPr>
      </w:pPr>
    </w:p>
    <w:p w14:paraId="5BDD8D94" w14:textId="77777777" w:rsidR="00AD3BDF" w:rsidRPr="00AD3BDF" w:rsidRDefault="00AD3BDF" w:rsidP="00AD3BDF">
      <w:pPr>
        <w:spacing w:after="120" w:line="240" w:lineRule="exact"/>
        <w:ind w:left="283" w:hanging="283"/>
        <w:jc w:val="both"/>
        <w:rPr>
          <w:rFonts w:ascii="FrankRuehl" w:hAnsi="FrankRuehl" w:cs="FrankRuehl"/>
          <w:rtl/>
        </w:rPr>
      </w:pPr>
      <w:r w:rsidRPr="00AD3BDF">
        <w:rPr>
          <w:rFonts w:ascii="FrankRuehl" w:hAnsi="FrankRuehl" w:cs="FrankRuehl"/>
          <w:rtl/>
        </w:rPr>
        <w:t xml:space="preserve">חקיקה שאוזכרה: </w:t>
      </w:r>
    </w:p>
    <w:p w14:paraId="5D8D4459" w14:textId="77777777" w:rsidR="00AD3BDF" w:rsidRPr="00AD3BDF" w:rsidRDefault="00AD3BDF" w:rsidP="00AD3BDF">
      <w:pPr>
        <w:spacing w:after="120" w:line="240" w:lineRule="exact"/>
        <w:ind w:left="283" w:hanging="283"/>
        <w:jc w:val="both"/>
        <w:rPr>
          <w:rFonts w:ascii="FrankRuehl" w:hAnsi="FrankRuehl" w:cs="FrankRuehl"/>
          <w:rtl/>
        </w:rPr>
      </w:pPr>
      <w:hyperlink r:id="rId7" w:history="1">
        <w:r w:rsidRPr="00AD3BDF">
          <w:rPr>
            <w:rFonts w:ascii="FrankRuehl" w:hAnsi="FrankRuehl" w:cs="FrankRuehl"/>
            <w:color w:val="0000FF"/>
            <w:u w:val="single"/>
            <w:rtl/>
          </w:rPr>
          <w:t>פקודת הסמים המסוכנים [נוסח חדש], תשל"ג-1973</w:t>
        </w:r>
      </w:hyperlink>
      <w:r w:rsidRPr="00AD3BDF">
        <w:rPr>
          <w:rFonts w:ascii="FrankRuehl" w:hAnsi="FrankRuehl" w:cs="FrankRuehl"/>
          <w:rtl/>
        </w:rPr>
        <w:t xml:space="preserve">: סע'  </w:t>
      </w:r>
      <w:hyperlink r:id="rId8" w:history="1">
        <w:r w:rsidRPr="00AD3BDF">
          <w:rPr>
            <w:rFonts w:ascii="FrankRuehl" w:hAnsi="FrankRuehl" w:cs="FrankRuehl"/>
            <w:color w:val="0000FF"/>
            <w:u w:val="single"/>
            <w:rtl/>
          </w:rPr>
          <w:t>13</w:t>
        </w:r>
      </w:hyperlink>
      <w:r w:rsidRPr="00AD3BDF">
        <w:rPr>
          <w:rFonts w:ascii="FrankRuehl" w:hAnsi="FrankRuehl" w:cs="FrankRuehl"/>
          <w:rtl/>
        </w:rPr>
        <w:t xml:space="preserve">, </w:t>
      </w:r>
      <w:hyperlink r:id="rId9" w:history="1">
        <w:r w:rsidRPr="00AD3BDF">
          <w:rPr>
            <w:rFonts w:ascii="FrankRuehl" w:hAnsi="FrankRuehl" w:cs="FrankRuehl"/>
            <w:color w:val="0000FF"/>
            <w:u w:val="single"/>
            <w:rtl/>
          </w:rPr>
          <w:t>19א</w:t>
        </w:r>
      </w:hyperlink>
      <w:r w:rsidRPr="00AD3BDF">
        <w:rPr>
          <w:rFonts w:ascii="FrankRuehl" w:hAnsi="FrankRuehl" w:cs="FrankRuehl"/>
          <w:rtl/>
        </w:rPr>
        <w:t xml:space="preserve">, </w:t>
      </w:r>
      <w:hyperlink r:id="rId10" w:history="1">
        <w:r w:rsidRPr="00AD3BDF">
          <w:rPr>
            <w:rFonts w:ascii="FrankRuehl" w:hAnsi="FrankRuehl" w:cs="FrankRuehl"/>
            <w:color w:val="0000FF"/>
            <w:u w:val="single"/>
            <w:rtl/>
          </w:rPr>
          <w:t>37א</w:t>
        </w:r>
      </w:hyperlink>
    </w:p>
    <w:p w14:paraId="0F840584" w14:textId="77777777" w:rsidR="00AD3BDF" w:rsidRPr="00AD3BDF" w:rsidRDefault="00AD3BDF" w:rsidP="00AD3BDF">
      <w:pPr>
        <w:spacing w:after="120" w:line="240" w:lineRule="exact"/>
        <w:ind w:left="283" w:hanging="283"/>
        <w:jc w:val="both"/>
        <w:rPr>
          <w:rFonts w:ascii="FrankRuehl" w:hAnsi="FrankRuehl" w:cs="FrankRuehl"/>
          <w:rtl/>
        </w:rPr>
      </w:pPr>
      <w:hyperlink r:id="rId11" w:history="1">
        <w:r w:rsidRPr="00AD3BDF">
          <w:rPr>
            <w:rFonts w:ascii="FrankRuehl" w:hAnsi="FrankRuehl" w:cs="FrankRuehl"/>
            <w:color w:val="0000FF"/>
            <w:u w:val="single"/>
            <w:rtl/>
          </w:rPr>
          <w:t>חוק העונשין, תשל"ז-1977</w:t>
        </w:r>
      </w:hyperlink>
      <w:r w:rsidRPr="00AD3BDF">
        <w:rPr>
          <w:rFonts w:ascii="FrankRuehl" w:hAnsi="FrankRuehl" w:cs="FrankRuehl"/>
          <w:rtl/>
        </w:rPr>
        <w:t xml:space="preserve">: סע'  </w:t>
      </w:r>
      <w:hyperlink r:id="rId12" w:history="1">
        <w:r w:rsidRPr="00AD3BDF">
          <w:rPr>
            <w:rFonts w:ascii="FrankRuehl" w:hAnsi="FrankRuehl" w:cs="FrankRuehl"/>
            <w:color w:val="0000FF"/>
            <w:u w:val="single"/>
            <w:rtl/>
          </w:rPr>
          <w:t>25</w:t>
        </w:r>
      </w:hyperlink>
      <w:r w:rsidRPr="00AD3BDF">
        <w:rPr>
          <w:rFonts w:ascii="FrankRuehl" w:hAnsi="FrankRuehl" w:cs="FrankRuehl"/>
          <w:rtl/>
        </w:rPr>
        <w:t xml:space="preserve">, </w:t>
      </w:r>
      <w:hyperlink r:id="rId13" w:history="1">
        <w:r w:rsidRPr="00AD3BDF">
          <w:rPr>
            <w:rFonts w:ascii="FrankRuehl" w:hAnsi="FrankRuehl" w:cs="FrankRuehl"/>
            <w:color w:val="0000FF"/>
            <w:u w:val="single"/>
            <w:rtl/>
          </w:rPr>
          <w:t>29</w:t>
        </w:r>
      </w:hyperlink>
      <w:r w:rsidRPr="00AD3BDF">
        <w:rPr>
          <w:rFonts w:ascii="FrankRuehl" w:hAnsi="FrankRuehl" w:cs="FrankRuehl"/>
          <w:rtl/>
        </w:rPr>
        <w:t xml:space="preserve">, </w:t>
      </w:r>
      <w:hyperlink r:id="rId14" w:history="1">
        <w:r w:rsidRPr="00AD3BDF">
          <w:rPr>
            <w:rFonts w:ascii="FrankRuehl" w:hAnsi="FrankRuehl" w:cs="FrankRuehl"/>
            <w:color w:val="0000FF"/>
            <w:u w:val="single"/>
            <w:rtl/>
          </w:rPr>
          <w:t>31</w:t>
        </w:r>
      </w:hyperlink>
      <w:r w:rsidRPr="00AD3BDF">
        <w:rPr>
          <w:rFonts w:ascii="FrankRuehl" w:hAnsi="FrankRuehl" w:cs="FrankRuehl"/>
          <w:rtl/>
        </w:rPr>
        <w:t xml:space="preserve">, </w:t>
      </w:r>
      <w:hyperlink r:id="rId15" w:history="1">
        <w:r w:rsidRPr="00AD3BDF">
          <w:rPr>
            <w:rFonts w:ascii="FrankRuehl" w:hAnsi="FrankRuehl" w:cs="FrankRuehl"/>
            <w:color w:val="0000FF"/>
            <w:u w:val="single"/>
            <w:rtl/>
          </w:rPr>
          <w:t>40ב'</w:t>
        </w:r>
      </w:hyperlink>
      <w:r w:rsidRPr="00AD3BDF">
        <w:rPr>
          <w:rFonts w:ascii="FrankRuehl" w:hAnsi="FrankRuehl" w:cs="FrankRuehl"/>
          <w:rtl/>
        </w:rPr>
        <w:t xml:space="preserve">, </w:t>
      </w:r>
      <w:hyperlink r:id="rId16" w:history="1">
        <w:r w:rsidRPr="00AD3BDF">
          <w:rPr>
            <w:rFonts w:ascii="FrankRuehl" w:hAnsi="FrankRuehl" w:cs="FrankRuehl"/>
            <w:color w:val="0000FF"/>
            <w:u w:val="single"/>
            <w:rtl/>
          </w:rPr>
          <w:t>40ח</w:t>
        </w:r>
      </w:hyperlink>
      <w:r w:rsidRPr="00AD3BDF">
        <w:rPr>
          <w:rFonts w:ascii="FrankRuehl" w:hAnsi="FrankRuehl" w:cs="FrankRuehl"/>
          <w:rtl/>
        </w:rPr>
        <w:t xml:space="preserve">, </w:t>
      </w:r>
      <w:hyperlink r:id="rId17" w:history="1">
        <w:r w:rsidRPr="00AD3BDF">
          <w:rPr>
            <w:rFonts w:ascii="FrankRuehl" w:hAnsi="FrankRuehl" w:cs="FrankRuehl"/>
            <w:color w:val="0000FF"/>
            <w:u w:val="single"/>
            <w:rtl/>
          </w:rPr>
          <w:t>40ט'</w:t>
        </w:r>
      </w:hyperlink>
      <w:r w:rsidRPr="00AD3BDF">
        <w:rPr>
          <w:rFonts w:ascii="FrankRuehl" w:hAnsi="FrankRuehl" w:cs="FrankRuehl"/>
          <w:rtl/>
        </w:rPr>
        <w:t xml:space="preserve">, </w:t>
      </w:r>
      <w:hyperlink r:id="rId18" w:history="1">
        <w:r w:rsidRPr="00AD3BDF">
          <w:rPr>
            <w:rFonts w:ascii="FrankRuehl" w:hAnsi="FrankRuehl" w:cs="FrankRuehl"/>
            <w:color w:val="0000FF"/>
            <w:u w:val="single"/>
            <w:rtl/>
          </w:rPr>
          <w:t>144(ב)</w:t>
        </w:r>
      </w:hyperlink>
      <w:r w:rsidRPr="00AD3BDF">
        <w:rPr>
          <w:rFonts w:ascii="FrankRuehl" w:hAnsi="FrankRuehl" w:cs="FrankRuehl"/>
          <w:rtl/>
        </w:rPr>
        <w:t xml:space="preserve">, </w:t>
      </w:r>
      <w:hyperlink r:id="rId19" w:history="1">
        <w:r w:rsidRPr="00AD3BDF">
          <w:rPr>
            <w:rFonts w:ascii="FrankRuehl" w:hAnsi="FrankRuehl" w:cs="FrankRuehl"/>
            <w:color w:val="0000FF"/>
            <w:u w:val="single"/>
            <w:rtl/>
          </w:rPr>
          <w:t>144(ב2)</w:t>
        </w:r>
      </w:hyperlink>
      <w:r w:rsidRPr="00AD3BDF">
        <w:rPr>
          <w:rFonts w:ascii="FrankRuehl" w:hAnsi="FrankRuehl" w:cs="FrankRuehl"/>
          <w:rtl/>
        </w:rPr>
        <w:t xml:space="preserve">, </w:t>
      </w:r>
      <w:hyperlink r:id="rId20" w:history="1">
        <w:r w:rsidRPr="00AD3BDF">
          <w:rPr>
            <w:rFonts w:ascii="FrankRuehl" w:hAnsi="FrankRuehl" w:cs="FrankRuehl"/>
            <w:color w:val="0000FF"/>
            <w:u w:val="single"/>
            <w:rtl/>
          </w:rPr>
          <w:t>144(ג)</w:t>
        </w:r>
      </w:hyperlink>
      <w:r w:rsidRPr="00AD3BDF">
        <w:rPr>
          <w:rFonts w:ascii="FrankRuehl" w:hAnsi="FrankRuehl" w:cs="FrankRuehl"/>
          <w:rtl/>
        </w:rPr>
        <w:t xml:space="preserve">, </w:t>
      </w:r>
      <w:hyperlink r:id="rId21" w:history="1">
        <w:r w:rsidRPr="00AD3BDF">
          <w:rPr>
            <w:rFonts w:ascii="FrankRuehl" w:hAnsi="FrankRuehl" w:cs="FrankRuehl"/>
            <w:color w:val="0000FF"/>
            <w:u w:val="single"/>
            <w:rtl/>
          </w:rPr>
          <w:t>40יג'</w:t>
        </w:r>
      </w:hyperlink>
      <w:r w:rsidRPr="00AD3BDF">
        <w:rPr>
          <w:rFonts w:ascii="FrankRuehl" w:hAnsi="FrankRuehl" w:cs="FrankRuehl"/>
          <w:rtl/>
        </w:rPr>
        <w:t xml:space="preserve">, </w:t>
      </w:r>
      <w:hyperlink r:id="rId22" w:history="1">
        <w:r w:rsidRPr="00AD3BDF">
          <w:rPr>
            <w:rFonts w:ascii="FrankRuehl" w:hAnsi="FrankRuehl" w:cs="FrankRuehl"/>
            <w:color w:val="0000FF"/>
            <w:u w:val="single"/>
            <w:rtl/>
          </w:rPr>
          <w:t>40יג(ב)</w:t>
        </w:r>
      </w:hyperlink>
    </w:p>
    <w:p w14:paraId="56D4641B" w14:textId="77777777" w:rsidR="00AD3BDF" w:rsidRPr="00AD3BDF" w:rsidRDefault="00AD3BDF" w:rsidP="00AD3BDF">
      <w:pPr>
        <w:spacing w:after="120" w:line="240" w:lineRule="exact"/>
        <w:ind w:left="283" w:hanging="283"/>
        <w:jc w:val="both"/>
        <w:rPr>
          <w:rFonts w:ascii="FrankRuehl" w:hAnsi="FrankRuehl" w:cs="FrankRuehl"/>
          <w:rtl/>
        </w:rPr>
      </w:pPr>
    </w:p>
    <w:p w14:paraId="2D1140C4" w14:textId="77777777" w:rsidR="00AD3BDF" w:rsidRPr="00AD3BDF" w:rsidRDefault="00AD3BDF">
      <w:pPr>
        <w:rPr>
          <w:rtl/>
        </w:rPr>
      </w:pPr>
      <w:bookmarkStart w:id="4" w:name="LawTable_End"/>
      <w:bookmarkEnd w:id="4"/>
    </w:p>
    <w:p w14:paraId="09EE7AB2" w14:textId="77777777" w:rsidR="00AD3BDF" w:rsidRPr="00AD3BDF" w:rsidRDefault="00AD3BDF">
      <w:pPr>
        <w:rPr>
          <w:rtl/>
        </w:rPr>
      </w:pPr>
    </w:p>
    <w:p w14:paraId="1CE5A9D3" w14:textId="77777777" w:rsidR="0076272A" w:rsidRPr="00AD3BDF" w:rsidRDefault="0076272A"/>
    <w:p w14:paraId="31B0CF1B" w14:textId="77777777" w:rsidR="001D22C3" w:rsidRPr="001D22C3" w:rsidRDefault="001D22C3">
      <w:pPr>
        <w:spacing w:line="360" w:lineRule="auto"/>
        <w:ind w:left="360" w:firstLine="360"/>
        <w:jc w:val="both"/>
        <w:rPr>
          <w:rFonts w:cs="Miriam"/>
          <w:rtl/>
        </w:rPr>
      </w:pPr>
    </w:p>
    <w:p w14:paraId="67061546" w14:textId="77777777" w:rsidR="001D22C3" w:rsidRPr="001D22C3" w:rsidRDefault="001D22C3">
      <w:pPr>
        <w:spacing w:line="360" w:lineRule="auto"/>
        <w:ind w:left="360" w:firstLine="360"/>
        <w:jc w:val="both"/>
        <w:rPr>
          <w:rFonts w:cs="Miriam"/>
          <w:rtl/>
        </w:rPr>
      </w:pPr>
    </w:p>
    <w:p w14:paraId="6F6B0FCB" w14:textId="77777777" w:rsidR="0076272A" w:rsidRPr="001D22C3" w:rsidRDefault="0076272A">
      <w:pPr>
        <w:spacing w:line="360" w:lineRule="auto"/>
        <w:ind w:left="360" w:firstLine="360"/>
        <w:jc w:val="both"/>
        <w:rPr>
          <w:rFonts w:cs="Miriam"/>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272A" w14:paraId="7DB35CB0" w14:textId="77777777">
        <w:trPr>
          <w:trHeight w:val="355"/>
          <w:jc w:val="center"/>
        </w:trPr>
        <w:tc>
          <w:tcPr>
            <w:tcW w:w="8820" w:type="dxa"/>
            <w:tcBorders>
              <w:top w:val="nil"/>
              <w:left w:val="nil"/>
              <w:bottom w:val="nil"/>
              <w:right w:val="nil"/>
            </w:tcBorders>
          </w:tcPr>
          <w:p w14:paraId="7949D820" w14:textId="77777777" w:rsidR="001C600E" w:rsidRPr="001C600E" w:rsidRDefault="001C600E" w:rsidP="001C600E">
            <w:pPr>
              <w:jc w:val="center"/>
              <w:rPr>
                <w:rFonts w:ascii="Arial" w:hAnsi="Arial" w:cs="FrankRuehl"/>
                <w:b/>
                <w:bCs/>
                <w:sz w:val="32"/>
                <w:szCs w:val="32"/>
                <w:u w:val="single"/>
                <w:rtl/>
              </w:rPr>
            </w:pPr>
            <w:bookmarkStart w:id="5" w:name="PsakDin" w:colFirst="0" w:colLast="0"/>
            <w:bookmarkEnd w:id="0"/>
            <w:r w:rsidRPr="001C600E">
              <w:rPr>
                <w:rFonts w:ascii="Arial" w:hAnsi="Arial" w:cs="FrankRuehl"/>
                <w:b/>
                <w:bCs/>
                <w:sz w:val="32"/>
                <w:szCs w:val="32"/>
                <w:u w:val="single"/>
                <w:rtl/>
              </w:rPr>
              <w:t>גזר דין</w:t>
            </w:r>
          </w:p>
          <w:p w14:paraId="20F54DB8" w14:textId="77777777" w:rsidR="0076272A" w:rsidRPr="001C600E" w:rsidRDefault="0076272A" w:rsidP="001C600E">
            <w:pPr>
              <w:jc w:val="center"/>
              <w:rPr>
                <w:rFonts w:ascii="Arial" w:hAnsi="Arial" w:cs="FrankRuehl"/>
                <w:bCs/>
                <w:sz w:val="32"/>
                <w:szCs w:val="32"/>
                <w:u w:val="single"/>
                <w:rtl/>
              </w:rPr>
            </w:pPr>
          </w:p>
        </w:tc>
      </w:tr>
    </w:tbl>
    <w:bookmarkEnd w:id="5"/>
    <w:p w14:paraId="64F7CBC3" w14:textId="77777777" w:rsidR="0076272A" w:rsidRDefault="001C600E">
      <w:pPr>
        <w:spacing w:line="360" w:lineRule="auto"/>
        <w:ind w:left="360" w:firstLine="360"/>
        <w:jc w:val="both"/>
        <w:rPr>
          <w:rFonts w:cs="Miriam"/>
        </w:rPr>
      </w:pPr>
      <w:r>
        <w:rPr>
          <w:rFonts w:cs="Miriam"/>
          <w:rtl/>
        </w:rPr>
        <w:t>מבוא</w:t>
      </w:r>
    </w:p>
    <w:p w14:paraId="1150F38D" w14:textId="77777777" w:rsidR="0076272A" w:rsidRDefault="001C600E">
      <w:pPr>
        <w:numPr>
          <w:ilvl w:val="0"/>
          <w:numId w:val="2"/>
        </w:numPr>
        <w:spacing w:line="360" w:lineRule="auto"/>
        <w:jc w:val="both"/>
        <w:rPr>
          <w:rFonts w:cs="FrankRuehl"/>
          <w:sz w:val="28"/>
          <w:szCs w:val="28"/>
        </w:rPr>
      </w:pPr>
      <w:bookmarkStart w:id="6" w:name="ABSTRACT_START"/>
      <w:bookmarkEnd w:id="6"/>
      <w:r>
        <w:rPr>
          <w:rFonts w:cs="FrankRuehl"/>
          <w:sz w:val="28"/>
          <w:szCs w:val="28"/>
          <w:rtl/>
        </w:rPr>
        <w:t>הנאשם הורשע על פי הודאתו בעובדות כתב אישום מתוקן, עת הגיעו הצדדים להסדר טיעון  (סומן באות א) במהלך שמיעת הראיות, ההסדר אינו כולל הסכמה לעני</w:t>
      </w:r>
      <w:r>
        <w:rPr>
          <w:rFonts w:cs="FrankRuehl" w:hint="cs"/>
          <w:sz w:val="28"/>
          <w:szCs w:val="28"/>
          <w:rtl/>
        </w:rPr>
        <w:t>י</w:t>
      </w:r>
      <w:r>
        <w:rPr>
          <w:rFonts w:cs="FrankRuehl"/>
          <w:sz w:val="28"/>
          <w:szCs w:val="28"/>
          <w:rtl/>
        </w:rPr>
        <w:t xml:space="preserve">ן העונש. </w:t>
      </w:r>
    </w:p>
    <w:p w14:paraId="699C176D" w14:textId="77777777" w:rsidR="0076272A" w:rsidRDefault="001C600E">
      <w:pPr>
        <w:spacing w:line="360" w:lineRule="auto"/>
        <w:ind w:left="720"/>
        <w:jc w:val="both"/>
        <w:rPr>
          <w:rFonts w:cs="FrankRuehl"/>
          <w:sz w:val="28"/>
          <w:szCs w:val="28"/>
          <w:u w:val="single"/>
          <w:rtl/>
        </w:rPr>
      </w:pPr>
      <w:r>
        <w:rPr>
          <w:rFonts w:cs="FrankRuehl"/>
          <w:sz w:val="28"/>
          <w:szCs w:val="28"/>
          <w:rtl/>
        </w:rPr>
        <w:t xml:space="preserve">כתב האישום המתוקן כולל 4 אישומים ובחלקו הכללי מוזכרת הפעלת סוכן ושוטר סמוי בשליחות המשטרה. </w:t>
      </w:r>
    </w:p>
    <w:p w14:paraId="243B9B13" w14:textId="77777777" w:rsidR="0076272A" w:rsidRDefault="0076272A">
      <w:pPr>
        <w:spacing w:line="360" w:lineRule="auto"/>
        <w:ind w:left="720"/>
        <w:jc w:val="both"/>
        <w:rPr>
          <w:rFonts w:cs="FrankRuehl"/>
          <w:sz w:val="28"/>
          <w:szCs w:val="28"/>
          <w:u w:val="single"/>
        </w:rPr>
      </w:pPr>
      <w:bookmarkStart w:id="7" w:name="ABSTRACT_END"/>
      <w:bookmarkEnd w:id="7"/>
    </w:p>
    <w:p w14:paraId="1DB8DFA7"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על פי עובדות האישום הראשון, ביום 29.5.2011 סחר הנאשם בסם מסוכן מסוג קוקאין, בכמות של 26.4212 גרם נטו, אותו מסר לידי הסוכן כנגד 11,400 ש"ח, בהתאם לכך הורשע הנאשם בעבירה של סחר בסם מסוכן-עבירה לפי סעיפים </w:t>
      </w:r>
      <w:hyperlink r:id="rId23" w:history="1">
        <w:r w:rsidR="00AD3BDF" w:rsidRPr="00AD3BDF">
          <w:rPr>
            <w:rStyle w:val="Hyperlink"/>
            <w:rFonts w:cs="FrankRuehl"/>
            <w:sz w:val="28"/>
            <w:szCs w:val="28"/>
            <w:rtl/>
          </w:rPr>
          <w:t>13</w:t>
        </w:r>
      </w:hyperlink>
      <w:r>
        <w:rPr>
          <w:rFonts w:cs="FrankRuehl"/>
          <w:sz w:val="28"/>
          <w:szCs w:val="28"/>
          <w:rtl/>
        </w:rPr>
        <w:t>+</w:t>
      </w:r>
      <w:hyperlink r:id="rId24" w:history="1">
        <w:r w:rsidR="00AD3BDF" w:rsidRPr="00AD3BDF">
          <w:rPr>
            <w:rFonts w:cs="FrankRuehl"/>
            <w:color w:val="0000FF"/>
            <w:sz w:val="28"/>
            <w:szCs w:val="28"/>
            <w:u w:val="single"/>
            <w:rtl/>
          </w:rPr>
          <w:t>19א</w:t>
        </w:r>
      </w:hyperlink>
      <w:r>
        <w:rPr>
          <w:rFonts w:cs="FrankRuehl"/>
          <w:sz w:val="28"/>
          <w:szCs w:val="28"/>
          <w:rtl/>
        </w:rPr>
        <w:t xml:space="preserve"> </w:t>
      </w:r>
      <w:r>
        <w:rPr>
          <w:rFonts w:cs="Miriam"/>
          <w:rtl/>
        </w:rPr>
        <w:t>ל</w:t>
      </w:r>
      <w:hyperlink r:id="rId25" w:history="1">
        <w:r w:rsidR="001D22C3" w:rsidRPr="001D22C3">
          <w:rPr>
            <w:rStyle w:val="Hyperlink"/>
            <w:rFonts w:cs="Miriam"/>
            <w:rtl/>
          </w:rPr>
          <w:t>פקודת הסמים המסוכנים</w:t>
        </w:r>
      </w:hyperlink>
      <w:r>
        <w:rPr>
          <w:rFonts w:cs="Miriam"/>
          <w:rtl/>
        </w:rPr>
        <w:t xml:space="preserve"> [נוסח חדש],</w:t>
      </w:r>
      <w:r>
        <w:rPr>
          <w:rFonts w:cs="FrankRuehl"/>
          <w:sz w:val="28"/>
          <w:szCs w:val="28"/>
          <w:rtl/>
        </w:rPr>
        <w:t xml:space="preserve"> התשל"ג-1973.</w:t>
      </w:r>
    </w:p>
    <w:p w14:paraId="5868C28A" w14:textId="77777777" w:rsidR="0076272A" w:rsidRDefault="0076272A">
      <w:pPr>
        <w:spacing w:line="360" w:lineRule="auto"/>
        <w:ind w:left="720"/>
        <w:jc w:val="both"/>
        <w:rPr>
          <w:rFonts w:cs="FrankRuehl"/>
          <w:sz w:val="28"/>
          <w:szCs w:val="28"/>
        </w:rPr>
      </w:pPr>
    </w:p>
    <w:p w14:paraId="45FBFCCD" w14:textId="77777777" w:rsidR="0076272A" w:rsidRDefault="001C600E">
      <w:pPr>
        <w:pStyle w:val="ListParagraph"/>
        <w:spacing w:line="360" w:lineRule="auto"/>
        <w:jc w:val="both"/>
        <w:rPr>
          <w:rFonts w:cs="FrankRuehl"/>
          <w:sz w:val="28"/>
          <w:szCs w:val="28"/>
          <w:rtl/>
        </w:rPr>
      </w:pPr>
      <w:r>
        <w:rPr>
          <w:rFonts w:cs="FrankRuehl" w:hint="cs"/>
          <w:sz w:val="28"/>
          <w:szCs w:val="28"/>
          <w:rtl/>
        </w:rPr>
        <w:lastRenderedPageBreak/>
        <w:t>-</w:t>
      </w:r>
      <w:r>
        <w:rPr>
          <w:rFonts w:cs="FrankRuehl"/>
          <w:sz w:val="28"/>
          <w:szCs w:val="28"/>
          <w:rtl/>
        </w:rPr>
        <w:t xml:space="preserve">על פי עובדות האישום השני סייע הנאשם לאדם בשם עומר ולאדם נוסף לסחור בנשק שלא כדין.  ביום </w:t>
      </w:r>
      <w:r>
        <w:rPr>
          <w:rFonts w:cs="FrankRuehl" w:hint="cs"/>
          <w:sz w:val="28"/>
          <w:szCs w:val="28"/>
          <w:rtl/>
        </w:rPr>
        <w:t>9</w:t>
      </w:r>
      <w:r>
        <w:rPr>
          <w:rFonts w:cs="FrankRuehl"/>
          <w:sz w:val="28"/>
          <w:szCs w:val="28"/>
          <w:rtl/>
        </w:rPr>
        <w:t xml:space="preserve">.6.2011 סיכם הנאשם עם הסוכן כי יימכר לסוכן אקדח תופי תמורת 16,000 ש"ח,  ובהמשך אכן נמסר לסוכן אקדח כאמור כנגד הסכום של 16,000 ש"ח שנמסרו לעומר ולאדם הנוסף, בהתאם לכך הורשע הנאשם </w:t>
      </w:r>
      <w:r>
        <w:rPr>
          <w:rFonts w:cs="FrankRuehl" w:hint="cs"/>
          <w:sz w:val="28"/>
          <w:szCs w:val="28"/>
          <w:rtl/>
        </w:rPr>
        <w:t>ב</w:t>
      </w:r>
      <w:r>
        <w:rPr>
          <w:rFonts w:cs="FrankRuehl"/>
          <w:sz w:val="28"/>
          <w:szCs w:val="28"/>
          <w:rtl/>
        </w:rPr>
        <w:t xml:space="preserve">עבירה של סיוע לסחר בנשק שלא כדין- עבירה לפי סעיפים </w:t>
      </w:r>
      <w:hyperlink r:id="rId26" w:history="1">
        <w:r w:rsidR="00AD3BDF" w:rsidRPr="00AD3BDF">
          <w:rPr>
            <w:rStyle w:val="Hyperlink"/>
            <w:rFonts w:cs="FrankRuehl"/>
            <w:sz w:val="28"/>
            <w:szCs w:val="28"/>
            <w:rtl/>
          </w:rPr>
          <w:t>144(ב2)</w:t>
        </w:r>
      </w:hyperlink>
      <w:r>
        <w:rPr>
          <w:rFonts w:cs="FrankRuehl"/>
          <w:sz w:val="28"/>
          <w:szCs w:val="28"/>
          <w:rtl/>
        </w:rPr>
        <w:t>+</w:t>
      </w:r>
      <w:hyperlink r:id="rId27" w:history="1">
        <w:r w:rsidR="00AD3BDF" w:rsidRPr="00AD3BDF">
          <w:rPr>
            <w:rStyle w:val="Hyperlink"/>
            <w:rFonts w:cs="FrankRuehl"/>
            <w:sz w:val="28"/>
            <w:szCs w:val="28"/>
            <w:rtl/>
          </w:rPr>
          <w:t>144(ג)</w:t>
        </w:r>
      </w:hyperlink>
      <w:r>
        <w:rPr>
          <w:rFonts w:cs="FrankRuehl"/>
          <w:sz w:val="28"/>
          <w:szCs w:val="28"/>
          <w:rtl/>
        </w:rPr>
        <w:t>+</w:t>
      </w:r>
      <w:hyperlink r:id="rId28" w:history="1">
        <w:r w:rsidR="00AD3BDF" w:rsidRPr="00AD3BDF">
          <w:rPr>
            <w:rFonts w:cs="FrankRuehl"/>
            <w:color w:val="0000FF"/>
            <w:sz w:val="28"/>
            <w:szCs w:val="28"/>
            <w:u w:val="single"/>
            <w:rtl/>
          </w:rPr>
          <w:t>31</w:t>
        </w:r>
      </w:hyperlink>
      <w:r>
        <w:rPr>
          <w:rFonts w:cs="FrankRuehl"/>
          <w:sz w:val="28"/>
          <w:szCs w:val="28"/>
          <w:rtl/>
        </w:rPr>
        <w:t xml:space="preserve"> </w:t>
      </w:r>
      <w:r>
        <w:rPr>
          <w:rFonts w:cs="Miriam"/>
          <w:rtl/>
        </w:rPr>
        <w:t>ל</w:t>
      </w:r>
      <w:hyperlink r:id="rId29" w:history="1">
        <w:r w:rsidR="001D22C3" w:rsidRPr="001D22C3">
          <w:rPr>
            <w:rStyle w:val="Hyperlink"/>
            <w:rFonts w:cs="Miriam"/>
            <w:rtl/>
          </w:rPr>
          <w:t>חוק העונשין</w:t>
        </w:r>
      </w:hyperlink>
      <w:r>
        <w:rPr>
          <w:rFonts w:cs="FrankRuehl"/>
          <w:sz w:val="28"/>
          <w:szCs w:val="28"/>
          <w:rtl/>
        </w:rPr>
        <w:t>, התשל"ז-1977, (להלן-החוק).</w:t>
      </w:r>
    </w:p>
    <w:p w14:paraId="6F1E280D" w14:textId="77777777" w:rsidR="0076272A" w:rsidRDefault="0076272A">
      <w:pPr>
        <w:pStyle w:val="ListParagraph"/>
        <w:spacing w:line="360" w:lineRule="auto"/>
        <w:jc w:val="both"/>
        <w:rPr>
          <w:rFonts w:cs="FrankRuehl"/>
          <w:sz w:val="28"/>
          <w:szCs w:val="28"/>
        </w:rPr>
      </w:pPr>
    </w:p>
    <w:p w14:paraId="72F363EB" w14:textId="77777777" w:rsidR="0076272A" w:rsidRDefault="001C600E">
      <w:pPr>
        <w:spacing w:line="360" w:lineRule="auto"/>
        <w:ind w:left="720"/>
        <w:jc w:val="both"/>
        <w:rPr>
          <w:rFonts w:cs="FrankRuehl"/>
          <w:sz w:val="28"/>
          <w:szCs w:val="28"/>
        </w:rPr>
      </w:pPr>
      <w:r>
        <w:rPr>
          <w:rFonts w:cs="FrankRuehl" w:hint="cs"/>
          <w:sz w:val="28"/>
          <w:szCs w:val="28"/>
          <w:rtl/>
        </w:rPr>
        <w:t>-</w:t>
      </w:r>
      <w:r>
        <w:rPr>
          <w:rFonts w:cs="FrankRuehl"/>
          <w:sz w:val="28"/>
          <w:szCs w:val="28"/>
          <w:rtl/>
        </w:rPr>
        <w:t xml:space="preserve">על פי עובדות האישום השלישי סחר הנאשם בנשק שלא כדין בצוותא עם עומר, ביום 6.7.2011 לאחר מספר שיחות עם הסוכן, מסרו עומר והנאשם לסמוי אקדח מסוג ברטה </w:t>
      </w:r>
      <w:r>
        <w:rPr>
          <w:rFonts w:cs="FrankRuehl" w:hint="cs"/>
          <w:sz w:val="28"/>
          <w:szCs w:val="28"/>
          <w:rtl/>
        </w:rPr>
        <w:t xml:space="preserve">ומחסנית </w:t>
      </w:r>
      <w:r>
        <w:rPr>
          <w:rFonts w:cs="FrankRuehl"/>
          <w:sz w:val="28"/>
          <w:szCs w:val="28"/>
          <w:rtl/>
        </w:rPr>
        <w:t xml:space="preserve">כנגד 16,000 ש"ח שנמסרו לעומר. בהתאם לכך הורשע הנאשם בעבירה של סחר בנשק שלא כדין- עבירה לפי </w:t>
      </w:r>
      <w:hyperlink r:id="rId30" w:history="1">
        <w:r w:rsidR="00AD3BDF" w:rsidRPr="00AD3BDF">
          <w:rPr>
            <w:rFonts w:cs="FrankRuehl"/>
            <w:color w:val="0000FF"/>
            <w:sz w:val="28"/>
            <w:szCs w:val="28"/>
            <w:u w:val="single"/>
            <w:rtl/>
          </w:rPr>
          <w:t>סעיפים 144(ב2)</w:t>
        </w:r>
      </w:hyperlink>
      <w:r>
        <w:rPr>
          <w:rFonts w:cs="FrankRuehl"/>
          <w:sz w:val="28"/>
          <w:szCs w:val="28"/>
          <w:rtl/>
        </w:rPr>
        <w:t>+</w:t>
      </w:r>
      <w:hyperlink r:id="rId31" w:history="1">
        <w:r w:rsidR="00AD3BDF" w:rsidRPr="00AD3BDF">
          <w:rPr>
            <w:rFonts w:cs="FrankRuehl"/>
            <w:color w:val="0000FF"/>
            <w:sz w:val="28"/>
            <w:szCs w:val="28"/>
            <w:u w:val="single"/>
            <w:rtl/>
          </w:rPr>
          <w:t>144(ג)</w:t>
        </w:r>
      </w:hyperlink>
      <w:r>
        <w:rPr>
          <w:rFonts w:cs="FrankRuehl"/>
          <w:sz w:val="28"/>
          <w:szCs w:val="28"/>
          <w:rtl/>
        </w:rPr>
        <w:t>+</w:t>
      </w:r>
      <w:hyperlink r:id="rId32" w:history="1">
        <w:r w:rsidR="00AD3BDF" w:rsidRPr="00AD3BDF">
          <w:rPr>
            <w:rStyle w:val="Hyperlink"/>
            <w:rFonts w:cs="FrankRuehl"/>
            <w:sz w:val="28"/>
            <w:szCs w:val="28"/>
            <w:rtl/>
          </w:rPr>
          <w:t>29</w:t>
        </w:r>
      </w:hyperlink>
      <w:r>
        <w:rPr>
          <w:rFonts w:cs="FrankRuehl"/>
          <w:sz w:val="28"/>
          <w:szCs w:val="28"/>
          <w:rtl/>
        </w:rPr>
        <w:t xml:space="preserve"> לחוק.</w:t>
      </w:r>
    </w:p>
    <w:p w14:paraId="7E4D2F78"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על פי עובדות האישום הרביעי נשא והוביל הנאשם נשק בלא רשות על פי דין וניסה לסחור בו. בתאריך 13.8.2011 מסר הנאשם לסוכן ולסמוי תת מקלע מאולתר ורימון גז,  מאחר ובשיחה שקדמה לפגישה הבטיח הנאשם לספק תת מקלע מסוג עוזי ורימון רסס, העיסקה לא יצאה לפועל, והנשק והרימון הוחזרו לנאשם. בהתאם לכך הורשע הנאשם בעבירות של נשיאת והובלת נשק- לפי </w:t>
      </w:r>
      <w:hyperlink r:id="rId33" w:history="1">
        <w:r w:rsidR="00AD3BDF" w:rsidRPr="00AD3BDF">
          <w:rPr>
            <w:rFonts w:cs="FrankRuehl"/>
            <w:color w:val="0000FF"/>
            <w:sz w:val="28"/>
            <w:szCs w:val="28"/>
            <w:u w:val="single"/>
            <w:rtl/>
          </w:rPr>
          <w:t>סעיפים 144(ב)</w:t>
        </w:r>
      </w:hyperlink>
      <w:r>
        <w:rPr>
          <w:rFonts w:cs="FrankRuehl"/>
          <w:sz w:val="28"/>
          <w:szCs w:val="28"/>
          <w:rtl/>
        </w:rPr>
        <w:t>רישא+</w:t>
      </w:r>
      <w:hyperlink r:id="rId34" w:history="1">
        <w:r w:rsidR="00AD3BDF" w:rsidRPr="00AD3BDF">
          <w:rPr>
            <w:rFonts w:cs="FrankRuehl"/>
            <w:color w:val="0000FF"/>
            <w:sz w:val="28"/>
            <w:szCs w:val="28"/>
            <w:u w:val="single"/>
            <w:rtl/>
          </w:rPr>
          <w:t>144(ג)</w:t>
        </w:r>
      </w:hyperlink>
      <w:r>
        <w:rPr>
          <w:rFonts w:cs="FrankRuehl"/>
          <w:sz w:val="28"/>
          <w:szCs w:val="28"/>
          <w:rtl/>
        </w:rPr>
        <w:t xml:space="preserve"> לחוק וניסיון לסחור בנשק שלא כדין-עבירה לפי </w:t>
      </w:r>
      <w:hyperlink r:id="rId35" w:history="1">
        <w:r w:rsidR="00AD3BDF" w:rsidRPr="00AD3BDF">
          <w:rPr>
            <w:rFonts w:cs="FrankRuehl"/>
            <w:color w:val="0000FF"/>
            <w:sz w:val="28"/>
            <w:szCs w:val="28"/>
            <w:u w:val="single"/>
            <w:rtl/>
          </w:rPr>
          <w:t>סעיפים 144(ב2)</w:t>
        </w:r>
      </w:hyperlink>
      <w:r>
        <w:rPr>
          <w:rFonts w:cs="FrankRuehl"/>
          <w:sz w:val="28"/>
          <w:szCs w:val="28"/>
          <w:rtl/>
        </w:rPr>
        <w:t>+</w:t>
      </w:r>
      <w:hyperlink r:id="rId36" w:history="1">
        <w:r w:rsidR="00AD3BDF" w:rsidRPr="00AD3BDF">
          <w:rPr>
            <w:rStyle w:val="Hyperlink"/>
            <w:rFonts w:cs="FrankRuehl"/>
            <w:sz w:val="28"/>
            <w:szCs w:val="28"/>
            <w:rtl/>
          </w:rPr>
          <w:t>144(ג)</w:t>
        </w:r>
      </w:hyperlink>
      <w:r>
        <w:rPr>
          <w:rFonts w:cs="FrankRuehl"/>
          <w:sz w:val="28"/>
          <w:szCs w:val="28"/>
          <w:rtl/>
        </w:rPr>
        <w:t>+</w:t>
      </w:r>
      <w:hyperlink r:id="rId37" w:history="1">
        <w:r w:rsidR="00AD3BDF" w:rsidRPr="00AD3BDF">
          <w:rPr>
            <w:rStyle w:val="Hyperlink"/>
            <w:rFonts w:cs="FrankRuehl"/>
            <w:sz w:val="28"/>
            <w:szCs w:val="28"/>
            <w:rtl/>
          </w:rPr>
          <w:t>25</w:t>
        </w:r>
      </w:hyperlink>
      <w:r>
        <w:rPr>
          <w:rFonts w:cs="FrankRuehl"/>
          <w:sz w:val="28"/>
          <w:szCs w:val="28"/>
          <w:rtl/>
        </w:rPr>
        <w:t xml:space="preserve"> לחוק.</w:t>
      </w:r>
    </w:p>
    <w:p w14:paraId="72230D98" w14:textId="77777777" w:rsidR="0076272A" w:rsidRDefault="0076272A">
      <w:pPr>
        <w:spacing w:line="360" w:lineRule="auto"/>
        <w:ind w:left="720"/>
        <w:jc w:val="both"/>
        <w:rPr>
          <w:rFonts w:cs="FrankRuehl"/>
          <w:sz w:val="28"/>
          <w:szCs w:val="28"/>
        </w:rPr>
      </w:pPr>
    </w:p>
    <w:p w14:paraId="45CD7BED" w14:textId="77777777" w:rsidR="0076272A" w:rsidRDefault="001C600E">
      <w:pPr>
        <w:spacing w:line="360" w:lineRule="auto"/>
        <w:ind w:left="360" w:firstLine="360"/>
        <w:jc w:val="both"/>
        <w:rPr>
          <w:rFonts w:cs="Miriam"/>
        </w:rPr>
      </w:pPr>
      <w:r>
        <w:rPr>
          <w:rFonts w:cs="Miriam"/>
          <w:rtl/>
        </w:rPr>
        <w:t>ראיות לעונש</w:t>
      </w:r>
    </w:p>
    <w:p w14:paraId="771808BD" w14:textId="77777777" w:rsidR="0076272A" w:rsidRDefault="001C600E">
      <w:pPr>
        <w:spacing w:line="360" w:lineRule="auto"/>
        <w:ind w:left="720"/>
        <w:jc w:val="both"/>
        <w:rPr>
          <w:rFonts w:cs="FrankRuehl"/>
          <w:sz w:val="28"/>
          <w:szCs w:val="28"/>
          <w:rtl/>
        </w:rPr>
      </w:pPr>
      <w:r>
        <w:rPr>
          <w:rFonts w:cs="FrankRuehl"/>
          <w:sz w:val="28"/>
          <w:szCs w:val="28"/>
          <w:rtl/>
        </w:rPr>
        <w:t xml:space="preserve">לנאשם 10 הרשעות על פי גיליון הרישום </w:t>
      </w:r>
      <w:r>
        <w:rPr>
          <w:rFonts w:cs="FrankRuehl" w:hint="cs"/>
          <w:sz w:val="28"/>
          <w:szCs w:val="28"/>
          <w:rtl/>
        </w:rPr>
        <w:t>ה</w:t>
      </w:r>
      <w:r>
        <w:rPr>
          <w:rFonts w:cs="FrankRuehl"/>
          <w:sz w:val="28"/>
          <w:szCs w:val="28"/>
          <w:rtl/>
        </w:rPr>
        <w:t>פלילי, (ט/1), האחרונה שבה</w:t>
      </w:r>
      <w:r>
        <w:rPr>
          <w:rFonts w:cs="FrankRuehl" w:hint="cs"/>
          <w:sz w:val="28"/>
          <w:szCs w:val="28"/>
          <w:rtl/>
        </w:rPr>
        <w:t>ן</w:t>
      </w:r>
      <w:r>
        <w:rPr>
          <w:rFonts w:cs="FrankRuehl"/>
          <w:sz w:val="28"/>
          <w:szCs w:val="28"/>
          <w:rtl/>
        </w:rPr>
        <w:t xml:space="preserve"> מיום 1.6.2005, עת נדון הנאשם ל- 16 חודשי מאסר בפועל בגין עבירות של יצוא, יבוא, הספק</w:t>
      </w:r>
      <w:r>
        <w:rPr>
          <w:rFonts w:cs="FrankRuehl" w:hint="cs"/>
          <w:sz w:val="28"/>
          <w:szCs w:val="28"/>
          <w:rtl/>
        </w:rPr>
        <w:t>ת</w:t>
      </w:r>
      <w:r>
        <w:rPr>
          <w:rFonts w:cs="FrankRuehl"/>
          <w:sz w:val="28"/>
          <w:szCs w:val="28"/>
          <w:rtl/>
        </w:rPr>
        <w:t xml:space="preserve"> סמים מסוכנים, זאת בנוסף לשלוש הרשעות נוספות בעבירות סמים, הרשעתו הראשונה של הנאשם, הי</w:t>
      </w:r>
      <w:r>
        <w:rPr>
          <w:rFonts w:cs="FrankRuehl" w:hint="cs"/>
          <w:sz w:val="28"/>
          <w:szCs w:val="28"/>
          <w:rtl/>
        </w:rPr>
        <w:t>י</w:t>
      </w:r>
      <w:r>
        <w:rPr>
          <w:rFonts w:cs="FrankRuehl"/>
          <w:sz w:val="28"/>
          <w:szCs w:val="28"/>
          <w:rtl/>
        </w:rPr>
        <w:t>תה בשנת 1996, עת היה כבן 16, בגין עבירות רכוש ואלימות, במהלך השנים נדון הנאשם מספר פעמים לעונשי מאסר בפועל לתקופות שונות של 2,4,6,8,16 חודשי מאסר.</w:t>
      </w:r>
    </w:p>
    <w:p w14:paraId="70142C19" w14:textId="77777777" w:rsidR="0076272A" w:rsidRDefault="0076272A">
      <w:pPr>
        <w:spacing w:line="360" w:lineRule="auto"/>
        <w:ind w:left="720"/>
        <w:jc w:val="both"/>
        <w:rPr>
          <w:rFonts w:cs="FrankRuehl"/>
          <w:sz w:val="28"/>
          <w:szCs w:val="28"/>
        </w:rPr>
      </w:pPr>
    </w:p>
    <w:p w14:paraId="50ECBB95" w14:textId="77777777" w:rsidR="0076272A" w:rsidRDefault="001C600E">
      <w:pPr>
        <w:spacing w:line="360" w:lineRule="auto"/>
        <w:ind w:left="720"/>
        <w:jc w:val="both"/>
        <w:rPr>
          <w:rFonts w:cs="FrankRuehl"/>
          <w:sz w:val="28"/>
          <w:szCs w:val="28"/>
          <w:rtl/>
        </w:rPr>
      </w:pPr>
      <w:r>
        <w:rPr>
          <w:rFonts w:cs="FrankRuehl"/>
          <w:sz w:val="28"/>
          <w:szCs w:val="28"/>
          <w:rtl/>
        </w:rPr>
        <w:t>לזכות הנאשם העידה אשתו, אור שמכירה את הנאשם כמעט 8 שנים, נישאה לו לפני שנה וחצי וילדתם המשותפת נולדה במהלך שהייתו במעצר. תארה את קשיי גידול הילדה ללא אביה, את אופיו החיובי של הנאשם והשיפור שעובר עליו בתקופת מעצרו.</w:t>
      </w:r>
    </w:p>
    <w:p w14:paraId="24E530C0" w14:textId="77777777" w:rsidR="0076272A" w:rsidRDefault="0076272A">
      <w:pPr>
        <w:spacing w:line="360" w:lineRule="auto"/>
        <w:ind w:left="720"/>
        <w:jc w:val="both"/>
        <w:rPr>
          <w:rFonts w:cs="FrankRuehl"/>
          <w:sz w:val="28"/>
          <w:szCs w:val="28"/>
        </w:rPr>
      </w:pPr>
    </w:p>
    <w:p w14:paraId="078C05A1" w14:textId="77777777" w:rsidR="0076272A" w:rsidRDefault="001C600E">
      <w:pPr>
        <w:spacing w:line="360" w:lineRule="auto"/>
        <w:ind w:left="360" w:firstLine="360"/>
        <w:jc w:val="both"/>
        <w:rPr>
          <w:rFonts w:cs="Miriam"/>
        </w:rPr>
      </w:pPr>
      <w:r>
        <w:rPr>
          <w:rFonts w:cs="Miriam"/>
          <w:rtl/>
        </w:rPr>
        <w:t>תסקיר שירות המבחן</w:t>
      </w:r>
    </w:p>
    <w:p w14:paraId="21C096BB" w14:textId="77777777" w:rsidR="0076272A" w:rsidRDefault="001C600E">
      <w:pPr>
        <w:spacing w:line="360" w:lineRule="auto"/>
        <w:ind w:left="720"/>
        <w:jc w:val="both"/>
        <w:rPr>
          <w:rFonts w:cs="FrankRuehl"/>
          <w:sz w:val="28"/>
          <w:szCs w:val="28"/>
          <w:u w:val="single"/>
          <w:rtl/>
        </w:rPr>
      </w:pPr>
      <w:r>
        <w:rPr>
          <w:rFonts w:cs="FrankRuehl"/>
          <w:sz w:val="28"/>
          <w:szCs w:val="28"/>
          <w:rtl/>
        </w:rPr>
        <w:t>קצינת המבחן תארה את מסלול חייו של הנאשם, החשפותו מגיל צעיר לאורח חיים שולי והתמכרותי לסמים, קיבל עליו אחריות כי לטענתו ממעצרו בחודש אפריל 2012 התנקה מסמים. לאור קשייו לגייס עצמו לתהליך טיפולי במסגרת פתוחה בק</w:t>
      </w:r>
      <w:r>
        <w:rPr>
          <w:rFonts w:cs="FrankRuehl" w:hint="cs"/>
          <w:sz w:val="28"/>
          <w:szCs w:val="28"/>
          <w:rtl/>
        </w:rPr>
        <w:t>ה</w:t>
      </w:r>
      <w:r>
        <w:rPr>
          <w:rFonts w:cs="FrankRuehl"/>
          <w:sz w:val="28"/>
          <w:szCs w:val="28"/>
          <w:rtl/>
        </w:rPr>
        <w:t>ילה הטבעית שלו, המליצה קצינת המבחן, כי במידה ויוטל על הנאשם עונש במסגרת מאסר, יש לשלבו בטיפול במסגרת הכלא.</w:t>
      </w:r>
    </w:p>
    <w:p w14:paraId="746341F9" w14:textId="77777777" w:rsidR="0076272A" w:rsidRDefault="0076272A">
      <w:pPr>
        <w:spacing w:line="360" w:lineRule="auto"/>
        <w:ind w:left="720"/>
        <w:jc w:val="both"/>
        <w:rPr>
          <w:rFonts w:cs="FrankRuehl"/>
          <w:sz w:val="28"/>
          <w:szCs w:val="28"/>
          <w:u w:val="single"/>
          <w:rtl/>
        </w:rPr>
      </w:pPr>
    </w:p>
    <w:p w14:paraId="1EE6D695" w14:textId="77777777" w:rsidR="0076272A" w:rsidRDefault="0076272A">
      <w:pPr>
        <w:spacing w:line="360" w:lineRule="auto"/>
        <w:ind w:left="720"/>
        <w:jc w:val="both"/>
        <w:rPr>
          <w:rFonts w:cs="FrankRuehl"/>
          <w:sz w:val="28"/>
          <w:szCs w:val="28"/>
          <w:u w:val="single"/>
          <w:rtl/>
        </w:rPr>
      </w:pPr>
    </w:p>
    <w:p w14:paraId="18C2E5FA" w14:textId="77777777" w:rsidR="0076272A" w:rsidRDefault="0076272A">
      <w:pPr>
        <w:spacing w:line="360" w:lineRule="auto"/>
        <w:ind w:left="720"/>
        <w:jc w:val="both"/>
        <w:rPr>
          <w:rFonts w:cs="FrankRuehl"/>
          <w:sz w:val="28"/>
          <w:szCs w:val="28"/>
          <w:u w:val="single"/>
        </w:rPr>
      </w:pPr>
    </w:p>
    <w:p w14:paraId="07FD651E" w14:textId="77777777" w:rsidR="0076272A" w:rsidRDefault="001C600E">
      <w:pPr>
        <w:spacing w:line="360" w:lineRule="auto"/>
        <w:ind w:left="360" w:firstLine="360"/>
        <w:jc w:val="both"/>
        <w:rPr>
          <w:rFonts w:cs="Miriam"/>
        </w:rPr>
      </w:pPr>
      <w:r>
        <w:rPr>
          <w:rFonts w:cs="Miriam"/>
          <w:rtl/>
        </w:rPr>
        <w:t>תמצית טענות הצדדים</w:t>
      </w:r>
    </w:p>
    <w:p w14:paraId="1F1CD358"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המאשימה בטיעוניה בכתב (ט/2) בקשה לקבוע מתחם ענישה הולם של 3-6 שנות מאסר בגין האישום הראשון, 2-4 שנות מאסר בגין האישום השני, 3.5-5.5 שנות מאסר בגין האישום השלישי ו-3.5-5.5 שנות מאסר בגין האישום הרביעי. לאור העובדה כי לנאשם עבר פלילי מכביד, ריצה מספר מאסרים קודמים ביקשה להטיל על הנאשם </w:t>
      </w:r>
      <w:r>
        <w:rPr>
          <w:rFonts w:cs="FrankRuehl" w:hint="cs"/>
          <w:sz w:val="28"/>
          <w:szCs w:val="28"/>
          <w:rtl/>
        </w:rPr>
        <w:t xml:space="preserve">עונש לפי </w:t>
      </w:r>
      <w:r>
        <w:rPr>
          <w:rFonts w:cs="FrankRuehl"/>
          <w:sz w:val="28"/>
          <w:szCs w:val="28"/>
          <w:rtl/>
        </w:rPr>
        <w:t>הרף הגבוה של מתחמי הענישה ולקבוע עונש מצטבר לארבעת האישומים, בנוסף למאסר מותנה ארוך ומרתיע, קנס כספי כבד ופסילת הנאשם מלקבל ר</w:t>
      </w:r>
      <w:r>
        <w:rPr>
          <w:rFonts w:cs="FrankRuehl" w:hint="cs"/>
          <w:sz w:val="28"/>
          <w:szCs w:val="28"/>
          <w:rtl/>
        </w:rPr>
        <w:t>י</w:t>
      </w:r>
      <w:r>
        <w:rPr>
          <w:rFonts w:cs="FrankRuehl"/>
          <w:sz w:val="28"/>
          <w:szCs w:val="28"/>
          <w:rtl/>
        </w:rPr>
        <w:t>שיון נהיגה.</w:t>
      </w:r>
    </w:p>
    <w:p w14:paraId="2FE48739" w14:textId="77777777" w:rsidR="0076272A" w:rsidRDefault="0076272A">
      <w:pPr>
        <w:spacing w:line="360" w:lineRule="auto"/>
        <w:ind w:left="720"/>
        <w:jc w:val="both"/>
        <w:rPr>
          <w:rFonts w:cs="FrankRuehl"/>
          <w:sz w:val="28"/>
          <w:szCs w:val="28"/>
        </w:rPr>
      </w:pPr>
    </w:p>
    <w:p w14:paraId="6D246EA5" w14:textId="77777777" w:rsidR="0076272A" w:rsidRDefault="001C600E">
      <w:pPr>
        <w:spacing w:line="360" w:lineRule="auto"/>
        <w:ind w:left="720"/>
        <w:jc w:val="both"/>
        <w:rPr>
          <w:rFonts w:cs="FrankRuehl"/>
          <w:sz w:val="28"/>
          <w:szCs w:val="28"/>
          <w:rtl/>
        </w:rPr>
      </w:pPr>
      <w:r>
        <w:rPr>
          <w:rFonts w:cs="FrankRuehl"/>
          <w:sz w:val="28"/>
          <w:szCs w:val="28"/>
          <w:rtl/>
        </w:rPr>
        <w:t xml:space="preserve">בטיעוניה הרחיבה ותארה את הנזקים הקשים וארוכי הטווח </w:t>
      </w:r>
      <w:r>
        <w:rPr>
          <w:rFonts w:cs="FrankRuehl" w:hint="cs"/>
          <w:sz w:val="28"/>
          <w:szCs w:val="28"/>
          <w:rtl/>
        </w:rPr>
        <w:t>הנגרמים ל</w:t>
      </w:r>
      <w:r>
        <w:rPr>
          <w:rFonts w:cs="FrankRuehl"/>
          <w:sz w:val="28"/>
          <w:szCs w:val="28"/>
          <w:rtl/>
        </w:rPr>
        <w:t>חברה בגין עבירות סמים בכלל וסחר בקוקאין בפרט, ואת הקשר שבין עבירות אלימות באמצעות נשק לסחר בלתי חוקי בנשק, כשבמקרה זה מדובר בשני אקדחים, מחסנית לאקדח, תת מקלע מאולתר ורימון גז. לתמיכה בטענותיה הפנתה לפסקי דין שונים (ט/3). חומרת העבירות נלמדת לטענתה מעיסוקו האינטנסיבי של הנאשם בעסקי סמים ונשק תוך תקופה של שלושה חודשים כשלנאשם נגישות לנשק ומדובר בסכומים גדולים, 43,400 ש"ח, מתוכם קיבל הנאשם לידיו 11,400 ש"ח. בניתוח פסקי הדין השונים הפנתה גם לגזר דינו של שותפו של הנאשם לביצוע העבירות נשוא אישומים שני ושלישי, אשר נדון ל-45 חודשי מאסר בפועל, (</w:t>
      </w:r>
      <w:hyperlink r:id="rId38" w:history="1">
        <w:r w:rsidR="001D22C3" w:rsidRPr="001D22C3">
          <w:rPr>
            <w:rStyle w:val="Hyperlink"/>
            <w:rFonts w:cs="FrankRuehl"/>
            <w:sz w:val="28"/>
            <w:szCs w:val="28"/>
            <w:rtl/>
          </w:rPr>
          <w:t>ת.פ. 30100-12-11</w:t>
        </w:r>
      </w:hyperlink>
      <w:r>
        <w:rPr>
          <w:rFonts w:cs="FrankRuehl"/>
          <w:sz w:val="28"/>
          <w:szCs w:val="28"/>
          <w:rtl/>
        </w:rPr>
        <w:t>, ערעורו של ה</w:t>
      </w:r>
      <w:r>
        <w:rPr>
          <w:rFonts w:cs="FrankRuehl" w:hint="cs"/>
          <w:sz w:val="28"/>
          <w:szCs w:val="28"/>
          <w:rtl/>
        </w:rPr>
        <w:t xml:space="preserve">שותף </w:t>
      </w:r>
      <w:r>
        <w:rPr>
          <w:rFonts w:cs="FrankRuehl"/>
          <w:sz w:val="28"/>
          <w:szCs w:val="28"/>
          <w:rtl/>
        </w:rPr>
        <w:t xml:space="preserve">תלוי ועומד בפני בית המשפט העליון), תוך הדגשה כי עונשו של הנאשם צריך להיות חמור ביותר, בשל עברו הפלילי, הדומיננטיות שלו וריבוי </w:t>
      </w:r>
      <w:r>
        <w:rPr>
          <w:rFonts w:cs="FrankRuehl" w:hint="cs"/>
          <w:sz w:val="28"/>
          <w:szCs w:val="28"/>
          <w:rtl/>
        </w:rPr>
        <w:t>ה</w:t>
      </w:r>
      <w:r>
        <w:rPr>
          <w:rFonts w:cs="FrankRuehl"/>
          <w:sz w:val="28"/>
          <w:szCs w:val="28"/>
          <w:rtl/>
        </w:rPr>
        <w:t>עבירות לרבות עבירת סמים.</w:t>
      </w:r>
    </w:p>
    <w:p w14:paraId="29B5A116" w14:textId="77777777" w:rsidR="0076272A" w:rsidRDefault="0076272A">
      <w:pPr>
        <w:spacing w:line="360" w:lineRule="auto"/>
        <w:ind w:left="720"/>
        <w:jc w:val="both"/>
        <w:rPr>
          <w:rFonts w:cs="FrankRuehl"/>
          <w:sz w:val="28"/>
          <w:szCs w:val="28"/>
        </w:rPr>
      </w:pPr>
    </w:p>
    <w:p w14:paraId="37F18742"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ב"כ הנאשם ביקש להסתפק בתקופת מעצרו של הנאשם ולשחררו מיד לאחר גזר הדין, כשהוא מבקש לראות בכל האישומים מעשה אחד ולגזור בגינם עונש אחד. בטיעוניו ניתח את השינוי החיובי שחל בהתנהגות הנאשם במהלך המשפט וביטוי לכך </w:t>
      </w:r>
      <w:r>
        <w:rPr>
          <w:rFonts w:cs="FrankRuehl" w:hint="cs"/>
          <w:sz w:val="28"/>
          <w:szCs w:val="28"/>
          <w:rtl/>
        </w:rPr>
        <w:t xml:space="preserve">ניתן למצוא </w:t>
      </w:r>
      <w:r>
        <w:rPr>
          <w:rFonts w:cs="FrankRuehl"/>
          <w:sz w:val="28"/>
          <w:szCs w:val="28"/>
          <w:rtl/>
        </w:rPr>
        <w:t>לדבריו בתסקיר החיובי של שירות המבחן. נסיבות חייו הקשות גרמו להידרדרותו לסמים, וחלקו על פי עובדות כתב האישום המתוקן אינו נמצא ברף הגבוה של המעשים. פני הנאשם לשיקום ויש להעדיף אפשרות זו, הוא מנסה להיגמל מסמים במיוחד לאור הולדת בתו במהלך מעצרו.  בתמיכה לטענותיו הפנה לפסקי דין שונים (ס/1) בהם נגזרו עונשים של 10, 8 חודשי מאסר או עבודות שירות.</w:t>
      </w:r>
    </w:p>
    <w:p w14:paraId="47DEC6A4" w14:textId="77777777" w:rsidR="0076272A" w:rsidRDefault="001C600E">
      <w:pPr>
        <w:spacing w:line="360" w:lineRule="auto"/>
        <w:ind w:left="720"/>
        <w:jc w:val="both"/>
        <w:rPr>
          <w:rFonts w:cs="FrankRuehl"/>
          <w:sz w:val="28"/>
          <w:szCs w:val="28"/>
          <w:rtl/>
        </w:rPr>
      </w:pPr>
      <w:r>
        <w:rPr>
          <w:rFonts w:cs="FrankRuehl"/>
          <w:sz w:val="28"/>
          <w:szCs w:val="28"/>
          <w:rtl/>
        </w:rPr>
        <w:t xml:space="preserve">בתום הטיעונים </w:t>
      </w:r>
      <w:r>
        <w:rPr>
          <w:rFonts w:cs="FrankRuehl" w:hint="cs"/>
          <w:sz w:val="28"/>
          <w:szCs w:val="28"/>
          <w:rtl/>
        </w:rPr>
        <w:t xml:space="preserve">לעונש </w:t>
      </w:r>
      <w:r>
        <w:rPr>
          <w:rFonts w:cs="FrankRuehl"/>
          <w:sz w:val="28"/>
          <w:szCs w:val="28"/>
          <w:rtl/>
        </w:rPr>
        <w:t>ביקש הנאשם למסור דברים שכתב (ס/2), לפיהם הביע חרטה על מעשיו, תאר את השימוש בסמים שהביאו לביצוע המעשים שלא גרמו לו להתעשר ובמיוחד תאר את השינוי בחייו, הפיכתו לאב, במהלך מעצרו.</w:t>
      </w:r>
    </w:p>
    <w:p w14:paraId="48776F59" w14:textId="77777777" w:rsidR="0076272A" w:rsidRDefault="0076272A">
      <w:pPr>
        <w:spacing w:line="360" w:lineRule="auto"/>
        <w:ind w:left="720"/>
        <w:jc w:val="both"/>
        <w:rPr>
          <w:rFonts w:cs="FrankRuehl"/>
          <w:sz w:val="28"/>
          <w:szCs w:val="28"/>
        </w:rPr>
      </w:pPr>
    </w:p>
    <w:p w14:paraId="28F78725" w14:textId="77777777" w:rsidR="0076272A" w:rsidRDefault="001C600E">
      <w:pPr>
        <w:spacing w:line="360" w:lineRule="auto"/>
        <w:ind w:left="360" w:firstLine="360"/>
        <w:jc w:val="both"/>
        <w:rPr>
          <w:rFonts w:cs="Miriam"/>
        </w:rPr>
      </w:pPr>
      <w:r>
        <w:rPr>
          <w:rFonts w:cs="Miriam"/>
          <w:rtl/>
        </w:rPr>
        <w:t>דיון</w:t>
      </w:r>
    </w:p>
    <w:p w14:paraId="3B0859CD" w14:textId="77777777" w:rsidR="0076272A" w:rsidRDefault="001C600E">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39" w:history="1">
        <w:r w:rsidR="00AD3BDF" w:rsidRPr="00AD3BDF">
          <w:rPr>
            <w:rStyle w:val="Hyperlink"/>
            <w:rFonts w:cs="FrankRuehl"/>
            <w:sz w:val="28"/>
            <w:szCs w:val="28"/>
            <w:rtl/>
          </w:rPr>
          <w:t>סעיף 40ב'</w:t>
        </w:r>
      </w:hyperlink>
      <w:r>
        <w:rPr>
          <w:rFonts w:cs="FrankRuehl"/>
          <w:color w:val="000000"/>
          <w:sz w:val="28"/>
          <w:szCs w:val="28"/>
          <w:rtl/>
        </w:rPr>
        <w:t xml:space="preserve"> לחוק).</w:t>
      </w:r>
    </w:p>
    <w:p w14:paraId="4A69F2A0" w14:textId="77777777" w:rsidR="0076272A" w:rsidRDefault="0076272A">
      <w:pPr>
        <w:spacing w:line="360" w:lineRule="auto"/>
        <w:ind w:left="720"/>
        <w:jc w:val="both"/>
        <w:rPr>
          <w:rFonts w:cs="FrankRuehl"/>
          <w:color w:val="000000"/>
          <w:sz w:val="28"/>
          <w:szCs w:val="28"/>
          <w:rtl/>
        </w:rPr>
      </w:pPr>
    </w:p>
    <w:p w14:paraId="5D8DC634" w14:textId="77777777" w:rsidR="0076272A" w:rsidRDefault="001C600E">
      <w:pPr>
        <w:spacing w:line="360" w:lineRule="auto"/>
        <w:ind w:left="720"/>
        <w:jc w:val="both"/>
        <w:rPr>
          <w:rFonts w:cs="Miriam"/>
          <w:color w:val="000000"/>
          <w:rtl/>
        </w:rPr>
      </w:pPr>
      <w:r>
        <w:rPr>
          <w:rFonts w:cs="Miriam"/>
          <w:color w:val="000000"/>
          <w:rtl/>
        </w:rPr>
        <w:t>ריבוי עבירות</w:t>
      </w:r>
    </w:p>
    <w:p w14:paraId="22F9B02E" w14:textId="77777777" w:rsidR="0076272A" w:rsidRDefault="001C600E">
      <w:pPr>
        <w:spacing w:line="360" w:lineRule="auto"/>
        <w:ind w:left="720"/>
        <w:jc w:val="both"/>
        <w:rPr>
          <w:rFonts w:hAnsi="David" w:cs="FrankRuehl"/>
          <w:color w:val="000000"/>
          <w:sz w:val="28"/>
          <w:szCs w:val="28"/>
        </w:rPr>
      </w:pPr>
      <w:r>
        <w:rPr>
          <w:rFonts w:cs="FrankRuehl"/>
          <w:sz w:val="28"/>
          <w:szCs w:val="28"/>
          <w:rtl/>
        </w:rPr>
        <w:t>בכתב האישום המתוקן רוכזו 4 אישומים שונים, עובדות כל אישום ספציפיות ושונות מהאישומים האחרים ובכלל זה תאריכי האישומים שונים, כך שמדובר בארבעה ארועים שונים. מקרה זה מכונה בתיקון 113 לחוק "ריבוי עבירות" ולגביו נקבע</w:t>
      </w:r>
      <w:r>
        <w:rPr>
          <w:rFonts w:cs="FrankRuehl"/>
          <w:color w:val="000000"/>
          <w:sz w:val="28"/>
          <w:szCs w:val="28"/>
          <w:rtl/>
        </w:rPr>
        <w:t xml:space="preserve"> כך </w:t>
      </w:r>
      <w:hyperlink r:id="rId40" w:history="1">
        <w:r w:rsidR="00AD3BDF" w:rsidRPr="00AD3BDF">
          <w:rPr>
            <w:rStyle w:val="Hyperlink"/>
            <w:rFonts w:cs="FrankRuehl"/>
            <w:sz w:val="28"/>
            <w:szCs w:val="28"/>
            <w:rtl/>
          </w:rPr>
          <w:t>בסעיף 40יג'</w:t>
        </w:r>
      </w:hyperlink>
      <w:r>
        <w:rPr>
          <w:rFonts w:cs="FrankRuehl"/>
          <w:color w:val="000000"/>
          <w:sz w:val="28"/>
          <w:szCs w:val="28"/>
          <w:rtl/>
        </w:rPr>
        <w:t>:</w:t>
      </w:r>
    </w:p>
    <w:p w14:paraId="5FE88EC7" w14:textId="77777777" w:rsidR="0076272A" w:rsidRDefault="001C600E">
      <w:pPr>
        <w:ind w:left="1440" w:right="709"/>
        <w:jc w:val="both"/>
        <w:outlineLvl w:val="0"/>
        <w:rPr>
          <w:rFonts w:cs="FrankRuehl"/>
          <w:sz w:val="28"/>
          <w:szCs w:val="28"/>
          <w:rtl/>
        </w:rPr>
      </w:pPr>
      <w:r>
        <w:rPr>
          <w:rFonts w:cs="FrankRuehl"/>
          <w:sz w:val="28"/>
          <w:szCs w:val="28"/>
          <w:rtl/>
        </w:rPr>
        <w:t>"(ב) הרשיע בית המשפט נאשם במספר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77BA5FBA" w14:textId="77777777" w:rsidR="0076272A" w:rsidRDefault="001C600E">
      <w:pPr>
        <w:ind w:left="1440" w:right="709"/>
        <w:jc w:val="both"/>
        <w:outlineLvl w:val="0"/>
        <w:rPr>
          <w:rFonts w:cs="FrankRuehl"/>
          <w:sz w:val="28"/>
          <w:szCs w:val="28"/>
          <w:rtl/>
        </w:rPr>
      </w:pPr>
      <w:r>
        <w:rPr>
          <w:rFonts w:cs="FrankRuehl"/>
          <w:sz w:val="28"/>
          <w:szCs w:val="28"/>
          <w:rtl/>
        </w:rPr>
        <w:t>(ג)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43F750F1" w14:textId="77777777" w:rsidR="0076272A" w:rsidRDefault="001C600E">
      <w:pPr>
        <w:spacing w:line="360" w:lineRule="auto"/>
        <w:jc w:val="both"/>
        <w:outlineLvl w:val="0"/>
        <w:rPr>
          <w:rFonts w:cs="FrankRuehl"/>
          <w:sz w:val="28"/>
          <w:szCs w:val="28"/>
          <w:rtl/>
        </w:rPr>
      </w:pPr>
      <w:r>
        <w:rPr>
          <w:rFonts w:cs="FrankRuehl"/>
          <w:sz w:val="28"/>
          <w:szCs w:val="28"/>
          <w:rtl/>
        </w:rPr>
        <w:tab/>
      </w:r>
    </w:p>
    <w:p w14:paraId="01E8F676" w14:textId="77777777" w:rsidR="0076272A" w:rsidRDefault="001C600E">
      <w:pPr>
        <w:spacing w:line="360" w:lineRule="auto"/>
        <w:ind w:left="720"/>
        <w:jc w:val="both"/>
        <w:outlineLvl w:val="0"/>
        <w:rPr>
          <w:rFonts w:cs="FrankRuehl"/>
          <w:sz w:val="28"/>
          <w:szCs w:val="28"/>
          <w:rtl/>
        </w:rPr>
      </w:pPr>
      <w:r>
        <w:rPr>
          <w:rFonts w:cs="FrankRuehl"/>
          <w:sz w:val="28"/>
          <w:szCs w:val="28"/>
          <w:rtl/>
        </w:rPr>
        <w:t>צדקה המאשימה בטיעוניה בהתייחסותה למתחם העונש ההולם לכל א</w:t>
      </w:r>
      <w:r>
        <w:rPr>
          <w:rFonts w:cs="FrankRuehl" w:hint="cs"/>
          <w:sz w:val="28"/>
          <w:szCs w:val="28"/>
          <w:rtl/>
        </w:rPr>
        <w:t>י</w:t>
      </w:r>
      <w:r>
        <w:rPr>
          <w:rFonts w:cs="FrankRuehl"/>
          <w:sz w:val="28"/>
          <w:szCs w:val="28"/>
          <w:rtl/>
        </w:rPr>
        <w:t>רוע (אישום במקרה זה</w:t>
      </w:r>
      <w:r>
        <w:rPr>
          <w:rFonts w:cs="FrankRuehl" w:hint="cs"/>
          <w:sz w:val="28"/>
          <w:szCs w:val="28"/>
          <w:rtl/>
        </w:rPr>
        <w:t>).</w:t>
      </w:r>
      <w:r>
        <w:rPr>
          <w:rFonts w:cs="FrankRuehl"/>
          <w:sz w:val="28"/>
          <w:szCs w:val="28"/>
          <w:rtl/>
        </w:rPr>
        <w:t xml:space="preserve"> מקובלת עליי בקשת הסנגור</w:t>
      </w:r>
      <w:r>
        <w:rPr>
          <w:rFonts w:cs="FrankRuehl" w:hint="cs"/>
          <w:color w:val="000000"/>
          <w:sz w:val="28"/>
          <w:szCs w:val="28"/>
          <w:rtl/>
        </w:rPr>
        <w:t xml:space="preserve"> לקבוע עונש כולל</w:t>
      </w:r>
      <w:r>
        <w:rPr>
          <w:rFonts w:cs="FrankRuehl"/>
          <w:color w:val="000000"/>
          <w:sz w:val="28"/>
          <w:szCs w:val="28"/>
          <w:rtl/>
        </w:rPr>
        <w:t xml:space="preserve"> ו</w:t>
      </w:r>
      <w:r>
        <w:rPr>
          <w:rFonts w:cs="FrankRuehl"/>
          <w:sz w:val="28"/>
          <w:szCs w:val="28"/>
          <w:rtl/>
        </w:rPr>
        <w:t xml:space="preserve">בהתאם </w:t>
      </w:r>
      <w:hyperlink r:id="rId41" w:history="1">
        <w:r w:rsidR="00AD3BDF" w:rsidRPr="00AD3BDF">
          <w:rPr>
            <w:rStyle w:val="Hyperlink"/>
            <w:rFonts w:cs="FrankRuehl"/>
            <w:sz w:val="28"/>
            <w:szCs w:val="28"/>
            <w:rtl/>
          </w:rPr>
          <w:t>לסעיף 40יג(ב)</w:t>
        </w:r>
      </w:hyperlink>
      <w:r>
        <w:rPr>
          <w:rFonts w:cs="FrankRuehl"/>
          <w:sz w:val="28"/>
          <w:szCs w:val="28"/>
          <w:rtl/>
        </w:rPr>
        <w:t xml:space="preserve"> בשלב קביעת העונש המתאים אגזור עונש כולל לכל האירועים.</w:t>
      </w:r>
    </w:p>
    <w:p w14:paraId="6143B63A" w14:textId="77777777" w:rsidR="0076272A" w:rsidRDefault="0076272A">
      <w:pPr>
        <w:spacing w:line="360" w:lineRule="auto"/>
        <w:ind w:left="720"/>
        <w:jc w:val="both"/>
        <w:outlineLvl w:val="0"/>
        <w:rPr>
          <w:rFonts w:hAnsi="David" w:cs="FrankRuehl"/>
          <w:color w:val="000000"/>
          <w:sz w:val="28"/>
          <w:szCs w:val="28"/>
        </w:rPr>
      </w:pPr>
    </w:p>
    <w:p w14:paraId="7DB2B319" w14:textId="77777777" w:rsidR="0076272A" w:rsidRDefault="001C600E">
      <w:pPr>
        <w:spacing w:line="360" w:lineRule="auto"/>
        <w:ind w:left="360" w:firstLine="360"/>
        <w:jc w:val="both"/>
        <w:rPr>
          <w:rFonts w:cs="Miriam"/>
          <w:rtl/>
        </w:rPr>
      </w:pPr>
      <w:r>
        <w:rPr>
          <w:rFonts w:cs="Miriam"/>
          <w:rtl/>
        </w:rPr>
        <w:t>מתחם העונש ההולם</w:t>
      </w:r>
      <w:r>
        <w:rPr>
          <w:rFonts w:cs="Miriam" w:hint="cs"/>
          <w:rtl/>
        </w:rPr>
        <w:t>-</w:t>
      </w:r>
      <w:r>
        <w:rPr>
          <w:rFonts w:cs="Miriam"/>
          <w:rtl/>
        </w:rPr>
        <w:t>האישום הראשון</w:t>
      </w:r>
    </w:p>
    <w:p w14:paraId="4B8DC9BB" w14:textId="77777777" w:rsidR="0076272A" w:rsidRDefault="001C600E">
      <w:pPr>
        <w:numPr>
          <w:ilvl w:val="0"/>
          <w:numId w:val="2"/>
        </w:numPr>
        <w:spacing w:line="360" w:lineRule="auto"/>
        <w:jc w:val="both"/>
        <w:rPr>
          <w:rFonts w:cs="FrankRuehl"/>
          <w:sz w:val="28"/>
          <w:szCs w:val="28"/>
          <w:u w:val="single"/>
        </w:rPr>
      </w:pPr>
      <w:r>
        <w:rPr>
          <w:rFonts w:cs="FrankRuehl"/>
          <w:sz w:val="28"/>
          <w:szCs w:val="28"/>
          <w:rtl/>
        </w:rPr>
        <w:t>הנאשם הורשע</w:t>
      </w:r>
      <w:r>
        <w:rPr>
          <w:rFonts w:cs="FrankRuehl" w:hint="cs"/>
          <w:sz w:val="28"/>
          <w:szCs w:val="28"/>
          <w:rtl/>
        </w:rPr>
        <w:t xml:space="preserve"> בעבירה של</w:t>
      </w:r>
      <w:r>
        <w:rPr>
          <w:rFonts w:cs="FrankRuehl"/>
          <w:sz w:val="28"/>
          <w:szCs w:val="28"/>
          <w:rtl/>
        </w:rPr>
        <w:t xml:space="preserve"> </w:t>
      </w:r>
      <w:r>
        <w:rPr>
          <w:rFonts w:cs="FrankRuehl" w:hint="cs"/>
          <w:sz w:val="28"/>
          <w:szCs w:val="28"/>
          <w:rtl/>
        </w:rPr>
        <w:t>ס</w:t>
      </w:r>
      <w:r>
        <w:rPr>
          <w:rFonts w:cs="FrankRuehl"/>
          <w:sz w:val="28"/>
          <w:szCs w:val="28"/>
          <w:rtl/>
        </w:rPr>
        <w:t>חר בסמים מסוכנים, 26.4212 גרם נטו של קוקאין. סחר בסמים מסוכנים, מסכן חיי אדם, פוגע בשלום הציבור ובב</w:t>
      </w:r>
      <w:r>
        <w:rPr>
          <w:rFonts w:cs="FrankRuehl" w:hint="cs"/>
          <w:sz w:val="28"/>
          <w:szCs w:val="28"/>
          <w:rtl/>
        </w:rPr>
        <w:t>י</w:t>
      </w:r>
      <w:r>
        <w:rPr>
          <w:rFonts w:cs="FrankRuehl"/>
          <w:sz w:val="28"/>
          <w:szCs w:val="28"/>
          <w:rtl/>
        </w:rPr>
        <w:t>טחונו, פגיעה קשה ביותר.  בנושא מדיניות  הענישה הנהוגה</w:t>
      </w:r>
      <w:r>
        <w:rPr>
          <w:rFonts w:cs="FrankRuehl" w:hint="cs"/>
          <w:sz w:val="28"/>
          <w:szCs w:val="28"/>
          <w:rtl/>
        </w:rPr>
        <w:t>,</w:t>
      </w:r>
      <w:r>
        <w:rPr>
          <w:rFonts w:cs="FrankRuehl"/>
          <w:sz w:val="28"/>
          <w:szCs w:val="28"/>
          <w:rtl/>
        </w:rPr>
        <w:t xml:space="preserve"> בצדק הפנתה ב"כ המאשימה לפסק דינו </w:t>
      </w:r>
      <w:r>
        <w:rPr>
          <w:rFonts w:cs="FrankRuehl" w:hint="cs"/>
          <w:sz w:val="28"/>
          <w:szCs w:val="28"/>
          <w:rtl/>
        </w:rPr>
        <w:t xml:space="preserve">של </w:t>
      </w:r>
      <w:r>
        <w:rPr>
          <w:rFonts w:cs="FrankRuehl"/>
          <w:sz w:val="28"/>
          <w:szCs w:val="28"/>
          <w:rtl/>
        </w:rPr>
        <w:t xml:space="preserve">השופט שהם מיום 24.7.2013, באותו מקרה הורשע הנאשם בעבירות סמים ונשק ונדון ל-40 חודשי מאסר בפועל (בנסיבות קלות יותר מנסיבות התיק שבפניי): </w:t>
      </w:r>
    </w:p>
    <w:p w14:paraId="1980EA52" w14:textId="77777777" w:rsidR="0076272A" w:rsidRDefault="001C600E">
      <w:pPr>
        <w:pStyle w:val="Ruller40"/>
        <w:spacing w:line="240" w:lineRule="auto"/>
        <w:ind w:left="1440" w:right="540"/>
        <w:rPr>
          <w:sz w:val="28"/>
          <w:rtl/>
        </w:rPr>
      </w:pPr>
      <w:r>
        <w:rPr>
          <w:sz w:val="28"/>
          <w:rtl/>
        </w:rPr>
        <w:t xml:space="preserve">"יש להזכיר, בראש ובראשונה, כי המערער הורשע בעבירה של סחר בסמים, הגם שמדובר בכמות קטנה יחסית של קוקאין, במשקל של כ-7 גרם נטו. על מדיניות הענישה בעבירות של סחר בסמים, ניתן ללמוד מדברי השופטת </w:t>
      </w:r>
      <w:r>
        <w:rPr>
          <w:rFonts w:ascii="Times New Roman" w:hAnsi="Times New Roman"/>
          <w:spacing w:val="0"/>
          <w:sz w:val="28"/>
          <w:rtl/>
        </w:rPr>
        <w:t>א' פרוקצ'יה</w:t>
      </w:r>
      <w:r>
        <w:rPr>
          <w:sz w:val="28"/>
          <w:rtl/>
        </w:rPr>
        <w:t xml:space="preserve"> ב</w:t>
      </w:r>
      <w:hyperlink r:id="rId42" w:history="1">
        <w:r w:rsidR="001D22C3" w:rsidRPr="001D22C3">
          <w:rPr>
            <w:rStyle w:val="Hyperlink"/>
            <w:sz w:val="28"/>
            <w:rtl/>
          </w:rPr>
          <w:t>ע"פ 211/09</w:t>
        </w:r>
      </w:hyperlink>
      <w:r>
        <w:rPr>
          <w:sz w:val="28"/>
          <w:rtl/>
        </w:rPr>
        <w:t xml:space="preserve"> </w:t>
      </w:r>
      <w:r>
        <w:rPr>
          <w:rFonts w:ascii="Times New Roman" w:hAnsi="Times New Roman" w:cs="Miriam"/>
          <w:spacing w:val="0"/>
          <w:sz w:val="24"/>
          <w:szCs w:val="24"/>
          <w:rtl/>
        </w:rPr>
        <w:t>אזולאי נ' מדינת ישראל</w:t>
      </w:r>
      <w:r>
        <w:rPr>
          <w:sz w:val="28"/>
          <w:rtl/>
        </w:rPr>
        <w:t xml:space="preserve">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hyperlink r:id="rId43" w:history="1">
        <w:r w:rsidR="001D22C3" w:rsidRPr="001D22C3">
          <w:rPr>
            <w:rStyle w:val="Hyperlink"/>
            <w:sz w:val="28"/>
            <w:rtl/>
          </w:rPr>
          <w:t>ע"פ 9229/12</w:t>
        </w:r>
      </w:hyperlink>
      <w:r>
        <w:rPr>
          <w:sz w:val="28"/>
          <w:rtl/>
        </w:rPr>
        <w:t xml:space="preserve"> </w:t>
      </w:r>
      <w:r>
        <w:rPr>
          <w:rFonts w:cs="Miriam"/>
          <w:sz w:val="24"/>
          <w:szCs w:val="24"/>
          <w:rtl/>
        </w:rPr>
        <w:t>טבראני נגד מדינת ישראל</w:t>
      </w:r>
      <w:r>
        <w:rPr>
          <w:sz w:val="28"/>
          <w:rtl/>
        </w:rPr>
        <w:t xml:space="preserve"> (24.7.2013).</w:t>
      </w:r>
    </w:p>
    <w:p w14:paraId="01AA0809" w14:textId="77777777" w:rsidR="0076272A" w:rsidRDefault="001C600E">
      <w:pPr>
        <w:pStyle w:val="Ruller40"/>
        <w:spacing w:line="240" w:lineRule="auto"/>
        <w:ind w:left="1440" w:right="540"/>
        <w:rPr>
          <w:sz w:val="28"/>
          <w:rtl/>
        </w:rPr>
      </w:pPr>
      <w:r>
        <w:rPr>
          <w:sz w:val="28"/>
          <w:rtl/>
        </w:rPr>
        <w:t xml:space="preserve"> </w:t>
      </w:r>
    </w:p>
    <w:p w14:paraId="7302F63E" w14:textId="77777777" w:rsidR="0076272A" w:rsidRDefault="001C600E">
      <w:pPr>
        <w:pStyle w:val="Ruller40"/>
        <w:ind w:left="720"/>
        <w:rPr>
          <w:sz w:val="28"/>
        </w:rPr>
      </w:pPr>
      <w:r>
        <w:rPr>
          <w:sz w:val="28"/>
          <w:rtl/>
        </w:rPr>
        <w:t>באשר לנסיבות הקשורות בביצוע העבירה (</w:t>
      </w:r>
      <w:hyperlink r:id="rId44" w:history="1">
        <w:r w:rsidR="00AD3BDF" w:rsidRPr="00AD3BDF">
          <w:rPr>
            <w:rStyle w:val="Hyperlink"/>
            <w:sz w:val="28"/>
            <w:rtl/>
          </w:rPr>
          <w:t>סעיף 40ט'</w:t>
        </w:r>
      </w:hyperlink>
      <w:r>
        <w:rPr>
          <w:sz w:val="28"/>
          <w:rtl/>
        </w:rPr>
        <w:t xml:space="preserve"> לחוק), מדובר במעשה מתוכנן ומחושב ע"י הנאשם, אשר שוחח פעמיים עם הסוכן בטלפון, נפגש עימו ותאם את דרך יצירת הקשר (במספר שיחות נוספות) ומיקום מסירת הסם. בביצוע עבירה זו פעל הנאשם בעצמו.  מיותר לשוב ולהזכיר את הנזק העצום הנגרם לחברה ולצרכני הסמים, הנאשם הסביר לקצינת המבחן את מניעיו, התמכרות לסמים מגיל צעיר (גיל 26 לדבריו) שהביאה לנהול "אורח חיים התמכרותי" כהגדרתו בתסקיר.</w:t>
      </w:r>
    </w:p>
    <w:p w14:paraId="53AD9279" w14:textId="77777777" w:rsidR="0076272A" w:rsidRDefault="0076272A">
      <w:pPr>
        <w:pStyle w:val="Ruller40"/>
        <w:ind w:left="720"/>
        <w:rPr>
          <w:sz w:val="28"/>
        </w:rPr>
      </w:pPr>
    </w:p>
    <w:p w14:paraId="44D90B31" w14:textId="77777777" w:rsidR="0076272A" w:rsidRDefault="001C600E">
      <w:pPr>
        <w:spacing w:line="360" w:lineRule="auto"/>
        <w:ind w:left="720"/>
        <w:jc w:val="both"/>
        <w:rPr>
          <w:rFonts w:cs="FrankRuehl"/>
          <w:sz w:val="28"/>
          <w:szCs w:val="28"/>
          <w:rtl/>
        </w:rPr>
      </w:pPr>
      <w:r>
        <w:rPr>
          <w:rFonts w:cs="FrankRuehl"/>
          <w:sz w:val="28"/>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בפועל של </w:t>
      </w:r>
      <w:r>
        <w:rPr>
          <w:rFonts w:cs="FrankRuehl"/>
          <w:sz w:val="28"/>
          <w:szCs w:val="28"/>
          <w:u w:val="single"/>
          <w:rtl/>
        </w:rPr>
        <w:t xml:space="preserve">24-48 </w:t>
      </w:r>
      <w:r>
        <w:rPr>
          <w:rFonts w:cs="FrankRuehl"/>
          <w:sz w:val="28"/>
          <w:szCs w:val="28"/>
          <w:rtl/>
        </w:rPr>
        <w:t xml:space="preserve">חודשי מאסר. הענישה תכלול גם פסילה מלנהוג ובעת קביעת המתחם לקחתי בחשבון גם נתון זה. </w:t>
      </w:r>
    </w:p>
    <w:p w14:paraId="558F2B78" w14:textId="77777777" w:rsidR="0076272A" w:rsidRDefault="0076272A">
      <w:pPr>
        <w:spacing w:line="360" w:lineRule="auto"/>
        <w:ind w:left="720"/>
        <w:jc w:val="both"/>
        <w:rPr>
          <w:rFonts w:cs="FrankRuehl"/>
          <w:sz w:val="28"/>
          <w:szCs w:val="28"/>
          <w:rtl/>
        </w:rPr>
      </w:pPr>
    </w:p>
    <w:p w14:paraId="70837E2C" w14:textId="77777777" w:rsidR="0076272A" w:rsidRDefault="0076272A">
      <w:pPr>
        <w:spacing w:line="360" w:lineRule="auto"/>
        <w:ind w:left="720"/>
        <w:jc w:val="both"/>
        <w:rPr>
          <w:rFonts w:cs="FrankRuehl"/>
          <w:sz w:val="28"/>
          <w:szCs w:val="28"/>
          <w:rtl/>
        </w:rPr>
      </w:pPr>
    </w:p>
    <w:p w14:paraId="7F8C472E" w14:textId="77777777" w:rsidR="0076272A" w:rsidRDefault="0076272A">
      <w:pPr>
        <w:spacing w:line="360" w:lineRule="auto"/>
        <w:ind w:left="720"/>
        <w:jc w:val="both"/>
        <w:rPr>
          <w:rFonts w:cs="FrankRuehl"/>
          <w:sz w:val="28"/>
          <w:szCs w:val="28"/>
        </w:rPr>
      </w:pPr>
    </w:p>
    <w:p w14:paraId="4393B0D0" w14:textId="77777777" w:rsidR="0076272A" w:rsidRDefault="001C600E">
      <w:pPr>
        <w:spacing w:line="360" w:lineRule="auto"/>
        <w:ind w:left="360" w:firstLine="360"/>
        <w:jc w:val="both"/>
        <w:rPr>
          <w:rFonts w:cs="Miriam"/>
        </w:rPr>
      </w:pPr>
      <w:r>
        <w:rPr>
          <w:rFonts w:cs="Miriam"/>
          <w:rtl/>
        </w:rPr>
        <w:t>מתחם העונש ההולם באישומים-שני שלישי רביעי.</w:t>
      </w:r>
    </w:p>
    <w:p w14:paraId="13F2F435" w14:textId="77777777" w:rsidR="0076272A" w:rsidRDefault="001C600E">
      <w:pPr>
        <w:numPr>
          <w:ilvl w:val="0"/>
          <w:numId w:val="2"/>
        </w:numPr>
        <w:spacing w:line="360" w:lineRule="auto"/>
        <w:jc w:val="both"/>
        <w:rPr>
          <w:rFonts w:cs="FrankRuehl"/>
          <w:sz w:val="28"/>
          <w:szCs w:val="28"/>
        </w:rPr>
      </w:pPr>
      <w:r>
        <w:rPr>
          <w:rFonts w:cs="FrankRuehl"/>
          <w:sz w:val="28"/>
          <w:szCs w:val="28"/>
          <w:rtl/>
        </w:rPr>
        <w:t>שלושת האישומים האחרים דנים בעבירות בנשק: סיוע לסחר באקדח, סחר באקדח</w:t>
      </w:r>
      <w:r>
        <w:rPr>
          <w:rFonts w:cs="FrankRuehl" w:hint="cs"/>
          <w:sz w:val="28"/>
          <w:szCs w:val="28"/>
          <w:rtl/>
        </w:rPr>
        <w:t xml:space="preserve"> ו</w:t>
      </w:r>
      <w:r>
        <w:rPr>
          <w:rFonts w:cs="FrankRuehl"/>
          <w:sz w:val="28"/>
          <w:szCs w:val="28"/>
          <w:rtl/>
        </w:rPr>
        <w:t>מחסנית וניסיון לסחור בתת מקלע מאולתר ורימון גז אותם נשא והוביל הנאשם. עבירות בנשק מסכנות את שלומו ובטחונו של הציבור ובמקרה זה בכל אחד משלושת המקרים הפגיעה בערך החברתי האמור חמורה, מסירת אקדח לאדם שזהותו ומטרותיו אינן ידועות עלולה להביא לשימוש בנשק</w:t>
      </w:r>
      <w:r>
        <w:rPr>
          <w:rFonts w:cs="FrankRuehl" w:hint="cs"/>
          <w:sz w:val="28"/>
          <w:szCs w:val="28"/>
          <w:rtl/>
        </w:rPr>
        <w:t xml:space="preserve"> למטרות בלתי חוקיות</w:t>
      </w:r>
      <w:r>
        <w:rPr>
          <w:rFonts w:cs="FrankRuehl"/>
          <w:sz w:val="28"/>
          <w:szCs w:val="28"/>
          <w:rtl/>
        </w:rPr>
        <w:t>, בין אם מדובר באקדח, רימון או תת מקלע מאולתר.</w:t>
      </w:r>
    </w:p>
    <w:p w14:paraId="6A8F4428" w14:textId="77777777" w:rsidR="0076272A" w:rsidRDefault="0076272A">
      <w:pPr>
        <w:spacing w:line="360" w:lineRule="auto"/>
        <w:ind w:left="720"/>
        <w:jc w:val="both"/>
        <w:rPr>
          <w:rFonts w:cs="FrankRuehl"/>
          <w:sz w:val="28"/>
          <w:szCs w:val="28"/>
        </w:rPr>
      </w:pPr>
    </w:p>
    <w:p w14:paraId="1536A77F" w14:textId="77777777" w:rsidR="0076272A" w:rsidRDefault="001C600E">
      <w:pPr>
        <w:spacing w:line="360" w:lineRule="auto"/>
        <w:ind w:left="720"/>
        <w:jc w:val="both"/>
        <w:rPr>
          <w:rFonts w:cs="FrankRuehl"/>
          <w:sz w:val="28"/>
          <w:szCs w:val="28"/>
        </w:rPr>
      </w:pPr>
      <w:r>
        <w:rPr>
          <w:rFonts w:cs="FrankRuehl"/>
          <w:sz w:val="28"/>
          <w:szCs w:val="28"/>
          <w:rtl/>
        </w:rPr>
        <w:t>בעני</w:t>
      </w:r>
      <w:r>
        <w:rPr>
          <w:rFonts w:cs="FrankRuehl" w:hint="cs"/>
          <w:sz w:val="28"/>
          <w:szCs w:val="28"/>
          <w:rtl/>
        </w:rPr>
        <w:t>י</w:t>
      </w:r>
      <w:r>
        <w:rPr>
          <w:rFonts w:cs="FrankRuehl"/>
          <w:sz w:val="28"/>
          <w:szCs w:val="28"/>
          <w:rtl/>
        </w:rPr>
        <w:t>ן מדיניות הענישה הנוהגת אפנה לפסק דינו של השופט עוזי פוגלמן מיום 31.7.2013 שדן בסיוע לביצוע עבירות בנשק:</w:t>
      </w:r>
    </w:p>
    <w:p w14:paraId="6CC47B5D" w14:textId="77777777" w:rsidR="0076272A" w:rsidRDefault="001C600E">
      <w:pPr>
        <w:pStyle w:val="Ruller4"/>
        <w:numPr>
          <w:ilvl w:val="0"/>
          <w:numId w:val="0"/>
        </w:numPr>
        <w:spacing w:line="240" w:lineRule="auto"/>
        <w:ind w:left="1440"/>
        <w:rPr>
          <w:sz w:val="28"/>
          <w:rtl/>
        </w:rPr>
      </w:pPr>
      <w:r>
        <w:rPr>
          <w:sz w:val="28"/>
          <w:rtl/>
        </w:rPr>
        <w:t>"</w:t>
      </w:r>
      <w:r>
        <w:rPr>
          <w:rFonts w:hint="eastAsia"/>
          <w:sz w:val="28"/>
          <w:rtl/>
        </w:rPr>
        <w:t>בית</w:t>
      </w:r>
      <w:r>
        <w:rPr>
          <w:sz w:val="28"/>
          <w:rtl/>
        </w:rPr>
        <w:t xml:space="preserve"> </w:t>
      </w:r>
      <w:r>
        <w:rPr>
          <w:rFonts w:hint="eastAsia"/>
          <w:sz w:val="28"/>
          <w:rtl/>
        </w:rPr>
        <w:t>משפט</w:t>
      </w:r>
      <w:r>
        <w:rPr>
          <w:sz w:val="28"/>
          <w:rtl/>
        </w:rPr>
        <w:t xml:space="preserve"> </w:t>
      </w:r>
      <w:r>
        <w:rPr>
          <w:rFonts w:hint="eastAsia"/>
          <w:sz w:val="28"/>
          <w:rtl/>
        </w:rPr>
        <w:t>זה</w:t>
      </w:r>
      <w:r>
        <w:rPr>
          <w:sz w:val="28"/>
          <w:rtl/>
        </w:rPr>
        <w:t xml:space="preserve"> </w:t>
      </w:r>
      <w:r>
        <w:rPr>
          <w:rFonts w:hint="eastAsia"/>
          <w:sz w:val="28"/>
          <w:rtl/>
        </w:rPr>
        <w:t>עמד</w:t>
      </w:r>
      <w:r>
        <w:rPr>
          <w:sz w:val="28"/>
          <w:rtl/>
        </w:rPr>
        <w:t xml:space="preserve"> </w:t>
      </w:r>
      <w:r>
        <w:rPr>
          <w:rFonts w:hint="eastAsia"/>
          <w:sz w:val="28"/>
          <w:rtl/>
        </w:rPr>
        <w:t>לא</w:t>
      </w:r>
      <w:r>
        <w:rPr>
          <w:sz w:val="28"/>
          <w:rtl/>
        </w:rPr>
        <w:t xml:space="preserve"> </w:t>
      </w:r>
      <w:r>
        <w:rPr>
          <w:rFonts w:hint="eastAsia"/>
          <w:sz w:val="28"/>
          <w:rtl/>
        </w:rPr>
        <w:t>אחת</w:t>
      </w:r>
      <w:r>
        <w:rPr>
          <w:sz w:val="28"/>
          <w:rtl/>
        </w:rPr>
        <w:t xml:space="preserve"> </w:t>
      </w:r>
      <w:r>
        <w:rPr>
          <w:rFonts w:hint="eastAsia"/>
          <w:sz w:val="28"/>
          <w:rtl/>
        </w:rPr>
        <w:t>על</w:t>
      </w:r>
      <w:r>
        <w:rPr>
          <w:sz w:val="28"/>
          <w:rtl/>
        </w:rPr>
        <w:t xml:space="preserve"> </w:t>
      </w:r>
      <w:r>
        <w:rPr>
          <w:rFonts w:hint="eastAsia"/>
          <w:sz w:val="28"/>
          <w:rtl/>
        </w:rPr>
        <w:t>חומרתן</w:t>
      </w:r>
      <w:r>
        <w:rPr>
          <w:sz w:val="28"/>
          <w:rtl/>
        </w:rPr>
        <w:t xml:space="preserve"> </w:t>
      </w:r>
      <w:r>
        <w:rPr>
          <w:rFonts w:hint="eastAsia"/>
          <w:sz w:val="28"/>
          <w:rtl/>
        </w:rPr>
        <w:t>של</w:t>
      </w:r>
      <w:r>
        <w:rPr>
          <w:sz w:val="28"/>
          <w:rtl/>
        </w:rPr>
        <w:t xml:space="preserve"> </w:t>
      </w:r>
      <w:r>
        <w:rPr>
          <w:rFonts w:hint="eastAsia"/>
          <w:sz w:val="28"/>
          <w:rtl/>
        </w:rPr>
        <w:t>עבירות</w:t>
      </w:r>
      <w:r>
        <w:rPr>
          <w:sz w:val="28"/>
          <w:rtl/>
        </w:rPr>
        <w:t xml:space="preserve"> </w:t>
      </w:r>
      <w:r>
        <w:rPr>
          <w:rFonts w:hint="eastAsia"/>
          <w:sz w:val="28"/>
          <w:rtl/>
        </w:rPr>
        <w:t>הנשק</w:t>
      </w:r>
      <w:r>
        <w:rPr>
          <w:sz w:val="28"/>
          <w:rtl/>
        </w:rPr>
        <w:t xml:space="preserve"> </w:t>
      </w:r>
      <w:r>
        <w:rPr>
          <w:rFonts w:hint="eastAsia"/>
          <w:sz w:val="28"/>
          <w:rtl/>
        </w:rPr>
        <w:t>השונות</w:t>
      </w:r>
      <w:r>
        <w:rPr>
          <w:sz w:val="28"/>
          <w:rtl/>
        </w:rPr>
        <w:t xml:space="preserve">, </w:t>
      </w:r>
      <w:r>
        <w:rPr>
          <w:rFonts w:hint="eastAsia"/>
          <w:sz w:val="28"/>
          <w:rtl/>
        </w:rPr>
        <w:t>שהן</w:t>
      </w:r>
      <w:r>
        <w:rPr>
          <w:sz w:val="28"/>
          <w:rtl/>
        </w:rPr>
        <w:t xml:space="preserve"> </w:t>
      </w:r>
      <w:r>
        <w:rPr>
          <w:rFonts w:ascii="Times New Roman" w:hAnsi="Times New Roman"/>
          <w:sz w:val="28"/>
          <w:rtl/>
        </w:rPr>
        <w:t xml:space="preserve">עבירות המסכנות את שלומו ובטחונו של הציבור (ראו, בין רבים: </w:t>
      </w:r>
      <w:hyperlink r:id="rId45" w:history="1">
        <w:r w:rsidR="001D22C3" w:rsidRPr="001D22C3">
          <w:rPr>
            <w:rStyle w:val="Hyperlink"/>
            <w:rFonts w:ascii="Times New Roman" w:hAnsi="Times New Roman"/>
            <w:sz w:val="28"/>
            <w:rtl/>
          </w:rPr>
          <w:t>ע"פ 4450/11</w:t>
        </w:r>
      </w:hyperlink>
      <w:r>
        <w:rPr>
          <w:rFonts w:ascii="Times New Roman" w:hAnsi="Times New Roman"/>
          <w:sz w:val="28"/>
          <w:rtl/>
        </w:rPr>
        <w:t xml:space="preserve"> </w:t>
      </w:r>
      <w:r>
        <w:rPr>
          <w:rFonts w:ascii="Century" w:hAnsi="Century" w:cs="Miriam" w:hint="eastAsia"/>
          <w:b/>
          <w:spacing w:val="0"/>
          <w:szCs w:val="24"/>
          <w:rtl/>
        </w:rPr>
        <w:t>עספור</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rFonts w:ascii="Times New Roman" w:hAnsi="Times New Roman"/>
          <w:sz w:val="28"/>
          <w:rtl/>
        </w:rPr>
        <w:t xml:space="preserve">, פסקה 7 (8.2.2012) (להלן: </w:t>
      </w:r>
      <w:r>
        <w:rPr>
          <w:rFonts w:hint="eastAsia"/>
          <w:sz w:val="28"/>
          <w:rtl/>
        </w:rPr>
        <w:t>עניין</w:t>
      </w:r>
      <w:r>
        <w:rPr>
          <w:rFonts w:ascii="Century" w:hAnsi="Century"/>
          <w:b/>
          <w:spacing w:val="0"/>
          <w:sz w:val="28"/>
          <w:rtl/>
        </w:rPr>
        <w:t xml:space="preserve"> </w:t>
      </w:r>
      <w:r>
        <w:rPr>
          <w:rFonts w:ascii="Century" w:hAnsi="Century" w:cs="Miriam" w:hint="eastAsia"/>
          <w:b/>
          <w:spacing w:val="0"/>
          <w:szCs w:val="24"/>
          <w:rtl/>
        </w:rPr>
        <w:t>עספור</w:t>
      </w:r>
      <w:r>
        <w:rPr>
          <w:rFonts w:cs="Miriam"/>
          <w:szCs w:val="24"/>
          <w:rtl/>
        </w:rPr>
        <w:t>)</w:t>
      </w:r>
      <w:r>
        <w:rPr>
          <w:rFonts w:ascii="Times New Roman" w:hAnsi="Times New Roman"/>
          <w:sz w:val="28"/>
          <w:rtl/>
        </w:rPr>
        <w:t xml:space="preserve">; </w:t>
      </w:r>
      <w:hyperlink r:id="rId46" w:history="1">
        <w:r w:rsidR="001D22C3" w:rsidRPr="001D22C3">
          <w:rPr>
            <w:rStyle w:val="Hyperlink"/>
            <w:rFonts w:ascii="Times New Roman" w:hAnsi="Times New Roman"/>
            <w:sz w:val="28"/>
            <w:rtl/>
          </w:rPr>
          <w:t>ע"פ 3401/11</w:t>
        </w:r>
      </w:hyperlink>
      <w:r>
        <w:rPr>
          <w:rFonts w:ascii="Times New Roman" w:hAnsi="Times New Roman"/>
          <w:sz w:val="28"/>
          <w:rtl/>
        </w:rPr>
        <w:t xml:space="preserve"> </w:t>
      </w:r>
      <w:r>
        <w:rPr>
          <w:rFonts w:ascii="Century" w:hAnsi="Century" w:cs="Miriam" w:hint="eastAsia"/>
          <w:b/>
          <w:spacing w:val="0"/>
          <w:szCs w:val="24"/>
          <w:rtl/>
        </w:rPr>
        <w:t>שלאעטה</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rFonts w:ascii="Times New Roman" w:hAnsi="Times New Roman" w:cs="Miriam"/>
          <w:szCs w:val="24"/>
          <w:rtl/>
        </w:rPr>
        <w:t>,</w:t>
      </w:r>
      <w:r>
        <w:rPr>
          <w:rFonts w:ascii="Times New Roman" w:hAnsi="Times New Roman"/>
          <w:sz w:val="28"/>
          <w:rtl/>
        </w:rPr>
        <w:t xml:space="preserve"> פסקה 20 (10.1.2012)). חומרתן של עבירות נשק </w:t>
      </w:r>
      <w:r>
        <w:rPr>
          <w:rFonts w:hint="eastAsia"/>
          <w:sz w:val="28"/>
          <w:rtl/>
        </w:rPr>
        <w:t>אינה</w:t>
      </w:r>
      <w:r>
        <w:rPr>
          <w:sz w:val="28"/>
          <w:rtl/>
        </w:rPr>
        <w:t xml:space="preserve"> </w:t>
      </w:r>
      <w:r>
        <w:rPr>
          <w:rFonts w:hint="eastAsia"/>
          <w:sz w:val="28"/>
          <w:rtl/>
        </w:rPr>
        <w:t>מסתכמת</w:t>
      </w:r>
      <w:r>
        <w:rPr>
          <w:sz w:val="28"/>
          <w:rtl/>
        </w:rPr>
        <w:t xml:space="preserve"> </w:t>
      </w:r>
      <w:r>
        <w:rPr>
          <w:rFonts w:hint="eastAsia"/>
          <w:sz w:val="28"/>
          <w:rtl/>
        </w:rPr>
        <w:t>רק</w:t>
      </w:r>
      <w:r>
        <w:rPr>
          <w:sz w:val="28"/>
          <w:rtl/>
        </w:rPr>
        <w:t xml:space="preserve"> </w:t>
      </w:r>
      <w:r>
        <w:rPr>
          <w:rFonts w:hint="eastAsia"/>
          <w:sz w:val="28"/>
          <w:rtl/>
        </w:rPr>
        <w:t>במה</w:t>
      </w:r>
      <w:r>
        <w:rPr>
          <w:sz w:val="28"/>
          <w:rtl/>
        </w:rPr>
        <w:t xml:space="preserve"> </w:t>
      </w:r>
      <w:r>
        <w:rPr>
          <w:rFonts w:hint="eastAsia"/>
          <w:sz w:val="28"/>
          <w:rtl/>
        </w:rPr>
        <w:t>שאירע</w:t>
      </w:r>
      <w:r>
        <w:rPr>
          <w:sz w:val="28"/>
          <w:rtl/>
        </w:rPr>
        <w:t xml:space="preserve"> </w:t>
      </w:r>
      <w:r>
        <w:rPr>
          <w:rFonts w:hint="eastAsia"/>
          <w:sz w:val="28"/>
          <w:rtl/>
        </w:rPr>
        <w:t>בפועל</w:t>
      </w:r>
      <w:r>
        <w:rPr>
          <w:sz w:val="28"/>
          <w:rtl/>
        </w:rPr>
        <w:t xml:space="preserve">, </w:t>
      </w:r>
      <w:r>
        <w:rPr>
          <w:rFonts w:hint="eastAsia"/>
          <w:sz w:val="28"/>
          <w:rtl/>
        </w:rPr>
        <w:t>אלא</w:t>
      </w:r>
      <w:r>
        <w:rPr>
          <w:sz w:val="28"/>
          <w:rtl/>
        </w:rPr>
        <w:t xml:space="preserve"> </w:t>
      </w:r>
      <w:r>
        <w:rPr>
          <w:rFonts w:hint="eastAsia"/>
          <w:sz w:val="28"/>
          <w:rtl/>
        </w:rPr>
        <w:t>גם</w:t>
      </w:r>
      <w:r>
        <w:rPr>
          <w:sz w:val="28"/>
          <w:rtl/>
        </w:rPr>
        <w:t xml:space="preserve"> </w:t>
      </w:r>
      <w:r>
        <w:rPr>
          <w:rFonts w:hint="eastAsia"/>
          <w:sz w:val="28"/>
          <w:rtl/>
        </w:rPr>
        <w:t>במה</w:t>
      </w:r>
      <w:r>
        <w:rPr>
          <w:sz w:val="28"/>
          <w:rtl/>
        </w:rPr>
        <w:t xml:space="preserve"> </w:t>
      </w:r>
      <w:r>
        <w:rPr>
          <w:rFonts w:hint="eastAsia"/>
          <w:sz w:val="28"/>
          <w:rtl/>
        </w:rPr>
        <w:t>שעלול</w:t>
      </w:r>
      <w:r>
        <w:rPr>
          <w:sz w:val="28"/>
          <w:rtl/>
        </w:rPr>
        <w:t xml:space="preserve"> </w:t>
      </w:r>
      <w:r>
        <w:rPr>
          <w:rFonts w:hint="eastAsia"/>
          <w:sz w:val="28"/>
          <w:rtl/>
        </w:rPr>
        <w:t>היה</w:t>
      </w:r>
      <w:r>
        <w:rPr>
          <w:sz w:val="28"/>
          <w:rtl/>
        </w:rPr>
        <w:t xml:space="preserve"> </w:t>
      </w:r>
      <w:r>
        <w:rPr>
          <w:rFonts w:hint="eastAsia"/>
          <w:sz w:val="28"/>
          <w:rtl/>
        </w:rPr>
        <w:t>להתרחש</w:t>
      </w:r>
      <w:r>
        <w:rPr>
          <w:sz w:val="28"/>
          <w:rtl/>
        </w:rPr>
        <w:t xml:space="preserve"> – </w:t>
      </w:r>
      <w:r>
        <w:rPr>
          <w:rFonts w:hint="eastAsia"/>
          <w:sz w:val="28"/>
          <w:rtl/>
        </w:rPr>
        <w:t>קרי</w:t>
      </w:r>
      <w:r>
        <w:rPr>
          <w:sz w:val="28"/>
          <w:rtl/>
        </w:rPr>
        <w:t xml:space="preserve">: </w:t>
      </w:r>
      <w:r>
        <w:rPr>
          <w:rFonts w:hint="eastAsia"/>
          <w:sz w:val="28"/>
          <w:rtl/>
        </w:rPr>
        <w:t>בסיכון</w:t>
      </w:r>
      <w:r>
        <w:rPr>
          <w:sz w:val="28"/>
          <w:rtl/>
        </w:rPr>
        <w:t xml:space="preserve"> </w:t>
      </w:r>
      <w:r>
        <w:rPr>
          <w:rFonts w:hint="eastAsia"/>
          <w:sz w:val="28"/>
          <w:rtl/>
        </w:rPr>
        <w:t>הפוטנציאלי</w:t>
      </w:r>
      <w:r>
        <w:rPr>
          <w:sz w:val="28"/>
          <w:rtl/>
        </w:rPr>
        <w:t xml:space="preserve"> </w:t>
      </w:r>
      <w:r>
        <w:rPr>
          <w:rFonts w:hint="eastAsia"/>
          <w:sz w:val="28"/>
          <w:rtl/>
        </w:rPr>
        <w:t>שהיה</w:t>
      </w:r>
      <w:r>
        <w:rPr>
          <w:sz w:val="28"/>
          <w:rtl/>
        </w:rPr>
        <w:t xml:space="preserve"> </w:t>
      </w:r>
      <w:r>
        <w:rPr>
          <w:rFonts w:hint="eastAsia"/>
          <w:sz w:val="28"/>
          <w:rtl/>
        </w:rPr>
        <w:t>טמון</w:t>
      </w:r>
      <w:r>
        <w:rPr>
          <w:sz w:val="28"/>
          <w:rtl/>
        </w:rPr>
        <w:t xml:space="preserve"> </w:t>
      </w:r>
      <w:r>
        <w:rPr>
          <w:rFonts w:hint="eastAsia"/>
          <w:sz w:val="28"/>
          <w:rtl/>
        </w:rPr>
        <w:t>בהתנהגות</w:t>
      </w:r>
      <w:r>
        <w:rPr>
          <w:sz w:val="28"/>
          <w:rtl/>
        </w:rPr>
        <w:t xml:space="preserve"> (</w:t>
      </w:r>
      <w:hyperlink r:id="rId47" w:history="1">
        <w:r w:rsidR="001D22C3" w:rsidRPr="001D22C3">
          <w:rPr>
            <w:rStyle w:val="Hyperlink"/>
            <w:rFonts w:hint="eastAsia"/>
            <w:sz w:val="28"/>
            <w:rtl/>
          </w:rPr>
          <w:t>ע</w:t>
        </w:r>
        <w:r w:rsidR="001D22C3" w:rsidRPr="001D22C3">
          <w:rPr>
            <w:rStyle w:val="Hyperlink"/>
            <w:sz w:val="28"/>
            <w:rtl/>
          </w:rPr>
          <w:t>"</w:t>
        </w:r>
        <w:r w:rsidR="001D22C3" w:rsidRPr="001D22C3">
          <w:rPr>
            <w:rStyle w:val="Hyperlink"/>
            <w:rFonts w:hint="eastAsia"/>
            <w:sz w:val="28"/>
            <w:rtl/>
          </w:rPr>
          <w:t>פ</w:t>
        </w:r>
        <w:r w:rsidR="001D22C3" w:rsidRPr="001D22C3">
          <w:rPr>
            <w:rStyle w:val="Hyperlink"/>
            <w:sz w:val="28"/>
            <w:rtl/>
          </w:rPr>
          <w:t xml:space="preserve"> 2057/12</w:t>
        </w:r>
      </w:hyperlink>
      <w:r>
        <w:rPr>
          <w:sz w:val="28"/>
          <w:rtl/>
        </w:rPr>
        <w:t xml:space="preserve"> </w:t>
      </w:r>
      <w:r>
        <w:rPr>
          <w:rFonts w:ascii="Century" w:hAnsi="Century" w:cs="Miriam" w:hint="eastAsia"/>
          <w:b/>
          <w:spacing w:val="0"/>
          <w:szCs w:val="24"/>
          <w:rtl/>
        </w:rPr>
        <w:t>תבל</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sz w:val="28"/>
          <w:rtl/>
        </w:rPr>
        <w:t xml:space="preserve">, </w:t>
      </w:r>
      <w:r>
        <w:rPr>
          <w:rFonts w:hint="eastAsia"/>
          <w:sz w:val="28"/>
          <w:rtl/>
        </w:rPr>
        <w:t>פסקה</w:t>
      </w:r>
      <w:r>
        <w:rPr>
          <w:sz w:val="28"/>
          <w:rtl/>
        </w:rPr>
        <w:t xml:space="preserve"> 5 (4.6.2012))" </w:t>
      </w:r>
      <w:hyperlink r:id="rId48" w:history="1">
        <w:r w:rsidR="001D22C3" w:rsidRPr="001D22C3">
          <w:rPr>
            <w:rStyle w:val="Hyperlink"/>
            <w:rFonts w:hint="eastAsia"/>
            <w:sz w:val="28"/>
            <w:rtl/>
          </w:rPr>
          <w:t>ע</w:t>
        </w:r>
        <w:r w:rsidR="001D22C3" w:rsidRPr="001D22C3">
          <w:rPr>
            <w:rStyle w:val="Hyperlink"/>
            <w:sz w:val="28"/>
            <w:rtl/>
          </w:rPr>
          <w:t>"</w:t>
        </w:r>
        <w:r w:rsidR="001D22C3" w:rsidRPr="001D22C3">
          <w:rPr>
            <w:rStyle w:val="Hyperlink"/>
            <w:rFonts w:hint="eastAsia"/>
            <w:sz w:val="28"/>
            <w:rtl/>
          </w:rPr>
          <w:t>פ</w:t>
        </w:r>
        <w:r w:rsidR="001D22C3" w:rsidRPr="001D22C3">
          <w:rPr>
            <w:rStyle w:val="Hyperlink"/>
            <w:sz w:val="28"/>
            <w:rtl/>
          </w:rPr>
          <w:t xml:space="preserve"> 116/13</w:t>
        </w:r>
      </w:hyperlink>
      <w:r>
        <w:rPr>
          <w:sz w:val="28"/>
          <w:rtl/>
        </w:rPr>
        <w:t xml:space="preserve"> </w:t>
      </w:r>
      <w:r>
        <w:rPr>
          <w:rFonts w:cs="Miriam" w:hint="eastAsia"/>
          <w:szCs w:val="24"/>
          <w:rtl/>
        </w:rPr>
        <w:t>מאור</w:t>
      </w:r>
      <w:r>
        <w:rPr>
          <w:rFonts w:cs="Miriam"/>
          <w:szCs w:val="24"/>
          <w:rtl/>
        </w:rPr>
        <w:t xml:space="preserve"> </w:t>
      </w:r>
      <w:r>
        <w:rPr>
          <w:rFonts w:cs="Miriam" w:hint="eastAsia"/>
          <w:szCs w:val="24"/>
          <w:rtl/>
        </w:rPr>
        <w:t>וקנין</w:t>
      </w:r>
      <w:r>
        <w:rPr>
          <w:rFonts w:cs="Miriam"/>
          <w:szCs w:val="24"/>
          <w:rtl/>
        </w:rPr>
        <w:t xml:space="preserve"> </w:t>
      </w:r>
      <w:r>
        <w:rPr>
          <w:rFonts w:cs="Miriam" w:hint="eastAsia"/>
          <w:szCs w:val="24"/>
          <w:rtl/>
        </w:rPr>
        <w:t>נגד</w:t>
      </w:r>
      <w:r>
        <w:rPr>
          <w:rFonts w:cs="Miriam"/>
          <w:szCs w:val="24"/>
          <w:rtl/>
        </w:rPr>
        <w:t xml:space="preserve"> </w:t>
      </w:r>
      <w:r>
        <w:rPr>
          <w:rFonts w:cs="Miriam" w:hint="eastAsia"/>
          <w:szCs w:val="24"/>
          <w:rtl/>
        </w:rPr>
        <w:t>מדינת</w:t>
      </w:r>
      <w:r>
        <w:rPr>
          <w:rFonts w:cs="Miriam"/>
          <w:szCs w:val="24"/>
          <w:rtl/>
        </w:rPr>
        <w:t xml:space="preserve"> </w:t>
      </w:r>
      <w:r>
        <w:rPr>
          <w:rFonts w:cs="Miriam" w:hint="eastAsia"/>
          <w:szCs w:val="24"/>
          <w:rtl/>
        </w:rPr>
        <w:t>ישראל</w:t>
      </w:r>
      <w:r>
        <w:rPr>
          <w:sz w:val="28"/>
          <w:rtl/>
        </w:rPr>
        <w:t xml:space="preserve"> (31.7.2013).</w:t>
      </w:r>
    </w:p>
    <w:p w14:paraId="48BDA2E2" w14:textId="77777777" w:rsidR="0076272A" w:rsidRDefault="0076272A">
      <w:pPr>
        <w:pStyle w:val="Ruller40"/>
        <w:rPr>
          <w:rtl/>
        </w:rPr>
      </w:pPr>
    </w:p>
    <w:p w14:paraId="2E1E9AEF" w14:textId="77777777" w:rsidR="0076272A" w:rsidRDefault="001C600E">
      <w:pPr>
        <w:numPr>
          <w:ilvl w:val="0"/>
          <w:numId w:val="2"/>
        </w:numPr>
        <w:spacing w:line="360" w:lineRule="auto"/>
        <w:jc w:val="both"/>
        <w:rPr>
          <w:rFonts w:cs="FrankRuehl"/>
          <w:sz w:val="28"/>
          <w:szCs w:val="28"/>
        </w:rPr>
      </w:pPr>
      <w:r>
        <w:rPr>
          <w:rFonts w:cs="FrankRuehl"/>
          <w:sz w:val="28"/>
          <w:szCs w:val="28"/>
          <w:rtl/>
        </w:rPr>
        <w:t>בנוסף אפנה לפסק דינה של השופטת עדנה ארבל מיום 5.6.2013:</w:t>
      </w:r>
    </w:p>
    <w:p w14:paraId="672A8CB4" w14:textId="77777777" w:rsidR="0076272A" w:rsidRDefault="001C600E">
      <w:pPr>
        <w:pStyle w:val="Ruller40"/>
        <w:spacing w:line="240" w:lineRule="auto"/>
        <w:ind w:left="1440" w:right="720"/>
        <w:rPr>
          <w:rFonts w:ascii="Times New Roman" w:hAnsi="Times New Roman"/>
          <w:sz w:val="28"/>
          <w:rtl/>
        </w:rPr>
      </w:pPr>
      <w:r>
        <w:rPr>
          <w:rFonts w:ascii="Times New Roman" w:hAnsi="Times New Roman"/>
          <w:sz w:val="28"/>
          <w:rtl/>
        </w:rPr>
        <w:t xml:space="preserve">"ואולם עדיין לא מצאתי הצדקה להתערב במתחם שנקבע, זאת בהתחשב במגמה המתחייבת של החמרה בענישה בעבירות נשק, המיושמת בפסיקה בשנים האחרונות (ראו, למשל: </w:t>
      </w:r>
      <w:hyperlink r:id="rId49" w:history="1">
        <w:r w:rsidR="001D22C3" w:rsidRPr="001D22C3">
          <w:rPr>
            <w:rStyle w:val="Hyperlink"/>
            <w:rFonts w:ascii="Times New Roman" w:hAnsi="Times New Roman"/>
            <w:sz w:val="28"/>
            <w:rtl/>
          </w:rPr>
          <w:t>ע"פ 2251/11</w:t>
        </w:r>
      </w:hyperlink>
      <w:r>
        <w:rPr>
          <w:rFonts w:ascii="Times New Roman" w:hAnsi="Times New Roman"/>
          <w:sz w:val="28"/>
          <w:rtl/>
        </w:rPr>
        <w:t xml:space="preserve"> </w:t>
      </w:r>
      <w:r>
        <w:rPr>
          <w:rFonts w:ascii="Times New Roman" w:hAnsi="Times New Roman" w:cs="Miriam"/>
          <w:sz w:val="24"/>
          <w:szCs w:val="24"/>
          <w:rtl/>
        </w:rPr>
        <w:t>נפאע נ' מדינת ישראל</w:t>
      </w:r>
      <w:r>
        <w:rPr>
          <w:rFonts w:ascii="Times New Roman" w:hAnsi="Times New Roman"/>
          <w:sz w:val="28"/>
          <w:rtl/>
        </w:rPr>
        <w:t xml:space="preserve"> (4.12.11); </w:t>
      </w:r>
      <w:hyperlink r:id="rId50" w:history="1">
        <w:r w:rsidR="001D22C3" w:rsidRPr="001D22C3">
          <w:rPr>
            <w:rStyle w:val="Hyperlink"/>
            <w:rFonts w:ascii="Times New Roman" w:hAnsi="Times New Roman"/>
            <w:sz w:val="28"/>
            <w:rtl/>
          </w:rPr>
          <w:t>ע"פ 4450/11</w:t>
        </w:r>
      </w:hyperlink>
      <w:r>
        <w:rPr>
          <w:rFonts w:ascii="Times New Roman" w:hAnsi="Times New Roman"/>
          <w:sz w:val="28"/>
          <w:rtl/>
        </w:rPr>
        <w:t xml:space="preserve"> </w:t>
      </w:r>
      <w:r>
        <w:rPr>
          <w:rFonts w:ascii="Times New Roman" w:hAnsi="Times New Roman" w:cs="Miriam"/>
          <w:sz w:val="24"/>
          <w:szCs w:val="24"/>
          <w:rtl/>
        </w:rPr>
        <w:t>עספור נ' מדינת ישראל</w:t>
      </w:r>
      <w:r>
        <w:rPr>
          <w:rFonts w:ascii="Times New Roman" w:hAnsi="Times New Roman"/>
          <w:sz w:val="28"/>
          <w:rtl/>
        </w:rPr>
        <w:t xml:space="preserve"> (8.2.12)), מגמה הזוכה לתמיכתי המלאה.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Times New Roman" w:hAnsi="Times New Roman" w:hint="cs"/>
          <w:sz w:val="28"/>
          <w:rtl/>
        </w:rPr>
        <w:t xml:space="preserve"> </w:t>
      </w:r>
      <w:hyperlink r:id="rId51" w:history="1">
        <w:r w:rsidR="001D22C3" w:rsidRPr="001D22C3">
          <w:rPr>
            <w:rStyle w:val="Hyperlink"/>
            <w:sz w:val="28"/>
            <w:rtl/>
          </w:rPr>
          <w:t>ע"פ  1323/13</w:t>
        </w:r>
      </w:hyperlink>
      <w:r>
        <w:rPr>
          <w:rFonts w:ascii="Times New Roman" w:hAnsi="Times New Roman"/>
          <w:sz w:val="28"/>
          <w:rtl/>
        </w:rPr>
        <w:t xml:space="preserve"> </w:t>
      </w:r>
      <w:r>
        <w:rPr>
          <w:rFonts w:ascii="Times New Roman" w:hAnsi="Times New Roman" w:cs="Miriam"/>
          <w:sz w:val="24"/>
          <w:szCs w:val="24"/>
          <w:rtl/>
        </w:rPr>
        <w:t>רך נגד מדינת ישראל</w:t>
      </w:r>
      <w:r>
        <w:rPr>
          <w:rFonts w:ascii="Times New Roman" w:hAnsi="Times New Roman"/>
          <w:sz w:val="28"/>
          <w:rtl/>
        </w:rPr>
        <w:t xml:space="preserve"> (5.6.2013).</w:t>
      </w:r>
    </w:p>
    <w:p w14:paraId="6664B2F9" w14:textId="77777777" w:rsidR="0076272A" w:rsidRDefault="0076272A">
      <w:pPr>
        <w:pStyle w:val="Ruller40"/>
        <w:spacing w:line="240" w:lineRule="auto"/>
        <w:ind w:left="1440" w:right="720"/>
        <w:rPr>
          <w:rFonts w:ascii="Times New Roman" w:hAnsi="Times New Roman"/>
          <w:sz w:val="28"/>
          <w:rtl/>
        </w:rPr>
      </w:pPr>
    </w:p>
    <w:p w14:paraId="4032F5A4"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ההבחנה במתחמי הענישה תהא בהתאם לנסיבות ביצוע </w:t>
      </w:r>
      <w:r>
        <w:rPr>
          <w:rFonts w:cs="FrankRuehl" w:hint="cs"/>
          <w:sz w:val="28"/>
          <w:szCs w:val="28"/>
          <w:rtl/>
        </w:rPr>
        <w:t>ה</w:t>
      </w:r>
      <w:r>
        <w:rPr>
          <w:rFonts w:cs="FrankRuehl"/>
          <w:sz w:val="28"/>
          <w:szCs w:val="28"/>
          <w:rtl/>
        </w:rPr>
        <w:t>עבירות, לרבות סוג הנשק, הכמות וחלקו של הנאשם בביצוע העבירה.</w:t>
      </w:r>
    </w:p>
    <w:p w14:paraId="7E065FBA" w14:textId="77777777" w:rsidR="0076272A" w:rsidRDefault="0076272A">
      <w:pPr>
        <w:spacing w:line="360" w:lineRule="auto"/>
        <w:ind w:left="720"/>
        <w:jc w:val="both"/>
        <w:rPr>
          <w:rFonts w:cs="FrankRuehl"/>
          <w:sz w:val="28"/>
          <w:szCs w:val="28"/>
        </w:rPr>
      </w:pPr>
    </w:p>
    <w:p w14:paraId="559369E4"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באישום השני  מדובר בסיוע לסחור באקדח,  הנאשם שוחח עם הסוכן, סיכם עימו את פרטי העיסקה, וההמשך נעשה ע"י שותפו של הנאשם שפעל בהתאם לאותו סיכום.  בנסיבותיו של תיק זה מתחם העונש ההולם עומד על מאסר בפועל שבין </w:t>
      </w:r>
      <w:r>
        <w:rPr>
          <w:rFonts w:cs="FrankRuehl"/>
          <w:sz w:val="28"/>
          <w:szCs w:val="28"/>
          <w:u w:val="single"/>
          <w:rtl/>
        </w:rPr>
        <w:t>1.5</w:t>
      </w:r>
      <w:r>
        <w:rPr>
          <w:rFonts w:cs="FrankRuehl"/>
          <w:sz w:val="28"/>
          <w:szCs w:val="28"/>
          <w:rtl/>
        </w:rPr>
        <w:t xml:space="preserve"> שנות מאסר לבין </w:t>
      </w:r>
      <w:r>
        <w:rPr>
          <w:rFonts w:cs="FrankRuehl"/>
          <w:sz w:val="28"/>
          <w:szCs w:val="28"/>
          <w:u w:val="single"/>
          <w:rtl/>
        </w:rPr>
        <w:t>4</w:t>
      </w:r>
      <w:r>
        <w:rPr>
          <w:rFonts w:cs="FrankRuehl"/>
          <w:sz w:val="28"/>
          <w:szCs w:val="28"/>
          <w:rtl/>
        </w:rPr>
        <w:t xml:space="preserve"> שנים.</w:t>
      </w:r>
    </w:p>
    <w:p w14:paraId="13522B78" w14:textId="77777777" w:rsidR="0076272A" w:rsidRDefault="0076272A">
      <w:pPr>
        <w:spacing w:line="360" w:lineRule="auto"/>
        <w:ind w:left="720"/>
        <w:jc w:val="both"/>
        <w:rPr>
          <w:rFonts w:cs="FrankRuehl"/>
          <w:sz w:val="28"/>
          <w:szCs w:val="28"/>
        </w:rPr>
      </w:pPr>
    </w:p>
    <w:p w14:paraId="525A53B0"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באישום השלישי היה הנאשם מעורב באופן פעיל במשא ומתן שקדם למכירת אקדח מסוג ברטה ביחד עם מחסנית, הנאשם פנה לסוכן והציע למכור לו אקדח ונטל חלק בסיכום מחירו ומועד המסירה. בהמשך סכום של 16,000 ש"ח שולם לשותפו עומר ובפועל היה הנאשם שותף מלא לעבירת סחר בנשק שלא כדין. מתחם העונש ההולם עומד בנסיבות אלו על מאסר בפועל שבין </w:t>
      </w:r>
      <w:r>
        <w:rPr>
          <w:rFonts w:cs="FrankRuehl"/>
          <w:sz w:val="28"/>
          <w:szCs w:val="28"/>
          <w:u w:val="single"/>
          <w:rtl/>
        </w:rPr>
        <w:t>3</w:t>
      </w:r>
      <w:r>
        <w:rPr>
          <w:rFonts w:cs="FrankRuehl"/>
          <w:sz w:val="28"/>
          <w:szCs w:val="28"/>
          <w:rtl/>
        </w:rPr>
        <w:t xml:space="preserve"> שנות מאסר לבין </w:t>
      </w:r>
      <w:r>
        <w:rPr>
          <w:rFonts w:cs="FrankRuehl"/>
          <w:sz w:val="28"/>
          <w:szCs w:val="28"/>
          <w:u w:val="single"/>
          <w:rtl/>
        </w:rPr>
        <w:t>5.5</w:t>
      </w:r>
      <w:r>
        <w:rPr>
          <w:rFonts w:cs="FrankRuehl"/>
          <w:sz w:val="28"/>
          <w:szCs w:val="28"/>
          <w:rtl/>
        </w:rPr>
        <w:t xml:space="preserve"> שנים.</w:t>
      </w:r>
    </w:p>
    <w:p w14:paraId="6E497082" w14:textId="77777777" w:rsidR="0076272A" w:rsidRDefault="0076272A">
      <w:pPr>
        <w:spacing w:line="360" w:lineRule="auto"/>
        <w:ind w:left="720"/>
        <w:jc w:val="both"/>
        <w:rPr>
          <w:rFonts w:cs="FrankRuehl"/>
          <w:sz w:val="28"/>
          <w:szCs w:val="28"/>
        </w:rPr>
      </w:pPr>
    </w:p>
    <w:p w14:paraId="126E28CF"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באישום הרביעי, הציע הנאשם למכור לסוכן תת מקלע מיני עוזי, הוא סיכם עם הסמוי את המחיר ותנאי המסירה. בפועל מסר הנאשם לסוכן ולסמוי תת מקלע מאולתר ורימון גז, בניגוד למובטח ורק בשל כך לא יצאה העיסקה לפועל והנשק הוחזר לנאשם. הנאשם נשא והוביל את הנשק וניסה לסחור בו.  בנסיבות אלו, מתחם העונש ההולם עומד על מאסר בפועל שבין </w:t>
      </w:r>
      <w:r>
        <w:rPr>
          <w:rFonts w:cs="FrankRuehl"/>
          <w:sz w:val="28"/>
          <w:szCs w:val="28"/>
          <w:u w:val="single"/>
          <w:rtl/>
        </w:rPr>
        <w:t>2</w:t>
      </w:r>
      <w:r>
        <w:rPr>
          <w:rFonts w:cs="FrankRuehl"/>
          <w:sz w:val="28"/>
          <w:szCs w:val="28"/>
          <w:rtl/>
        </w:rPr>
        <w:t xml:space="preserve"> שנות מאסר לבין </w:t>
      </w:r>
      <w:r>
        <w:rPr>
          <w:rFonts w:cs="FrankRuehl"/>
          <w:sz w:val="28"/>
          <w:szCs w:val="28"/>
          <w:u w:val="single"/>
          <w:rtl/>
        </w:rPr>
        <w:t>4</w:t>
      </w:r>
      <w:r>
        <w:rPr>
          <w:rFonts w:cs="FrankRuehl"/>
          <w:sz w:val="28"/>
          <w:szCs w:val="28"/>
          <w:rtl/>
        </w:rPr>
        <w:t xml:space="preserve"> שנים.</w:t>
      </w:r>
    </w:p>
    <w:p w14:paraId="27205129" w14:textId="77777777" w:rsidR="0076272A" w:rsidRDefault="0076272A">
      <w:pPr>
        <w:spacing w:line="360" w:lineRule="auto"/>
        <w:ind w:left="720"/>
        <w:jc w:val="both"/>
        <w:rPr>
          <w:rFonts w:cs="FrankRuehl"/>
          <w:sz w:val="28"/>
          <w:szCs w:val="28"/>
        </w:rPr>
      </w:pPr>
    </w:p>
    <w:p w14:paraId="1DD66212" w14:textId="77777777" w:rsidR="0076272A" w:rsidRDefault="001C600E">
      <w:pPr>
        <w:spacing w:line="360" w:lineRule="auto"/>
        <w:ind w:left="360" w:firstLine="360"/>
        <w:jc w:val="both"/>
        <w:rPr>
          <w:rFonts w:cs="Miriam"/>
          <w:rtl/>
        </w:rPr>
      </w:pPr>
      <w:r>
        <w:rPr>
          <w:rFonts w:cs="Miriam"/>
          <w:rtl/>
        </w:rPr>
        <w:t>העונש המתאים</w:t>
      </w:r>
    </w:p>
    <w:p w14:paraId="447D0DA7"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במקרה זה לא עומד הליך שיקומי מסוים על הפרק, כך שאין לסטות ממתחם העונש ההולם. על פי תסקיר שירות המבחן, הנאשם כיום כבן 32, מעורב בעבירות סמים מגיל 18, עד שהפך לתלוי בסמים בצורה כפייתית. לא השתלב </w:t>
      </w:r>
      <w:r>
        <w:rPr>
          <w:rFonts w:cs="FrankRuehl" w:hint="cs"/>
          <w:sz w:val="28"/>
          <w:szCs w:val="28"/>
          <w:rtl/>
        </w:rPr>
        <w:t xml:space="preserve">בעבר </w:t>
      </w:r>
      <w:r>
        <w:rPr>
          <w:rFonts w:cs="FrankRuehl"/>
          <w:sz w:val="28"/>
          <w:szCs w:val="28"/>
          <w:rtl/>
        </w:rPr>
        <w:t>במסגרת טיפולית וגם במקרה זה שירות המבחן לא המליץ על תהליך טיפולי במסגרת פתוחה מחוץ לכ</w:t>
      </w:r>
      <w:r>
        <w:rPr>
          <w:rFonts w:cs="FrankRuehl" w:hint="cs"/>
          <w:sz w:val="28"/>
          <w:szCs w:val="28"/>
          <w:rtl/>
        </w:rPr>
        <w:t>ו</w:t>
      </w:r>
      <w:r>
        <w:rPr>
          <w:rFonts w:cs="FrankRuehl"/>
          <w:sz w:val="28"/>
          <w:szCs w:val="28"/>
          <w:rtl/>
        </w:rPr>
        <w:t xml:space="preserve">תלי בית הסוהר אלא שילובו בטיפול במסגרת הכלא, ואני מקווה כי ינצל הנאשם את תקופת המאסר על מנת לשנות דפוסי התנהגות ולהיגמל מהסמים. </w:t>
      </w:r>
    </w:p>
    <w:p w14:paraId="0C819397" w14:textId="77777777" w:rsidR="0076272A" w:rsidRDefault="001C600E">
      <w:pPr>
        <w:spacing w:line="360" w:lineRule="auto"/>
        <w:ind w:left="720"/>
        <w:jc w:val="both"/>
        <w:rPr>
          <w:rFonts w:cs="FrankRuehl"/>
          <w:sz w:val="28"/>
          <w:szCs w:val="28"/>
          <w:rtl/>
        </w:rPr>
      </w:pPr>
      <w:r>
        <w:rPr>
          <w:rFonts w:cs="FrankRuehl"/>
          <w:sz w:val="28"/>
          <w:szCs w:val="28"/>
          <w:rtl/>
        </w:rPr>
        <w:t>באשר לנסיבות שאינן קשורות בביצוע העבירה (40יא' לחוק), הנאשם נשוי מזה כשנה וחצי לאור שהעידה לזכותו. לבני הזוג תינוקת בת 7 חודשים שנולדה בעת מעצרו וגם בדבריו הכתובים (ס/2) תאר הנאשם את העובדה כי במקום להיות לצד אשתו ולשמש כאב, הוא נמצא במעצר.  אין לי ספק כי מאסרו של הנאשם יפגע בבתו ובאשתו ויש לקחת נתון זה בחשבון, ביחד עם העובדה כי הנאשם נטל אחריות על מעשיו</w:t>
      </w:r>
      <w:r>
        <w:rPr>
          <w:rFonts w:cs="FrankRuehl" w:hint="cs"/>
          <w:sz w:val="28"/>
          <w:szCs w:val="28"/>
          <w:rtl/>
        </w:rPr>
        <w:t xml:space="preserve">, </w:t>
      </w:r>
      <w:r>
        <w:rPr>
          <w:rFonts w:cs="FrankRuehl"/>
          <w:sz w:val="28"/>
          <w:szCs w:val="28"/>
          <w:rtl/>
        </w:rPr>
        <w:t xml:space="preserve">וכל זאת על רקע נסיבות חייו שתוארו  בתסקיר שירות המבחן, הנאשם גדל במסגרת משפחתית נוקשה שהתקשתה לספק עבורו את צרכיו הרגשיים, נחשף מגיל צעיר לאורח חיים שולי והתמכרותי ובהעדר כלים להתמודד נגרר לעולם הפשע והסמים. </w:t>
      </w:r>
    </w:p>
    <w:p w14:paraId="6207CC1D" w14:textId="77777777" w:rsidR="0076272A" w:rsidRDefault="0076272A">
      <w:pPr>
        <w:spacing w:line="360" w:lineRule="auto"/>
        <w:ind w:left="720"/>
        <w:jc w:val="both"/>
        <w:rPr>
          <w:rFonts w:cs="FrankRuehl"/>
          <w:sz w:val="28"/>
          <w:szCs w:val="28"/>
          <w:rtl/>
        </w:rPr>
      </w:pPr>
    </w:p>
    <w:p w14:paraId="602E6095" w14:textId="77777777" w:rsidR="0076272A" w:rsidRDefault="001C600E">
      <w:pPr>
        <w:spacing w:line="360" w:lineRule="auto"/>
        <w:ind w:left="720"/>
        <w:jc w:val="both"/>
        <w:rPr>
          <w:rFonts w:cs="FrankRuehl"/>
          <w:sz w:val="28"/>
          <w:szCs w:val="28"/>
          <w:rtl/>
        </w:rPr>
      </w:pPr>
      <w:r>
        <w:rPr>
          <w:rFonts w:cs="FrankRuehl"/>
          <w:sz w:val="28"/>
          <w:szCs w:val="28"/>
          <w:rtl/>
        </w:rPr>
        <w:t>ביטוי לכך ניתן למצוא כבר בעבירות אלימות ורכוש שביצע עת היה כבן 16 ועבירות סמים שונות מגיל 18, שהביאו בין השאר לריצוי עונשי מאסר לתקופות שונות, הארוכה (והאחרונה) שבהן, תק</w:t>
      </w:r>
      <w:r>
        <w:rPr>
          <w:rFonts w:cs="FrankRuehl" w:hint="cs"/>
          <w:sz w:val="28"/>
          <w:szCs w:val="28"/>
          <w:rtl/>
        </w:rPr>
        <w:t>ו</w:t>
      </w:r>
      <w:r>
        <w:rPr>
          <w:rFonts w:cs="FrankRuehl"/>
          <w:sz w:val="28"/>
          <w:szCs w:val="28"/>
          <w:rtl/>
        </w:rPr>
        <w:t>פת מאסר של 16 חודשים.</w:t>
      </w:r>
    </w:p>
    <w:p w14:paraId="6E3C0B1E" w14:textId="77777777" w:rsidR="0076272A" w:rsidRDefault="0076272A">
      <w:pPr>
        <w:spacing w:line="360" w:lineRule="auto"/>
        <w:ind w:left="720"/>
        <w:jc w:val="both"/>
        <w:rPr>
          <w:rFonts w:cs="FrankRuehl"/>
          <w:sz w:val="28"/>
          <w:szCs w:val="28"/>
        </w:rPr>
      </w:pPr>
    </w:p>
    <w:p w14:paraId="108379AF" w14:textId="77777777" w:rsidR="0076272A" w:rsidRDefault="001C600E">
      <w:pPr>
        <w:spacing w:line="360" w:lineRule="auto"/>
        <w:ind w:left="720"/>
        <w:jc w:val="both"/>
        <w:rPr>
          <w:rFonts w:cs="FrankRuehl"/>
          <w:sz w:val="28"/>
          <w:szCs w:val="28"/>
          <w:rtl/>
        </w:rPr>
      </w:pPr>
      <w:r>
        <w:rPr>
          <w:rFonts w:cs="FrankRuehl"/>
          <w:sz w:val="28"/>
          <w:szCs w:val="28"/>
          <w:rtl/>
        </w:rPr>
        <w:t>לצד המרכיבים העומדים לזכות הנאשם יש להדגיש את חומרת מעשיו, שילוב של סחר בסמים וסחר בנשק, כשהנאשם נוטל חלק דומיננטי בביצוע העבירות, שבוצעו במהלך 3 חודשים כשלנאשם נגישות לסמים ולנשק בלתי חוקי</w:t>
      </w:r>
      <w:r>
        <w:rPr>
          <w:rFonts w:cs="FrankRuehl" w:hint="cs"/>
          <w:sz w:val="28"/>
          <w:szCs w:val="28"/>
          <w:rtl/>
        </w:rPr>
        <w:t xml:space="preserve">. חשוב לציין כי </w:t>
      </w:r>
      <w:r>
        <w:rPr>
          <w:rFonts w:cs="FrankRuehl"/>
          <w:sz w:val="28"/>
          <w:szCs w:val="28"/>
          <w:rtl/>
        </w:rPr>
        <w:t>הנשק אותו ניסה למכור לסוכן כמתואר באישום הרביעי, תת מקלע מאולתר ורימון גז</w:t>
      </w:r>
      <w:r>
        <w:rPr>
          <w:rFonts w:cs="FrankRuehl" w:hint="cs"/>
          <w:sz w:val="28"/>
          <w:szCs w:val="28"/>
          <w:rtl/>
        </w:rPr>
        <w:t>,</w:t>
      </w:r>
      <w:r>
        <w:rPr>
          <w:rFonts w:cs="FrankRuehl"/>
          <w:sz w:val="28"/>
          <w:szCs w:val="28"/>
          <w:rtl/>
        </w:rPr>
        <w:t xml:space="preserve"> הוחזרו לנאשם ע"י הסוכן ולא הגיעו לידי המשטרה.</w:t>
      </w:r>
    </w:p>
    <w:p w14:paraId="1EDFE4C0" w14:textId="77777777" w:rsidR="0076272A" w:rsidRDefault="0076272A">
      <w:pPr>
        <w:spacing w:line="360" w:lineRule="auto"/>
        <w:ind w:left="720"/>
        <w:jc w:val="both"/>
        <w:rPr>
          <w:rFonts w:cs="FrankRuehl"/>
          <w:sz w:val="28"/>
          <w:szCs w:val="28"/>
        </w:rPr>
      </w:pPr>
    </w:p>
    <w:p w14:paraId="0E5759BE"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אני סבור כי יש צורך במקרה זה בהרתעת הנאשם והרתעת הרבים מפני ביצוע עבירות מסוג העבירות שביצע הנאשם ויש סיכוי של ממש שהחמרה בעונשו של הנאשם תביא להרתעתו ולהרתעת הרבים. </w:t>
      </w:r>
    </w:p>
    <w:p w14:paraId="481A8625" w14:textId="77777777" w:rsidR="0076272A" w:rsidRDefault="0076272A">
      <w:pPr>
        <w:spacing w:line="360" w:lineRule="auto"/>
        <w:ind w:left="720"/>
        <w:jc w:val="both"/>
        <w:rPr>
          <w:rFonts w:cs="FrankRuehl"/>
          <w:sz w:val="28"/>
          <w:szCs w:val="28"/>
          <w:rtl/>
        </w:rPr>
      </w:pPr>
    </w:p>
    <w:p w14:paraId="3C991527" w14:textId="77777777" w:rsidR="0076272A" w:rsidRDefault="0076272A">
      <w:pPr>
        <w:spacing w:line="360" w:lineRule="auto"/>
        <w:ind w:left="720"/>
        <w:jc w:val="both"/>
        <w:rPr>
          <w:rFonts w:cs="FrankRuehl"/>
          <w:sz w:val="28"/>
          <w:szCs w:val="28"/>
          <w:rtl/>
        </w:rPr>
      </w:pPr>
    </w:p>
    <w:p w14:paraId="57CD5F98" w14:textId="77777777" w:rsidR="0076272A" w:rsidRDefault="0076272A">
      <w:pPr>
        <w:spacing w:line="360" w:lineRule="auto"/>
        <w:ind w:left="720"/>
        <w:jc w:val="both"/>
        <w:rPr>
          <w:rFonts w:cs="FrankRuehl"/>
          <w:sz w:val="28"/>
          <w:szCs w:val="28"/>
          <w:rtl/>
        </w:rPr>
      </w:pPr>
    </w:p>
    <w:p w14:paraId="7CD92FAB" w14:textId="77777777" w:rsidR="0076272A" w:rsidRDefault="0076272A">
      <w:pPr>
        <w:spacing w:line="360" w:lineRule="auto"/>
        <w:ind w:left="720"/>
        <w:jc w:val="both"/>
        <w:rPr>
          <w:rFonts w:cs="FrankRuehl"/>
          <w:sz w:val="28"/>
          <w:szCs w:val="28"/>
        </w:rPr>
      </w:pPr>
    </w:p>
    <w:p w14:paraId="3306B114" w14:textId="77777777" w:rsidR="0076272A" w:rsidRDefault="001C600E">
      <w:pPr>
        <w:spacing w:line="360" w:lineRule="auto"/>
        <w:ind w:left="360" w:firstLine="360"/>
        <w:jc w:val="both"/>
        <w:rPr>
          <w:rFonts w:cs="Miriam"/>
        </w:rPr>
      </w:pPr>
      <w:r>
        <w:rPr>
          <w:rFonts w:cs="Miriam"/>
          <w:rtl/>
        </w:rPr>
        <w:t>סיכום</w:t>
      </w:r>
    </w:p>
    <w:p w14:paraId="22C40CC8" w14:textId="77777777" w:rsidR="0076272A" w:rsidRDefault="001C600E">
      <w:pPr>
        <w:spacing w:line="360" w:lineRule="auto"/>
        <w:ind w:left="360" w:firstLine="360"/>
        <w:jc w:val="both"/>
        <w:rPr>
          <w:rFonts w:cs="FrankRuehl"/>
          <w:sz w:val="28"/>
          <w:szCs w:val="28"/>
        </w:rPr>
      </w:pPr>
      <w:r>
        <w:rPr>
          <w:rFonts w:cs="FrankRuehl"/>
          <w:sz w:val="28"/>
          <w:szCs w:val="28"/>
          <w:rtl/>
        </w:rPr>
        <w:t>לאור האמור לעיל אני דן את הנאשם לעונשים המתאימים הבאים:</w:t>
      </w:r>
    </w:p>
    <w:p w14:paraId="562B1731" w14:textId="77777777" w:rsidR="0076272A" w:rsidRDefault="001C600E">
      <w:pPr>
        <w:pStyle w:val="ListParagraph"/>
        <w:numPr>
          <w:ilvl w:val="0"/>
          <w:numId w:val="3"/>
        </w:numPr>
        <w:spacing w:line="360" w:lineRule="auto"/>
        <w:ind w:left="720"/>
        <w:jc w:val="both"/>
        <w:rPr>
          <w:rFonts w:cs="FrankRuehl"/>
          <w:sz w:val="28"/>
          <w:szCs w:val="28"/>
        </w:rPr>
      </w:pPr>
      <w:r>
        <w:rPr>
          <w:rFonts w:cs="FrankRuehl"/>
          <w:sz w:val="28"/>
          <w:szCs w:val="28"/>
          <w:rtl/>
        </w:rPr>
        <w:t xml:space="preserve">עונש של </w:t>
      </w:r>
      <w:r>
        <w:rPr>
          <w:rFonts w:cs="FrankRuehl"/>
          <w:sz w:val="28"/>
          <w:szCs w:val="28"/>
          <w:u w:val="single"/>
          <w:rtl/>
        </w:rPr>
        <w:t>60</w:t>
      </w:r>
      <w:r>
        <w:rPr>
          <w:rFonts w:cs="FrankRuehl"/>
          <w:sz w:val="28"/>
          <w:szCs w:val="28"/>
          <w:rtl/>
        </w:rPr>
        <w:t xml:space="preserve"> חודשי מאסר בפועל, תחילת ריצוי המאסר מיום מעצרו-11.4.2012.</w:t>
      </w:r>
    </w:p>
    <w:p w14:paraId="4E259807" w14:textId="77777777" w:rsidR="0076272A" w:rsidRDefault="001C600E">
      <w:pPr>
        <w:pStyle w:val="ListParagraph"/>
        <w:numPr>
          <w:ilvl w:val="0"/>
          <w:numId w:val="3"/>
        </w:numPr>
        <w:spacing w:line="360" w:lineRule="auto"/>
        <w:ind w:left="720"/>
        <w:jc w:val="both"/>
        <w:rPr>
          <w:rFonts w:cs="FrankRuehl"/>
          <w:sz w:val="28"/>
          <w:szCs w:val="28"/>
        </w:rPr>
      </w:pPr>
      <w:r>
        <w:rPr>
          <w:rFonts w:cs="FrankRuehl" w:hint="cs"/>
          <w:sz w:val="28"/>
          <w:szCs w:val="28"/>
          <w:rtl/>
        </w:rPr>
        <w:t xml:space="preserve"> </w:t>
      </w:r>
      <w:r>
        <w:rPr>
          <w:rFonts w:cs="FrankRuehl"/>
          <w:sz w:val="28"/>
          <w:szCs w:val="28"/>
          <w:u w:val="single"/>
          <w:rtl/>
        </w:rPr>
        <w:t>12</w:t>
      </w:r>
      <w:r>
        <w:rPr>
          <w:rFonts w:cs="FrankRuehl"/>
          <w:sz w:val="28"/>
          <w:szCs w:val="28"/>
          <w:rtl/>
        </w:rPr>
        <w:t xml:space="preserve"> חודשי מאסר על תנאי, הנאשם לא ישא את עונש המאסר על  תנאי </w:t>
      </w:r>
      <w:r>
        <w:rPr>
          <w:rStyle w:val="default"/>
          <w:sz w:val="28"/>
          <w:rtl/>
        </w:rPr>
        <w:t xml:space="preserve">אלא אם יעבור תוך שלוש שנים כל עבירת סמים או עבירה בנשק למעט החזקת סם לצריכה עצמית ויורשע בשל עבירה כזאת תוך תקופת התנאי או לאחריה. </w:t>
      </w:r>
    </w:p>
    <w:p w14:paraId="13462D98" w14:textId="77777777" w:rsidR="0076272A" w:rsidRDefault="001C600E">
      <w:pPr>
        <w:pStyle w:val="ListParagraph"/>
        <w:numPr>
          <w:ilvl w:val="0"/>
          <w:numId w:val="3"/>
        </w:numPr>
        <w:spacing w:line="360" w:lineRule="auto"/>
        <w:ind w:left="720"/>
        <w:jc w:val="both"/>
        <w:rPr>
          <w:rFonts w:cs="FrankRuehl"/>
          <w:sz w:val="28"/>
          <w:szCs w:val="28"/>
        </w:rPr>
      </w:pPr>
      <w:r>
        <w:rPr>
          <w:rFonts w:cs="FrankRuehl"/>
          <w:sz w:val="28"/>
          <w:szCs w:val="28"/>
          <w:rtl/>
        </w:rPr>
        <w:t xml:space="preserve">פסילה מלקבל או מלהחזיק ברישיון נהיגה למשך </w:t>
      </w:r>
      <w:r>
        <w:rPr>
          <w:rFonts w:cs="FrankRuehl"/>
          <w:sz w:val="28"/>
          <w:szCs w:val="28"/>
          <w:u w:val="single"/>
          <w:rtl/>
        </w:rPr>
        <w:t xml:space="preserve">24 </w:t>
      </w:r>
      <w:r>
        <w:rPr>
          <w:rFonts w:cs="FrankRuehl"/>
          <w:sz w:val="28"/>
          <w:szCs w:val="28"/>
          <w:rtl/>
        </w:rPr>
        <w:t xml:space="preserve">חודשים מיום שחרורו מבית הסוהר על פי </w:t>
      </w:r>
      <w:hyperlink r:id="rId52" w:history="1">
        <w:r w:rsidR="00AD3BDF" w:rsidRPr="00AD3BDF">
          <w:rPr>
            <w:rStyle w:val="Hyperlink"/>
            <w:rFonts w:cs="FrankRuehl"/>
            <w:sz w:val="28"/>
            <w:szCs w:val="28"/>
            <w:rtl/>
          </w:rPr>
          <w:t>סעיף 37א</w:t>
        </w:r>
      </w:hyperlink>
      <w:r>
        <w:rPr>
          <w:rFonts w:cs="FrankRuehl"/>
          <w:sz w:val="28"/>
          <w:szCs w:val="28"/>
          <w:rtl/>
        </w:rPr>
        <w:t xml:space="preserve"> ל</w:t>
      </w:r>
      <w:hyperlink r:id="rId53" w:history="1">
        <w:r w:rsidR="001D22C3" w:rsidRPr="001D22C3">
          <w:rPr>
            <w:rStyle w:val="Hyperlink"/>
            <w:rFonts w:cs="FrankRuehl"/>
            <w:sz w:val="28"/>
            <w:szCs w:val="28"/>
            <w:rtl/>
          </w:rPr>
          <w:t>פקודת הסמים המסוכנים</w:t>
        </w:r>
      </w:hyperlink>
      <w:r>
        <w:rPr>
          <w:rFonts w:cs="FrankRuehl" w:hint="cs"/>
          <w:sz w:val="28"/>
          <w:szCs w:val="28"/>
          <w:rtl/>
        </w:rPr>
        <w:t xml:space="preserve"> [נוסח חדש] התשל"ג-1973</w:t>
      </w:r>
      <w:r>
        <w:rPr>
          <w:rFonts w:cs="FrankRuehl"/>
          <w:sz w:val="28"/>
          <w:szCs w:val="28"/>
          <w:rtl/>
        </w:rPr>
        <w:t>.</w:t>
      </w:r>
    </w:p>
    <w:p w14:paraId="064FED06" w14:textId="77777777" w:rsidR="0076272A" w:rsidRDefault="0076272A">
      <w:pPr>
        <w:pStyle w:val="ListParagraph"/>
        <w:spacing w:line="360" w:lineRule="auto"/>
        <w:jc w:val="both"/>
        <w:rPr>
          <w:rFonts w:cs="FrankRuehl"/>
          <w:sz w:val="28"/>
          <w:szCs w:val="28"/>
        </w:rPr>
      </w:pPr>
    </w:p>
    <w:p w14:paraId="4344B9A0" w14:textId="77777777" w:rsidR="0076272A" w:rsidRDefault="001C600E">
      <w:pPr>
        <w:spacing w:line="360" w:lineRule="auto"/>
        <w:ind w:left="720"/>
        <w:jc w:val="both"/>
        <w:rPr>
          <w:rFonts w:cs="FrankRuehl"/>
          <w:sz w:val="28"/>
          <w:szCs w:val="28"/>
          <w:rtl/>
        </w:rPr>
      </w:pPr>
      <w:r>
        <w:rPr>
          <w:rFonts w:cs="FrankRuehl"/>
          <w:sz w:val="28"/>
          <w:szCs w:val="28"/>
          <w:rtl/>
        </w:rPr>
        <w:t xml:space="preserve">בהתחשב באורך תקופת המאסר, יכולתו הכלכלית של הנאשם (ראו </w:t>
      </w:r>
      <w:hyperlink r:id="rId54" w:history="1">
        <w:r w:rsidR="00AD3BDF" w:rsidRPr="00AD3BDF">
          <w:rPr>
            <w:rStyle w:val="Hyperlink"/>
            <w:rFonts w:cs="FrankRuehl"/>
            <w:sz w:val="28"/>
            <w:szCs w:val="28"/>
            <w:rtl/>
          </w:rPr>
          <w:t>סעיף 40ח</w:t>
        </w:r>
      </w:hyperlink>
      <w:r>
        <w:rPr>
          <w:rFonts w:cs="FrankRuehl"/>
          <w:sz w:val="28"/>
          <w:szCs w:val="28"/>
          <w:rtl/>
        </w:rPr>
        <w:t xml:space="preserve"> לחוק) ובעובדה כי בעבירות בנשק, הכסף לא הגיע לידיו של הנאשם, לא מצאתי לנכון להטיל עליו קנס.</w:t>
      </w:r>
    </w:p>
    <w:p w14:paraId="3E91FCAD" w14:textId="77777777" w:rsidR="0076272A" w:rsidRDefault="0076272A">
      <w:pPr>
        <w:spacing w:line="360" w:lineRule="auto"/>
        <w:ind w:left="720"/>
        <w:jc w:val="both"/>
        <w:rPr>
          <w:rFonts w:cs="FrankRuehl"/>
          <w:sz w:val="28"/>
          <w:szCs w:val="28"/>
        </w:rPr>
      </w:pPr>
    </w:p>
    <w:p w14:paraId="0197529E" w14:textId="77777777" w:rsidR="0076272A" w:rsidRDefault="001C600E">
      <w:pPr>
        <w:spacing w:line="360" w:lineRule="auto"/>
        <w:ind w:left="720"/>
        <w:jc w:val="both"/>
        <w:rPr>
          <w:rFonts w:cs="FrankRuehl"/>
          <w:sz w:val="28"/>
          <w:szCs w:val="28"/>
          <w:u w:val="single"/>
          <w:rtl/>
        </w:rPr>
      </w:pPr>
      <w:r>
        <w:rPr>
          <w:rFonts w:cs="FrankRuehl"/>
          <w:sz w:val="28"/>
          <w:szCs w:val="28"/>
          <w:u w:val="single"/>
          <w:rtl/>
        </w:rPr>
        <w:t>אני מפנה את תשומת לב שירות בתי הסוהר להמלצת שירות המבחן לשלב את הנאשם בטפול גמילה מסמים במסגרת המאסר.</w:t>
      </w:r>
    </w:p>
    <w:p w14:paraId="25491BBE" w14:textId="77777777" w:rsidR="0076272A" w:rsidRDefault="0076272A">
      <w:pPr>
        <w:spacing w:line="360" w:lineRule="auto"/>
        <w:ind w:left="720"/>
        <w:jc w:val="both"/>
        <w:rPr>
          <w:rFonts w:cs="FrankRuehl"/>
          <w:sz w:val="28"/>
          <w:szCs w:val="28"/>
          <w:u w:val="single"/>
        </w:rPr>
      </w:pPr>
    </w:p>
    <w:p w14:paraId="00B9FF2D" w14:textId="77777777" w:rsidR="0076272A" w:rsidRDefault="001C600E">
      <w:pPr>
        <w:spacing w:line="360" w:lineRule="auto"/>
        <w:ind w:left="720"/>
        <w:jc w:val="both"/>
        <w:rPr>
          <w:rFonts w:cs="FrankRuehl"/>
          <w:sz w:val="28"/>
          <w:szCs w:val="28"/>
          <w:u w:val="single"/>
        </w:rPr>
      </w:pPr>
      <w:r>
        <w:rPr>
          <w:rFonts w:cs="FrankRuehl"/>
          <w:sz w:val="28"/>
          <w:szCs w:val="28"/>
          <w:u w:val="single"/>
          <w:rtl/>
        </w:rPr>
        <w:t>זכות ערעור לבית המשפט העליון תוך 45 יום.</w:t>
      </w:r>
    </w:p>
    <w:p w14:paraId="7A7F1455" w14:textId="77777777" w:rsidR="0076272A" w:rsidRDefault="0076272A">
      <w:pPr>
        <w:spacing w:line="360" w:lineRule="auto"/>
        <w:rPr>
          <w:rFonts w:cs="FrankRuehl"/>
          <w:sz w:val="28"/>
          <w:szCs w:val="28"/>
          <w:rtl/>
        </w:rPr>
      </w:pPr>
    </w:p>
    <w:p w14:paraId="783C052A" w14:textId="77777777" w:rsidR="0076272A" w:rsidRDefault="0076272A">
      <w:pPr>
        <w:spacing w:line="360" w:lineRule="auto"/>
        <w:rPr>
          <w:rFonts w:cs="FrankRuehl"/>
          <w:sz w:val="28"/>
          <w:szCs w:val="28"/>
          <w:rtl/>
        </w:rPr>
      </w:pPr>
    </w:p>
    <w:p w14:paraId="319F08D5" w14:textId="77777777" w:rsidR="0076272A" w:rsidRDefault="0076272A">
      <w:pPr>
        <w:spacing w:line="360" w:lineRule="auto"/>
        <w:rPr>
          <w:rFonts w:cs="FrankRuehl"/>
          <w:sz w:val="28"/>
          <w:szCs w:val="28"/>
          <w:rtl/>
        </w:rPr>
      </w:pPr>
    </w:p>
    <w:p w14:paraId="3D228E7F" w14:textId="77777777" w:rsidR="0076272A" w:rsidRDefault="0076272A">
      <w:pPr>
        <w:spacing w:line="360" w:lineRule="auto"/>
        <w:rPr>
          <w:rFonts w:cs="FrankRuehl"/>
          <w:sz w:val="28"/>
          <w:szCs w:val="28"/>
          <w:rtl/>
        </w:rPr>
      </w:pPr>
    </w:p>
    <w:p w14:paraId="71C18409" w14:textId="77777777" w:rsidR="0076272A" w:rsidRDefault="001C600E">
      <w:pPr>
        <w:spacing w:line="360" w:lineRule="auto"/>
        <w:jc w:val="both"/>
        <w:rPr>
          <w:rFonts w:ascii="Arial" w:hAnsi="Arial" w:cs="FrankRuehl"/>
          <w:sz w:val="28"/>
          <w:szCs w:val="28"/>
        </w:rPr>
      </w:pPr>
      <w:r>
        <w:rPr>
          <w:rFonts w:ascii="Arial" w:hAnsi="Arial" w:cs="FrankRuehl"/>
          <w:sz w:val="28"/>
          <w:szCs w:val="28"/>
          <w:rtl/>
        </w:rPr>
        <w:t xml:space="preserve">ניתן היום,  ח' תשרי תשע"ד, 12 ספטמבר 2013, בנוכחות ב"כ המאשימה עו"ד ערן בר, ב"כ </w:t>
      </w:r>
      <w:r>
        <w:rPr>
          <w:rFonts w:ascii="Arial" w:hAnsi="Arial" w:cs="FrankRuehl" w:hint="cs"/>
          <w:sz w:val="28"/>
          <w:szCs w:val="28"/>
          <w:rtl/>
        </w:rPr>
        <w:t>הנאשם בהעברה מעו"ד שאדי דבאח, עו"ד גב' סנדי מארון והנאשם באמצעות הליווי</w:t>
      </w:r>
      <w:r>
        <w:rPr>
          <w:rFonts w:ascii="Arial" w:hAnsi="Arial" w:cs="FrankRuehl"/>
          <w:sz w:val="28"/>
          <w:szCs w:val="28"/>
          <w:rtl/>
        </w:rPr>
        <w:t>.</w:t>
      </w:r>
    </w:p>
    <w:p w14:paraId="27F34EAC" w14:textId="77777777" w:rsidR="0076272A" w:rsidRPr="001C600E" w:rsidRDefault="001C600E">
      <w:pPr>
        <w:rPr>
          <w:rFonts w:cs="FrankRuehl"/>
          <w:color w:val="FFFFFF"/>
          <w:sz w:val="2"/>
          <w:szCs w:val="2"/>
          <w:rtl/>
        </w:rPr>
      </w:pPr>
      <w:r w:rsidRPr="001C600E">
        <w:rPr>
          <w:rFonts w:cs="FrankRuehl"/>
          <w:color w:val="FFFFFF"/>
          <w:sz w:val="2"/>
          <w:szCs w:val="2"/>
          <w:rtl/>
        </w:rPr>
        <w:t>5129371</w:t>
      </w:r>
    </w:p>
    <w:p w14:paraId="3C1DEAA3" w14:textId="77777777" w:rsidR="0076272A" w:rsidRPr="001C600E" w:rsidRDefault="001C600E">
      <w:pPr>
        <w:rPr>
          <w:rFonts w:cs="FrankRuehl"/>
          <w:color w:val="FFFFFF"/>
          <w:sz w:val="2"/>
          <w:szCs w:val="2"/>
          <w:rtl/>
        </w:rPr>
      </w:pPr>
      <w:r w:rsidRPr="001C600E">
        <w:rPr>
          <w:rFonts w:cs="FrankRuehl"/>
          <w:color w:val="FFFFFF"/>
          <w:sz w:val="2"/>
          <w:szCs w:val="2"/>
          <w:rtl/>
        </w:rPr>
        <w:t>54678313</w:t>
      </w:r>
    </w:p>
    <w:p w14:paraId="62BF33FF" w14:textId="77777777" w:rsidR="0076272A" w:rsidRDefault="001C600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C3AB419" w14:textId="77777777" w:rsidR="0076272A" w:rsidRDefault="0076272A">
      <w:pPr>
        <w:jc w:val="center"/>
        <w:rPr>
          <w:rFonts w:ascii="Arial" w:hAnsi="Arial" w:cs="FrankRuehl"/>
          <w:sz w:val="28"/>
          <w:szCs w:val="28"/>
          <w:rtl/>
        </w:rPr>
      </w:pPr>
    </w:p>
    <w:p w14:paraId="531C0397" w14:textId="77777777" w:rsidR="0076272A" w:rsidRDefault="0076272A">
      <w:pPr>
        <w:rPr>
          <w:rFonts w:cs="FrankRuehl"/>
          <w:sz w:val="28"/>
          <w:szCs w:val="28"/>
          <w:rtl/>
        </w:rPr>
      </w:pPr>
    </w:p>
    <w:p w14:paraId="74C28FE5" w14:textId="77777777" w:rsidR="0076272A" w:rsidRDefault="0076272A">
      <w:pPr>
        <w:pStyle w:val="a3"/>
        <w:jc w:val="center"/>
        <w:rPr>
          <w:rtl/>
        </w:rPr>
      </w:pPr>
    </w:p>
    <w:p w14:paraId="67172E70" w14:textId="77777777" w:rsidR="001C600E" w:rsidRPr="001C600E" w:rsidRDefault="001C600E" w:rsidP="001C600E">
      <w:pPr>
        <w:keepNext/>
        <w:rPr>
          <w:rFonts w:ascii="David" w:hAnsi="David"/>
          <w:color w:val="000000"/>
          <w:sz w:val="22"/>
          <w:szCs w:val="22"/>
          <w:rtl/>
        </w:rPr>
      </w:pPr>
    </w:p>
    <w:p w14:paraId="7F5D6E67" w14:textId="77777777" w:rsidR="001C600E" w:rsidRPr="001C600E" w:rsidRDefault="001C600E" w:rsidP="001C600E">
      <w:pPr>
        <w:keepNext/>
        <w:rPr>
          <w:rFonts w:ascii="David" w:hAnsi="David"/>
          <w:color w:val="000000"/>
          <w:sz w:val="22"/>
          <w:szCs w:val="22"/>
          <w:rtl/>
        </w:rPr>
      </w:pPr>
      <w:r w:rsidRPr="001C600E">
        <w:rPr>
          <w:rFonts w:ascii="David" w:hAnsi="David"/>
          <w:color w:val="000000"/>
          <w:sz w:val="22"/>
          <w:szCs w:val="22"/>
          <w:rtl/>
        </w:rPr>
        <w:t>אברהם אליקים 54678313</w:t>
      </w:r>
    </w:p>
    <w:p w14:paraId="3E615EF4" w14:textId="77777777" w:rsidR="001C600E" w:rsidRDefault="001C600E" w:rsidP="001C600E">
      <w:r w:rsidRPr="001C600E">
        <w:rPr>
          <w:color w:val="000000"/>
          <w:rtl/>
        </w:rPr>
        <w:t>נוסח מסמך זה כפוף לשינויי ניסוח ועריכה</w:t>
      </w:r>
    </w:p>
    <w:p w14:paraId="38848218" w14:textId="77777777" w:rsidR="001C600E" w:rsidRDefault="001C600E" w:rsidP="001C600E">
      <w:pPr>
        <w:rPr>
          <w:rtl/>
        </w:rPr>
      </w:pPr>
    </w:p>
    <w:p w14:paraId="4E7FA92F" w14:textId="77777777" w:rsidR="001C600E" w:rsidRDefault="001C600E" w:rsidP="001C600E">
      <w:pPr>
        <w:jc w:val="center"/>
        <w:rPr>
          <w:color w:val="0000FF"/>
          <w:u w:val="single"/>
        </w:rPr>
      </w:pPr>
      <w:r w:rsidRPr="00CC43D8">
        <w:rPr>
          <w:color w:val="000000"/>
          <w:rtl/>
        </w:rPr>
        <w:t>בעניין עריכה ושינויים במסמכי פסיקה, חקיקה ועוד באתר נבו – הקש כאן</w:t>
      </w:r>
    </w:p>
    <w:p w14:paraId="128A6172" w14:textId="77777777" w:rsidR="0076272A" w:rsidRPr="001C600E" w:rsidRDefault="0076272A" w:rsidP="001C600E">
      <w:pPr>
        <w:jc w:val="center"/>
        <w:rPr>
          <w:color w:val="0000FF"/>
          <w:u w:val="single"/>
        </w:rPr>
      </w:pPr>
    </w:p>
    <w:sectPr w:rsidR="0076272A" w:rsidRPr="001C600E" w:rsidSect="001C600E">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4E462" w14:textId="77777777" w:rsidR="00E54BC2" w:rsidRPr="005B07F2" w:rsidRDefault="00E54BC2">
      <w:pPr>
        <w:rPr>
          <w:rFonts w:cs="Arial"/>
          <w:szCs w:val="20"/>
        </w:rPr>
      </w:pPr>
      <w:r>
        <w:separator/>
      </w:r>
    </w:p>
  </w:endnote>
  <w:endnote w:type="continuationSeparator" w:id="0">
    <w:p w14:paraId="3CEE3BD8" w14:textId="77777777" w:rsidR="00E54BC2" w:rsidRPr="005B07F2" w:rsidRDefault="00E54BC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0A860" w14:textId="77777777" w:rsidR="003272D6" w:rsidRDefault="003272D6" w:rsidP="001C600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6848C3" w14:textId="77777777" w:rsidR="003272D6" w:rsidRPr="001C600E" w:rsidRDefault="003272D6" w:rsidP="001C600E">
    <w:pPr>
      <w:pStyle w:val="a4"/>
      <w:pBdr>
        <w:top w:val="single" w:sz="4" w:space="1" w:color="auto"/>
        <w:between w:val="single" w:sz="4" w:space="0" w:color="auto"/>
      </w:pBdr>
      <w:spacing w:after="60"/>
      <w:jc w:val="center"/>
      <w:rPr>
        <w:rFonts w:ascii="FrankRuehl" w:hAnsi="FrankRuehl" w:cs="FrankRuehl"/>
        <w:color w:val="000000"/>
      </w:rPr>
    </w:pPr>
    <w:r w:rsidRPr="001C60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0F1A8" w14:textId="77777777" w:rsidR="003272D6" w:rsidRDefault="003272D6" w:rsidP="001C600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11EA">
      <w:rPr>
        <w:rFonts w:ascii="FrankRuehl" w:hAnsi="FrankRuehl" w:cs="FrankRuehl"/>
        <w:noProof/>
        <w:rtl/>
      </w:rPr>
      <w:t>1</w:t>
    </w:r>
    <w:r>
      <w:rPr>
        <w:rFonts w:ascii="FrankRuehl" w:hAnsi="FrankRuehl" w:cs="FrankRuehl"/>
        <w:rtl/>
      </w:rPr>
      <w:fldChar w:fldCharType="end"/>
    </w:r>
  </w:p>
  <w:p w14:paraId="67D3761F" w14:textId="77777777" w:rsidR="003272D6" w:rsidRPr="001C600E" w:rsidRDefault="003272D6" w:rsidP="001C600E">
    <w:pPr>
      <w:pStyle w:val="a4"/>
      <w:pBdr>
        <w:top w:val="single" w:sz="4" w:space="1" w:color="auto"/>
        <w:between w:val="single" w:sz="4" w:space="0" w:color="auto"/>
      </w:pBdr>
      <w:spacing w:after="60"/>
      <w:jc w:val="center"/>
      <w:rPr>
        <w:rFonts w:ascii="FrankRuehl" w:hAnsi="FrankRuehl" w:cs="FrankRuehl"/>
        <w:color w:val="000000"/>
      </w:rPr>
    </w:pPr>
    <w:r w:rsidRPr="001C600E">
      <w:rPr>
        <w:rFonts w:ascii="FrankRuehl" w:hAnsi="FrankRuehl" w:cs="FrankRuehl"/>
        <w:color w:val="000000"/>
      </w:rPr>
      <w:pict w14:anchorId="6049F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E3944" w14:textId="77777777" w:rsidR="00E54BC2" w:rsidRPr="005B07F2" w:rsidRDefault="00E54BC2">
      <w:pPr>
        <w:rPr>
          <w:rFonts w:cs="Arial"/>
          <w:szCs w:val="20"/>
        </w:rPr>
      </w:pPr>
      <w:r>
        <w:separator/>
      </w:r>
    </w:p>
  </w:footnote>
  <w:footnote w:type="continuationSeparator" w:id="0">
    <w:p w14:paraId="2A7FF6C1" w14:textId="77777777" w:rsidR="00E54BC2" w:rsidRPr="005B07F2" w:rsidRDefault="00E54BC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9660C" w14:textId="77777777" w:rsidR="003272D6" w:rsidRPr="001C600E" w:rsidRDefault="003272D6" w:rsidP="001C60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30672-04-12</w:t>
    </w:r>
    <w:r>
      <w:rPr>
        <w:rFonts w:ascii="David" w:hAnsi="David"/>
        <w:color w:val="000000"/>
        <w:sz w:val="22"/>
        <w:szCs w:val="22"/>
        <w:rtl/>
      </w:rPr>
      <w:tab/>
      <w:t xml:space="preserve"> מדינת ישראל נ' מוחמד חג'אב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97D08" w14:textId="77777777" w:rsidR="003272D6" w:rsidRPr="001C600E" w:rsidRDefault="003272D6" w:rsidP="001C60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30672-04-12</w:t>
    </w:r>
    <w:r>
      <w:rPr>
        <w:rFonts w:ascii="David" w:hAnsi="David"/>
        <w:color w:val="000000"/>
        <w:sz w:val="22"/>
        <w:szCs w:val="22"/>
        <w:rtl/>
      </w:rPr>
      <w:tab/>
      <w:t xml:space="preserve"> מדינת ישראל נ' מוחמד חג'אב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7250C49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EC13184"/>
    <w:multiLevelType w:val="hybridMultilevel"/>
    <w:tmpl w:val="B1163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pStyle w:val="Ruller4"/>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219842">
    <w:abstractNumId w:val="2"/>
  </w:num>
  <w:num w:numId="2" w16cid:durableId="1590428094">
    <w:abstractNumId w:val="0"/>
  </w:num>
  <w:num w:numId="3" w16cid:durableId="2037776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272A"/>
    <w:rsid w:val="00193189"/>
    <w:rsid w:val="001C600E"/>
    <w:rsid w:val="001D22C3"/>
    <w:rsid w:val="00250DA5"/>
    <w:rsid w:val="003272D6"/>
    <w:rsid w:val="003411EA"/>
    <w:rsid w:val="006060B6"/>
    <w:rsid w:val="006800DB"/>
    <w:rsid w:val="00726AF4"/>
    <w:rsid w:val="0076272A"/>
    <w:rsid w:val="007905BB"/>
    <w:rsid w:val="007E040F"/>
    <w:rsid w:val="008A7C13"/>
    <w:rsid w:val="00AD3BDF"/>
    <w:rsid w:val="00CC43D8"/>
    <w:rsid w:val="00E54B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CFDC99"/>
  <w15:chartTrackingRefBased/>
  <w15:docId w15:val="{A8598DD7-5654-482D-A115-88D3BB7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272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6272A"/>
    <w:pPr>
      <w:tabs>
        <w:tab w:val="center" w:pos="4153"/>
        <w:tab w:val="right" w:pos="8306"/>
      </w:tabs>
    </w:pPr>
  </w:style>
  <w:style w:type="paragraph" w:styleId="a4">
    <w:name w:val="footer"/>
    <w:basedOn w:val="a"/>
    <w:rsid w:val="0076272A"/>
    <w:pPr>
      <w:tabs>
        <w:tab w:val="center" w:pos="4153"/>
        <w:tab w:val="right" w:pos="8306"/>
      </w:tabs>
    </w:pPr>
  </w:style>
  <w:style w:type="character" w:styleId="a5">
    <w:name w:val="page number"/>
    <w:basedOn w:val="a0"/>
    <w:rsid w:val="0076272A"/>
  </w:style>
  <w:style w:type="character" w:customStyle="1" w:styleId="TimesNewRomanTimesNewRoman">
    <w:name w:val="סגנון (לטיני) Times New Roman (עברית ושפות אחרות) Times New Roman..."/>
    <w:rsid w:val="0076272A"/>
    <w:rPr>
      <w:rFonts w:ascii="Times New Roman" w:hAnsi="Times New Roman" w:cs="David" w:hint="default"/>
      <w:b/>
      <w:bCs/>
      <w:sz w:val="26"/>
      <w:szCs w:val="26"/>
    </w:rPr>
  </w:style>
  <w:style w:type="character" w:customStyle="1" w:styleId="default">
    <w:name w:val="default"/>
    <w:rsid w:val="0076272A"/>
    <w:rPr>
      <w:rFonts w:ascii="Times New Roman" w:hAnsi="Times New Roman" w:cs="Times New Roman"/>
      <w:sz w:val="26"/>
      <w:szCs w:val="26"/>
    </w:rPr>
  </w:style>
  <w:style w:type="paragraph" w:customStyle="1" w:styleId="Ruller40">
    <w:name w:val="Ruller4"/>
    <w:basedOn w:val="a"/>
    <w:link w:val="Ruller41"/>
    <w:rsid w:val="0076272A"/>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1">
    <w:name w:val="Ruller4 תו"/>
    <w:link w:val="Ruller40"/>
    <w:locked/>
    <w:rsid w:val="0076272A"/>
    <w:rPr>
      <w:rFonts w:ascii="Arial TUR" w:hAnsi="Arial TUR" w:cs="FrankRuehl"/>
      <w:spacing w:val="10"/>
      <w:sz w:val="22"/>
      <w:szCs w:val="28"/>
      <w:lang w:val="en-US" w:eastAsia="en-US" w:bidi="he-IL"/>
    </w:rPr>
  </w:style>
  <w:style w:type="paragraph" w:customStyle="1" w:styleId="Ruller4">
    <w:name w:val="Ruller 4 ממוספר"/>
    <w:basedOn w:val="Ruller40"/>
    <w:next w:val="Ruller40"/>
    <w:link w:val="Ruller42"/>
    <w:rsid w:val="0076272A"/>
    <w:pPr>
      <w:numPr>
        <w:numId w:val="1"/>
      </w:numPr>
      <w:tabs>
        <w:tab w:val="num" w:pos="907"/>
      </w:tabs>
      <w:ind w:left="0" w:right="720" w:firstLine="0"/>
    </w:pPr>
    <w:rPr>
      <w:rFonts w:ascii="Garamond" w:hAnsi="Garamond"/>
      <w:sz w:val="24"/>
    </w:rPr>
  </w:style>
  <w:style w:type="character" w:customStyle="1" w:styleId="Ruller42">
    <w:name w:val="Ruller 4 ממוספר תו"/>
    <w:link w:val="Ruller4"/>
    <w:locked/>
    <w:rsid w:val="0076272A"/>
    <w:rPr>
      <w:rFonts w:ascii="Garamond" w:hAnsi="Garamond" w:cs="FrankRuehl"/>
      <w:spacing w:val="10"/>
      <w:sz w:val="24"/>
      <w:szCs w:val="28"/>
      <w:lang w:val="en-US" w:eastAsia="en-US" w:bidi="he-IL"/>
    </w:rPr>
  </w:style>
  <w:style w:type="paragraph" w:customStyle="1" w:styleId="ListParagraph">
    <w:name w:val="List Paragraph"/>
    <w:basedOn w:val="a"/>
    <w:qFormat/>
    <w:rsid w:val="0076272A"/>
    <w:pPr>
      <w:ind w:left="720"/>
      <w:contextualSpacing/>
    </w:pPr>
  </w:style>
  <w:style w:type="character" w:styleId="Hyperlink">
    <w:name w:val="Hyperlink"/>
    <w:rsid w:val="001C6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law/70301/40b"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law/70301/144.c" TargetMode="External"/><Relationship Id="rId42" Type="http://schemas.openxmlformats.org/officeDocument/2006/relationships/hyperlink" Target="http://www.nevo.co.il/case/5698919" TargetMode="External"/><Relationship Id="rId47" Type="http://schemas.openxmlformats.org/officeDocument/2006/relationships/hyperlink" Target="http://www.nevo.co.il/case/5578618" TargetMode="External"/><Relationship Id="rId50" Type="http://schemas.openxmlformats.org/officeDocument/2006/relationships/hyperlink" Target="http://www.nevo.co.il/case/5703734"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h"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5"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5703734"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144.b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144.c"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case/5612280" TargetMode="External"/><Relationship Id="rId48" Type="http://schemas.openxmlformats.org/officeDocument/2006/relationships/hyperlink" Target="http://www.nevo.co.il/case/5568354" TargetMode="External"/><Relationship Id="rId56"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hyperlink" Target="http://www.nevo.co.il/case/6473037"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2826104" TargetMode="External"/><Relationship Id="rId46" Type="http://schemas.openxmlformats.org/officeDocument/2006/relationships/hyperlink" Target="http://www.nevo.co.il/case/5893982" TargetMode="External"/><Relationship Id="rId59" Type="http://schemas.openxmlformats.org/officeDocument/2006/relationships/fontTable" Target="fontTable.xml"/><Relationship Id="rId20" Type="http://schemas.openxmlformats.org/officeDocument/2006/relationships/hyperlink" Target="http://www.nevo.co.il/law/70301/144.c"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law/70301/40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0301/31" TargetMode="External"/><Relationship Id="rId36" Type="http://schemas.openxmlformats.org/officeDocument/2006/relationships/hyperlink" Target="http://www.nevo.co.il/law/70301/144.c" TargetMode="External"/><Relationship Id="rId49" Type="http://schemas.openxmlformats.org/officeDocument/2006/relationships/hyperlink" Target="http://www.nevo.co.il/case/5821327" TargetMode="External"/><Relationship Id="rId57" Type="http://schemas.openxmlformats.org/officeDocument/2006/relationships/footer" Target="footer1.xml"/><Relationship Id="rId10" Type="http://schemas.openxmlformats.org/officeDocument/2006/relationships/hyperlink" Target="http://www.nevo.co.il/law/4216/37a" TargetMode="External"/><Relationship Id="rId31" Type="http://schemas.openxmlformats.org/officeDocument/2006/relationships/hyperlink" Target="http://www.nevo.co.il/law/70301/144.c" TargetMode="External"/><Relationship Id="rId44" Type="http://schemas.openxmlformats.org/officeDocument/2006/relationships/hyperlink" Target="http://www.nevo.co.il/law/70301/40i" TargetMode="External"/><Relationship Id="rId52" Type="http://schemas.openxmlformats.org/officeDocument/2006/relationships/hyperlink" Target="http://www.nevo.co.il/law/4216/37a"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2713</Words>
  <Characters>13568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16249</CharactersWithSpaces>
  <SharedDoc>false</SharedDoc>
  <HLinks>
    <vt:vector size="288" baseType="variant">
      <vt:variant>
        <vt:i4>6619233</vt:i4>
      </vt:variant>
      <vt:variant>
        <vt:i4>141</vt:i4>
      </vt:variant>
      <vt:variant>
        <vt:i4>0</vt:i4>
      </vt:variant>
      <vt:variant>
        <vt:i4>5</vt:i4>
      </vt:variant>
      <vt:variant>
        <vt:lpwstr>http://www.nevo.co.il/law/70301/40h</vt:lpwstr>
      </vt:variant>
      <vt:variant>
        <vt:lpwstr/>
      </vt:variant>
      <vt:variant>
        <vt:i4>8257637</vt:i4>
      </vt:variant>
      <vt:variant>
        <vt:i4>138</vt:i4>
      </vt:variant>
      <vt:variant>
        <vt:i4>0</vt:i4>
      </vt:variant>
      <vt:variant>
        <vt:i4>5</vt:i4>
      </vt:variant>
      <vt:variant>
        <vt:lpwstr>http://www.nevo.co.il/law/4216</vt:lpwstr>
      </vt:variant>
      <vt:variant>
        <vt:lpwstr/>
      </vt:variant>
      <vt:variant>
        <vt:i4>2883709</vt:i4>
      </vt:variant>
      <vt:variant>
        <vt:i4>135</vt:i4>
      </vt:variant>
      <vt:variant>
        <vt:i4>0</vt:i4>
      </vt:variant>
      <vt:variant>
        <vt:i4>5</vt:i4>
      </vt:variant>
      <vt:variant>
        <vt:lpwstr>http://www.nevo.co.il/law/4216/37a</vt:lpwstr>
      </vt:variant>
      <vt:variant>
        <vt:lpwstr/>
      </vt:variant>
      <vt:variant>
        <vt:i4>3539056</vt:i4>
      </vt:variant>
      <vt:variant>
        <vt:i4>132</vt:i4>
      </vt:variant>
      <vt:variant>
        <vt:i4>0</vt:i4>
      </vt:variant>
      <vt:variant>
        <vt:i4>5</vt:i4>
      </vt:variant>
      <vt:variant>
        <vt:lpwstr>http://www.nevo.co.il/case/6473037</vt:lpwstr>
      </vt:variant>
      <vt:variant>
        <vt:lpwstr/>
      </vt:variant>
      <vt:variant>
        <vt:i4>3539059</vt:i4>
      </vt:variant>
      <vt:variant>
        <vt:i4>129</vt:i4>
      </vt:variant>
      <vt:variant>
        <vt:i4>0</vt:i4>
      </vt:variant>
      <vt:variant>
        <vt:i4>5</vt:i4>
      </vt:variant>
      <vt:variant>
        <vt:lpwstr>http://www.nevo.co.il/case/5703734</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3407996</vt:i4>
      </vt:variant>
      <vt:variant>
        <vt:i4>123</vt:i4>
      </vt:variant>
      <vt:variant>
        <vt:i4>0</vt:i4>
      </vt:variant>
      <vt:variant>
        <vt:i4>5</vt:i4>
      </vt:variant>
      <vt:variant>
        <vt:lpwstr>http://www.nevo.co.il/case/5568354</vt:lpwstr>
      </vt:variant>
      <vt:variant>
        <vt:lpwstr/>
      </vt:variant>
      <vt:variant>
        <vt:i4>3932280</vt:i4>
      </vt:variant>
      <vt:variant>
        <vt:i4>120</vt:i4>
      </vt:variant>
      <vt:variant>
        <vt:i4>0</vt:i4>
      </vt:variant>
      <vt:variant>
        <vt:i4>5</vt:i4>
      </vt:variant>
      <vt:variant>
        <vt:lpwstr>http://www.nevo.co.il/case/5578618</vt:lpwstr>
      </vt:variant>
      <vt:variant>
        <vt:lpwstr/>
      </vt:variant>
      <vt:variant>
        <vt:i4>3604599</vt:i4>
      </vt:variant>
      <vt:variant>
        <vt:i4>117</vt:i4>
      </vt:variant>
      <vt:variant>
        <vt:i4>0</vt:i4>
      </vt:variant>
      <vt:variant>
        <vt:i4>5</vt:i4>
      </vt:variant>
      <vt:variant>
        <vt:lpwstr>http://www.nevo.co.il/case/5893982</vt:lpwstr>
      </vt:variant>
      <vt:variant>
        <vt:lpwstr/>
      </vt:variant>
      <vt:variant>
        <vt:i4>3539059</vt:i4>
      </vt:variant>
      <vt:variant>
        <vt:i4>114</vt:i4>
      </vt:variant>
      <vt:variant>
        <vt:i4>0</vt:i4>
      </vt:variant>
      <vt:variant>
        <vt:i4>5</vt:i4>
      </vt:variant>
      <vt:variant>
        <vt:lpwstr>http://www.nevo.co.il/case/5703734</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3539064</vt:i4>
      </vt:variant>
      <vt:variant>
        <vt:i4>108</vt:i4>
      </vt:variant>
      <vt:variant>
        <vt:i4>0</vt:i4>
      </vt:variant>
      <vt:variant>
        <vt:i4>5</vt:i4>
      </vt:variant>
      <vt:variant>
        <vt:lpwstr>http://www.nevo.co.il/case/5612280</vt:lpwstr>
      </vt:variant>
      <vt:variant>
        <vt:lpwstr/>
      </vt:variant>
      <vt:variant>
        <vt:i4>3932283</vt:i4>
      </vt:variant>
      <vt:variant>
        <vt:i4>105</vt:i4>
      </vt:variant>
      <vt:variant>
        <vt:i4>0</vt:i4>
      </vt:variant>
      <vt:variant>
        <vt:i4>5</vt:i4>
      </vt:variant>
      <vt:variant>
        <vt:lpwstr>http://www.nevo.co.il/case/5698919</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3473530</vt:i4>
      </vt:variant>
      <vt:variant>
        <vt:i4>93</vt:i4>
      </vt:variant>
      <vt:variant>
        <vt:i4>0</vt:i4>
      </vt:variant>
      <vt:variant>
        <vt:i4>5</vt:i4>
      </vt:variant>
      <vt:variant>
        <vt:lpwstr>http://www.nevo.co.il/case/2826104</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5177424</vt:i4>
      </vt:variant>
      <vt:variant>
        <vt:i4>87</vt:i4>
      </vt:variant>
      <vt:variant>
        <vt:i4>0</vt:i4>
      </vt:variant>
      <vt:variant>
        <vt:i4>5</vt:i4>
      </vt:variant>
      <vt:variant>
        <vt:lpwstr>http://www.nevo.co.il/law/70301/144.c</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5177424</vt:i4>
      </vt:variant>
      <vt:variant>
        <vt:i4>81</vt:i4>
      </vt:variant>
      <vt:variant>
        <vt:i4>0</vt:i4>
      </vt:variant>
      <vt:variant>
        <vt:i4>5</vt:i4>
      </vt:variant>
      <vt:variant>
        <vt:lpwstr>http://www.nevo.co.il/law/70301/144.c</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5177424</vt:i4>
      </vt:variant>
      <vt:variant>
        <vt:i4>72</vt:i4>
      </vt:variant>
      <vt:variant>
        <vt:i4>0</vt:i4>
      </vt:variant>
      <vt:variant>
        <vt:i4>5</vt:i4>
      </vt:variant>
      <vt:variant>
        <vt:lpwstr>http://www.nevo.co.il/law/70301/144.c</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5177424</vt:i4>
      </vt:variant>
      <vt:variant>
        <vt:i4>60</vt:i4>
      </vt:variant>
      <vt:variant>
        <vt:i4>0</vt:i4>
      </vt:variant>
      <vt:variant>
        <vt:i4>5</vt:i4>
      </vt:variant>
      <vt:variant>
        <vt:lpwstr>http://www.nevo.co.il/law/70301/144.c</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5177424</vt:i4>
      </vt:variant>
      <vt:variant>
        <vt:i4>39</vt:i4>
      </vt:variant>
      <vt:variant>
        <vt:i4>0</vt:i4>
      </vt:variant>
      <vt:variant>
        <vt:i4>5</vt:i4>
      </vt:variant>
      <vt:variant>
        <vt:lpwstr>http://www.nevo.co.il/law/70301/144.c</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2025-01-19T15:42:00Z</dcterms:created>
  <dcterms:modified xsi:type="dcterms:W3CDTF">2025-01-19T15:42:00Z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30672</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חג'אב</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20130912</vt:lpwstr>
  </property>
  <property fmtid="{D5CDD505-2E9C-101B-9397-08002B2CF9AE}" pid="13" name="TYPE_N_DATE">
    <vt:lpwstr>39020130912</vt:lpwstr>
  </property>
  <property fmtid="{D5CDD505-2E9C-101B-9397-08002B2CF9AE}" pid="14" name="WORDNUMPAGES">
    <vt:lpwstr>9</vt:lpwstr>
  </property>
  <property fmtid="{D5CDD505-2E9C-101B-9397-08002B2CF9AE}" pid="15" name="TYPE_ABS_DATE">
    <vt:lpwstr>390020130912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2826104;5698919;5612280;5703734:2;5893982;5578618;5568354;5821327;6473037</vt:lpwstr>
  </property>
  <property fmtid="{D5CDD505-2E9C-101B-9397-08002B2CF9AE}" pid="36" name="LAWLISTTMP1">
    <vt:lpwstr>4216/013;019a;037a</vt:lpwstr>
  </property>
  <property fmtid="{D5CDD505-2E9C-101B-9397-08002B2CF9AE}" pid="37" name="LAWLISTTMP2">
    <vt:lpwstr>70301/144.b2:3;144.c:4;031;029;144.b;025;040b;40jc;40jc.b;040i;040h</vt:lpwstr>
  </property>
</Properties>
</file>