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F3587" w:rsidRPr="00F03842" w14:paraId="4B574E38" w14:textId="77777777">
        <w:trPr>
          <w:trHeight w:hRule="exact" w:val="418"/>
          <w:jc w:val="center"/>
        </w:trPr>
        <w:tc>
          <w:tcPr>
            <w:tcW w:w="8721" w:type="dxa"/>
            <w:gridSpan w:val="2"/>
          </w:tcPr>
          <w:p w14:paraId="658C1D92" w14:textId="77777777" w:rsidR="005F3587" w:rsidRPr="00F03842" w:rsidRDefault="00F03842">
            <w:pPr>
              <w:pStyle w:val="a3"/>
              <w:jc w:val="center"/>
              <w:rPr>
                <w:rFonts w:ascii="Tahoma" w:hAnsi="Tahoma" w:cs="Tahoma"/>
                <w:color w:val="000080"/>
                <w:rtl/>
              </w:rPr>
            </w:pPr>
            <w:r w:rsidRPr="00F03842">
              <w:rPr>
                <w:rFonts w:ascii="Tahoma" w:hAnsi="Tahoma" w:cs="Tahoma"/>
                <w:b/>
                <w:bCs/>
                <w:color w:val="000080"/>
                <w:rtl/>
              </w:rPr>
              <w:t>בית המשפט המחוזי מרכז</w:t>
            </w:r>
          </w:p>
        </w:tc>
      </w:tr>
      <w:tr w:rsidR="005F3587" w:rsidRPr="00265138" w14:paraId="417F930D" w14:textId="77777777">
        <w:trPr>
          <w:trHeight w:val="337"/>
          <w:jc w:val="center"/>
        </w:trPr>
        <w:tc>
          <w:tcPr>
            <w:tcW w:w="5055" w:type="dxa"/>
          </w:tcPr>
          <w:p w14:paraId="6F608E90" w14:textId="77777777" w:rsidR="005F3587" w:rsidRPr="00265138" w:rsidRDefault="00F03842">
            <w:pPr>
              <w:rPr>
                <w:b/>
                <w:bCs/>
              </w:rPr>
            </w:pPr>
            <w:r w:rsidRPr="00265138">
              <w:rPr>
                <w:b/>
                <w:bCs/>
                <w:rtl/>
              </w:rPr>
              <w:t>ת"פ</w:t>
            </w:r>
            <w:r w:rsidRPr="00265138">
              <w:rPr>
                <w:rFonts w:hint="cs"/>
                <w:b/>
                <w:bCs/>
                <w:rtl/>
              </w:rPr>
              <w:t xml:space="preserve"> </w:t>
            </w:r>
            <w:r w:rsidRPr="00265138">
              <w:rPr>
                <w:b/>
                <w:bCs/>
                <w:rtl/>
              </w:rPr>
              <w:t>11059-05-12</w:t>
            </w:r>
            <w:r w:rsidRPr="00265138">
              <w:rPr>
                <w:rFonts w:hint="cs"/>
                <w:b/>
                <w:bCs/>
                <w:rtl/>
              </w:rPr>
              <w:t xml:space="preserve"> </w:t>
            </w:r>
            <w:r w:rsidRPr="00265138">
              <w:rPr>
                <w:b/>
                <w:bCs/>
                <w:rtl/>
              </w:rPr>
              <w:t>מדינת ישראל נ' אבו מוסא</w:t>
            </w:r>
            <w:r w:rsidRPr="00265138">
              <w:rPr>
                <w:rFonts w:hint="cs"/>
                <w:b/>
                <w:bCs/>
                <w:rtl/>
              </w:rPr>
              <w:t xml:space="preserve"> </w:t>
            </w:r>
            <w:r w:rsidRPr="00265138">
              <w:rPr>
                <w:b/>
                <w:bCs/>
                <w:rtl/>
              </w:rPr>
              <w:t>ואח'</w:t>
            </w:r>
          </w:p>
        </w:tc>
        <w:tc>
          <w:tcPr>
            <w:tcW w:w="3666" w:type="dxa"/>
          </w:tcPr>
          <w:p w14:paraId="664A0A72" w14:textId="77777777" w:rsidR="005F3587" w:rsidRPr="00265138" w:rsidRDefault="005F3587">
            <w:pPr>
              <w:pStyle w:val="a3"/>
              <w:jc w:val="right"/>
              <w:rPr>
                <w:rFonts w:cs="FrankRuehl"/>
                <w:b/>
                <w:bCs/>
                <w:sz w:val="28"/>
                <w:szCs w:val="28"/>
                <w:rtl/>
              </w:rPr>
            </w:pPr>
          </w:p>
        </w:tc>
      </w:tr>
    </w:tbl>
    <w:p w14:paraId="5639392E" w14:textId="77777777" w:rsidR="005F3587" w:rsidRPr="00265138" w:rsidRDefault="00F03842">
      <w:pPr>
        <w:pStyle w:val="a3"/>
        <w:rPr>
          <w:b/>
          <w:bCs/>
        </w:rPr>
      </w:pPr>
      <w:r w:rsidRPr="00265138">
        <w:rPr>
          <w:rFonts w:cs="Times New Roman" w:hint="cs"/>
          <w:b/>
          <w:bCs/>
          <w:sz w:val="26"/>
          <w:szCs w:val="28"/>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F3587" w:rsidRPr="00265138" w14:paraId="6C9F3C9E" w14:textId="77777777">
        <w:trPr>
          <w:trHeight w:val="295"/>
          <w:jc w:val="center"/>
        </w:trPr>
        <w:tc>
          <w:tcPr>
            <w:tcW w:w="945" w:type="dxa"/>
            <w:tcBorders>
              <w:top w:val="nil"/>
              <w:left w:val="nil"/>
              <w:bottom w:val="nil"/>
              <w:right w:val="nil"/>
            </w:tcBorders>
          </w:tcPr>
          <w:p w14:paraId="6C538348" w14:textId="77777777" w:rsidR="005F3587" w:rsidRPr="00265138" w:rsidRDefault="00F03842">
            <w:pPr>
              <w:jc w:val="both"/>
              <w:rPr>
                <w:rFonts w:ascii="Arial" w:hAnsi="Arial" w:cs="FrankRuehl"/>
                <w:b/>
                <w:bCs/>
                <w:sz w:val="28"/>
                <w:szCs w:val="28"/>
              </w:rPr>
            </w:pPr>
            <w:bookmarkStart w:id="0" w:name="_GoBack"/>
            <w:bookmarkEnd w:id="0"/>
            <w:r w:rsidRPr="00265138">
              <w:rPr>
                <w:rFonts w:ascii="Arial" w:hAnsi="Arial" w:cs="FrankRuehl" w:hint="cs"/>
                <w:b/>
                <w:bCs/>
                <w:sz w:val="28"/>
                <w:szCs w:val="28"/>
                <w:rtl/>
              </w:rPr>
              <w:t>ב</w:t>
            </w:r>
            <w:r w:rsidRPr="00265138">
              <w:rPr>
                <w:rFonts w:ascii="Arial" w:hAnsi="Arial" w:cs="FrankRuehl"/>
                <w:b/>
                <w:bCs/>
                <w:sz w:val="28"/>
                <w:szCs w:val="28"/>
                <w:rtl/>
              </w:rPr>
              <w:t xml:space="preserve">פני </w:t>
            </w:r>
          </w:p>
        </w:tc>
        <w:tc>
          <w:tcPr>
            <w:tcW w:w="7875" w:type="dxa"/>
            <w:gridSpan w:val="2"/>
            <w:tcBorders>
              <w:top w:val="nil"/>
              <w:left w:val="nil"/>
              <w:bottom w:val="nil"/>
              <w:right w:val="nil"/>
            </w:tcBorders>
          </w:tcPr>
          <w:p w14:paraId="5AE05EBC" w14:textId="77777777" w:rsidR="005F3587" w:rsidRPr="00265138" w:rsidRDefault="00F03842" w:rsidP="00265138">
            <w:pPr>
              <w:jc w:val="both"/>
              <w:rPr>
                <w:rFonts w:ascii="Arial" w:hAnsi="Arial"/>
                <w:b/>
                <w:bCs/>
                <w:sz w:val="28"/>
                <w:szCs w:val="28"/>
              </w:rPr>
            </w:pPr>
            <w:r w:rsidRPr="00265138">
              <w:rPr>
                <w:rFonts w:ascii="Arial" w:hAnsi="Arial" w:hint="cs"/>
                <w:b/>
                <w:bCs/>
                <w:sz w:val="28"/>
                <w:szCs w:val="28"/>
                <w:rtl/>
              </w:rPr>
              <w:t xml:space="preserve">כב' השופט אברהם טל, סג"נ </w:t>
            </w:r>
          </w:p>
        </w:tc>
      </w:tr>
      <w:tr w:rsidR="005F3587" w:rsidRPr="00265138" w14:paraId="40809862" w14:textId="77777777">
        <w:trPr>
          <w:trHeight w:val="355"/>
          <w:jc w:val="center"/>
        </w:trPr>
        <w:tc>
          <w:tcPr>
            <w:tcW w:w="945" w:type="dxa"/>
            <w:tcBorders>
              <w:top w:val="nil"/>
              <w:left w:val="nil"/>
              <w:bottom w:val="nil"/>
              <w:right w:val="nil"/>
            </w:tcBorders>
          </w:tcPr>
          <w:p w14:paraId="33E56FF0" w14:textId="77777777" w:rsidR="005F3587" w:rsidRPr="00265138" w:rsidRDefault="005F3587">
            <w:pPr>
              <w:jc w:val="both"/>
              <w:rPr>
                <w:rFonts w:ascii="Arial" w:hAnsi="Arial"/>
                <w:b/>
                <w:bCs/>
                <w:sz w:val="28"/>
                <w:szCs w:val="28"/>
                <w:rtl/>
              </w:rPr>
            </w:pPr>
            <w:bookmarkStart w:id="1" w:name="FirstAppellant"/>
            <w:bookmarkStart w:id="2" w:name="LastJudge"/>
            <w:bookmarkEnd w:id="2"/>
          </w:p>
          <w:p w14:paraId="04040B74" w14:textId="77777777" w:rsidR="005F3587" w:rsidRPr="00265138" w:rsidRDefault="00F03842">
            <w:pPr>
              <w:jc w:val="both"/>
              <w:rPr>
                <w:rFonts w:ascii="Arial" w:hAnsi="Arial"/>
                <w:b/>
                <w:bCs/>
                <w:sz w:val="28"/>
                <w:szCs w:val="28"/>
              </w:rPr>
            </w:pPr>
            <w:r w:rsidRPr="00265138">
              <w:rPr>
                <w:rFonts w:ascii="Arial" w:hAnsi="Arial" w:hint="cs"/>
                <w:b/>
                <w:bCs/>
                <w:sz w:val="28"/>
                <w:szCs w:val="28"/>
                <w:rtl/>
              </w:rPr>
              <w:t>בעניין:</w:t>
            </w:r>
          </w:p>
        </w:tc>
        <w:tc>
          <w:tcPr>
            <w:tcW w:w="4114" w:type="dxa"/>
            <w:tcBorders>
              <w:top w:val="nil"/>
              <w:left w:val="nil"/>
              <w:bottom w:val="nil"/>
              <w:right w:val="nil"/>
            </w:tcBorders>
          </w:tcPr>
          <w:p w14:paraId="2A381CA3" w14:textId="77777777" w:rsidR="005F3587" w:rsidRPr="00265138" w:rsidRDefault="005F3587">
            <w:pPr>
              <w:jc w:val="both"/>
              <w:rPr>
                <w:rFonts w:ascii="Arial" w:hAnsi="Arial"/>
                <w:b/>
                <w:bCs/>
                <w:sz w:val="28"/>
                <w:szCs w:val="28"/>
                <w:rtl/>
              </w:rPr>
            </w:pPr>
          </w:p>
          <w:p w14:paraId="45AF553B" w14:textId="77777777" w:rsidR="005F3587" w:rsidRPr="00265138" w:rsidRDefault="00F03842">
            <w:pPr>
              <w:jc w:val="both"/>
              <w:rPr>
                <w:rFonts w:ascii="Arial" w:hAnsi="Arial"/>
                <w:b/>
                <w:bCs/>
                <w:sz w:val="28"/>
                <w:szCs w:val="28"/>
              </w:rPr>
            </w:pPr>
            <w:r w:rsidRPr="00265138">
              <w:rPr>
                <w:rFonts w:ascii="Arial" w:hAnsi="Arial" w:hint="cs"/>
                <w:b/>
                <w:bCs/>
                <w:sz w:val="28"/>
                <w:szCs w:val="28"/>
                <w:rtl/>
              </w:rPr>
              <w:t>מדינת ישראל</w:t>
            </w:r>
          </w:p>
        </w:tc>
        <w:tc>
          <w:tcPr>
            <w:tcW w:w="3761" w:type="dxa"/>
            <w:tcBorders>
              <w:top w:val="nil"/>
              <w:left w:val="nil"/>
              <w:bottom w:val="nil"/>
              <w:right w:val="nil"/>
            </w:tcBorders>
          </w:tcPr>
          <w:p w14:paraId="7265A53A" w14:textId="77777777" w:rsidR="005F3587" w:rsidRPr="00265138" w:rsidRDefault="005F3587">
            <w:pPr>
              <w:jc w:val="both"/>
              <w:rPr>
                <w:rFonts w:ascii="Arial" w:hAnsi="Arial"/>
                <w:b/>
                <w:bCs/>
                <w:sz w:val="28"/>
                <w:szCs w:val="28"/>
              </w:rPr>
            </w:pPr>
          </w:p>
        </w:tc>
      </w:tr>
      <w:bookmarkEnd w:id="1"/>
      <w:tr w:rsidR="005F3587" w:rsidRPr="00265138" w14:paraId="1EC03758" w14:textId="77777777">
        <w:trPr>
          <w:trHeight w:val="355"/>
          <w:jc w:val="center"/>
        </w:trPr>
        <w:tc>
          <w:tcPr>
            <w:tcW w:w="945" w:type="dxa"/>
            <w:tcBorders>
              <w:top w:val="nil"/>
              <w:left w:val="nil"/>
              <w:bottom w:val="nil"/>
              <w:right w:val="nil"/>
            </w:tcBorders>
          </w:tcPr>
          <w:p w14:paraId="2062BA40" w14:textId="77777777" w:rsidR="005F3587" w:rsidRPr="00265138" w:rsidRDefault="005F3587">
            <w:pPr>
              <w:jc w:val="both"/>
              <w:rPr>
                <w:rFonts w:ascii="Arial" w:hAnsi="Arial"/>
                <w:b/>
                <w:bCs/>
                <w:sz w:val="28"/>
                <w:szCs w:val="28"/>
                <w:rtl/>
              </w:rPr>
            </w:pPr>
          </w:p>
        </w:tc>
        <w:tc>
          <w:tcPr>
            <w:tcW w:w="4114" w:type="dxa"/>
            <w:tcBorders>
              <w:top w:val="nil"/>
              <w:left w:val="nil"/>
              <w:bottom w:val="nil"/>
              <w:right w:val="nil"/>
            </w:tcBorders>
          </w:tcPr>
          <w:p w14:paraId="068FEA24" w14:textId="77777777" w:rsidR="005F3587" w:rsidRPr="00265138" w:rsidRDefault="005F3587">
            <w:pPr>
              <w:jc w:val="both"/>
              <w:rPr>
                <w:rFonts w:ascii="Arial" w:hAnsi="Arial"/>
                <w:b/>
                <w:bCs/>
                <w:sz w:val="28"/>
                <w:szCs w:val="28"/>
                <w:rtl/>
              </w:rPr>
            </w:pPr>
          </w:p>
        </w:tc>
        <w:tc>
          <w:tcPr>
            <w:tcW w:w="3761" w:type="dxa"/>
            <w:tcBorders>
              <w:top w:val="nil"/>
              <w:left w:val="nil"/>
              <w:bottom w:val="nil"/>
              <w:right w:val="nil"/>
            </w:tcBorders>
          </w:tcPr>
          <w:p w14:paraId="5A162617" w14:textId="77777777" w:rsidR="005F3587" w:rsidRPr="00265138" w:rsidRDefault="00F03842">
            <w:pPr>
              <w:jc w:val="right"/>
              <w:rPr>
                <w:rFonts w:ascii="Arial" w:hAnsi="Arial"/>
                <w:b/>
                <w:bCs/>
                <w:sz w:val="28"/>
                <w:szCs w:val="28"/>
                <w:rtl/>
              </w:rPr>
            </w:pPr>
            <w:r w:rsidRPr="00265138">
              <w:rPr>
                <w:rFonts w:ascii="Arial" w:hAnsi="Arial" w:hint="cs"/>
                <w:b/>
                <w:bCs/>
                <w:sz w:val="28"/>
                <w:szCs w:val="28"/>
                <w:rtl/>
              </w:rPr>
              <w:t>המאשימה</w:t>
            </w:r>
          </w:p>
        </w:tc>
      </w:tr>
      <w:tr w:rsidR="005F3587" w:rsidRPr="00265138" w14:paraId="6BD097E6" w14:textId="77777777">
        <w:trPr>
          <w:trHeight w:val="355"/>
          <w:jc w:val="center"/>
        </w:trPr>
        <w:tc>
          <w:tcPr>
            <w:tcW w:w="945" w:type="dxa"/>
            <w:tcBorders>
              <w:top w:val="nil"/>
              <w:left w:val="nil"/>
              <w:bottom w:val="nil"/>
              <w:right w:val="nil"/>
            </w:tcBorders>
          </w:tcPr>
          <w:p w14:paraId="4F17EF87" w14:textId="77777777" w:rsidR="005F3587" w:rsidRPr="00265138" w:rsidRDefault="005F3587">
            <w:pPr>
              <w:jc w:val="both"/>
              <w:rPr>
                <w:rFonts w:ascii="Arial" w:hAnsi="Arial"/>
                <w:b/>
                <w:bCs/>
                <w:sz w:val="28"/>
                <w:szCs w:val="28"/>
                <w:rtl/>
              </w:rPr>
            </w:pPr>
          </w:p>
        </w:tc>
        <w:tc>
          <w:tcPr>
            <w:tcW w:w="7875" w:type="dxa"/>
            <w:gridSpan w:val="2"/>
            <w:tcBorders>
              <w:top w:val="nil"/>
              <w:left w:val="nil"/>
              <w:bottom w:val="nil"/>
              <w:right w:val="nil"/>
            </w:tcBorders>
          </w:tcPr>
          <w:p w14:paraId="644CEF99" w14:textId="77777777" w:rsidR="005F3587" w:rsidRPr="00265138" w:rsidRDefault="005F3587">
            <w:pPr>
              <w:jc w:val="center"/>
              <w:rPr>
                <w:rFonts w:ascii="Arial" w:hAnsi="Arial"/>
                <w:b/>
                <w:bCs/>
                <w:sz w:val="28"/>
                <w:szCs w:val="28"/>
                <w:rtl/>
              </w:rPr>
            </w:pPr>
          </w:p>
          <w:p w14:paraId="7690AD73" w14:textId="77777777" w:rsidR="005F3587" w:rsidRPr="00265138" w:rsidRDefault="00F03842">
            <w:pPr>
              <w:jc w:val="center"/>
              <w:rPr>
                <w:rFonts w:ascii="Arial" w:hAnsi="Arial"/>
                <w:b/>
                <w:bCs/>
                <w:sz w:val="28"/>
                <w:szCs w:val="28"/>
                <w:rtl/>
              </w:rPr>
            </w:pPr>
            <w:r w:rsidRPr="00265138">
              <w:rPr>
                <w:rFonts w:ascii="Arial" w:hAnsi="Arial"/>
                <w:b/>
                <w:bCs/>
                <w:sz w:val="28"/>
                <w:szCs w:val="28"/>
                <w:rtl/>
              </w:rPr>
              <w:t>נגד</w:t>
            </w:r>
          </w:p>
          <w:p w14:paraId="275B120F" w14:textId="77777777" w:rsidR="005F3587" w:rsidRPr="00265138" w:rsidRDefault="005F3587">
            <w:pPr>
              <w:jc w:val="both"/>
              <w:rPr>
                <w:rFonts w:ascii="Arial" w:hAnsi="Arial"/>
                <w:b/>
                <w:bCs/>
                <w:sz w:val="28"/>
                <w:szCs w:val="28"/>
              </w:rPr>
            </w:pPr>
          </w:p>
        </w:tc>
      </w:tr>
      <w:tr w:rsidR="005F3587" w:rsidRPr="00265138" w14:paraId="359A5F24" w14:textId="77777777">
        <w:trPr>
          <w:trHeight w:val="355"/>
          <w:jc w:val="center"/>
        </w:trPr>
        <w:tc>
          <w:tcPr>
            <w:tcW w:w="945" w:type="dxa"/>
            <w:tcBorders>
              <w:top w:val="nil"/>
              <w:left w:val="nil"/>
              <w:bottom w:val="nil"/>
              <w:right w:val="nil"/>
            </w:tcBorders>
          </w:tcPr>
          <w:p w14:paraId="3C603336" w14:textId="77777777" w:rsidR="005F3587" w:rsidRPr="00265138" w:rsidRDefault="005F3587">
            <w:pPr>
              <w:jc w:val="both"/>
              <w:rPr>
                <w:rFonts w:ascii="Arial" w:hAnsi="Arial"/>
                <w:b/>
                <w:bCs/>
                <w:sz w:val="28"/>
                <w:szCs w:val="28"/>
                <w:rtl/>
              </w:rPr>
            </w:pPr>
          </w:p>
        </w:tc>
        <w:tc>
          <w:tcPr>
            <w:tcW w:w="4114" w:type="dxa"/>
            <w:tcBorders>
              <w:top w:val="nil"/>
              <w:left w:val="nil"/>
              <w:bottom w:val="nil"/>
              <w:right w:val="nil"/>
            </w:tcBorders>
          </w:tcPr>
          <w:p w14:paraId="519984BE" w14:textId="77777777" w:rsidR="005F3587" w:rsidRPr="00265138" w:rsidRDefault="00F03842">
            <w:pPr>
              <w:jc w:val="both"/>
              <w:rPr>
                <w:rFonts w:ascii="Arial" w:hAnsi="Arial"/>
                <w:b/>
                <w:bCs/>
                <w:sz w:val="28"/>
                <w:szCs w:val="28"/>
                <w:rtl/>
              </w:rPr>
            </w:pPr>
            <w:r w:rsidRPr="00265138">
              <w:rPr>
                <w:rFonts w:ascii="Arial" w:hAnsi="Arial" w:hint="cs"/>
                <w:b/>
                <w:bCs/>
                <w:sz w:val="28"/>
                <w:szCs w:val="28"/>
                <w:rtl/>
              </w:rPr>
              <w:t xml:space="preserve">1. באסל אבו מוסא </w:t>
            </w:r>
          </w:p>
          <w:p w14:paraId="09865CF8" w14:textId="77777777" w:rsidR="005F3587" w:rsidRPr="00265138" w:rsidRDefault="00F03842">
            <w:pPr>
              <w:jc w:val="both"/>
              <w:rPr>
                <w:rFonts w:ascii="Arial" w:hAnsi="Arial"/>
                <w:b/>
                <w:bCs/>
                <w:sz w:val="28"/>
                <w:szCs w:val="28"/>
                <w:rtl/>
              </w:rPr>
            </w:pPr>
            <w:r w:rsidRPr="00265138">
              <w:rPr>
                <w:rFonts w:ascii="Arial" w:hAnsi="Arial" w:hint="cs"/>
                <w:b/>
                <w:bCs/>
                <w:sz w:val="28"/>
                <w:szCs w:val="28"/>
                <w:rtl/>
              </w:rPr>
              <w:t xml:space="preserve">2. חסן אבו מוסא </w:t>
            </w:r>
          </w:p>
        </w:tc>
        <w:tc>
          <w:tcPr>
            <w:tcW w:w="3761" w:type="dxa"/>
            <w:tcBorders>
              <w:top w:val="nil"/>
              <w:left w:val="nil"/>
              <w:bottom w:val="nil"/>
              <w:right w:val="nil"/>
            </w:tcBorders>
          </w:tcPr>
          <w:p w14:paraId="02A957CF" w14:textId="77777777" w:rsidR="005F3587" w:rsidRPr="00265138" w:rsidRDefault="005F3587">
            <w:pPr>
              <w:jc w:val="right"/>
              <w:rPr>
                <w:rFonts w:ascii="Arial" w:hAnsi="Arial"/>
                <w:b/>
                <w:bCs/>
                <w:sz w:val="28"/>
                <w:szCs w:val="28"/>
              </w:rPr>
            </w:pPr>
          </w:p>
        </w:tc>
      </w:tr>
      <w:tr w:rsidR="005F3587" w:rsidRPr="00F03842" w14:paraId="33B1CDB3" w14:textId="77777777">
        <w:trPr>
          <w:trHeight w:val="355"/>
          <w:jc w:val="center"/>
        </w:trPr>
        <w:tc>
          <w:tcPr>
            <w:tcW w:w="945" w:type="dxa"/>
            <w:tcBorders>
              <w:top w:val="nil"/>
              <w:left w:val="nil"/>
              <w:bottom w:val="nil"/>
              <w:right w:val="nil"/>
            </w:tcBorders>
          </w:tcPr>
          <w:p w14:paraId="7E40B1BB" w14:textId="77777777" w:rsidR="005F3587" w:rsidRPr="00F03842" w:rsidRDefault="005F3587">
            <w:pPr>
              <w:jc w:val="both"/>
              <w:rPr>
                <w:rFonts w:ascii="Arial" w:hAnsi="Arial"/>
                <w:b/>
                <w:bCs/>
                <w:sz w:val="28"/>
                <w:szCs w:val="28"/>
                <w:rtl/>
              </w:rPr>
            </w:pPr>
          </w:p>
        </w:tc>
        <w:tc>
          <w:tcPr>
            <w:tcW w:w="4114" w:type="dxa"/>
            <w:tcBorders>
              <w:top w:val="nil"/>
              <w:left w:val="nil"/>
              <w:bottom w:val="nil"/>
              <w:right w:val="nil"/>
            </w:tcBorders>
          </w:tcPr>
          <w:p w14:paraId="12EF58FC" w14:textId="77777777" w:rsidR="005F3587" w:rsidRPr="00265138" w:rsidRDefault="005F3587">
            <w:pPr>
              <w:jc w:val="both"/>
              <w:rPr>
                <w:rFonts w:ascii="Arial" w:hAnsi="Arial"/>
                <w:b/>
                <w:bCs/>
                <w:sz w:val="28"/>
                <w:szCs w:val="28"/>
                <w:rtl/>
              </w:rPr>
            </w:pPr>
          </w:p>
        </w:tc>
        <w:tc>
          <w:tcPr>
            <w:tcW w:w="3761" w:type="dxa"/>
            <w:tcBorders>
              <w:top w:val="nil"/>
              <w:left w:val="nil"/>
              <w:bottom w:val="nil"/>
              <w:right w:val="nil"/>
            </w:tcBorders>
          </w:tcPr>
          <w:p w14:paraId="03356D61" w14:textId="77777777" w:rsidR="005F3587" w:rsidRPr="00F03842" w:rsidRDefault="00F03842">
            <w:pPr>
              <w:jc w:val="right"/>
              <w:rPr>
                <w:rFonts w:ascii="Arial" w:hAnsi="Arial"/>
                <w:b/>
                <w:bCs/>
                <w:sz w:val="28"/>
                <w:szCs w:val="28"/>
              </w:rPr>
            </w:pPr>
            <w:r w:rsidRPr="00F03842">
              <w:rPr>
                <w:rFonts w:ascii="Arial" w:hAnsi="Arial" w:hint="cs"/>
                <w:b/>
                <w:bCs/>
                <w:sz w:val="28"/>
                <w:szCs w:val="28"/>
                <w:rtl/>
              </w:rPr>
              <w:t>ה</w:t>
            </w:r>
            <w:r w:rsidRPr="00265138">
              <w:rPr>
                <w:rFonts w:ascii="Arial" w:hAnsi="Arial" w:hint="cs"/>
                <w:b/>
                <w:bCs/>
                <w:sz w:val="28"/>
                <w:szCs w:val="28"/>
                <w:rtl/>
              </w:rPr>
              <w:t>נאשמים</w:t>
            </w:r>
          </w:p>
        </w:tc>
      </w:tr>
    </w:tbl>
    <w:p w14:paraId="472D0CFE" w14:textId="77777777" w:rsidR="00DD7905" w:rsidRDefault="00DD7905">
      <w:pPr>
        <w:rPr>
          <w:rtl/>
        </w:rPr>
      </w:pPr>
      <w:bookmarkStart w:id="3" w:name="LawTable"/>
      <w:bookmarkEnd w:id="3"/>
    </w:p>
    <w:p w14:paraId="26584943" w14:textId="77777777" w:rsidR="00DD7905" w:rsidRPr="00DD7905" w:rsidRDefault="00DD7905" w:rsidP="00DD7905">
      <w:pPr>
        <w:spacing w:after="120" w:line="240" w:lineRule="exact"/>
        <w:ind w:left="283" w:hanging="283"/>
        <w:jc w:val="both"/>
        <w:rPr>
          <w:rFonts w:ascii="FrankRuehl" w:hAnsi="FrankRuehl" w:cs="FrankRuehl"/>
          <w:rtl/>
        </w:rPr>
      </w:pPr>
    </w:p>
    <w:p w14:paraId="23FF52C7" w14:textId="77777777" w:rsidR="00DD7905" w:rsidRPr="00DD7905" w:rsidRDefault="00DD7905" w:rsidP="00DD7905">
      <w:pPr>
        <w:spacing w:after="120" w:line="240" w:lineRule="exact"/>
        <w:ind w:left="283" w:hanging="283"/>
        <w:jc w:val="both"/>
        <w:rPr>
          <w:rFonts w:ascii="FrankRuehl" w:hAnsi="FrankRuehl" w:cs="FrankRuehl"/>
          <w:rtl/>
        </w:rPr>
      </w:pPr>
      <w:r w:rsidRPr="00DD7905">
        <w:rPr>
          <w:rFonts w:ascii="FrankRuehl" w:hAnsi="FrankRuehl" w:cs="FrankRuehl"/>
          <w:rtl/>
        </w:rPr>
        <w:t xml:space="preserve">חקיקה שאוזכרה: </w:t>
      </w:r>
    </w:p>
    <w:p w14:paraId="1517620E" w14:textId="77777777" w:rsidR="00DD7905" w:rsidRPr="00DD7905" w:rsidRDefault="00DD7905" w:rsidP="00DD7905">
      <w:pPr>
        <w:spacing w:after="120" w:line="240" w:lineRule="exact"/>
        <w:ind w:left="283" w:hanging="283"/>
        <w:jc w:val="both"/>
        <w:rPr>
          <w:rFonts w:ascii="FrankRuehl" w:hAnsi="FrankRuehl" w:cs="FrankRuehl"/>
          <w:rtl/>
        </w:rPr>
      </w:pPr>
      <w:hyperlink r:id="rId7" w:history="1">
        <w:r w:rsidRPr="00DD7905">
          <w:rPr>
            <w:rFonts w:ascii="FrankRuehl" w:hAnsi="FrankRuehl" w:cs="FrankRuehl"/>
            <w:color w:val="0000FF"/>
            <w:u w:val="single"/>
            <w:rtl/>
          </w:rPr>
          <w:t>חוק העונשין, תשל"ז-1977</w:t>
        </w:r>
      </w:hyperlink>
      <w:r w:rsidRPr="00DD7905">
        <w:rPr>
          <w:rFonts w:ascii="FrankRuehl" w:hAnsi="FrankRuehl" w:cs="FrankRuehl"/>
          <w:rtl/>
        </w:rPr>
        <w:t xml:space="preserve">: סע'  </w:t>
      </w:r>
      <w:hyperlink r:id="rId8" w:history="1">
        <w:r w:rsidRPr="00DD7905">
          <w:rPr>
            <w:rFonts w:ascii="FrankRuehl" w:hAnsi="FrankRuehl" w:cs="FrankRuehl"/>
            <w:color w:val="0000FF"/>
            <w:u w:val="single"/>
            <w:rtl/>
          </w:rPr>
          <w:t>40ו</w:t>
        </w:r>
      </w:hyperlink>
      <w:r w:rsidRPr="00DD7905">
        <w:rPr>
          <w:rFonts w:ascii="FrankRuehl" w:hAnsi="FrankRuehl" w:cs="FrankRuehl"/>
          <w:rtl/>
        </w:rPr>
        <w:t xml:space="preserve">, </w:t>
      </w:r>
      <w:hyperlink r:id="rId9" w:history="1">
        <w:r w:rsidRPr="00DD7905">
          <w:rPr>
            <w:rFonts w:ascii="FrankRuehl" w:hAnsi="FrankRuehl" w:cs="FrankRuehl"/>
            <w:color w:val="0000FF"/>
            <w:u w:val="single"/>
            <w:rtl/>
          </w:rPr>
          <w:t>40ז</w:t>
        </w:r>
      </w:hyperlink>
      <w:r w:rsidRPr="00DD7905">
        <w:rPr>
          <w:rFonts w:ascii="FrankRuehl" w:hAnsi="FrankRuehl" w:cs="FrankRuehl"/>
          <w:rtl/>
        </w:rPr>
        <w:t xml:space="preserve">, </w:t>
      </w:r>
      <w:hyperlink r:id="rId10" w:history="1">
        <w:r w:rsidRPr="00DD7905">
          <w:rPr>
            <w:rFonts w:ascii="FrankRuehl" w:hAnsi="FrankRuehl" w:cs="FrankRuehl"/>
            <w:color w:val="0000FF"/>
            <w:u w:val="single"/>
            <w:rtl/>
          </w:rPr>
          <w:t>40 ט'</w:t>
        </w:r>
      </w:hyperlink>
      <w:r w:rsidRPr="00DD7905">
        <w:rPr>
          <w:rFonts w:ascii="FrankRuehl" w:hAnsi="FrankRuehl" w:cs="FrankRuehl"/>
          <w:rtl/>
        </w:rPr>
        <w:t xml:space="preserve">, </w:t>
      </w:r>
      <w:hyperlink r:id="rId11" w:history="1">
        <w:r w:rsidRPr="00DD7905">
          <w:rPr>
            <w:rFonts w:ascii="FrankRuehl" w:hAnsi="FrankRuehl" w:cs="FrankRuehl"/>
            <w:color w:val="0000FF"/>
            <w:u w:val="single"/>
            <w:rtl/>
          </w:rPr>
          <w:t>144 (א)</w:t>
        </w:r>
      </w:hyperlink>
      <w:r w:rsidRPr="00DD7905">
        <w:rPr>
          <w:rFonts w:ascii="FrankRuehl" w:hAnsi="FrankRuehl" w:cs="FrankRuehl"/>
          <w:rtl/>
        </w:rPr>
        <w:t xml:space="preserve">, </w:t>
      </w:r>
      <w:hyperlink r:id="rId12" w:history="1">
        <w:r w:rsidRPr="00DD7905">
          <w:rPr>
            <w:rFonts w:ascii="FrankRuehl" w:hAnsi="FrankRuehl" w:cs="FrankRuehl"/>
            <w:color w:val="0000FF"/>
            <w:u w:val="single"/>
            <w:rtl/>
          </w:rPr>
          <w:t>340 א</w:t>
        </w:r>
      </w:hyperlink>
    </w:p>
    <w:p w14:paraId="3D196AAF" w14:textId="77777777" w:rsidR="00DD7905" w:rsidRPr="00DD7905" w:rsidRDefault="00DD7905" w:rsidP="00DD7905">
      <w:pPr>
        <w:spacing w:after="120" w:line="240" w:lineRule="exact"/>
        <w:ind w:left="283" w:hanging="283"/>
        <w:jc w:val="both"/>
        <w:rPr>
          <w:rFonts w:ascii="FrankRuehl" w:hAnsi="FrankRuehl" w:cs="FrankRuehl"/>
          <w:rtl/>
        </w:rPr>
      </w:pPr>
    </w:p>
    <w:p w14:paraId="131E8CE0" w14:textId="77777777" w:rsidR="00DD7905" w:rsidRPr="00DD7905" w:rsidRDefault="00DD7905">
      <w:pPr>
        <w:rPr>
          <w:rtl/>
        </w:rPr>
      </w:pPr>
      <w:bookmarkStart w:id="4" w:name="LawTable_End"/>
      <w:bookmarkEnd w:id="4"/>
    </w:p>
    <w:p w14:paraId="160F23ED" w14:textId="77777777" w:rsidR="005F3587" w:rsidRPr="0056151B" w:rsidRDefault="005F3587">
      <w:pPr>
        <w:rPr>
          <w:rFonts w:hint="cs"/>
          <w:b/>
          <w:bCs/>
          <w:rtl/>
        </w:rPr>
      </w:pPr>
    </w:p>
    <w:p w14:paraId="5DE1F790"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40E33F8E" w14:textId="77777777" w:rsidR="00265138" w:rsidRP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hint="cs"/>
          <w:sz w:val="24"/>
          <w:szCs w:val="26"/>
          <w:rtl/>
        </w:rPr>
        <w:t xml:space="preserve">* </w:t>
      </w:r>
      <w:r w:rsidRPr="00265138">
        <w:rPr>
          <w:rFonts w:ascii="Times New Roman" w:hAnsi="Times New Roman" w:cs="FrankRuehl" w:hint="cs"/>
          <w:sz w:val="24"/>
          <w:szCs w:val="26"/>
          <w:rtl/>
        </w:rPr>
        <w:t>ככלל, עבירות החזקת נשק ללא רשות וירי במקום מגורים הן עבירות חמורות ויש להחמיר עם מבצעיהן, אך במקרה דנן ישנן נסיבות חריגות, הושתו על הנאשמים מאסרים לריצוי בעבודות שירות ובנוסף מאסרים על תנאי.</w:t>
      </w:r>
    </w:p>
    <w:p w14:paraId="690A082B"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עבירות – החזקת נשק ללא רשיון</w:t>
      </w:r>
    </w:p>
    <w:p w14:paraId="40E854CE"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מתחם הענישה</w:t>
      </w:r>
    </w:p>
    <w:p w14:paraId="2C0A2DFE"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עקרון ההלימה‏</w:t>
      </w:r>
    </w:p>
    <w:p w14:paraId="1D9323DF"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 עבירות נשק</w:t>
      </w:r>
    </w:p>
    <w:p w14:paraId="30D3D723"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 החזקת נשק</w:t>
      </w:r>
    </w:p>
    <w:p w14:paraId="49F12B3D"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שיקולים לקולה</w:t>
      </w:r>
    </w:p>
    <w:p w14:paraId="44148E9D" w14:textId="77777777" w:rsidR="00265138" w:rsidRDefault="00265138" w:rsidP="00265138">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63AFF380" w14:textId="77777777" w:rsidR="00F74E59" w:rsidRPr="00265138" w:rsidRDefault="00F74E59" w:rsidP="00265138">
      <w:pPr>
        <w:pBdr>
          <w:top w:val="single" w:sz="4" w:space="1" w:color="auto"/>
          <w:bottom w:val="single" w:sz="4" w:space="1" w:color="auto"/>
        </w:pBdr>
        <w:spacing w:after="120" w:line="320" w:lineRule="exact"/>
        <w:jc w:val="both"/>
        <w:rPr>
          <w:rFonts w:cs="FrankRuehl"/>
          <w:szCs w:val="26"/>
          <w:rtl/>
        </w:rPr>
      </w:pPr>
      <w:r w:rsidRPr="00265138">
        <w:rPr>
          <w:rFonts w:cs="FrankRuehl" w:hint="cs"/>
          <w:szCs w:val="26"/>
          <w:rtl/>
        </w:rPr>
        <w:t>הנאשמים הורשעו עפ"י הודאותיהם בעבירת החזקת נשק ונאשם 1 הורשע בנוסף בעבירת יריות</w:t>
      </w:r>
      <w:r w:rsidR="00265138">
        <w:rPr>
          <w:rFonts w:cs="FrankRuehl" w:hint="cs"/>
          <w:szCs w:val="26"/>
          <w:rtl/>
        </w:rPr>
        <w:t xml:space="preserve"> </w:t>
      </w:r>
      <w:r w:rsidRPr="00265138">
        <w:rPr>
          <w:rFonts w:cs="FrankRuehl" w:hint="cs"/>
          <w:szCs w:val="26"/>
          <w:rtl/>
        </w:rPr>
        <w:t>באזור מגורים.</w:t>
      </w:r>
    </w:p>
    <w:p w14:paraId="701D66DD" w14:textId="77777777" w:rsidR="00265138" w:rsidRDefault="00265138" w:rsidP="0026513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30025AC" w14:textId="77777777" w:rsidR="00F74E59" w:rsidRPr="00265138" w:rsidRDefault="00F74E59" w:rsidP="00265138">
      <w:pPr>
        <w:pBdr>
          <w:top w:val="single" w:sz="4" w:space="1" w:color="auto"/>
          <w:bottom w:val="single" w:sz="4" w:space="1" w:color="auto"/>
        </w:pBdr>
        <w:spacing w:after="120" w:line="320" w:lineRule="exact"/>
        <w:jc w:val="both"/>
        <w:rPr>
          <w:rFonts w:cs="FrankRuehl"/>
          <w:szCs w:val="26"/>
          <w:rtl/>
        </w:rPr>
      </w:pPr>
      <w:r w:rsidRPr="00265138">
        <w:rPr>
          <w:rFonts w:cs="FrankRuehl" w:hint="cs"/>
          <w:szCs w:val="26"/>
          <w:rtl/>
        </w:rPr>
        <w:t>בית המשפט המחוזי גזר את דינם של הנאשמים כדלהלן:</w:t>
      </w:r>
    </w:p>
    <w:p w14:paraId="27B1F4DA" w14:textId="77777777" w:rsidR="00F74E59" w:rsidRPr="00265138" w:rsidRDefault="00F74E59" w:rsidP="00265138">
      <w:pPr>
        <w:pBdr>
          <w:top w:val="single" w:sz="4" w:space="1" w:color="auto"/>
          <w:bottom w:val="single" w:sz="4" w:space="1" w:color="auto"/>
        </w:pBdr>
        <w:spacing w:after="120" w:line="320" w:lineRule="exact"/>
        <w:jc w:val="both"/>
        <w:rPr>
          <w:rFonts w:cs="FrankRuehl"/>
          <w:szCs w:val="26"/>
          <w:rtl/>
        </w:rPr>
      </w:pPr>
      <w:r w:rsidRPr="00265138">
        <w:rPr>
          <w:rFonts w:cs="FrankRuehl" w:hint="cs"/>
          <w:szCs w:val="26"/>
          <w:rtl/>
        </w:rPr>
        <w:t xml:space="preserve">בגין עבירות בכלי נשק יש להשית עונש חמור המשקף את חומרתן ואשר יש בו כדי להרתיע עבריינים בכוח מלבצע עבירות דומות. החזקת נשק ללא היתר טומנת בחובה סכנה ממשית וישנה מגמת החמרה בעונשיהם של מבצעי העבירה, בייחוד כשמדובר בכלי נשק טעון, גם מקום בו מדובר במי שעברו הפלילי </w:t>
      </w:r>
      <w:r w:rsidRPr="00265138">
        <w:rPr>
          <w:rFonts w:cs="FrankRuehl" w:hint="cs"/>
          <w:szCs w:val="26"/>
          <w:rtl/>
        </w:rPr>
        <w:lastRenderedPageBreak/>
        <w:t xml:space="preserve">נקי ובמי שיש לו נסיבות אישיות לא קלות, שבמקרים אחרים היו גורמות להקלה בעונש. בעת שגוזרים את הדין בעבירות החזקת נשק ראוי לברר תחילה מה מטרת ההחזקה. </w:t>
      </w:r>
    </w:p>
    <w:p w14:paraId="710B1FF7" w14:textId="77777777" w:rsidR="00F74E59" w:rsidRPr="00265138" w:rsidRDefault="00F74E59" w:rsidP="00265138">
      <w:pPr>
        <w:pBdr>
          <w:top w:val="single" w:sz="4" w:space="1" w:color="auto"/>
          <w:bottom w:val="single" w:sz="4" w:space="1" w:color="auto"/>
        </w:pBdr>
        <w:spacing w:after="120" w:line="320" w:lineRule="exact"/>
        <w:jc w:val="both"/>
        <w:rPr>
          <w:rFonts w:cs="FrankRuehl"/>
          <w:szCs w:val="26"/>
          <w:rtl/>
        </w:rPr>
      </w:pPr>
      <w:r w:rsidRPr="00265138">
        <w:rPr>
          <w:rFonts w:cs="FrankRuehl" w:hint="cs"/>
          <w:szCs w:val="26"/>
          <w:rtl/>
        </w:rPr>
        <w:t>בקביעת מתחם העונש בהתאם לעקרון ההלימה, יש להתחשב בנסיבות הקשורות בביצוע העבירה, בערך החברתי שנפגע, במידת הפגיעה בו ובמדיניות הענישה הנוהגת. לאור הנסיבות החריגות במקרה זה, מתחם העונש ההולם הינו מעונש מאסר לריצוי בעבודות שירות ועד 18 חודשי מאסר בפועל ולא קיימים שיקולים המצדיקים סטייה לקולא ולחומרה. באשר לענישה במסגרת המתחם יש להתחשב בנסיבות שאינן קשורות בביצוע העבירה. לאחר שקילת מכלול השיקולים נגזר דינו של הנאשם 1 לשישה חודשי מאסר שירוצו בעבודות שירות ולמאסר על תנאי, ושל הנאשם 2 לשלושה חודשי מאסר שירוצו בעבודות שירות ומאסר על תנאי.</w:t>
      </w:r>
    </w:p>
    <w:p w14:paraId="52D63F97" w14:textId="77777777" w:rsidR="00F74E59" w:rsidRDefault="00F74E59">
      <w:pPr>
        <w:rPr>
          <w:rFonts w:hint="cs"/>
          <w:b/>
          <w:b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3587" w14:paraId="31D40C4A" w14:textId="77777777">
        <w:trPr>
          <w:trHeight w:val="355"/>
          <w:jc w:val="center"/>
        </w:trPr>
        <w:tc>
          <w:tcPr>
            <w:tcW w:w="8820" w:type="dxa"/>
            <w:tcBorders>
              <w:top w:val="nil"/>
              <w:left w:val="nil"/>
              <w:bottom w:val="nil"/>
              <w:right w:val="nil"/>
            </w:tcBorders>
          </w:tcPr>
          <w:p w14:paraId="00525D40" w14:textId="77777777" w:rsidR="00F03842" w:rsidRPr="00F03842" w:rsidRDefault="00F03842" w:rsidP="00F03842">
            <w:pPr>
              <w:jc w:val="center"/>
              <w:rPr>
                <w:rFonts w:ascii="Arial" w:hAnsi="Arial"/>
                <w:b/>
                <w:bCs/>
                <w:sz w:val="32"/>
                <w:szCs w:val="32"/>
                <w:u w:val="single"/>
                <w:rtl/>
              </w:rPr>
            </w:pPr>
            <w:bookmarkStart w:id="7" w:name="PsakDin" w:colFirst="0" w:colLast="0"/>
            <w:r w:rsidRPr="00F03842">
              <w:rPr>
                <w:rFonts w:ascii="Arial" w:hAnsi="Arial"/>
                <w:b/>
                <w:bCs/>
                <w:sz w:val="32"/>
                <w:szCs w:val="32"/>
                <w:u w:val="single"/>
                <w:rtl/>
              </w:rPr>
              <w:t>גזר דין</w:t>
            </w:r>
          </w:p>
          <w:p w14:paraId="72D0081C" w14:textId="77777777" w:rsidR="005F3587" w:rsidRPr="00F03842" w:rsidRDefault="005F3587" w:rsidP="00F03842">
            <w:pPr>
              <w:jc w:val="center"/>
              <w:rPr>
                <w:rFonts w:ascii="Arial" w:hAnsi="Arial"/>
                <w:b/>
                <w:bCs/>
                <w:sz w:val="32"/>
                <w:szCs w:val="32"/>
                <w:u w:val="single"/>
                <w:rtl/>
              </w:rPr>
            </w:pPr>
          </w:p>
        </w:tc>
      </w:tr>
      <w:bookmarkEnd w:id="7"/>
    </w:tbl>
    <w:p w14:paraId="2EE84D53" w14:textId="77777777" w:rsidR="005F3587" w:rsidRDefault="005F3587">
      <w:pPr>
        <w:spacing w:line="360" w:lineRule="auto"/>
        <w:jc w:val="both"/>
        <w:rPr>
          <w:rFonts w:ascii="Arial" w:hAnsi="Arial"/>
          <w:b/>
          <w:bCs/>
          <w:sz w:val="28"/>
          <w:szCs w:val="28"/>
          <w:u w:val="single"/>
          <w:rtl/>
        </w:rPr>
      </w:pPr>
    </w:p>
    <w:p w14:paraId="20EB25D9" w14:textId="77777777" w:rsidR="005F3587" w:rsidRDefault="00F03842">
      <w:pPr>
        <w:spacing w:line="360" w:lineRule="auto"/>
        <w:jc w:val="both"/>
        <w:rPr>
          <w:rFonts w:ascii="Arial" w:hAnsi="Arial"/>
          <w:b/>
          <w:bCs/>
          <w:sz w:val="28"/>
          <w:szCs w:val="28"/>
          <w:u w:val="single"/>
          <w:rtl/>
        </w:rPr>
      </w:pPr>
      <w:r>
        <w:rPr>
          <w:rFonts w:ascii="Arial" w:hAnsi="Arial" w:hint="cs"/>
          <w:b/>
          <w:bCs/>
          <w:sz w:val="28"/>
          <w:szCs w:val="28"/>
          <w:u w:val="single"/>
          <w:rtl/>
        </w:rPr>
        <w:t>מעשי הנאשמים והרשעתם</w:t>
      </w:r>
    </w:p>
    <w:p w14:paraId="7817AE40" w14:textId="77777777" w:rsidR="005F3587" w:rsidRDefault="005F3587">
      <w:pPr>
        <w:spacing w:line="360" w:lineRule="auto"/>
        <w:jc w:val="both"/>
        <w:rPr>
          <w:rFonts w:ascii="Arial" w:hAnsi="Arial"/>
          <w:b/>
          <w:bCs/>
          <w:sz w:val="28"/>
          <w:szCs w:val="28"/>
          <w:u w:val="single"/>
          <w:rtl/>
        </w:rPr>
      </w:pPr>
    </w:p>
    <w:p w14:paraId="3F84C4D6" w14:textId="77777777" w:rsidR="005F3587" w:rsidRDefault="00F03842">
      <w:pPr>
        <w:pStyle w:val="ListParagraph"/>
        <w:numPr>
          <w:ilvl w:val="0"/>
          <w:numId w:val="1"/>
        </w:numPr>
        <w:spacing w:line="360" w:lineRule="auto"/>
        <w:jc w:val="both"/>
        <w:rPr>
          <w:rFonts w:cs="David"/>
          <w:sz w:val="28"/>
          <w:szCs w:val="28"/>
          <w:rtl/>
        </w:rPr>
      </w:pPr>
      <w:r>
        <w:rPr>
          <w:rFonts w:cs="David" w:hint="cs"/>
          <w:sz w:val="28"/>
          <w:szCs w:val="28"/>
          <w:rtl/>
        </w:rPr>
        <w:t xml:space="preserve">הנאשמים הורשעו ביום 25.10.12 , עפ"י הודאותיהם, בכתב אישום מתוקן בשנית בעבירה של החזקת נשק לפי </w:t>
      </w:r>
      <w:hyperlink r:id="rId13" w:history="1">
        <w:r w:rsidR="00EB2C21" w:rsidRPr="00EB2C21">
          <w:rPr>
            <w:rFonts w:cs="David"/>
            <w:color w:val="0000FF"/>
            <w:sz w:val="28"/>
            <w:szCs w:val="28"/>
            <w:u w:val="single"/>
            <w:rtl/>
          </w:rPr>
          <w:t>סעיף 144 (א)</w:t>
        </w:r>
      </w:hyperlink>
      <w:r>
        <w:rPr>
          <w:rFonts w:cs="David" w:hint="cs"/>
          <w:sz w:val="28"/>
          <w:szCs w:val="28"/>
          <w:rtl/>
        </w:rPr>
        <w:t xml:space="preserve"> רישא ל</w:t>
      </w:r>
      <w:hyperlink r:id="rId14" w:history="1">
        <w:r w:rsidR="0056151B" w:rsidRPr="0056151B">
          <w:rPr>
            <w:rStyle w:val="Hyperlink"/>
            <w:rFonts w:cs="David"/>
            <w:sz w:val="28"/>
            <w:szCs w:val="28"/>
            <w:rtl/>
          </w:rPr>
          <w:t>חוק העונשין</w:t>
        </w:r>
      </w:hyperlink>
      <w:r>
        <w:rPr>
          <w:rFonts w:cs="David" w:hint="cs"/>
          <w:sz w:val="28"/>
          <w:szCs w:val="28"/>
          <w:rtl/>
        </w:rPr>
        <w:t>, התשל"ז- 1977 (להלן</w:t>
      </w:r>
      <w:r>
        <w:rPr>
          <w:rFonts w:cs="David" w:hint="cs"/>
          <w:b/>
          <w:bCs/>
          <w:sz w:val="28"/>
          <w:szCs w:val="28"/>
          <w:rtl/>
        </w:rPr>
        <w:t>: "החוק"</w:t>
      </w:r>
      <w:r>
        <w:rPr>
          <w:rFonts w:cs="David" w:hint="cs"/>
          <w:sz w:val="28"/>
          <w:szCs w:val="28"/>
          <w:rtl/>
        </w:rPr>
        <w:t xml:space="preserve">), ונאשם 1 הורשע בנוסף לכך  בעבירה של יריות  באזור מגורים, לפי </w:t>
      </w:r>
      <w:hyperlink r:id="rId15" w:history="1">
        <w:r w:rsidR="00EB2C21" w:rsidRPr="00EB2C21">
          <w:rPr>
            <w:rFonts w:cs="David"/>
            <w:color w:val="0000FF"/>
            <w:sz w:val="28"/>
            <w:szCs w:val="28"/>
            <w:u w:val="single"/>
            <w:rtl/>
          </w:rPr>
          <w:t>סעיף 340 א</w:t>
        </w:r>
      </w:hyperlink>
      <w:r>
        <w:rPr>
          <w:rFonts w:cs="David" w:hint="cs"/>
          <w:sz w:val="28"/>
          <w:szCs w:val="28"/>
          <w:rtl/>
        </w:rPr>
        <w:t xml:space="preserve"> לחוק.</w:t>
      </w:r>
    </w:p>
    <w:p w14:paraId="63801BAF" w14:textId="77777777" w:rsidR="005F3587" w:rsidRDefault="005F3587">
      <w:pPr>
        <w:pStyle w:val="ListParagraph"/>
        <w:spacing w:line="360" w:lineRule="auto"/>
        <w:jc w:val="both"/>
        <w:rPr>
          <w:rFonts w:cs="David"/>
          <w:sz w:val="28"/>
          <w:szCs w:val="28"/>
        </w:rPr>
      </w:pPr>
    </w:p>
    <w:p w14:paraId="44B2EF87" w14:textId="77777777" w:rsidR="005F3587" w:rsidRDefault="00F03842">
      <w:pPr>
        <w:pStyle w:val="ListParagraph"/>
        <w:numPr>
          <w:ilvl w:val="0"/>
          <w:numId w:val="1"/>
        </w:numPr>
        <w:spacing w:line="360" w:lineRule="auto"/>
        <w:jc w:val="both"/>
        <w:rPr>
          <w:rFonts w:cs="David"/>
          <w:sz w:val="28"/>
          <w:szCs w:val="28"/>
        </w:rPr>
      </w:pPr>
      <w:r>
        <w:rPr>
          <w:rFonts w:cs="David" w:hint="cs"/>
          <w:sz w:val="28"/>
          <w:szCs w:val="28"/>
          <w:rtl/>
        </w:rPr>
        <w:t xml:space="preserve">על פי האמור בכתב האישום המתוקן בשנית ביום 28.4.12, עובר לשעה 23:15, שהו הנאשמים בבית העסק לעישון נרגילות "אלף לילה ולילה" בשדרות צה"ל בלוד, אשר נאשם 1 שותף בניהולו ונאשם 2 עובד בו. באותו זמן שהו בבית העסק מספר לקוחות וכן אביהם של הנאשמים. </w:t>
      </w:r>
    </w:p>
    <w:p w14:paraId="1F9BD78D" w14:textId="77777777" w:rsidR="005F3587" w:rsidRDefault="005F3587">
      <w:pPr>
        <w:pStyle w:val="ListParagraph"/>
        <w:spacing w:line="360" w:lineRule="auto"/>
        <w:jc w:val="both"/>
        <w:rPr>
          <w:rFonts w:cs="David"/>
          <w:sz w:val="28"/>
          <w:szCs w:val="28"/>
          <w:rtl/>
        </w:rPr>
      </w:pPr>
    </w:p>
    <w:p w14:paraId="38A8F6F8" w14:textId="77777777" w:rsidR="005F3587" w:rsidRDefault="005F3587">
      <w:pPr>
        <w:pStyle w:val="ListParagraph"/>
        <w:spacing w:line="360" w:lineRule="auto"/>
        <w:jc w:val="both"/>
        <w:rPr>
          <w:rFonts w:cs="David"/>
          <w:sz w:val="28"/>
          <w:szCs w:val="28"/>
          <w:rtl/>
        </w:rPr>
      </w:pPr>
    </w:p>
    <w:p w14:paraId="45174B28" w14:textId="77777777" w:rsidR="005F3587" w:rsidRDefault="00F03842">
      <w:pPr>
        <w:pStyle w:val="ListParagraph"/>
        <w:spacing w:line="360" w:lineRule="auto"/>
        <w:jc w:val="both"/>
        <w:rPr>
          <w:rFonts w:cs="David"/>
          <w:sz w:val="28"/>
          <w:szCs w:val="28"/>
        </w:rPr>
      </w:pPr>
      <w:r>
        <w:rPr>
          <w:rFonts w:cs="David" w:hint="cs"/>
          <w:sz w:val="28"/>
          <w:szCs w:val="28"/>
          <w:rtl/>
        </w:rPr>
        <w:t xml:space="preserve">בשעה 23:17 לערך, נכנסו לבית העסק מספר אנשים רעולי פנים, שזהותם אינה ידועה למאשימה, כשבידיהם כלי ירי, וירו מספר כדורים בסמוך לנאשם 1, לאביו וללקוחות. עקב כך שלף נאשם 1 אקדח שהחזיק ברשותו ובעוד האקדח בידו, רץ למטבח, כשאחריו אביו. עם כניסתו למטבח ירה נאשם 1 כדור מהאקדח לעבר דלת הכניסה למטבח, כאשר אביו נמצא בסמוך אליו. בהמשך, ובעוד האקדח בידו, רץ נאשם 1 לחצר האחורית של העסק ושם ירה עוד מספר </w:t>
      </w:r>
      <w:r>
        <w:rPr>
          <w:rFonts w:cs="David" w:hint="cs"/>
          <w:sz w:val="28"/>
          <w:szCs w:val="28"/>
          <w:rtl/>
        </w:rPr>
        <w:lastRenderedPageBreak/>
        <w:t>יריות באקדח, לכיוון האוויר. בשלב מסוים  באירוע החזיק גם נאשם 2 בידו את האקדח.</w:t>
      </w:r>
    </w:p>
    <w:p w14:paraId="29AB06D0" w14:textId="77777777" w:rsidR="005F3587" w:rsidRDefault="005F3587">
      <w:pPr>
        <w:spacing w:line="360" w:lineRule="auto"/>
        <w:jc w:val="both"/>
        <w:rPr>
          <w:rFonts w:cs="Times New Roman"/>
          <w:sz w:val="28"/>
          <w:szCs w:val="28"/>
        </w:rPr>
      </w:pPr>
    </w:p>
    <w:p w14:paraId="213125C4" w14:textId="77777777" w:rsidR="005F3587" w:rsidRDefault="00F03842">
      <w:pPr>
        <w:spacing w:line="360" w:lineRule="auto"/>
        <w:jc w:val="both"/>
        <w:rPr>
          <w:rFonts w:ascii="Arial" w:hAnsi="Arial"/>
          <w:b/>
          <w:bCs/>
          <w:sz w:val="28"/>
          <w:szCs w:val="28"/>
          <w:u w:val="single"/>
          <w:rtl/>
        </w:rPr>
      </w:pPr>
      <w:r>
        <w:rPr>
          <w:rFonts w:ascii="Arial" w:hAnsi="Arial" w:hint="cs"/>
          <w:b/>
          <w:bCs/>
          <w:sz w:val="28"/>
          <w:szCs w:val="28"/>
          <w:u w:val="single"/>
          <w:rtl/>
        </w:rPr>
        <w:t>תסקירי שירות המבחן</w:t>
      </w:r>
    </w:p>
    <w:p w14:paraId="75829FA0" w14:textId="77777777" w:rsidR="005F3587" w:rsidRDefault="00F03842">
      <w:pPr>
        <w:pStyle w:val="ListParagraph"/>
        <w:numPr>
          <w:ilvl w:val="0"/>
          <w:numId w:val="1"/>
        </w:numPr>
        <w:spacing w:line="360" w:lineRule="auto"/>
        <w:jc w:val="both"/>
        <w:rPr>
          <w:rFonts w:ascii="Arial" w:hAnsi="Arial" w:cs="David"/>
          <w:sz w:val="28"/>
          <w:szCs w:val="28"/>
        </w:rPr>
      </w:pPr>
      <w:r>
        <w:rPr>
          <w:rFonts w:ascii="Arial" w:hAnsi="Arial" w:cs="David" w:hint="cs"/>
          <w:sz w:val="28"/>
          <w:szCs w:val="28"/>
          <w:rtl/>
        </w:rPr>
        <w:t xml:space="preserve">מהתסקיר שהוגש </w:t>
      </w:r>
      <w:r>
        <w:rPr>
          <w:rFonts w:ascii="Arial" w:hAnsi="Arial" w:cs="David" w:hint="cs"/>
          <w:b/>
          <w:bCs/>
          <w:sz w:val="28"/>
          <w:szCs w:val="28"/>
          <w:rtl/>
        </w:rPr>
        <w:t>בעניינו של נאשם 1</w:t>
      </w:r>
      <w:r>
        <w:rPr>
          <w:rFonts w:ascii="Arial" w:hAnsi="Arial" w:cs="David" w:hint="cs"/>
          <w:sz w:val="28"/>
          <w:szCs w:val="28"/>
          <w:rtl/>
        </w:rPr>
        <w:t xml:space="preserve"> עולה, כי הוא בן 27, נשוי, אב לשני ילדים ומתגורר עם משפחתו המורחבת בלוד. </w:t>
      </w:r>
    </w:p>
    <w:p w14:paraId="2F32ABA5" w14:textId="77777777" w:rsidR="005F3587" w:rsidRDefault="00F03842">
      <w:pPr>
        <w:pStyle w:val="ListParagraph"/>
        <w:spacing w:line="360" w:lineRule="auto"/>
        <w:jc w:val="both"/>
        <w:rPr>
          <w:rFonts w:ascii="Arial" w:hAnsi="Arial" w:cs="David"/>
          <w:sz w:val="28"/>
          <w:szCs w:val="28"/>
          <w:rtl/>
        </w:rPr>
      </w:pPr>
      <w:r>
        <w:rPr>
          <w:rFonts w:ascii="Arial" w:hAnsi="Arial" w:cs="David" w:hint="cs"/>
          <w:sz w:val="28"/>
          <w:szCs w:val="28"/>
          <w:rtl/>
        </w:rPr>
        <w:t xml:space="preserve">שירות המבחן ציין, כי לחובתו הרשעה אחת משנת 2008 בגין ביצוע עבירת אלימות בגינה נידון למאסר בעבודות שירות, מע"ת וקנס. </w:t>
      </w:r>
    </w:p>
    <w:p w14:paraId="45EFAFC9" w14:textId="77777777" w:rsidR="005F3587" w:rsidRDefault="00F03842">
      <w:pPr>
        <w:pStyle w:val="ListParagraph"/>
        <w:spacing w:line="360" w:lineRule="auto"/>
        <w:jc w:val="both"/>
        <w:rPr>
          <w:rFonts w:ascii="Arial" w:hAnsi="Arial" w:cs="David"/>
          <w:sz w:val="28"/>
          <w:szCs w:val="28"/>
          <w:rtl/>
        </w:rPr>
      </w:pPr>
      <w:r>
        <w:rPr>
          <w:rFonts w:ascii="Arial" w:hAnsi="Arial" w:cs="David" w:hint="cs"/>
          <w:sz w:val="28"/>
          <w:szCs w:val="28"/>
          <w:rtl/>
        </w:rPr>
        <w:t>הנאשם 1 הינו הבכור מבין שבעה ילדים, שניים מהם אקדמאים, אחד מהם למד בחו"ל ונאשם 1 נרתם לסייע לו במימון לימודיו. אחותו גרושה ונאשם 1 התגייס יחד עם בני משפחתו לסייע ולתמוך בה ובילדיה כלכלית. שירות המבחן התרשם, כי גירושי האחות עמדו ברקע לאירוע נשוא כתב האישום. נאשם 1 סיים 12 שנות לימוד במגמת דפוס וגרפיקה ממוחשבת. מגיל צעיר, ובתמיכת וליווי אביו, הוא שיחק בקבוצות כדורגל מקצועיות. בגיל ההתבגרות הוא החל לעבוד בעבודות מזדמנות כדי לעזור בפרנסת משפחתו והצליח לשמור על יציבות תעסוקתית. מזה כשנה וחצי הוא מנהל בית קפה בעיר מגוריו בשותפות עם חברו. לדבריו בית הקפה סיפק עבודה לאחיו, נאשם 2, ופרנסה טובה למשפחתו. אביו ואחיו הצעירים עזרו לו בניהול העסק אך בשל מעצרו הוא מכר את חלקו בעסק לשותפו ומזה חודשיים הוא עובד במפעל "נשר" ומתפקד לשביעות רצון מעסיקו.</w:t>
      </w:r>
    </w:p>
    <w:p w14:paraId="17377981" w14:textId="77777777" w:rsidR="005F3587" w:rsidRDefault="00F03842">
      <w:pPr>
        <w:pStyle w:val="ListParagraph"/>
        <w:spacing w:line="360" w:lineRule="auto"/>
        <w:jc w:val="both"/>
        <w:rPr>
          <w:rFonts w:ascii="Arial" w:hAnsi="Arial" w:cs="David"/>
          <w:sz w:val="28"/>
          <w:szCs w:val="28"/>
          <w:rtl/>
        </w:rPr>
      </w:pPr>
      <w:r>
        <w:rPr>
          <w:rFonts w:ascii="Arial" w:hAnsi="Arial" w:cs="David" w:hint="cs"/>
          <w:sz w:val="28"/>
          <w:szCs w:val="28"/>
          <w:rtl/>
        </w:rPr>
        <w:t xml:space="preserve">אשתו של נאשם 1 עובדת בתחום ההוראה  ולבני הזוג שני ילדים, אחד בן שנתיים וארבעה חודשים. </w:t>
      </w:r>
    </w:p>
    <w:p w14:paraId="463D0847" w14:textId="77777777" w:rsidR="005F3587" w:rsidRDefault="005F3587">
      <w:pPr>
        <w:pStyle w:val="ListParagraph"/>
        <w:spacing w:line="360" w:lineRule="auto"/>
        <w:jc w:val="both"/>
        <w:rPr>
          <w:rFonts w:ascii="Arial" w:hAnsi="Arial" w:cs="David"/>
          <w:sz w:val="28"/>
          <w:szCs w:val="28"/>
          <w:rtl/>
        </w:rPr>
      </w:pPr>
    </w:p>
    <w:p w14:paraId="2E737166"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4.</w:t>
      </w:r>
      <w:r>
        <w:rPr>
          <w:rFonts w:ascii="Arial" w:hAnsi="Arial" w:hint="cs"/>
          <w:sz w:val="28"/>
          <w:szCs w:val="28"/>
          <w:rtl/>
        </w:rPr>
        <w:tab/>
        <w:t xml:space="preserve">נאשם 1 תיאר מצוקה סביב מעצרו בתיק נשוא הדיון. הוא התייחס לאחריותו האישית בביצוע העבירות, הבין את חומרתן, את הבעייתיות בהתנהגותו והביע צער וחרטה על מעורבותו בהן. </w:t>
      </w:r>
    </w:p>
    <w:p w14:paraId="1DD21539" w14:textId="77777777" w:rsidR="005F3587" w:rsidRDefault="00F03842">
      <w:pPr>
        <w:spacing w:line="360" w:lineRule="auto"/>
        <w:ind w:left="720"/>
        <w:jc w:val="both"/>
        <w:rPr>
          <w:rFonts w:ascii="Arial" w:hAnsi="Arial"/>
          <w:sz w:val="28"/>
          <w:szCs w:val="28"/>
          <w:rtl/>
        </w:rPr>
      </w:pPr>
      <w:r>
        <w:rPr>
          <w:rFonts w:ascii="Arial" w:hAnsi="Arial" w:hint="cs"/>
          <w:sz w:val="28"/>
          <w:szCs w:val="28"/>
          <w:rtl/>
        </w:rPr>
        <w:t xml:space="preserve">הוא הסביר כי ביום האירוע, ובעקבות מידע שקיבל על כוונתם של בני המשפחה היריבה  לפגוע בו ובאחיו, הוא חש איום ממשי על חייו ופעל מתוך פזיזות ודחף רגעי ומתוך דאגה לאביו ואחיו וחשש שיפגעו. </w:t>
      </w:r>
    </w:p>
    <w:p w14:paraId="1F84E3E8" w14:textId="77777777" w:rsidR="005F3587" w:rsidRDefault="00F03842">
      <w:pPr>
        <w:spacing w:line="360" w:lineRule="auto"/>
        <w:ind w:left="720"/>
        <w:jc w:val="both"/>
        <w:rPr>
          <w:rFonts w:ascii="Arial" w:hAnsi="Arial"/>
          <w:sz w:val="28"/>
          <w:szCs w:val="28"/>
          <w:rtl/>
        </w:rPr>
      </w:pPr>
      <w:r>
        <w:rPr>
          <w:rFonts w:ascii="Arial" w:hAnsi="Arial" w:hint="cs"/>
          <w:sz w:val="28"/>
          <w:szCs w:val="28"/>
          <w:rtl/>
        </w:rPr>
        <w:t xml:space="preserve">הוא שלל התקשרות עם גורמים שליליים בעברו וציין כי התנהגותו באירוע נשוא כתב האישום  חריגה ואינה מאפיינת את אורח חייו. </w:t>
      </w:r>
    </w:p>
    <w:p w14:paraId="4827F799" w14:textId="77777777" w:rsidR="005F3587" w:rsidRDefault="00F03842">
      <w:pPr>
        <w:spacing w:line="360" w:lineRule="auto"/>
        <w:ind w:left="720"/>
        <w:jc w:val="both"/>
        <w:rPr>
          <w:rFonts w:ascii="Arial" w:hAnsi="Arial"/>
          <w:sz w:val="28"/>
          <w:szCs w:val="28"/>
        </w:rPr>
      </w:pPr>
      <w:r>
        <w:rPr>
          <w:rFonts w:ascii="Arial" w:hAnsi="Arial" w:hint="cs"/>
          <w:sz w:val="28"/>
          <w:szCs w:val="28"/>
          <w:rtl/>
        </w:rPr>
        <w:t>שירות המבחן נפגש גם עם אביו של הנאשם 1, שתיאר אותו כבחור חיובי, שהתנהגותו הפסולה באירוע נשוא כתב האישום חריגה ואינה מאפיינת אותו. בנוסף הסביר האב, כי ברקע לאירוע כתב האישום עומד נושא גירושי אחותו של נאשם 1 וכי המחלוקת והקונפליקט בין הצדדים נפתרו לאחר שנערך הסכם סולחה בין הצדדים.</w:t>
      </w:r>
    </w:p>
    <w:p w14:paraId="40528AE3" w14:textId="77777777" w:rsidR="005F3587" w:rsidRDefault="005F3587">
      <w:pPr>
        <w:pStyle w:val="ListParagraph"/>
        <w:jc w:val="both"/>
        <w:rPr>
          <w:rFonts w:ascii="Arial" w:hAnsi="Arial" w:cs="David"/>
          <w:sz w:val="28"/>
          <w:szCs w:val="28"/>
        </w:rPr>
      </w:pPr>
    </w:p>
    <w:p w14:paraId="39A70C4B"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5.</w:t>
      </w:r>
      <w:r>
        <w:rPr>
          <w:rFonts w:ascii="Arial" w:hAnsi="Arial" w:hint="cs"/>
          <w:sz w:val="28"/>
          <w:szCs w:val="28"/>
          <w:rtl/>
        </w:rPr>
        <w:tab/>
        <w:t xml:space="preserve">שירות המבחן התרשם שאלימות אינה מאפיינת את אישיותו ותגובותיו של נאשם 1 וכי ההליך המשפטי המתנהל נגדו מציב בפניו גבול ברור ומרתיע וממחיש לו את חומרת התנהגותו והשלכותיה האפשריות. </w:t>
      </w:r>
    </w:p>
    <w:p w14:paraId="588F6D51" w14:textId="77777777" w:rsidR="005F3587" w:rsidRDefault="00F03842">
      <w:pPr>
        <w:spacing w:line="360" w:lineRule="auto"/>
        <w:ind w:left="720"/>
        <w:jc w:val="both"/>
        <w:rPr>
          <w:rFonts w:ascii="Arial" w:hAnsi="Arial"/>
          <w:sz w:val="28"/>
          <w:szCs w:val="28"/>
          <w:rtl/>
        </w:rPr>
      </w:pPr>
      <w:r>
        <w:rPr>
          <w:rFonts w:ascii="Arial" w:hAnsi="Arial" w:hint="cs"/>
          <w:sz w:val="28"/>
          <w:szCs w:val="28"/>
          <w:rtl/>
        </w:rPr>
        <w:t>לנוכח מצבו שירות המבחן לא ראה מקום לבוא בהמלצה טיפולית לגביו אך קבע כי שליחתו למאסר בפועל עלולה להיות הרסנית עבורו ועבור משפחתו ולכן המליץ, כי במידה ויוטל עונש מאסר לריצוי בפועל הוא יהיה לתקופה שתרוצה בעבודות שירות.</w:t>
      </w:r>
    </w:p>
    <w:p w14:paraId="11618EA0" w14:textId="77777777" w:rsidR="005F3587" w:rsidRDefault="005F3587">
      <w:pPr>
        <w:pStyle w:val="ListParagraph"/>
        <w:jc w:val="both"/>
        <w:rPr>
          <w:rFonts w:ascii="Arial" w:hAnsi="Arial" w:cs="David"/>
          <w:sz w:val="28"/>
          <w:szCs w:val="28"/>
          <w:rtl/>
        </w:rPr>
      </w:pPr>
    </w:p>
    <w:p w14:paraId="66A94D90"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6.</w:t>
      </w:r>
      <w:r>
        <w:rPr>
          <w:rFonts w:ascii="Arial" w:hAnsi="Arial" w:hint="cs"/>
          <w:sz w:val="28"/>
          <w:szCs w:val="28"/>
          <w:rtl/>
        </w:rPr>
        <w:tab/>
        <w:t xml:space="preserve">מהתסקיר שהוגש </w:t>
      </w:r>
      <w:r>
        <w:rPr>
          <w:rFonts w:ascii="Arial" w:hAnsi="Arial" w:hint="cs"/>
          <w:b/>
          <w:bCs/>
          <w:sz w:val="28"/>
          <w:szCs w:val="28"/>
          <w:rtl/>
        </w:rPr>
        <w:t>בעניינו של נאשם 2</w:t>
      </w:r>
      <w:r>
        <w:rPr>
          <w:rFonts w:ascii="Arial" w:hAnsi="Arial" w:hint="cs"/>
          <w:sz w:val="28"/>
          <w:szCs w:val="28"/>
          <w:rtl/>
        </w:rPr>
        <w:t xml:space="preserve"> עולה, כי הוא רווק, בן 23, הורשע בעבר בעבירות סמים, החזקת סכין והפרת הוראה חוקית, בגינן ריצה מאסר בפועל. נאשם 2 סיים 10 שנות לימוד במגמת מכונאות רכב. </w:t>
      </w:r>
    </w:p>
    <w:p w14:paraId="08118B6C" w14:textId="77777777" w:rsidR="005F3587" w:rsidRDefault="00F03842">
      <w:pPr>
        <w:spacing w:line="360" w:lineRule="auto"/>
        <w:ind w:left="720"/>
        <w:jc w:val="both"/>
        <w:rPr>
          <w:rFonts w:ascii="Arial" w:hAnsi="Arial"/>
          <w:sz w:val="28"/>
          <w:szCs w:val="28"/>
          <w:rtl/>
        </w:rPr>
      </w:pPr>
      <w:r>
        <w:rPr>
          <w:rFonts w:ascii="Arial" w:hAnsi="Arial" w:hint="cs"/>
          <w:sz w:val="28"/>
          <w:szCs w:val="28"/>
          <w:rtl/>
        </w:rPr>
        <w:t>לדבריו מגיל צעיר הוא אובחן כילד הסובל מהפרעות קשב וריכוז והתקשה בלימודים, לאחר נשירתו מהם  החל לעבוד במטרה לסייע בפרנסת משפחתו ולאחיו הבכור, נאשם 1, אשר נשא בנטל  פרנסת המשפחה והוצאותיה הרבות. נאשם 2 הצליח לשמור על רצף תעסוקתי במהלך השנים ומתכנן לאחר סיום ההליך המשפטי הנוכחי נגדו, לפתוח יחד עם אחיו עסק לשטיפת מכוניות. ניכר, כי הוא משקיע את מירב כוחותיו בתפקודו התעסוקתי כשעבודתו מוצבת בראש סדר עדיפויותיו. נאשם 2 מצטער על ביצוע העבירה, מבין את חומרתה ואת הבעייתיות בהתנהלותו אולם הסביר כי הצליח לעבד את האירועים שהתרחשו רק לאחר מעשה, וזאת בשל חששו לחייו ולחיי אביו ואחיו שנכחו במקום האירוע. בנוסף שיתף נאשם 2  את שירות המבחן, בכך שהוא מתמודד לעיתים עם התפרצות זיכרונות טראומטיים מהאירוע, לאחריו הוא ברח למשפחתו ברהט בשל חשש ממשי לחייו. הוא תיאר את קשריו החברתיים כיום כנורמטיביים והסביר כי הוא ניתק קשריו עם גורמים שליליים לאחר מעורבותו בפלילים בעבר.</w:t>
      </w:r>
    </w:p>
    <w:p w14:paraId="241E5640" w14:textId="77777777" w:rsidR="005F3587" w:rsidRDefault="005F3587">
      <w:pPr>
        <w:pStyle w:val="ListParagraph"/>
        <w:spacing w:line="360" w:lineRule="auto"/>
        <w:jc w:val="both"/>
        <w:rPr>
          <w:rFonts w:ascii="Arial" w:hAnsi="Arial" w:cs="David"/>
          <w:sz w:val="28"/>
          <w:szCs w:val="28"/>
        </w:rPr>
      </w:pPr>
    </w:p>
    <w:p w14:paraId="3ADF8894"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7.</w:t>
      </w:r>
      <w:r>
        <w:rPr>
          <w:rFonts w:ascii="Arial" w:hAnsi="Arial" w:hint="cs"/>
          <w:sz w:val="28"/>
          <w:szCs w:val="28"/>
          <w:rtl/>
        </w:rPr>
        <w:tab/>
        <w:t xml:space="preserve">שירות המבחן התרשם שנאשם 2 גדל במשפחה נורמטיבית, בה הוא זכה לחום ותמיכה מצד הוריו. לאורך השנים הוא הצליח לשמור על יציבות כלכלית ולסייע למשפחתו והאלימות אינה מאפיינת את אישיותו ואת התנהגותו בדרך כלל. </w:t>
      </w:r>
    </w:p>
    <w:p w14:paraId="2C875981" w14:textId="77777777" w:rsidR="005F3587" w:rsidRDefault="00F03842">
      <w:pPr>
        <w:spacing w:line="360" w:lineRule="auto"/>
        <w:ind w:left="720"/>
        <w:jc w:val="both"/>
        <w:rPr>
          <w:rFonts w:ascii="Arial" w:hAnsi="Arial"/>
          <w:sz w:val="28"/>
          <w:szCs w:val="28"/>
        </w:rPr>
      </w:pPr>
      <w:r>
        <w:rPr>
          <w:rFonts w:ascii="Arial" w:hAnsi="Arial" w:hint="cs"/>
          <w:sz w:val="28"/>
          <w:szCs w:val="28"/>
          <w:rtl/>
        </w:rPr>
        <w:t>שירות המבחן העריך כי מדובר באירוע נקודתי וכי בבסיס התנהגותו העבריינית של נאשם 2 עמדה חווית איום וחשש ממשי  לחייו. הוא מודע ומבין את המשמעות של ההליך המשפטי  המתנהל נגדו באופן שמציב בפניו גבול ברור והפיק לקחים מהאירוע. לאור אורח חייו, שתואר לעיל, נמנע שירות המבחן מלבוא בהמלצה טיפולית לגביו אך המליץ, כי במידה ויוטל עליו עונש מאסר בפועל הרי שיהיה לתקופה שתרוצה בעבודות שירות.</w:t>
      </w:r>
    </w:p>
    <w:p w14:paraId="5F816521" w14:textId="77777777" w:rsidR="005F3587" w:rsidRDefault="005F3587">
      <w:pPr>
        <w:ind w:left="360"/>
        <w:jc w:val="both"/>
        <w:rPr>
          <w:rFonts w:ascii="Arial" w:hAnsi="Arial"/>
          <w:sz w:val="28"/>
          <w:szCs w:val="28"/>
          <w:rtl/>
        </w:rPr>
      </w:pPr>
    </w:p>
    <w:p w14:paraId="021196D5" w14:textId="77777777" w:rsidR="005F3587" w:rsidRDefault="005F3587">
      <w:pPr>
        <w:ind w:left="360"/>
        <w:jc w:val="both"/>
        <w:rPr>
          <w:rFonts w:ascii="Arial" w:hAnsi="Arial"/>
          <w:sz w:val="28"/>
          <w:szCs w:val="28"/>
          <w:rtl/>
        </w:rPr>
      </w:pPr>
    </w:p>
    <w:p w14:paraId="77D415CF" w14:textId="77777777" w:rsidR="005F3587" w:rsidRDefault="005F3587">
      <w:pPr>
        <w:ind w:left="360"/>
        <w:jc w:val="both"/>
        <w:rPr>
          <w:rFonts w:ascii="Arial" w:hAnsi="Arial"/>
          <w:sz w:val="28"/>
          <w:szCs w:val="28"/>
          <w:rtl/>
        </w:rPr>
      </w:pPr>
    </w:p>
    <w:p w14:paraId="1E559B64" w14:textId="77777777" w:rsidR="005F3587" w:rsidRDefault="00F03842">
      <w:pPr>
        <w:ind w:left="360"/>
        <w:jc w:val="both"/>
        <w:rPr>
          <w:rFonts w:ascii="Arial" w:hAnsi="Arial"/>
          <w:b/>
          <w:bCs/>
          <w:sz w:val="28"/>
          <w:szCs w:val="28"/>
          <w:u w:val="single"/>
          <w:rtl/>
        </w:rPr>
      </w:pPr>
      <w:r>
        <w:rPr>
          <w:rFonts w:ascii="Arial" w:hAnsi="Arial" w:hint="cs"/>
          <w:b/>
          <w:bCs/>
          <w:sz w:val="28"/>
          <w:szCs w:val="28"/>
          <w:u w:val="single"/>
          <w:rtl/>
        </w:rPr>
        <w:t>הטיעונים לעונש</w:t>
      </w:r>
    </w:p>
    <w:p w14:paraId="5537192D" w14:textId="77777777" w:rsidR="005F3587" w:rsidRDefault="005F3587">
      <w:pPr>
        <w:ind w:left="360"/>
        <w:jc w:val="both"/>
        <w:rPr>
          <w:rFonts w:ascii="Arial" w:hAnsi="Arial"/>
          <w:b/>
          <w:bCs/>
          <w:sz w:val="28"/>
          <w:szCs w:val="28"/>
          <w:u w:val="single"/>
          <w:rtl/>
        </w:rPr>
      </w:pPr>
    </w:p>
    <w:p w14:paraId="3DCDC8FC"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8.</w:t>
      </w:r>
      <w:r>
        <w:rPr>
          <w:rFonts w:ascii="Arial" w:hAnsi="Arial" w:hint="cs"/>
          <w:sz w:val="28"/>
          <w:szCs w:val="28"/>
          <w:rtl/>
        </w:rPr>
        <w:tab/>
        <w:t xml:space="preserve">ב"כ המאשימה הדגישה בראשית טיעוניה, כי נאשם 2 ריצה בעבר עונש מאסר בפועל. בצילומי הווידאו נראו שני הנאשמים מחזיקים באקדח שלא כדין. לטענתה חלקו של נאשם 1 גדול יותר  ולכן בהתאם לתיקון 113 לחוק מתחם הענישה הראוי לגביו הוא בין 12 ל-24 חודשי מאסר בפועל ולגבי נאשם 2 נסיבות האירוע מצדיקות מתחם ענישה בין 10 ל-18 חודשי מאסר בפועל. באשר להרשעות הקודמות של הנאשמים טענה ב"כ המאשימה כי לנאשם 1 הרשעה אחת בגין דרישת נכס באיומים ואילו לנאשם 2 שתי הרשעות קודמות בעבירות סמים והחזקת סכין בגינן ריצה מאסר. לטענתה הענישה הראויה לגבי כל אחד מהנאשמים היא במרכז המתחם. </w:t>
      </w:r>
    </w:p>
    <w:p w14:paraId="1AA44C22" w14:textId="77777777" w:rsidR="005F3587" w:rsidRDefault="005F3587">
      <w:pPr>
        <w:pStyle w:val="ListParagraph"/>
        <w:spacing w:line="360" w:lineRule="auto"/>
        <w:jc w:val="both"/>
        <w:rPr>
          <w:rFonts w:ascii="Arial" w:hAnsi="Arial" w:cs="David"/>
          <w:sz w:val="28"/>
          <w:szCs w:val="28"/>
        </w:rPr>
      </w:pPr>
    </w:p>
    <w:p w14:paraId="2C096D00" w14:textId="77777777" w:rsidR="005F3587" w:rsidRDefault="00F03842">
      <w:pPr>
        <w:spacing w:line="360" w:lineRule="auto"/>
        <w:ind w:left="720" w:hanging="360"/>
        <w:jc w:val="both"/>
        <w:rPr>
          <w:rFonts w:ascii="Arial" w:hAnsi="Arial"/>
          <w:sz w:val="28"/>
          <w:szCs w:val="28"/>
        </w:rPr>
      </w:pPr>
      <w:r>
        <w:rPr>
          <w:rFonts w:ascii="Arial" w:hAnsi="Arial" w:hint="cs"/>
          <w:sz w:val="28"/>
          <w:szCs w:val="28"/>
          <w:rtl/>
        </w:rPr>
        <w:t>9.</w:t>
      </w:r>
      <w:r>
        <w:rPr>
          <w:rFonts w:ascii="Arial" w:hAnsi="Arial" w:hint="cs"/>
          <w:sz w:val="28"/>
          <w:szCs w:val="28"/>
          <w:rtl/>
        </w:rPr>
        <w:tab/>
        <w:t xml:space="preserve">ב"כ המאשימה טענה גם, כי מדובר בנסיבות מעט חריגות לגבי הירי ובהתייחס לטענה לפיה האקדח הוחזק לצורך הגנה עצמית אמרה כי היא סבורה שמדובר באירוע חמור שכן הנאשמים אינם מורשים לשאת נשק והירי בוצע ע"י נאשם 1 בחנות בה נכחו לקוחות . יחד עם זאת, מדובר באירוע שונה ממקרים אחרים אולם שימוש בנשק ע"י שני צדדים, ולא משנה אם הם תוקפים או מותקפים, מהווה סכנה  וכך גם במסגרת כל סכסוך יכול כל צד לטעון שיש סכנה לחייו. לטענתה אנו עדים להרבה מקרים של ירי וכאשר יש  מצב בו שני הצדדים חמושים מדובר בסכנה כפולה לחיי אדם ולכן הענישה הראויה היא כמפורט לעיל. </w:t>
      </w:r>
    </w:p>
    <w:p w14:paraId="00A758C5" w14:textId="77777777" w:rsidR="005F3587" w:rsidRDefault="00F03842">
      <w:pPr>
        <w:pStyle w:val="ListParagraph"/>
        <w:spacing w:line="360" w:lineRule="auto"/>
        <w:jc w:val="both"/>
        <w:rPr>
          <w:rFonts w:ascii="Arial" w:hAnsi="Arial" w:cs="David"/>
          <w:sz w:val="28"/>
          <w:szCs w:val="28"/>
        </w:rPr>
      </w:pPr>
      <w:r>
        <w:rPr>
          <w:rFonts w:ascii="Arial" w:hAnsi="Arial" w:cs="David" w:hint="cs"/>
          <w:sz w:val="28"/>
          <w:szCs w:val="28"/>
          <w:rtl/>
        </w:rPr>
        <w:t>לטענתה חלקו של נאשם 2 קטן יותר שכן הוא היה פסיבי לפי המיוחס בכתב האישום. בשולי טיעוניה ציינה כי בדרך כלל מתחם הענישה לגבי החזקת נשק הינו 8 -12 חודשי מאסר בפועל אך כאשר ההחזקה היא מחוץ לבית, בחנות, וכאשר מתבצע ירי, מתחם הענישה גדול יותר.</w:t>
      </w:r>
    </w:p>
    <w:p w14:paraId="2F0520C9" w14:textId="77777777" w:rsidR="005F3587" w:rsidRDefault="005F3587">
      <w:pPr>
        <w:pStyle w:val="ListParagraph"/>
        <w:jc w:val="both"/>
        <w:rPr>
          <w:rFonts w:ascii="Arial" w:hAnsi="Arial" w:cs="David"/>
          <w:sz w:val="28"/>
          <w:szCs w:val="28"/>
          <w:rtl/>
        </w:rPr>
      </w:pPr>
    </w:p>
    <w:p w14:paraId="72C780BB" w14:textId="77777777" w:rsidR="005F3587" w:rsidRDefault="005F3587">
      <w:pPr>
        <w:pStyle w:val="ListParagraph"/>
        <w:jc w:val="both"/>
        <w:rPr>
          <w:rFonts w:ascii="Arial" w:hAnsi="Arial" w:cs="David"/>
          <w:sz w:val="28"/>
          <w:szCs w:val="28"/>
          <w:rtl/>
        </w:rPr>
      </w:pPr>
    </w:p>
    <w:p w14:paraId="6AA276BC" w14:textId="77777777" w:rsidR="005F3587" w:rsidRDefault="005F3587">
      <w:pPr>
        <w:pStyle w:val="ListParagraph"/>
        <w:jc w:val="both"/>
        <w:rPr>
          <w:rFonts w:ascii="Arial" w:hAnsi="Arial" w:cs="David"/>
          <w:sz w:val="28"/>
          <w:szCs w:val="28"/>
        </w:rPr>
      </w:pPr>
    </w:p>
    <w:p w14:paraId="75B208FF"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10.</w:t>
      </w:r>
      <w:r>
        <w:rPr>
          <w:rFonts w:ascii="Arial" w:hAnsi="Arial" w:hint="cs"/>
          <w:sz w:val="28"/>
          <w:szCs w:val="28"/>
          <w:rtl/>
        </w:rPr>
        <w:tab/>
        <w:t xml:space="preserve">ב"כ הנאשמים טען, כי מהתסקירים שהוגשו בעניינם של הנאשמים עולה כי מדובר במקרה יוצא מן הכלל וייחודי שכן התסקירים חיוביים ויש לקבל את המלצת שירות המבחן להשית עליהם עונשי מאסר לריצוי בעבודות שירות.  מדובר במקרה חריג שכן חייהם של שני הנאשמים ואביהם ניצלו  בזכות ביצוע העבירה. מבלי להקל ראש בביצוע העבירה מדובר במקרה בו אחותם של הנאשמים התגרשה כתוצאה מאלימות של בעלה ולאחר מכן נודע להם שמשפחת הבעל  מעוניינת להתנקם בהם ולחסלם והחזקת האקדח נועדה רק לצורך הגנה בלבד. מהתסקירים עולה כי הנאשמים עובדים קשה לפרנסתם בעיסקם, המשמש לרווחת התושבים. כשהגיעו רעולי פנים לחנות כדי לחסלם ורדפו אחריהם ואחרי אביהם כדי להרגם ירה הנאשם 1 כדי להצילם ממוות, ולכן אין להטיל על הנאשמים מאסר בפועל. כמו כן ציין כי הנאשמים הודו באופן מידי בתחנת המשטרה, הביעו חרטה על מעשיהם והמשטרה לא עשתה מאמצים לאתר את רעולי הפנים שבאו לפגוע בנאשמים. </w:t>
      </w:r>
    </w:p>
    <w:p w14:paraId="4A1024C2" w14:textId="77777777" w:rsidR="005F3587" w:rsidRDefault="005F3587">
      <w:pPr>
        <w:pStyle w:val="ListParagraph"/>
        <w:jc w:val="both"/>
        <w:rPr>
          <w:rFonts w:ascii="Arial" w:hAnsi="Arial" w:cs="David"/>
          <w:sz w:val="28"/>
          <w:szCs w:val="28"/>
        </w:rPr>
      </w:pPr>
    </w:p>
    <w:p w14:paraId="685F05B5"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11.</w:t>
      </w:r>
      <w:r>
        <w:rPr>
          <w:rFonts w:ascii="Arial" w:hAnsi="Arial" w:hint="cs"/>
          <w:sz w:val="28"/>
          <w:szCs w:val="28"/>
          <w:rtl/>
        </w:rPr>
        <w:tab/>
        <w:t>לטענת ב"כ הנאשמים לא ברור נושא החזקת האקדח ע"י הנאשם 2 שכן הוא החזיק אותו לפרק זמן קצר ולכן הוא עותר להטיל עליו מאסר על תנאי. הנאשמים היו עצורים  ושוחררו למעצר בית. נאשם 1 פרנס את המשפחה וסייע לאחותו וכיום הוא מכר את חלקו בבית הקפה ועובד במפעל נשר. הוא מתחרט ומצטער על ביצוע העבירה, אותה ביצע מאחר וחש איום ממשי על חייו. נאשם 2 עובד באופן סדיר, מתחרט על מעשיו והאלימות לא מאפיינת אותו. מדובר במקרה חריג, שלא משקף את אורחות חייהם של הנאשמים, ושליחתם למאסר בפועל תהרוס אותם ואת משפחתם.</w:t>
      </w:r>
    </w:p>
    <w:p w14:paraId="206AEBCA" w14:textId="77777777" w:rsidR="005F3587" w:rsidRDefault="00F03842">
      <w:pPr>
        <w:pStyle w:val="ListParagraph"/>
        <w:spacing w:line="360" w:lineRule="auto"/>
        <w:jc w:val="both"/>
        <w:rPr>
          <w:rFonts w:ascii="Arial" w:hAnsi="Arial" w:cs="David"/>
          <w:sz w:val="28"/>
          <w:szCs w:val="28"/>
        </w:rPr>
      </w:pPr>
      <w:r>
        <w:rPr>
          <w:rFonts w:ascii="Arial" w:hAnsi="Arial" w:cs="David" w:hint="cs"/>
          <w:sz w:val="28"/>
          <w:szCs w:val="28"/>
          <w:rtl/>
        </w:rPr>
        <w:t>נאשם 1 הביע צער על מעשיו ואמר שלא התכוון להשתמש באקדח כדי לשדוד אלא כדי להגן על עצמו ועל אביו.</w:t>
      </w:r>
    </w:p>
    <w:p w14:paraId="40E46199" w14:textId="77777777" w:rsidR="005F3587" w:rsidRDefault="005F3587">
      <w:pPr>
        <w:jc w:val="both"/>
        <w:rPr>
          <w:rFonts w:ascii="Arial" w:hAnsi="Arial"/>
          <w:sz w:val="28"/>
          <w:szCs w:val="28"/>
          <w:rtl/>
        </w:rPr>
      </w:pPr>
    </w:p>
    <w:p w14:paraId="148113C9" w14:textId="77777777" w:rsidR="005F3587" w:rsidRDefault="005F3587">
      <w:pPr>
        <w:jc w:val="both"/>
        <w:rPr>
          <w:rFonts w:ascii="Arial" w:hAnsi="Arial"/>
          <w:sz w:val="28"/>
          <w:szCs w:val="28"/>
          <w:rtl/>
        </w:rPr>
      </w:pPr>
    </w:p>
    <w:p w14:paraId="36E0BA65" w14:textId="77777777" w:rsidR="005F3587" w:rsidRDefault="005F3587">
      <w:pPr>
        <w:jc w:val="both"/>
        <w:rPr>
          <w:rFonts w:ascii="Arial" w:hAnsi="Arial"/>
          <w:sz w:val="28"/>
          <w:szCs w:val="28"/>
          <w:rtl/>
        </w:rPr>
      </w:pPr>
    </w:p>
    <w:p w14:paraId="665B8D41" w14:textId="77777777" w:rsidR="005F3587" w:rsidRDefault="005F3587">
      <w:pPr>
        <w:jc w:val="both"/>
        <w:rPr>
          <w:rFonts w:ascii="Arial" w:hAnsi="Arial"/>
          <w:sz w:val="28"/>
          <w:szCs w:val="28"/>
          <w:rtl/>
        </w:rPr>
      </w:pPr>
    </w:p>
    <w:p w14:paraId="6146EB46" w14:textId="77777777" w:rsidR="005F3587" w:rsidRDefault="00F03842">
      <w:pPr>
        <w:jc w:val="both"/>
        <w:rPr>
          <w:rFonts w:ascii="Arial" w:hAnsi="Arial"/>
          <w:b/>
          <w:bCs/>
          <w:sz w:val="28"/>
          <w:szCs w:val="28"/>
          <w:u w:val="single"/>
          <w:rtl/>
        </w:rPr>
      </w:pPr>
      <w:r>
        <w:rPr>
          <w:rFonts w:ascii="Arial" w:hAnsi="Arial" w:hint="cs"/>
          <w:b/>
          <w:bCs/>
          <w:sz w:val="28"/>
          <w:szCs w:val="28"/>
          <w:u w:val="single"/>
          <w:rtl/>
        </w:rPr>
        <w:t xml:space="preserve">דיון והכרעה </w:t>
      </w:r>
    </w:p>
    <w:p w14:paraId="78BCD583" w14:textId="77777777" w:rsidR="005F3587" w:rsidRDefault="005F3587">
      <w:pPr>
        <w:jc w:val="both"/>
        <w:rPr>
          <w:rFonts w:ascii="Arial" w:hAnsi="Arial"/>
          <w:b/>
          <w:bCs/>
          <w:sz w:val="28"/>
          <w:szCs w:val="28"/>
          <w:u w:val="single"/>
          <w:rtl/>
        </w:rPr>
      </w:pPr>
    </w:p>
    <w:p w14:paraId="7F57F0CE"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12.</w:t>
      </w:r>
      <w:r>
        <w:rPr>
          <w:rFonts w:ascii="Arial" w:hAnsi="Arial" w:hint="cs"/>
          <w:sz w:val="28"/>
          <w:szCs w:val="28"/>
          <w:rtl/>
        </w:rPr>
        <w:tab/>
        <w:t xml:space="preserve">עניין לנו בעבירה של החזקת נשק ללא רשות כדין שבוצעה ע"י שני הנאשמים ובעבירה של ירי במקום מגורים שבוצעה ע"י נאשם 1. ככלל מדובר בעבירות חמורות הטומנות בחובן סכנה גדולה מאוד לציבור אך עם זאת בעניינו הנסיבות חריגות כפי שאפרט להלן. </w:t>
      </w:r>
    </w:p>
    <w:p w14:paraId="6BBE1687" w14:textId="77777777" w:rsidR="005F3587" w:rsidRDefault="005F3587">
      <w:pPr>
        <w:pStyle w:val="ListParagraph"/>
        <w:spacing w:line="360" w:lineRule="auto"/>
        <w:jc w:val="both"/>
        <w:rPr>
          <w:rFonts w:ascii="Arial" w:hAnsi="Arial" w:cs="David"/>
          <w:sz w:val="28"/>
          <w:szCs w:val="28"/>
        </w:rPr>
      </w:pPr>
    </w:p>
    <w:p w14:paraId="76733772"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13.</w:t>
      </w:r>
      <w:r>
        <w:rPr>
          <w:rFonts w:ascii="Arial" w:hAnsi="Arial" w:hint="cs"/>
          <w:sz w:val="28"/>
          <w:szCs w:val="28"/>
          <w:rtl/>
        </w:rPr>
        <w:tab/>
        <w:t>בקביעת מתחם העונש בהתאם לעקרון ההלימה עפ"י תיקון 113 ל</w:t>
      </w:r>
      <w:hyperlink r:id="rId16" w:history="1">
        <w:r w:rsidR="0056151B" w:rsidRPr="0056151B">
          <w:rPr>
            <w:rStyle w:val="Hyperlink"/>
            <w:rFonts w:ascii="Arial" w:hAnsi="Arial"/>
            <w:sz w:val="28"/>
            <w:szCs w:val="28"/>
            <w:rtl/>
          </w:rPr>
          <w:t>חוק העונשין</w:t>
        </w:r>
      </w:hyperlink>
      <w:r>
        <w:rPr>
          <w:rFonts w:ascii="Arial" w:hAnsi="Arial" w:hint="cs"/>
          <w:sz w:val="28"/>
          <w:szCs w:val="28"/>
          <w:rtl/>
        </w:rPr>
        <w:t xml:space="preserve"> יש להתחשב בנסיבות הקשורות בביצוע העבירה, בערך החברתי שנפגע, במידת הפגיעה בו ובמדיניות הענישה הנוהגת. </w:t>
      </w:r>
    </w:p>
    <w:p w14:paraId="3D22FABD" w14:textId="77777777" w:rsidR="005F3587" w:rsidRDefault="00F03842">
      <w:pPr>
        <w:spacing w:line="360" w:lineRule="auto"/>
        <w:ind w:left="720"/>
        <w:jc w:val="both"/>
        <w:rPr>
          <w:rFonts w:ascii="Arial" w:hAnsi="Arial"/>
          <w:sz w:val="28"/>
          <w:szCs w:val="28"/>
        </w:rPr>
      </w:pPr>
      <w:r>
        <w:rPr>
          <w:rFonts w:ascii="Arial" w:hAnsi="Arial" w:hint="cs"/>
          <w:sz w:val="28"/>
          <w:szCs w:val="28"/>
          <w:rtl/>
        </w:rPr>
        <w:t>במקרה שבפניי הערך החברתי אשר נפגע הינו ביטחון הציבור. החזקת נשק ללא היתר, טומנת בחובה סכנה ממשית שכן כאשר נשק, שהינו חפץ מסוכן, מגיע לידיים לא אחראיות, הוא יכול לגרום נזק רציני לאדם ולרכוש עד כדי קיפוח חיי אדם וכן עלול להסלים אלימות ולהביא לפגיעה בציבור תמים.</w:t>
      </w:r>
    </w:p>
    <w:p w14:paraId="01F9F4EA" w14:textId="77777777" w:rsidR="005F3587" w:rsidRDefault="005F3587">
      <w:pPr>
        <w:pStyle w:val="ListParagraph"/>
        <w:jc w:val="both"/>
        <w:rPr>
          <w:rFonts w:ascii="Arial" w:hAnsi="Arial" w:cs="David"/>
          <w:sz w:val="28"/>
          <w:szCs w:val="28"/>
        </w:rPr>
      </w:pPr>
    </w:p>
    <w:p w14:paraId="6D3556B9"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14.</w:t>
      </w:r>
      <w:r>
        <w:rPr>
          <w:rFonts w:ascii="Arial" w:hAnsi="Arial" w:hint="cs"/>
          <w:sz w:val="28"/>
          <w:szCs w:val="28"/>
          <w:rtl/>
        </w:rPr>
        <w:tab/>
        <w:t xml:space="preserve">בתי המשפט, ובראשם בית המשפט העליון, מחמירים בעונשיהם של מי שמחזיקים כלי נשק שלא כדין, ובמיוחד כאשר מדובר בכלי נשק טעון. כך גם כאשר מדובר במי שעברו הפלילי נקי ובמי שיש לו נסיבות אישיות לא קלות, אשר במקרים אחרים היו גורמות להקלה בעונש. </w:t>
      </w:r>
    </w:p>
    <w:p w14:paraId="324CED5F"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ab/>
        <w:t>מגמת ההחמרה באה לביטוי לאחרונה בפסק דינו של ביהמ"ש העליון, מפי כב' השופט הנדל ב</w:t>
      </w:r>
      <w:hyperlink r:id="rId17" w:history="1">
        <w:r w:rsidR="0056151B" w:rsidRPr="0056151B">
          <w:rPr>
            <w:rStyle w:val="Hyperlink"/>
            <w:rFonts w:ascii="Arial" w:hAnsi="Arial"/>
            <w:sz w:val="28"/>
            <w:szCs w:val="28"/>
            <w:rtl/>
          </w:rPr>
          <w:t>ע"פ 7241/12</w:t>
        </w:r>
      </w:hyperlink>
      <w:r>
        <w:rPr>
          <w:rFonts w:ascii="Arial" w:hAnsi="Arial" w:hint="cs"/>
          <w:sz w:val="28"/>
          <w:szCs w:val="28"/>
          <w:rtl/>
        </w:rPr>
        <w:t xml:space="preserve"> טאטור נ' מדינת ישראל </w:t>
      </w:r>
      <w:r w:rsidR="00265138" w:rsidRPr="00265138">
        <w:rPr>
          <w:sz w:val="22"/>
          <w:rtl/>
        </w:rPr>
        <w:t xml:space="preserve">[פורסם בנבו] </w:t>
      </w:r>
      <w:r>
        <w:rPr>
          <w:rFonts w:ascii="Arial" w:hAnsi="Arial" w:hint="cs"/>
          <w:sz w:val="28"/>
          <w:szCs w:val="28"/>
          <w:rtl/>
        </w:rPr>
        <w:t xml:space="preserve">ניתן ביום 12.2.13 שבו נדחה ערעור של מי שמסר אקדח לקרוב משפחתו על מנת שיירה בו במהלך תאונה ונידון ל- 9 חודשי מאדר בפועל, כדלקמן: </w:t>
      </w:r>
    </w:p>
    <w:p w14:paraId="4C3B3126" w14:textId="77777777" w:rsidR="005F3587" w:rsidRDefault="00F03842">
      <w:pPr>
        <w:spacing w:line="360" w:lineRule="auto"/>
        <w:ind w:left="1440" w:right="1134"/>
        <w:jc w:val="both"/>
        <w:rPr>
          <w:rFonts w:ascii="Arial" w:hAnsi="Arial"/>
          <w:b/>
          <w:bCs/>
          <w:sz w:val="28"/>
          <w:szCs w:val="28"/>
          <w:rtl/>
        </w:rPr>
      </w:pPr>
      <w:r>
        <w:rPr>
          <w:rFonts w:ascii="Arial" w:hAnsi="Arial" w:hint="cs"/>
          <w:sz w:val="28"/>
          <w:szCs w:val="28"/>
          <w:rtl/>
        </w:rPr>
        <w:t>"</w:t>
      </w:r>
      <w:r>
        <w:rPr>
          <w:rFonts w:ascii="Arial" w:hAnsi="Arial" w:hint="cs"/>
          <w:b/>
          <w:bCs/>
          <w:sz w:val="28"/>
          <w:szCs w:val="28"/>
          <w:rtl/>
        </w:rPr>
        <w:t>לעבירות הנשק חומרה מיוחדת. מאדם המחזיק בנשק שלא כדין נשקפת מסוכנות, על אחת כמה וכמה כאשר החזקה זו איננה קצרה זמן אלא מתקיימת לאורך מספר חודשים כבמקרה שלפנינו. לא אחת עמד בית משפט זה על הצורך בנקיטת רף מחמיר כלפי עבירות נשק, גם כלפי אלו המצויות לכאורה בשלבים נמוכים יחסית של המדרג (וראו הסקירה המקיפה בגזר דינו של בית המשפט המחוזי, בעמ' 34-31). ב</w:t>
      </w:r>
      <w:hyperlink r:id="rId18" w:history="1">
        <w:r w:rsidR="0056151B" w:rsidRPr="0056151B">
          <w:rPr>
            <w:rStyle w:val="Hyperlink"/>
            <w:rFonts w:ascii="Arial" w:hAnsi="Arial"/>
            <w:b/>
            <w:bCs/>
            <w:sz w:val="28"/>
            <w:szCs w:val="28"/>
            <w:rtl/>
          </w:rPr>
          <w:t>ע"פ 5604/11</w:t>
        </w:r>
      </w:hyperlink>
      <w:r>
        <w:rPr>
          <w:rFonts w:ascii="Arial" w:hAnsi="Arial" w:hint="cs"/>
          <w:b/>
          <w:bCs/>
          <w:sz w:val="28"/>
          <w:szCs w:val="28"/>
          <w:rtl/>
        </w:rPr>
        <w:t xml:space="preserve"> נאסר נ' מדינת ישראל [פורסם בנבו] (5.10.11) נאמר באשר לעבירת החזקת נשק כי היא "מקימה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 באותו מקרה נגזרו 12 חודשי מאסר בפועל על אדם אשר הורשע בהחזקת אקדח וכדורים, וזאת על אף נסיבות לקולא שבהם התאפיין המקרה הקונקרטי. חמורה היא אם כן עבירת החזקת הנשק, וחומרה ירה נודעת לה מקום בו נעשה בנשק שימוש בפועל, כמו במקרה שלפנינו. המערער התבקש לתת את הנשק בו החזיק לצורך ירי בחתונה. לא פעם ולא פעמיים הסתיים אירוע מסוג זה בפגיעה בחפים מפשע שכל חטאם בהשתתפות בשמחה. בית המשפט המחוזי אף התייחס למארג עובדתי זה כתופעה שהפכה ל"מכה אזורית". </w:t>
      </w:r>
    </w:p>
    <w:p w14:paraId="15D95E44" w14:textId="77777777" w:rsidR="005F3587" w:rsidRDefault="00F03842">
      <w:pPr>
        <w:spacing w:line="360" w:lineRule="auto"/>
        <w:ind w:left="720" w:hanging="360"/>
        <w:jc w:val="both"/>
        <w:rPr>
          <w:rFonts w:ascii="Arial" w:hAnsi="Arial"/>
          <w:sz w:val="28"/>
          <w:szCs w:val="28"/>
          <w:rtl/>
        </w:rPr>
      </w:pPr>
      <w:r>
        <w:rPr>
          <w:rFonts w:ascii="Arial" w:hAnsi="Arial" w:hint="cs"/>
          <w:sz w:val="28"/>
          <w:szCs w:val="28"/>
          <w:rtl/>
        </w:rPr>
        <w:tab/>
        <w:t>(ראה סעיף 4 רישא לפסה"ד)</w:t>
      </w:r>
    </w:p>
    <w:p w14:paraId="4F0219EA" w14:textId="77777777" w:rsidR="005F3587" w:rsidRDefault="005F3587">
      <w:pPr>
        <w:spacing w:line="360" w:lineRule="auto"/>
        <w:ind w:left="720"/>
        <w:jc w:val="both"/>
        <w:rPr>
          <w:rFonts w:ascii="Arial" w:hAnsi="Arial"/>
          <w:sz w:val="28"/>
          <w:szCs w:val="28"/>
          <w:rtl/>
        </w:rPr>
      </w:pPr>
    </w:p>
    <w:p w14:paraId="1EA8FD3A" w14:textId="77777777" w:rsidR="005F3587" w:rsidRDefault="00F03842">
      <w:pPr>
        <w:spacing w:line="360" w:lineRule="auto"/>
        <w:ind w:left="720"/>
        <w:jc w:val="both"/>
        <w:rPr>
          <w:rFonts w:ascii="Arial" w:hAnsi="Arial"/>
          <w:sz w:val="28"/>
          <w:szCs w:val="28"/>
          <w:rtl/>
        </w:rPr>
      </w:pPr>
      <w:r>
        <w:rPr>
          <w:rFonts w:ascii="Arial" w:hAnsi="Arial" w:hint="cs"/>
          <w:sz w:val="28"/>
          <w:szCs w:val="28"/>
          <w:rtl/>
        </w:rPr>
        <w:t>מדיניות ההחמרה באה לידי ביטוי גם ב</w:t>
      </w:r>
      <w:hyperlink r:id="rId19" w:history="1">
        <w:r w:rsidR="0056151B" w:rsidRPr="0056151B">
          <w:rPr>
            <w:rStyle w:val="Hyperlink"/>
            <w:rFonts w:ascii="Arial" w:hAnsi="Arial" w:hint="eastAsia"/>
            <w:sz w:val="28"/>
            <w:szCs w:val="28"/>
            <w:rtl/>
          </w:rPr>
          <w:t>רע</w:t>
        </w:r>
        <w:r w:rsidR="0056151B" w:rsidRPr="0056151B">
          <w:rPr>
            <w:rStyle w:val="Hyperlink"/>
            <w:rFonts w:ascii="Arial" w:hAnsi="Arial"/>
            <w:sz w:val="28"/>
            <w:szCs w:val="28"/>
            <w:rtl/>
          </w:rPr>
          <w:t>"פ 898/11</w:t>
        </w:r>
      </w:hyperlink>
      <w:r>
        <w:rPr>
          <w:rFonts w:ascii="Arial" w:hAnsi="Arial" w:hint="cs"/>
          <w:sz w:val="28"/>
          <w:szCs w:val="28"/>
          <w:rtl/>
        </w:rPr>
        <w:t xml:space="preserve"> </w:t>
      </w:r>
      <w:r>
        <w:rPr>
          <w:rFonts w:ascii="Arial" w:hAnsi="Arial" w:hint="cs"/>
          <w:b/>
          <w:bCs/>
          <w:sz w:val="28"/>
          <w:szCs w:val="28"/>
          <w:rtl/>
        </w:rPr>
        <w:t>אקרע נ' מדינת ישרא</w:t>
      </w:r>
      <w:r>
        <w:rPr>
          <w:rFonts w:ascii="Arial" w:hAnsi="Arial" w:hint="cs"/>
          <w:sz w:val="28"/>
          <w:szCs w:val="28"/>
          <w:rtl/>
        </w:rPr>
        <w:t xml:space="preserve">ל , </w:t>
      </w:r>
      <w:r w:rsidR="00265138" w:rsidRPr="00265138">
        <w:rPr>
          <w:sz w:val="22"/>
          <w:rtl/>
        </w:rPr>
        <w:t xml:space="preserve">[פורסם בנבו] </w:t>
      </w:r>
      <w:r>
        <w:rPr>
          <w:rFonts w:ascii="Arial" w:hAnsi="Arial" w:hint="cs"/>
          <w:sz w:val="28"/>
          <w:szCs w:val="28"/>
          <w:rtl/>
        </w:rPr>
        <w:t>תק- על 2011 (1) 1294 שבו קבע כב' השופט ג'ובראן כי:</w:t>
      </w:r>
    </w:p>
    <w:p w14:paraId="54075E08" w14:textId="77777777" w:rsidR="005F3587" w:rsidRDefault="005F3587">
      <w:pPr>
        <w:pStyle w:val="ListParagraph"/>
        <w:spacing w:line="360" w:lineRule="auto"/>
        <w:jc w:val="both"/>
        <w:rPr>
          <w:rFonts w:ascii="Arial" w:hAnsi="Arial" w:cs="David"/>
          <w:sz w:val="28"/>
          <w:szCs w:val="28"/>
          <w:rtl/>
        </w:rPr>
      </w:pPr>
    </w:p>
    <w:p w14:paraId="39AF2915" w14:textId="77777777" w:rsidR="005F3587" w:rsidRDefault="00F03842" w:rsidP="00265138">
      <w:pPr>
        <w:pStyle w:val="ListParagraph"/>
        <w:spacing w:line="360" w:lineRule="auto"/>
        <w:ind w:left="1440" w:right="993"/>
        <w:jc w:val="both"/>
        <w:rPr>
          <w:rFonts w:ascii="Arial" w:hAnsi="Arial" w:cs="David"/>
          <w:b/>
          <w:bCs/>
          <w:sz w:val="28"/>
          <w:szCs w:val="28"/>
          <w:rtl/>
        </w:rPr>
      </w:pPr>
      <w:r>
        <w:rPr>
          <w:rFonts w:ascii="Arial" w:hAnsi="Arial" w:cs="David" w:hint="cs"/>
          <w:b/>
          <w:bCs/>
          <w:sz w:val="28"/>
          <w:szCs w:val="28"/>
          <w:rtl/>
        </w:rPr>
        <w:t>"בנוגע לצורך במדיניות ענישה מרתיעה בעבירות כדוגמת העבירה בה הורשע המבקש כבר קבעתי בעבר כי: "בית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 החזקה של כלי נשק על ידי מי שאינו מורשה בכך יש בה פוטנציאל להוביל להסלמה חמורה ולתוצאות קשות של כל אירוע בו יהיה מעורב אותו נושא נשק..." (</w:t>
      </w:r>
      <w:hyperlink r:id="rId20" w:history="1">
        <w:r w:rsidR="0056151B" w:rsidRPr="0056151B">
          <w:rPr>
            <w:rStyle w:val="Hyperlink"/>
            <w:rFonts w:ascii="Arial" w:hAnsi="Arial" w:cs="David" w:hint="eastAsia"/>
            <w:b/>
            <w:bCs/>
            <w:sz w:val="28"/>
            <w:szCs w:val="28"/>
            <w:rtl/>
          </w:rPr>
          <w:t>רע</w:t>
        </w:r>
        <w:r w:rsidR="0056151B" w:rsidRPr="0056151B">
          <w:rPr>
            <w:rStyle w:val="Hyperlink"/>
            <w:rFonts w:ascii="Arial" w:hAnsi="Arial" w:cs="David"/>
            <w:b/>
            <w:bCs/>
            <w:sz w:val="28"/>
            <w:szCs w:val="28"/>
            <w:rtl/>
          </w:rPr>
          <w:t>"פ 5921/08</w:t>
        </w:r>
      </w:hyperlink>
      <w:r>
        <w:rPr>
          <w:rFonts w:ascii="Arial" w:hAnsi="Arial" w:cs="David" w:hint="cs"/>
          <w:b/>
          <w:bCs/>
          <w:sz w:val="28"/>
          <w:szCs w:val="28"/>
          <w:rtl/>
        </w:rPr>
        <w:t xml:space="preserve"> רג'בי נ' מדינת ישראל (לא פורסם</w:t>
      </w:r>
      <w:r w:rsidR="00265138">
        <w:rPr>
          <w:rFonts w:ascii="Arial" w:hAnsi="Arial" w:cs="David" w:hint="cs"/>
          <w:b/>
          <w:bCs/>
          <w:sz w:val="28"/>
          <w:szCs w:val="28"/>
          <w:rtl/>
        </w:rPr>
        <w:t xml:space="preserve">, </w:t>
      </w:r>
      <w:r w:rsidR="00265138" w:rsidRPr="00265138">
        <w:rPr>
          <w:rFonts w:cs="David"/>
          <w:sz w:val="22"/>
          <w:rtl/>
        </w:rPr>
        <w:t>[פורסם בנבו]</w:t>
      </w:r>
      <w:r>
        <w:rPr>
          <w:rFonts w:ascii="Arial" w:hAnsi="Arial" w:cs="David" w:hint="cs"/>
          <w:b/>
          <w:bCs/>
          <w:sz w:val="28"/>
          <w:szCs w:val="28"/>
          <w:rtl/>
        </w:rPr>
        <w:t>, ניתן ביום 6.5.2009).</w:t>
      </w:r>
    </w:p>
    <w:p w14:paraId="0FC7CBBF" w14:textId="77777777" w:rsidR="005F3587" w:rsidRDefault="005F3587">
      <w:pPr>
        <w:pStyle w:val="ListParagraph"/>
        <w:jc w:val="both"/>
        <w:rPr>
          <w:rFonts w:ascii="Arial" w:hAnsi="Arial" w:cs="David"/>
          <w:sz w:val="28"/>
          <w:szCs w:val="28"/>
          <w:rtl/>
        </w:rPr>
      </w:pPr>
    </w:p>
    <w:p w14:paraId="7EE00BF1" w14:textId="77777777" w:rsidR="005F3587" w:rsidRDefault="00F03842">
      <w:pPr>
        <w:pStyle w:val="ListParagraph"/>
        <w:spacing w:line="360" w:lineRule="auto"/>
        <w:jc w:val="both"/>
        <w:rPr>
          <w:rFonts w:ascii="Arial" w:hAnsi="Arial" w:cs="David"/>
          <w:sz w:val="28"/>
          <w:szCs w:val="28"/>
          <w:rtl/>
        </w:rPr>
      </w:pPr>
      <w:r>
        <w:rPr>
          <w:rFonts w:ascii="Arial" w:hAnsi="Arial" w:cs="David" w:hint="cs"/>
          <w:sz w:val="28"/>
          <w:szCs w:val="28"/>
          <w:rtl/>
        </w:rPr>
        <w:t>ב</w:t>
      </w:r>
      <w:hyperlink r:id="rId21" w:history="1">
        <w:r w:rsidR="0056151B" w:rsidRPr="0056151B">
          <w:rPr>
            <w:rStyle w:val="Hyperlink"/>
            <w:rFonts w:ascii="Arial" w:hAnsi="Arial" w:cs="David" w:hint="eastAsia"/>
            <w:sz w:val="28"/>
            <w:szCs w:val="28"/>
            <w:rtl/>
          </w:rPr>
          <w:t>רע</w:t>
        </w:r>
        <w:r w:rsidR="0056151B" w:rsidRPr="0056151B">
          <w:rPr>
            <w:rStyle w:val="Hyperlink"/>
            <w:rFonts w:ascii="Arial" w:hAnsi="Arial" w:cs="David"/>
            <w:sz w:val="28"/>
            <w:szCs w:val="28"/>
            <w:rtl/>
          </w:rPr>
          <w:t>"פ 10376/05</w:t>
        </w:r>
      </w:hyperlink>
      <w:r>
        <w:rPr>
          <w:rFonts w:ascii="Arial" w:hAnsi="Arial" w:cs="David" w:hint="cs"/>
          <w:sz w:val="28"/>
          <w:szCs w:val="28"/>
          <w:rtl/>
        </w:rPr>
        <w:t xml:space="preserve"> </w:t>
      </w:r>
      <w:r>
        <w:rPr>
          <w:rFonts w:ascii="Arial" w:hAnsi="Arial" w:cs="David" w:hint="cs"/>
          <w:b/>
          <w:bCs/>
          <w:sz w:val="28"/>
          <w:szCs w:val="28"/>
          <w:rtl/>
        </w:rPr>
        <w:t>ברהום נ' מדינת ישראל</w:t>
      </w:r>
      <w:r>
        <w:rPr>
          <w:rFonts w:ascii="Arial" w:hAnsi="Arial" w:cs="David" w:hint="cs"/>
          <w:sz w:val="28"/>
          <w:szCs w:val="28"/>
          <w:rtl/>
        </w:rPr>
        <w:t xml:space="preserve">, </w:t>
      </w:r>
      <w:r w:rsidR="00265138" w:rsidRPr="00265138">
        <w:rPr>
          <w:rFonts w:cs="David"/>
          <w:sz w:val="22"/>
          <w:rtl/>
        </w:rPr>
        <w:t xml:space="preserve">[פורסם בנבו] </w:t>
      </w:r>
      <w:r>
        <w:rPr>
          <w:rFonts w:ascii="Arial" w:hAnsi="Arial" w:cs="David" w:hint="cs"/>
          <w:sz w:val="28"/>
          <w:szCs w:val="28"/>
          <w:rtl/>
        </w:rPr>
        <w:t>תק-על 2006(2) 2646, קבע כב' השופט ג'ובראן כי:</w:t>
      </w:r>
    </w:p>
    <w:p w14:paraId="7437072C" w14:textId="77777777" w:rsidR="005F3587" w:rsidRDefault="005F3587">
      <w:pPr>
        <w:pStyle w:val="ListParagraph"/>
        <w:spacing w:line="360" w:lineRule="auto"/>
        <w:jc w:val="both"/>
        <w:rPr>
          <w:rFonts w:ascii="Arial" w:hAnsi="Arial" w:cs="David"/>
          <w:sz w:val="28"/>
          <w:szCs w:val="28"/>
          <w:rtl/>
        </w:rPr>
      </w:pPr>
    </w:p>
    <w:p w14:paraId="7E1B0F1A" w14:textId="77777777" w:rsidR="005F3587" w:rsidRDefault="00F03842" w:rsidP="00265138">
      <w:pPr>
        <w:pStyle w:val="ListParagraph"/>
        <w:spacing w:line="360" w:lineRule="auto"/>
        <w:ind w:left="1440" w:right="993"/>
        <w:jc w:val="both"/>
        <w:rPr>
          <w:rFonts w:ascii="Arial" w:hAnsi="Arial" w:cs="David"/>
          <w:b/>
          <w:bCs/>
          <w:sz w:val="28"/>
          <w:szCs w:val="28"/>
          <w:rtl/>
        </w:rPr>
      </w:pPr>
      <w:r>
        <w:rPr>
          <w:rFonts w:ascii="Arial" w:hAnsi="Arial" w:cs="David" w:hint="cs"/>
          <w:b/>
          <w:bCs/>
          <w:sz w:val="28"/>
          <w:szCs w:val="28"/>
          <w:rtl/>
        </w:rPr>
        <w:t xml:space="preserve">"בית-משפט זה עמד לא אחת בעבר על כך שעבירת החזקת נשק ללא רשות כדין, הינה עבירה חמורה, המצדיקה הטלת עונשי מאסר לריצוי בפועל, גם על מי שזו עבירתו הראשונה (ראו </w:t>
      </w:r>
      <w:hyperlink r:id="rId22" w:history="1">
        <w:r w:rsidR="0056151B" w:rsidRPr="0056151B">
          <w:rPr>
            <w:rStyle w:val="Hyperlink"/>
            <w:rFonts w:ascii="Arial" w:hAnsi="Arial" w:cs="David" w:hint="eastAsia"/>
            <w:b/>
            <w:bCs/>
            <w:sz w:val="28"/>
            <w:szCs w:val="28"/>
            <w:rtl/>
          </w:rPr>
          <w:t>רע</w:t>
        </w:r>
        <w:r w:rsidR="0056151B" w:rsidRPr="0056151B">
          <w:rPr>
            <w:rStyle w:val="Hyperlink"/>
            <w:rFonts w:ascii="Arial" w:hAnsi="Arial" w:cs="David"/>
            <w:b/>
            <w:bCs/>
            <w:sz w:val="28"/>
            <w:szCs w:val="28"/>
            <w:rtl/>
          </w:rPr>
          <w:t>"פ 2718/04</w:t>
        </w:r>
      </w:hyperlink>
      <w:r>
        <w:rPr>
          <w:rFonts w:ascii="Arial" w:hAnsi="Arial" w:cs="David" w:hint="cs"/>
          <w:b/>
          <w:bCs/>
          <w:sz w:val="28"/>
          <w:szCs w:val="28"/>
          <w:rtl/>
        </w:rPr>
        <w:t xml:space="preserve"> אבו דאחל נ' מדינת ישראל (לא פורסם)</w:t>
      </w:r>
      <w:r w:rsidR="00265138">
        <w:rPr>
          <w:rFonts w:ascii="Arial" w:hAnsi="Arial" w:cs="David" w:hint="cs"/>
          <w:b/>
          <w:bCs/>
          <w:sz w:val="28"/>
          <w:szCs w:val="28"/>
          <w:rtl/>
        </w:rPr>
        <w:t xml:space="preserve"> </w:t>
      </w:r>
      <w:r w:rsidR="00265138" w:rsidRPr="00265138">
        <w:rPr>
          <w:rFonts w:cs="David"/>
          <w:sz w:val="22"/>
          <w:rtl/>
        </w:rPr>
        <w:t>[פורסם בנבו]</w:t>
      </w:r>
      <w:r>
        <w:rPr>
          <w:rFonts w:ascii="Arial" w:hAnsi="Arial" w:cs="David" w:hint="cs"/>
          <w:b/>
          <w:bCs/>
          <w:sz w:val="28"/>
          <w:szCs w:val="28"/>
          <w:rtl/>
        </w:rPr>
        <w:t xml:space="preserve">; </w:t>
      </w:r>
      <w:hyperlink r:id="rId23" w:history="1">
        <w:r w:rsidR="0056151B" w:rsidRPr="0056151B">
          <w:rPr>
            <w:rStyle w:val="Hyperlink"/>
            <w:rFonts w:ascii="Arial" w:hAnsi="Arial" w:cs="David" w:hint="eastAsia"/>
            <w:b/>
            <w:bCs/>
            <w:sz w:val="28"/>
            <w:szCs w:val="28"/>
            <w:rtl/>
          </w:rPr>
          <w:t>רע</w:t>
        </w:r>
        <w:r w:rsidR="0056151B" w:rsidRPr="0056151B">
          <w:rPr>
            <w:rStyle w:val="Hyperlink"/>
            <w:rFonts w:ascii="Arial" w:hAnsi="Arial" w:cs="David"/>
            <w:b/>
            <w:bCs/>
            <w:sz w:val="28"/>
            <w:szCs w:val="28"/>
            <w:rtl/>
          </w:rPr>
          <w:t>"פ 1281/05</w:t>
        </w:r>
      </w:hyperlink>
      <w:r>
        <w:rPr>
          <w:rFonts w:ascii="Arial" w:hAnsi="Arial" w:cs="David" w:hint="cs"/>
          <w:b/>
          <w:bCs/>
          <w:sz w:val="28"/>
          <w:szCs w:val="28"/>
          <w:rtl/>
        </w:rPr>
        <w:t xml:space="preserve"> מחאג'נה נ' מדינת ישראל (לא פורסם)</w:t>
      </w:r>
      <w:r w:rsidR="00265138">
        <w:rPr>
          <w:rFonts w:ascii="Arial" w:hAnsi="Arial" w:cs="David" w:hint="cs"/>
          <w:b/>
          <w:bCs/>
          <w:sz w:val="28"/>
          <w:szCs w:val="28"/>
          <w:rtl/>
        </w:rPr>
        <w:t xml:space="preserve"> </w:t>
      </w:r>
      <w:r w:rsidR="00265138" w:rsidRPr="00265138">
        <w:rPr>
          <w:rFonts w:cs="David"/>
          <w:sz w:val="22"/>
          <w:rtl/>
        </w:rPr>
        <w:t>[פורסם בנבו]</w:t>
      </w:r>
      <w:r>
        <w:rPr>
          <w:rFonts w:ascii="Arial" w:hAnsi="Arial" w:cs="David" w:hint="cs"/>
          <w:b/>
          <w:bCs/>
          <w:sz w:val="28"/>
          <w:szCs w:val="28"/>
          <w:rtl/>
        </w:rPr>
        <w:t xml:space="preserve">; </w:t>
      </w:r>
      <w:hyperlink r:id="rId24" w:history="1">
        <w:r w:rsidR="0056151B" w:rsidRPr="0056151B">
          <w:rPr>
            <w:rStyle w:val="Hyperlink"/>
            <w:rFonts w:ascii="Arial" w:hAnsi="Arial" w:cs="David" w:hint="eastAsia"/>
            <w:b/>
            <w:bCs/>
            <w:sz w:val="28"/>
            <w:szCs w:val="28"/>
            <w:rtl/>
          </w:rPr>
          <w:t>רע</w:t>
        </w:r>
        <w:r w:rsidR="0056151B" w:rsidRPr="0056151B">
          <w:rPr>
            <w:rStyle w:val="Hyperlink"/>
            <w:rFonts w:ascii="Arial" w:hAnsi="Arial" w:cs="David"/>
            <w:b/>
            <w:bCs/>
            <w:sz w:val="28"/>
            <w:szCs w:val="28"/>
            <w:rtl/>
          </w:rPr>
          <w:t>"פ 3804/05</w:t>
        </w:r>
      </w:hyperlink>
      <w:r>
        <w:rPr>
          <w:rFonts w:ascii="Arial" w:hAnsi="Arial" w:cs="David" w:hint="cs"/>
          <w:b/>
          <w:bCs/>
          <w:sz w:val="28"/>
          <w:szCs w:val="28"/>
          <w:rtl/>
        </w:rPr>
        <w:t xml:space="preserve"> אבו קרינאת נ' מדינת ישראל (טרם פורסם)</w:t>
      </w:r>
      <w:r w:rsidR="00265138">
        <w:rPr>
          <w:rFonts w:ascii="Arial" w:hAnsi="Arial" w:cs="David" w:hint="cs"/>
          <w:b/>
          <w:bCs/>
          <w:sz w:val="28"/>
          <w:szCs w:val="28"/>
          <w:rtl/>
        </w:rPr>
        <w:t xml:space="preserve"> </w:t>
      </w:r>
      <w:r w:rsidR="00265138" w:rsidRPr="00265138">
        <w:rPr>
          <w:rFonts w:cs="David"/>
          <w:sz w:val="22"/>
          <w:rtl/>
        </w:rPr>
        <w:t>[פורסם בנבו]</w:t>
      </w:r>
      <w:r>
        <w:rPr>
          <w:rFonts w:ascii="Arial" w:hAnsi="Arial" w:cs="David" w:hint="cs"/>
          <w:b/>
          <w:bCs/>
          <w:sz w:val="28"/>
          <w:szCs w:val="28"/>
          <w:rtl/>
        </w:rPr>
        <w:t xml:space="preserve">).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6F1F5CD7" w14:textId="77777777" w:rsidR="005F3587" w:rsidRDefault="00F03842">
      <w:pPr>
        <w:pStyle w:val="ListParagraph"/>
        <w:spacing w:line="360" w:lineRule="auto"/>
        <w:ind w:left="1440" w:right="993"/>
        <w:jc w:val="both"/>
        <w:rPr>
          <w:rFonts w:ascii="Arial" w:hAnsi="Arial" w:cs="David"/>
          <w:b/>
          <w:bCs/>
          <w:sz w:val="28"/>
          <w:szCs w:val="28"/>
          <w:rtl/>
        </w:rPr>
      </w:pPr>
      <w:r>
        <w:rPr>
          <w:rFonts w:ascii="Arial" w:hAnsi="Arial" w:cs="David" w:hint="cs"/>
          <w:b/>
          <w:bCs/>
          <w:sz w:val="28"/>
          <w:szCs w:val="28"/>
          <w:rtl/>
        </w:rPr>
        <w:t>איני מוצא ממש אף בטענה כנגד מגמת ההחמרה בענישה בגין ביצוע עבירות של החזקה ושימוש בנשק חם מסוגים שונים. ענישה מחמירה ומרתיעה, עשויה לתרום להקטנת ממדי תופעה זו, אשר פשתה כנגע בחברה, ומתרחשת לא אחת. יפים לעניין זה הדברים שנאמרו ב</w:t>
      </w:r>
      <w:r w:rsidRPr="00A40A9D">
        <w:rPr>
          <w:rFonts w:ascii="Arial" w:hAnsi="Arial" w:cs="David" w:hint="cs"/>
          <w:b/>
          <w:bCs/>
          <w:color w:val="000000"/>
          <w:sz w:val="28"/>
          <w:szCs w:val="28"/>
          <w:rtl/>
        </w:rPr>
        <w:t>ע"פ 1332/04 מדינת ישראל נ' פס, פ"ד נח</w:t>
      </w:r>
      <w:r>
        <w:rPr>
          <w:rFonts w:ascii="Arial" w:hAnsi="Arial" w:cs="David" w:hint="cs"/>
          <w:b/>
          <w:bCs/>
          <w:sz w:val="28"/>
          <w:szCs w:val="28"/>
          <w:rtl/>
        </w:rPr>
        <w:t xml:space="preserve">(5) 541: </w:t>
      </w:r>
    </w:p>
    <w:p w14:paraId="2139A2D0" w14:textId="77777777" w:rsidR="005F3587" w:rsidRDefault="00F03842">
      <w:pPr>
        <w:pStyle w:val="ListParagraph"/>
        <w:spacing w:line="360" w:lineRule="auto"/>
        <w:ind w:left="1440" w:right="993"/>
        <w:jc w:val="both"/>
        <w:rPr>
          <w:rFonts w:ascii="Arial" w:hAnsi="Arial" w:cs="David"/>
          <w:b/>
          <w:bCs/>
          <w:sz w:val="28"/>
          <w:szCs w:val="28"/>
          <w:rtl/>
        </w:rPr>
      </w:pPr>
      <w:r>
        <w:rPr>
          <w:rFonts w:ascii="Arial" w:hAnsi="Arial" w:cs="David" w:hint="cs"/>
          <w:b/>
          <w:bCs/>
          <w:sz w:val="28"/>
          <w:szCs w:val="28"/>
          <w:rtl/>
        </w:rPr>
        <w:t xml:space="preserve">"מן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הרי שהמציאות השוררת היום בארץ- זמינותו של נשק חם ורב עוצמה שיש עמו פוטנציאל להסלמה באלימות העבריינית והאידיאולוגית כאחד – מחייבים מתן ביטוי עונשי הולם והחמרה ברמת הענישה". </w:t>
      </w:r>
    </w:p>
    <w:p w14:paraId="3B27BF08" w14:textId="77777777" w:rsidR="005F3587" w:rsidRDefault="005F3587">
      <w:pPr>
        <w:pStyle w:val="ListParagraph"/>
        <w:spacing w:line="360" w:lineRule="auto"/>
        <w:jc w:val="both"/>
        <w:rPr>
          <w:rFonts w:ascii="Arial" w:hAnsi="Arial" w:cs="David"/>
          <w:sz w:val="28"/>
          <w:szCs w:val="28"/>
          <w:rtl/>
        </w:rPr>
      </w:pPr>
    </w:p>
    <w:p w14:paraId="7ED87BF4" w14:textId="77777777" w:rsidR="005F3587" w:rsidRDefault="00F03842">
      <w:pPr>
        <w:spacing w:line="360" w:lineRule="auto"/>
        <w:ind w:left="1134" w:hanging="414"/>
        <w:jc w:val="both"/>
        <w:outlineLvl w:val="0"/>
        <w:rPr>
          <w:sz w:val="28"/>
          <w:szCs w:val="28"/>
          <w:rtl/>
        </w:rPr>
      </w:pPr>
      <w:r>
        <w:rPr>
          <w:rFonts w:hint="cs"/>
          <w:sz w:val="28"/>
          <w:szCs w:val="28"/>
          <w:rtl/>
        </w:rPr>
        <w:t>16.</w:t>
      </w:r>
      <w:r>
        <w:rPr>
          <w:rFonts w:hint="cs"/>
          <w:sz w:val="28"/>
          <w:szCs w:val="28"/>
          <w:rtl/>
        </w:rPr>
        <w:tab/>
        <w:t xml:space="preserve">עם זאת, בחינת הענישה הנוהגת מעלה, כי במקרים דומים למקרה שלפנינו הוטלו עונשי מאסר בעבודות שירות. </w:t>
      </w:r>
    </w:p>
    <w:p w14:paraId="52184EFA" w14:textId="77777777" w:rsidR="005F3587" w:rsidRDefault="00F03842">
      <w:pPr>
        <w:spacing w:line="360" w:lineRule="auto"/>
        <w:ind w:left="1134" w:hanging="54"/>
        <w:jc w:val="both"/>
        <w:outlineLvl w:val="0"/>
        <w:rPr>
          <w:sz w:val="28"/>
          <w:szCs w:val="28"/>
          <w:rtl/>
        </w:rPr>
      </w:pPr>
      <w:r>
        <w:rPr>
          <w:rFonts w:hint="cs"/>
          <w:sz w:val="28"/>
          <w:szCs w:val="28"/>
          <w:rtl/>
        </w:rPr>
        <w:t>כך למשל נגזרו על נאשמים בנסיבות דומות העונשים הבאים:</w:t>
      </w:r>
    </w:p>
    <w:p w14:paraId="099AB918" w14:textId="77777777" w:rsidR="005F3587" w:rsidRDefault="005F3587">
      <w:pPr>
        <w:spacing w:line="360" w:lineRule="auto"/>
        <w:ind w:left="720" w:hanging="720"/>
        <w:jc w:val="both"/>
        <w:outlineLvl w:val="0"/>
        <w:rPr>
          <w:b/>
          <w:bCs/>
          <w:sz w:val="28"/>
          <w:szCs w:val="28"/>
          <w:rtl/>
        </w:rPr>
      </w:pPr>
    </w:p>
    <w:p w14:paraId="0FBB9341" w14:textId="77777777" w:rsidR="005F3587" w:rsidRDefault="00F03842">
      <w:pPr>
        <w:pStyle w:val="ListParagraph"/>
        <w:spacing w:line="360" w:lineRule="auto"/>
        <w:ind w:left="1440" w:hanging="360"/>
        <w:jc w:val="both"/>
        <w:outlineLvl w:val="0"/>
        <w:rPr>
          <w:rFonts w:cs="David"/>
          <w:sz w:val="28"/>
          <w:szCs w:val="28"/>
          <w:rtl/>
        </w:rPr>
      </w:pPr>
      <w:r>
        <w:rPr>
          <w:rFonts w:cs="David" w:hint="cs"/>
          <w:sz w:val="28"/>
          <w:szCs w:val="28"/>
          <w:rtl/>
        </w:rPr>
        <w:t>א.</w:t>
      </w:r>
      <w:r>
        <w:rPr>
          <w:rFonts w:cs="David" w:hint="cs"/>
          <w:sz w:val="28"/>
          <w:szCs w:val="28"/>
          <w:rtl/>
        </w:rPr>
        <w:tab/>
      </w:r>
      <w:hyperlink r:id="rId25" w:history="1">
        <w:r w:rsidR="00207130" w:rsidRPr="00207130">
          <w:rPr>
            <w:rFonts w:cs="David"/>
            <w:color w:val="0000FF"/>
            <w:sz w:val="28"/>
            <w:szCs w:val="28"/>
            <w:u w:val="single"/>
            <w:rtl/>
          </w:rPr>
          <w:t xml:space="preserve">בת"פ (מח' - נצרת) 1090/07 </w:t>
        </w:r>
      </w:hyperlink>
      <w:r>
        <w:rPr>
          <w:rFonts w:cs="David" w:hint="cs"/>
          <w:sz w:val="28"/>
          <w:szCs w:val="28"/>
          <w:rtl/>
        </w:rPr>
        <w:t xml:space="preserve"> </w:t>
      </w:r>
      <w:r>
        <w:rPr>
          <w:rFonts w:cs="David" w:hint="cs"/>
          <w:b/>
          <w:bCs/>
          <w:sz w:val="28"/>
          <w:szCs w:val="28"/>
          <w:rtl/>
        </w:rPr>
        <w:t>מדינת ישראל נ' סאלח</w:t>
      </w:r>
      <w:r>
        <w:rPr>
          <w:rFonts w:cs="David" w:hint="cs"/>
          <w:sz w:val="28"/>
          <w:szCs w:val="28"/>
          <w:rtl/>
        </w:rPr>
        <w:t xml:space="preserve"> </w:t>
      </w:r>
      <w:r w:rsidR="00265138" w:rsidRPr="00265138">
        <w:rPr>
          <w:rFonts w:cs="David"/>
          <w:sz w:val="22"/>
          <w:rtl/>
        </w:rPr>
        <w:t xml:space="preserve">[פורסם בנבו] </w:t>
      </w:r>
      <w:r>
        <w:rPr>
          <w:rFonts w:cs="David" w:hint="cs"/>
          <w:sz w:val="28"/>
          <w:szCs w:val="28"/>
          <w:rtl/>
        </w:rPr>
        <w:t>(מיום 28.11.07) הורשע הנאשם בשתי העבירות שביצע נאשם 1 והצדדים הגיעו להסדר טיעון לפיו יושתו עליו 6 חודשי מאסר בפועל לריצוי בעבודות שירות, מע"ת וקנס בשך של 10,000 ש"ח. בימ"ש אימץ את הסדר הטיעון  בציינו כי מדובר בהסדר מקל אולם החליט שלא לסטות ממנו לאור ההודיה והעובדה שמדובר באדם שאורחות חייו נורמטיביים בדרך כלל.</w:t>
      </w:r>
    </w:p>
    <w:p w14:paraId="2A0CEDAC" w14:textId="77777777" w:rsidR="005F3587" w:rsidRDefault="00F03842">
      <w:pPr>
        <w:spacing w:line="360" w:lineRule="auto"/>
        <w:ind w:left="1440" w:hanging="360"/>
        <w:jc w:val="both"/>
        <w:outlineLvl w:val="0"/>
        <w:rPr>
          <w:sz w:val="28"/>
          <w:szCs w:val="28"/>
        </w:rPr>
      </w:pPr>
      <w:r>
        <w:rPr>
          <w:rFonts w:hint="cs"/>
          <w:sz w:val="28"/>
          <w:szCs w:val="28"/>
          <w:rtl/>
        </w:rPr>
        <w:t>ב.</w:t>
      </w:r>
      <w:r>
        <w:rPr>
          <w:rFonts w:hint="cs"/>
          <w:sz w:val="28"/>
          <w:szCs w:val="28"/>
          <w:rtl/>
        </w:rPr>
        <w:tab/>
        <w:t>ב</w:t>
      </w:r>
      <w:hyperlink r:id="rId26" w:history="1">
        <w:r w:rsidR="0056151B" w:rsidRPr="0056151B">
          <w:rPr>
            <w:rStyle w:val="Hyperlink"/>
            <w:sz w:val="28"/>
            <w:szCs w:val="28"/>
            <w:rtl/>
          </w:rPr>
          <w:t>ע"פ 5713/10</w:t>
        </w:r>
      </w:hyperlink>
      <w:r>
        <w:rPr>
          <w:rFonts w:hint="cs"/>
          <w:sz w:val="28"/>
          <w:szCs w:val="28"/>
          <w:rtl/>
        </w:rPr>
        <w:t xml:space="preserve"> </w:t>
      </w:r>
      <w:r>
        <w:rPr>
          <w:rFonts w:hint="cs"/>
          <w:b/>
          <w:bCs/>
          <w:sz w:val="28"/>
          <w:szCs w:val="28"/>
          <w:rtl/>
        </w:rPr>
        <w:t xml:space="preserve">אקרמן נ' מדינת ישראל, </w:t>
      </w:r>
      <w:r w:rsidR="00265138" w:rsidRPr="00265138">
        <w:rPr>
          <w:sz w:val="22"/>
          <w:rtl/>
        </w:rPr>
        <w:t xml:space="preserve">[פורסם בנבו] </w:t>
      </w:r>
      <w:r>
        <w:rPr>
          <w:rFonts w:hint="cs"/>
          <w:sz w:val="28"/>
          <w:szCs w:val="28"/>
          <w:rtl/>
        </w:rPr>
        <w:t>תק-על 2011(1) 3235 הורשע מערער שהחזיק לבנת חבלה  המכילה כ-500 גרם חומר נפץ מרסק ואצבע חבלה המכילה כ-100 גרם חומר נפץ מרסק. בימ"ש העליון הקל בעונש שנגזר עליו  והשית עליו 6 חודשי מאסר לריצוי בעבודות שירות לאור הודאתו, חרטתו ותיפקודו הנורמטיבי.</w:t>
      </w:r>
    </w:p>
    <w:p w14:paraId="4D0696C8" w14:textId="77777777" w:rsidR="005F3587" w:rsidRDefault="00F03842">
      <w:pPr>
        <w:pStyle w:val="ListParagraph"/>
        <w:spacing w:line="360" w:lineRule="auto"/>
        <w:ind w:left="1440" w:hanging="360"/>
        <w:jc w:val="both"/>
        <w:outlineLvl w:val="0"/>
        <w:rPr>
          <w:rFonts w:cs="David"/>
          <w:sz w:val="28"/>
          <w:szCs w:val="28"/>
          <w:rtl/>
        </w:rPr>
      </w:pPr>
      <w:r>
        <w:rPr>
          <w:rFonts w:cs="David" w:hint="cs"/>
          <w:sz w:val="28"/>
          <w:szCs w:val="28"/>
          <w:rtl/>
        </w:rPr>
        <w:t>ג.</w:t>
      </w:r>
      <w:r>
        <w:rPr>
          <w:rFonts w:cs="David" w:hint="cs"/>
          <w:sz w:val="28"/>
          <w:szCs w:val="28"/>
          <w:rtl/>
        </w:rPr>
        <w:tab/>
        <w:t>ב</w:t>
      </w:r>
      <w:hyperlink r:id="rId27" w:history="1">
        <w:r w:rsidR="0056151B" w:rsidRPr="0056151B">
          <w:rPr>
            <w:rStyle w:val="Hyperlink"/>
            <w:rFonts w:cs="David"/>
            <w:sz w:val="28"/>
            <w:szCs w:val="28"/>
            <w:rtl/>
          </w:rPr>
          <w:t>ע"פ (חיפה)  6059-02-12</w:t>
        </w:r>
      </w:hyperlink>
      <w:r>
        <w:rPr>
          <w:rFonts w:cs="David" w:hint="cs"/>
          <w:sz w:val="28"/>
          <w:szCs w:val="28"/>
          <w:rtl/>
        </w:rPr>
        <w:t xml:space="preserve"> </w:t>
      </w:r>
      <w:r>
        <w:rPr>
          <w:rFonts w:cs="David" w:hint="cs"/>
          <w:b/>
          <w:bCs/>
          <w:sz w:val="28"/>
          <w:szCs w:val="28"/>
          <w:rtl/>
        </w:rPr>
        <w:t xml:space="preserve">מדינת ישראל נ' גהגאה, </w:t>
      </w:r>
      <w:r w:rsidR="00265138" w:rsidRPr="00265138">
        <w:rPr>
          <w:rFonts w:cs="David"/>
          <w:sz w:val="22"/>
          <w:rtl/>
        </w:rPr>
        <w:t xml:space="preserve">[פורסם בנבו] </w:t>
      </w:r>
      <w:r>
        <w:rPr>
          <w:rFonts w:cs="David" w:hint="cs"/>
          <w:sz w:val="28"/>
          <w:szCs w:val="28"/>
          <w:rtl/>
        </w:rPr>
        <w:t xml:space="preserve">תק- מח 2012 (2) 2424 נדון עניינו של משיב שהחזיק ברכבו אקדח ושתי מחסניות ובימ"ש מחוזי גזר עליו עונש של 6 חודשי עבודות שירות. </w:t>
      </w:r>
    </w:p>
    <w:p w14:paraId="10D35272" w14:textId="77777777" w:rsidR="005F3587" w:rsidRDefault="00F03842">
      <w:pPr>
        <w:pStyle w:val="ListParagraph"/>
        <w:spacing w:line="360" w:lineRule="auto"/>
        <w:ind w:left="1440"/>
        <w:jc w:val="both"/>
        <w:outlineLvl w:val="0"/>
        <w:rPr>
          <w:rFonts w:cs="David"/>
          <w:sz w:val="28"/>
          <w:szCs w:val="28"/>
        </w:rPr>
      </w:pPr>
      <w:r>
        <w:rPr>
          <w:rFonts w:cs="David" w:hint="cs"/>
          <w:sz w:val="28"/>
          <w:szCs w:val="28"/>
          <w:rtl/>
        </w:rPr>
        <w:t>בימ"ש העליון לא התערב בעונש המאסר בפועל שנגזר עליו אלא רק החמיר בגובה הקנס לאור הודאתו, תסקיר חיובי, ועובדת היותו אדם נורמטיבי.</w:t>
      </w:r>
    </w:p>
    <w:p w14:paraId="160EA673" w14:textId="77777777" w:rsidR="005F3587" w:rsidRDefault="00F03842">
      <w:pPr>
        <w:pStyle w:val="ListParagraph"/>
        <w:spacing w:line="360" w:lineRule="auto"/>
        <w:ind w:left="1440" w:hanging="360"/>
        <w:jc w:val="both"/>
        <w:outlineLvl w:val="0"/>
        <w:rPr>
          <w:rFonts w:cs="David"/>
          <w:sz w:val="28"/>
          <w:szCs w:val="28"/>
          <w:rtl/>
        </w:rPr>
      </w:pPr>
      <w:r>
        <w:rPr>
          <w:rFonts w:cs="David" w:hint="cs"/>
          <w:sz w:val="28"/>
          <w:szCs w:val="28"/>
          <w:rtl/>
        </w:rPr>
        <w:t>ד.</w:t>
      </w:r>
      <w:r>
        <w:rPr>
          <w:rFonts w:cs="David" w:hint="cs"/>
          <w:sz w:val="28"/>
          <w:szCs w:val="28"/>
          <w:rtl/>
        </w:rPr>
        <w:tab/>
        <w:t>ב</w:t>
      </w:r>
      <w:r w:rsidRPr="00A40A9D">
        <w:rPr>
          <w:rFonts w:cs="David"/>
          <w:color w:val="000000"/>
          <w:sz w:val="28"/>
          <w:szCs w:val="28"/>
          <w:rtl/>
        </w:rPr>
        <w:t>ע"</w:t>
      </w:r>
      <w:hyperlink r:id="rId28" w:history="1">
        <w:r w:rsidR="0056151B" w:rsidRPr="0056151B">
          <w:rPr>
            <w:rStyle w:val="Hyperlink"/>
            <w:rFonts w:cs="David"/>
            <w:sz w:val="28"/>
            <w:szCs w:val="28"/>
            <w:rtl/>
          </w:rPr>
          <w:t>פ (נצרת) 1330/06</w:t>
        </w:r>
      </w:hyperlink>
      <w:r>
        <w:rPr>
          <w:rFonts w:cs="David" w:hint="cs"/>
          <w:sz w:val="28"/>
          <w:szCs w:val="28"/>
          <w:rtl/>
        </w:rPr>
        <w:t xml:space="preserve"> </w:t>
      </w:r>
      <w:r>
        <w:rPr>
          <w:rFonts w:cs="David" w:hint="cs"/>
          <w:b/>
          <w:bCs/>
          <w:sz w:val="28"/>
          <w:szCs w:val="28"/>
          <w:rtl/>
        </w:rPr>
        <w:t xml:space="preserve">ח'טיב נ' מדינת ישראל, </w:t>
      </w:r>
      <w:r w:rsidR="00265138" w:rsidRPr="00265138">
        <w:rPr>
          <w:rFonts w:cs="David"/>
          <w:sz w:val="22"/>
          <w:rtl/>
        </w:rPr>
        <w:t xml:space="preserve">[פורסם בנבו] </w:t>
      </w:r>
      <w:r>
        <w:rPr>
          <w:rFonts w:cs="David" w:hint="cs"/>
          <w:sz w:val="28"/>
          <w:szCs w:val="28"/>
          <w:rtl/>
        </w:rPr>
        <w:t>תק- מח 2007(1) 13169 דובר בנאשם במערער שהחזיק בביתו נשק ותחמשת ונידון ל- 6 חודשי עבודות שירות ו-מע"ת לנוכח הודייתו, היעדר עבר פלילי והעובדה שהחזיק את הנשק לצורך סיפוק תחושת ביטחון אישי מאחר ובכפרו שרר מתח בין חמולות שלעיתים הפך לעימותים עקובים מדם.</w:t>
      </w:r>
    </w:p>
    <w:p w14:paraId="4B1444BF" w14:textId="77777777" w:rsidR="005F3587" w:rsidRDefault="00F03842">
      <w:pPr>
        <w:spacing w:line="360" w:lineRule="auto"/>
        <w:ind w:left="1440" w:hanging="448"/>
        <w:jc w:val="both"/>
        <w:outlineLvl w:val="0"/>
        <w:rPr>
          <w:sz w:val="28"/>
          <w:szCs w:val="28"/>
          <w:rtl/>
        </w:rPr>
      </w:pPr>
      <w:r>
        <w:rPr>
          <w:rFonts w:hint="cs"/>
          <w:sz w:val="28"/>
          <w:szCs w:val="28"/>
          <w:rtl/>
        </w:rPr>
        <w:t>ה.</w:t>
      </w:r>
      <w:r>
        <w:rPr>
          <w:rFonts w:hint="cs"/>
          <w:sz w:val="28"/>
          <w:szCs w:val="28"/>
          <w:rtl/>
        </w:rPr>
        <w:tab/>
        <w:t>ב</w:t>
      </w:r>
      <w:hyperlink r:id="rId29" w:history="1">
        <w:r w:rsidR="0056151B" w:rsidRPr="0056151B">
          <w:rPr>
            <w:rStyle w:val="Hyperlink"/>
            <w:sz w:val="28"/>
            <w:szCs w:val="28"/>
            <w:rtl/>
          </w:rPr>
          <w:t>ע"פ (ת"א) 70614/06</w:t>
        </w:r>
      </w:hyperlink>
      <w:r>
        <w:rPr>
          <w:rFonts w:hint="cs"/>
          <w:sz w:val="28"/>
          <w:szCs w:val="28"/>
          <w:rtl/>
        </w:rPr>
        <w:t xml:space="preserve"> </w:t>
      </w:r>
      <w:r>
        <w:rPr>
          <w:rFonts w:hint="cs"/>
          <w:b/>
          <w:bCs/>
          <w:sz w:val="28"/>
          <w:szCs w:val="28"/>
          <w:rtl/>
        </w:rPr>
        <w:t xml:space="preserve">עזבה נ' מדינת ישראל, </w:t>
      </w:r>
      <w:r w:rsidR="00265138" w:rsidRPr="00265138">
        <w:rPr>
          <w:sz w:val="22"/>
          <w:rtl/>
        </w:rPr>
        <w:t xml:space="preserve">[פורסם בנבו] </w:t>
      </w:r>
      <w:r>
        <w:rPr>
          <w:rFonts w:hint="cs"/>
          <w:sz w:val="28"/>
          <w:szCs w:val="28"/>
          <w:rtl/>
        </w:rPr>
        <w:t>תק-מח 2007(2) 4964</w:t>
      </w:r>
      <w:r>
        <w:rPr>
          <w:rFonts w:hint="cs"/>
          <w:b/>
          <w:bCs/>
          <w:sz w:val="28"/>
          <w:szCs w:val="28"/>
          <w:rtl/>
        </w:rPr>
        <w:t xml:space="preserve"> </w:t>
      </w:r>
      <w:r>
        <w:rPr>
          <w:rFonts w:hint="cs"/>
          <w:sz w:val="28"/>
          <w:szCs w:val="28"/>
          <w:rtl/>
        </w:rPr>
        <w:t>נדון עניינו של מערער שהחזיק בביתו אקדח ובו מחסנית טעונה בשמונה כדורים וכן שלושה כדורים נוספים במקום אחר בבית. בימ"ש המחוזי הקל בעונשו והשית עליו 6 חודשי מאסר בפועל לריצוי בעבודות שירות לאור הנורמטיביות שלו ועברו הנקי.</w:t>
      </w:r>
    </w:p>
    <w:p w14:paraId="639E2B5A" w14:textId="77777777" w:rsidR="005F3587" w:rsidRDefault="005F3587">
      <w:pPr>
        <w:spacing w:line="360" w:lineRule="auto"/>
        <w:jc w:val="both"/>
        <w:rPr>
          <w:sz w:val="28"/>
          <w:szCs w:val="28"/>
          <w:rtl/>
        </w:rPr>
      </w:pPr>
    </w:p>
    <w:p w14:paraId="45F1FEFA" w14:textId="77777777" w:rsidR="005F3587" w:rsidRDefault="00F03842">
      <w:pPr>
        <w:spacing w:line="360" w:lineRule="auto"/>
        <w:ind w:left="992" w:hanging="567"/>
        <w:jc w:val="both"/>
        <w:rPr>
          <w:sz w:val="28"/>
          <w:szCs w:val="28"/>
          <w:rtl/>
        </w:rPr>
      </w:pPr>
      <w:r>
        <w:rPr>
          <w:rFonts w:hint="cs"/>
          <w:sz w:val="28"/>
          <w:szCs w:val="28"/>
          <w:rtl/>
        </w:rPr>
        <w:t xml:space="preserve">17.  על פי </w:t>
      </w:r>
      <w:hyperlink r:id="rId30" w:history="1">
        <w:r w:rsidR="00207130" w:rsidRPr="00207130">
          <w:rPr>
            <w:rStyle w:val="Hyperlink"/>
            <w:rFonts w:hint="eastAsia"/>
            <w:sz w:val="28"/>
            <w:szCs w:val="28"/>
            <w:rtl/>
          </w:rPr>
          <w:t>סעיף</w:t>
        </w:r>
        <w:r w:rsidR="00207130" w:rsidRPr="00207130">
          <w:rPr>
            <w:rStyle w:val="Hyperlink"/>
            <w:sz w:val="28"/>
            <w:szCs w:val="28"/>
            <w:rtl/>
          </w:rPr>
          <w:t xml:space="preserve"> 40 ט'</w:t>
        </w:r>
      </w:hyperlink>
      <w:r>
        <w:rPr>
          <w:rFonts w:hint="cs"/>
          <w:sz w:val="28"/>
          <w:szCs w:val="28"/>
          <w:rtl/>
        </w:rPr>
        <w:t xml:space="preserve"> לחוק במסגרת הנסיבות הקשורות בביצוע העבירה  יש לשקול את הנתונים הבאים:</w:t>
      </w:r>
    </w:p>
    <w:p w14:paraId="6FCF8A25" w14:textId="77777777" w:rsidR="005F3587" w:rsidRDefault="00F03842">
      <w:pPr>
        <w:pStyle w:val="ListParagraph"/>
        <w:numPr>
          <w:ilvl w:val="0"/>
          <w:numId w:val="2"/>
        </w:numPr>
        <w:spacing w:line="360" w:lineRule="auto"/>
        <w:jc w:val="both"/>
        <w:rPr>
          <w:rFonts w:cs="David"/>
          <w:sz w:val="28"/>
          <w:szCs w:val="28"/>
        </w:rPr>
      </w:pPr>
      <w:r>
        <w:rPr>
          <w:rFonts w:cs="David" w:hint="cs"/>
          <w:b/>
          <w:bCs/>
          <w:sz w:val="28"/>
          <w:szCs w:val="28"/>
          <w:rtl/>
        </w:rPr>
        <w:t>התכנון שקדם לביצוע העבירה</w:t>
      </w:r>
      <w:r>
        <w:rPr>
          <w:rFonts w:cs="David" w:hint="cs"/>
          <w:sz w:val="28"/>
          <w:szCs w:val="28"/>
          <w:rtl/>
        </w:rPr>
        <w:t xml:space="preserve">: במקרה דנן לא מדובר בעבירות שקדם להן תיכנון שכן הן נעברו בתגובה לסכנה מיידית שנשקפה לנאשמים ולאביהם. </w:t>
      </w:r>
    </w:p>
    <w:p w14:paraId="07F398AB" w14:textId="77777777" w:rsidR="005F3587" w:rsidRDefault="00F03842">
      <w:pPr>
        <w:pStyle w:val="ListParagraph"/>
        <w:numPr>
          <w:ilvl w:val="0"/>
          <w:numId w:val="2"/>
        </w:numPr>
        <w:spacing w:line="360" w:lineRule="auto"/>
        <w:jc w:val="both"/>
        <w:rPr>
          <w:rFonts w:cs="David"/>
          <w:sz w:val="28"/>
          <w:szCs w:val="28"/>
        </w:rPr>
      </w:pPr>
      <w:r>
        <w:rPr>
          <w:rFonts w:cs="David" w:hint="cs"/>
          <w:b/>
          <w:bCs/>
          <w:sz w:val="28"/>
          <w:szCs w:val="28"/>
          <w:rtl/>
        </w:rPr>
        <w:t>הנזק שנגרם מביצוע העבירה</w:t>
      </w:r>
      <w:r>
        <w:rPr>
          <w:rFonts w:cs="David" w:hint="cs"/>
          <w:sz w:val="28"/>
          <w:szCs w:val="28"/>
          <w:rtl/>
        </w:rPr>
        <w:t xml:space="preserve">: במקרה זה לא נגרם נזק לאדם או לרכוש כתוצאה מהיריות שנורו שכן הן נורו באוויר. </w:t>
      </w:r>
    </w:p>
    <w:p w14:paraId="273488E7" w14:textId="77777777" w:rsidR="005F3587" w:rsidRDefault="00F03842">
      <w:pPr>
        <w:pStyle w:val="ListParagraph"/>
        <w:numPr>
          <w:ilvl w:val="0"/>
          <w:numId w:val="2"/>
        </w:numPr>
        <w:spacing w:line="360" w:lineRule="auto"/>
        <w:jc w:val="both"/>
        <w:rPr>
          <w:rFonts w:cs="David"/>
          <w:sz w:val="28"/>
          <w:szCs w:val="28"/>
        </w:rPr>
      </w:pPr>
      <w:r>
        <w:rPr>
          <w:rFonts w:cs="David" w:hint="cs"/>
          <w:b/>
          <w:bCs/>
          <w:sz w:val="28"/>
          <w:szCs w:val="28"/>
          <w:rtl/>
        </w:rPr>
        <w:t>הסיבות שהביאו את הנאשמים לבצע את העבירה:</w:t>
      </w:r>
      <w:r>
        <w:rPr>
          <w:rFonts w:cs="David" w:hint="cs"/>
          <w:sz w:val="28"/>
          <w:szCs w:val="28"/>
          <w:rtl/>
        </w:rPr>
        <w:t xml:space="preserve"> כפי שעולה מהתסקירים הנאשמים ומשפחותיהם חשו מאוימים על רקע גירושי אחותם. חששם מבני משפחת בעלה התממש,</w:t>
      </w:r>
      <w:r>
        <w:rPr>
          <w:rFonts w:cs="David" w:hint="cs"/>
          <w:sz w:val="28"/>
          <w:szCs w:val="28"/>
        </w:rPr>
        <w:t xml:space="preserve"> </w:t>
      </w:r>
      <w:r>
        <w:rPr>
          <w:rFonts w:cs="David" w:hint="cs"/>
          <w:sz w:val="28"/>
          <w:szCs w:val="28"/>
          <w:rtl/>
        </w:rPr>
        <w:t>שכן בעת שהייתם יחד עם אביהם בעסק שבבעלותם נכנסו למקום אנשים רעולי פנים חמושים וירו בסמוך ללקוחות ששהו במקום, והאקדח שימש את הנאשמים להגנה עצמית.</w:t>
      </w:r>
    </w:p>
    <w:p w14:paraId="2574C2E9" w14:textId="77777777" w:rsidR="005F3587" w:rsidRDefault="005F3587">
      <w:pPr>
        <w:spacing w:line="360" w:lineRule="auto"/>
        <w:ind w:left="992"/>
        <w:jc w:val="both"/>
        <w:rPr>
          <w:sz w:val="28"/>
          <w:szCs w:val="28"/>
          <w:rtl/>
        </w:rPr>
      </w:pPr>
    </w:p>
    <w:p w14:paraId="0B6638F1" w14:textId="77777777" w:rsidR="005F3587" w:rsidRDefault="00F03842">
      <w:pPr>
        <w:spacing w:line="360" w:lineRule="auto"/>
        <w:ind w:left="992"/>
        <w:jc w:val="both"/>
        <w:rPr>
          <w:sz w:val="28"/>
          <w:szCs w:val="28"/>
          <w:rtl/>
        </w:rPr>
      </w:pPr>
      <w:r>
        <w:rPr>
          <w:rFonts w:hint="cs"/>
          <w:sz w:val="28"/>
          <w:szCs w:val="28"/>
          <w:rtl/>
        </w:rPr>
        <w:t xml:space="preserve">בפסיקה נקבע, כי בעת שגוזרים את הדין בעבירות  של החזקת נשק ראוי לברר תחילה מה מטרת החזקת הנשק (כב' השופט בך) קבע את הקטגוריות לפיהן יש לבחון זאת בהליך מעצר אך  הדברים יפים גם לענייננו. </w:t>
      </w:r>
    </w:p>
    <w:p w14:paraId="6BA33649" w14:textId="77777777" w:rsidR="005F3587" w:rsidRDefault="005F3587">
      <w:pPr>
        <w:spacing w:line="360" w:lineRule="auto"/>
        <w:ind w:left="992"/>
        <w:jc w:val="both"/>
        <w:rPr>
          <w:sz w:val="28"/>
          <w:szCs w:val="28"/>
          <w:rtl/>
        </w:rPr>
      </w:pPr>
    </w:p>
    <w:p w14:paraId="6F668C52" w14:textId="77777777" w:rsidR="005F3587" w:rsidRDefault="005F3587">
      <w:pPr>
        <w:spacing w:line="360" w:lineRule="auto"/>
        <w:ind w:left="992"/>
        <w:jc w:val="both"/>
        <w:rPr>
          <w:sz w:val="28"/>
          <w:szCs w:val="28"/>
          <w:rtl/>
        </w:rPr>
      </w:pPr>
    </w:p>
    <w:p w14:paraId="4C222518" w14:textId="77777777" w:rsidR="005F3587" w:rsidRDefault="00F03842">
      <w:pPr>
        <w:spacing w:line="360" w:lineRule="auto"/>
        <w:ind w:left="992"/>
        <w:jc w:val="both"/>
        <w:rPr>
          <w:sz w:val="28"/>
          <w:szCs w:val="28"/>
        </w:rPr>
      </w:pPr>
      <w:r>
        <w:rPr>
          <w:rFonts w:hint="cs"/>
          <w:sz w:val="28"/>
          <w:szCs w:val="28"/>
          <w:rtl/>
        </w:rPr>
        <w:t>ב</w:t>
      </w:r>
      <w:hyperlink r:id="rId31" w:history="1">
        <w:r w:rsidR="0056151B" w:rsidRPr="0056151B">
          <w:rPr>
            <w:rStyle w:val="Hyperlink"/>
            <w:sz w:val="28"/>
            <w:szCs w:val="28"/>
            <w:rtl/>
          </w:rPr>
          <w:t>ב"ש 625/82 אבו מוך נ' מדינת ישראל , פ"ד ל"ז</w:t>
        </w:r>
      </w:hyperlink>
      <w:r>
        <w:rPr>
          <w:rFonts w:hint="cs"/>
          <w:sz w:val="28"/>
          <w:szCs w:val="28"/>
          <w:rtl/>
        </w:rPr>
        <w:t>(3) 668, בעמ' 671 קבע כב' השופט בך כדלקמן:</w:t>
      </w:r>
    </w:p>
    <w:p w14:paraId="54F5D492" w14:textId="77777777" w:rsidR="005F3587" w:rsidRDefault="00F03842">
      <w:pPr>
        <w:tabs>
          <w:tab w:val="left" w:pos="576"/>
          <w:tab w:val="left" w:pos="1152"/>
          <w:tab w:val="left" w:pos="1296"/>
        </w:tabs>
        <w:autoSpaceDE w:val="0"/>
        <w:autoSpaceDN w:val="0"/>
        <w:adjustRightInd w:val="0"/>
        <w:spacing w:after="80" w:line="360" w:lineRule="auto"/>
        <w:ind w:left="2160" w:right="993" w:hanging="1008"/>
        <w:jc w:val="both"/>
        <w:rPr>
          <w:b/>
          <w:bCs/>
          <w:sz w:val="28"/>
          <w:szCs w:val="28"/>
          <w:rtl/>
        </w:rPr>
      </w:pPr>
      <w:r>
        <w:rPr>
          <w:rFonts w:hint="cs"/>
          <w:b/>
          <w:bCs/>
          <w:sz w:val="28"/>
          <w:szCs w:val="28"/>
          <w:rtl/>
        </w:rPr>
        <w:tab/>
      </w:r>
      <w:r>
        <w:rPr>
          <w:b/>
          <w:bCs/>
          <w:sz w:val="28"/>
          <w:szCs w:val="28"/>
        </w:rPr>
        <w:tab/>
        <w:t>"</w:t>
      </w:r>
      <w:r>
        <w:rPr>
          <w:rFonts w:hint="cs"/>
          <w:b/>
          <w:bCs/>
          <w:sz w:val="28"/>
          <w:szCs w:val="28"/>
          <w:rtl/>
        </w:rPr>
        <w:t>שותף אני לדעה, שהובעה במספר החלטות, עליהן הסתמכו באי-כוח העורר, לפיה אין העבירה של החזקת נשק ללא היתר כדין, כשלעצמה, מגיעה בכל הנסיבות לדרגת חומרה, המחייבת או המצדיקה את החזקתו של החשוד, או הנאשם בביצועה, במעצר. מאידך גיסא, אין ספק בלבי, כי רבים הם המקרים, בהם יש לייחס חומרה מרבית לעבירות מהסוג הנדון. אנסה לסווג את העבירות של החזקת נשק שלא כדין לקטיגוריות הבולטות שביניהן, אם כי ער אני לכך, שלא ניתן לכלול את כל האפשרויות במסגרת סיווג כזה</w:t>
      </w:r>
      <w:r>
        <w:rPr>
          <w:b/>
          <w:bCs/>
          <w:sz w:val="28"/>
          <w:szCs w:val="28"/>
        </w:rPr>
        <w:t>.</w:t>
      </w:r>
      <w:r>
        <w:rPr>
          <w:rFonts w:hint="cs"/>
          <w:b/>
          <w:bCs/>
          <w:sz w:val="28"/>
          <w:szCs w:val="28"/>
          <w:rtl/>
        </w:rPr>
        <w:t xml:space="preserve"> אלך מהכבד אל הקל מבחינת חומרתן של העבירות</w:t>
      </w:r>
      <w:r>
        <w:rPr>
          <w:b/>
          <w:bCs/>
          <w:sz w:val="28"/>
          <w:szCs w:val="28"/>
        </w:rPr>
        <w:t>:</w:t>
      </w:r>
      <w:r>
        <w:rPr>
          <w:rFonts w:hint="cs"/>
          <w:b/>
          <w:bCs/>
          <w:sz w:val="28"/>
          <w:szCs w:val="28"/>
          <w:rtl/>
        </w:rPr>
        <w:t xml:space="preserve">א) החזקת הנשק לשם ביצוע מעשים, המיועדים לפגוע בביטחון המדינה או בביטחון הציבור. </w:t>
      </w:r>
    </w:p>
    <w:p w14:paraId="75E8D07C" w14:textId="77777777" w:rsidR="005F3587" w:rsidRDefault="00F03842">
      <w:pPr>
        <w:tabs>
          <w:tab w:val="left" w:pos="576"/>
          <w:tab w:val="left" w:pos="1152"/>
          <w:tab w:val="left" w:pos="1296"/>
        </w:tabs>
        <w:autoSpaceDE w:val="0"/>
        <w:autoSpaceDN w:val="0"/>
        <w:adjustRightInd w:val="0"/>
        <w:spacing w:after="80" w:line="360" w:lineRule="auto"/>
        <w:ind w:left="2160" w:right="993" w:hanging="1008"/>
        <w:jc w:val="both"/>
        <w:rPr>
          <w:b/>
          <w:bCs/>
          <w:sz w:val="28"/>
          <w:szCs w:val="28"/>
          <w:rtl/>
        </w:rPr>
      </w:pPr>
      <w:r>
        <w:rPr>
          <w:rFonts w:hint="cs"/>
          <w:b/>
          <w:bCs/>
          <w:sz w:val="28"/>
          <w:szCs w:val="28"/>
          <w:rtl/>
        </w:rPr>
        <w:tab/>
      </w:r>
      <w:r>
        <w:rPr>
          <w:rFonts w:hint="cs"/>
          <w:b/>
          <w:bCs/>
          <w:sz w:val="28"/>
          <w:szCs w:val="28"/>
          <w:rtl/>
        </w:rPr>
        <w:tab/>
        <w:t>ב) החזקת הנשק לשם ביצוע עבירה פלילית ספציפית כגון רצח, שוד, התפרצות, תקיפה וכו</w:t>
      </w:r>
      <w:r>
        <w:rPr>
          <w:b/>
          <w:bCs/>
          <w:sz w:val="28"/>
          <w:szCs w:val="28"/>
        </w:rPr>
        <w:t>'</w:t>
      </w:r>
      <w:r>
        <w:rPr>
          <w:rFonts w:hint="cs"/>
          <w:b/>
          <w:bCs/>
          <w:sz w:val="28"/>
          <w:szCs w:val="28"/>
          <w:rtl/>
        </w:rPr>
        <w:t>.</w:t>
      </w:r>
    </w:p>
    <w:p w14:paraId="7F931104" w14:textId="77777777" w:rsidR="005F3587" w:rsidRDefault="00F03842">
      <w:pPr>
        <w:tabs>
          <w:tab w:val="left" w:pos="576"/>
          <w:tab w:val="left" w:pos="1152"/>
          <w:tab w:val="left" w:pos="1296"/>
        </w:tabs>
        <w:autoSpaceDE w:val="0"/>
        <w:autoSpaceDN w:val="0"/>
        <w:adjustRightInd w:val="0"/>
        <w:spacing w:after="80" w:line="360" w:lineRule="auto"/>
        <w:ind w:left="2160" w:right="993" w:hanging="1008"/>
        <w:jc w:val="both"/>
        <w:rPr>
          <w:b/>
          <w:bCs/>
          <w:sz w:val="28"/>
          <w:szCs w:val="28"/>
          <w:rtl/>
        </w:rPr>
      </w:pPr>
      <w:r>
        <w:rPr>
          <w:rFonts w:hint="cs"/>
          <w:b/>
          <w:bCs/>
          <w:sz w:val="28"/>
          <w:szCs w:val="28"/>
          <w:rtl/>
        </w:rPr>
        <w:tab/>
      </w:r>
      <w:r>
        <w:rPr>
          <w:rFonts w:hint="cs"/>
          <w:b/>
          <w:bCs/>
          <w:sz w:val="28"/>
          <w:szCs w:val="28"/>
          <w:rtl/>
        </w:rPr>
        <w:tab/>
        <w:t>ג) החזקת הנשק "לעת מצוא" כדי לאפשר פעילות פלילית אפשרית בעתיד</w:t>
      </w:r>
      <w:r>
        <w:rPr>
          <w:b/>
          <w:bCs/>
          <w:sz w:val="28"/>
          <w:szCs w:val="28"/>
        </w:rPr>
        <w:t>.</w:t>
      </w:r>
    </w:p>
    <w:p w14:paraId="4800BCEA" w14:textId="77777777" w:rsidR="005F3587" w:rsidRDefault="00F03842">
      <w:pPr>
        <w:tabs>
          <w:tab w:val="left" w:pos="576"/>
          <w:tab w:val="left" w:pos="1152"/>
          <w:tab w:val="left" w:pos="1296"/>
        </w:tabs>
        <w:autoSpaceDE w:val="0"/>
        <w:autoSpaceDN w:val="0"/>
        <w:adjustRightInd w:val="0"/>
        <w:spacing w:after="80" w:line="360" w:lineRule="auto"/>
        <w:ind w:left="2160" w:right="993" w:hanging="1008"/>
        <w:jc w:val="both"/>
        <w:rPr>
          <w:b/>
          <w:bCs/>
          <w:sz w:val="28"/>
          <w:szCs w:val="28"/>
          <w:rtl/>
        </w:rPr>
      </w:pPr>
      <w:r>
        <w:rPr>
          <w:rFonts w:hint="cs"/>
          <w:b/>
          <w:bCs/>
          <w:sz w:val="28"/>
          <w:szCs w:val="28"/>
          <w:rtl/>
        </w:rPr>
        <w:tab/>
      </w:r>
      <w:r>
        <w:rPr>
          <w:rFonts w:hint="cs"/>
          <w:b/>
          <w:bCs/>
          <w:sz w:val="28"/>
          <w:szCs w:val="28"/>
          <w:rtl/>
        </w:rPr>
        <w:tab/>
        <w:t xml:space="preserve">ד) צבירת נשק על-ידי קבוצה פוליטית, עדתית או אידיאולוגית, במטרה לחזק בדרך זו את כוחה כנגד קבוצות יריבות. </w:t>
      </w:r>
    </w:p>
    <w:p w14:paraId="5F5C3D97" w14:textId="77777777" w:rsidR="005F3587" w:rsidRDefault="00F03842">
      <w:pPr>
        <w:tabs>
          <w:tab w:val="left" w:pos="576"/>
          <w:tab w:val="left" w:pos="1152"/>
          <w:tab w:val="left" w:pos="1296"/>
        </w:tabs>
        <w:autoSpaceDE w:val="0"/>
        <w:autoSpaceDN w:val="0"/>
        <w:adjustRightInd w:val="0"/>
        <w:spacing w:after="80" w:line="360" w:lineRule="auto"/>
        <w:ind w:left="2160" w:right="993" w:hanging="1008"/>
        <w:jc w:val="both"/>
        <w:rPr>
          <w:b/>
          <w:bCs/>
          <w:sz w:val="28"/>
          <w:szCs w:val="28"/>
        </w:rPr>
      </w:pPr>
      <w:r>
        <w:rPr>
          <w:rFonts w:hint="cs"/>
          <w:b/>
          <w:bCs/>
          <w:sz w:val="28"/>
          <w:szCs w:val="28"/>
          <w:rtl/>
        </w:rPr>
        <w:tab/>
      </w:r>
      <w:r>
        <w:rPr>
          <w:rFonts w:hint="cs"/>
          <w:b/>
          <w:bCs/>
          <w:sz w:val="28"/>
          <w:szCs w:val="28"/>
          <w:rtl/>
        </w:rPr>
        <w:tab/>
        <w:t>ה) החזקת הנשק לצורך הגנה עצמית או לצורך הגנה על הציבור</w:t>
      </w:r>
      <w:r>
        <w:rPr>
          <w:b/>
          <w:bCs/>
          <w:sz w:val="28"/>
          <w:szCs w:val="28"/>
        </w:rPr>
        <w:t>,</w:t>
      </w:r>
      <w:r>
        <w:rPr>
          <w:rFonts w:hint="cs"/>
          <w:b/>
          <w:bCs/>
          <w:sz w:val="28"/>
          <w:szCs w:val="28"/>
          <w:rtl/>
        </w:rPr>
        <w:t xml:space="preserve"> המשפחה או ה"חמולה", אליהם הנאשם משתייך</w:t>
      </w:r>
      <w:r>
        <w:rPr>
          <w:b/>
          <w:bCs/>
          <w:sz w:val="28"/>
          <w:szCs w:val="28"/>
        </w:rPr>
        <w:t>.</w:t>
      </w:r>
      <w:r>
        <w:rPr>
          <w:rFonts w:hint="cs"/>
          <w:b/>
          <w:bCs/>
          <w:sz w:val="28"/>
          <w:szCs w:val="28"/>
          <w:rtl/>
        </w:rPr>
        <w:t>ו) החזקת כלי הנשק לצורך ספורט, ציד או שעשוע</w:t>
      </w:r>
      <w:r>
        <w:rPr>
          <w:b/>
          <w:bCs/>
          <w:sz w:val="28"/>
          <w:szCs w:val="28"/>
        </w:rPr>
        <w:t>.</w:t>
      </w:r>
      <w:r>
        <w:rPr>
          <w:rFonts w:hint="cs"/>
          <w:b/>
          <w:bCs/>
          <w:sz w:val="28"/>
          <w:szCs w:val="28"/>
          <w:rtl/>
        </w:rPr>
        <w:t>ז) החזקת כלי נשק על-ידי הנאשם בתור מזכרת או כאספן של כלים כאלה</w:t>
      </w:r>
      <w:r>
        <w:rPr>
          <w:b/>
          <w:bCs/>
          <w:sz w:val="28"/>
          <w:szCs w:val="28"/>
        </w:rPr>
        <w:t>.</w:t>
      </w:r>
      <w:r>
        <w:rPr>
          <w:rFonts w:hint="cs"/>
          <w:b/>
          <w:bCs/>
          <w:sz w:val="28"/>
          <w:szCs w:val="28"/>
          <w:rtl/>
        </w:rPr>
        <w:t>ח) החזקת כלי הנשק, שפג תוקף רישיונו, והנאשם נמנע מלחדש את הרישיון בעתו</w:t>
      </w:r>
      <w:r>
        <w:rPr>
          <w:b/>
          <w:bCs/>
          <w:sz w:val="28"/>
          <w:szCs w:val="28"/>
        </w:rPr>
        <w:t>.</w:t>
      </w:r>
    </w:p>
    <w:p w14:paraId="70B3A8DD" w14:textId="77777777" w:rsidR="005F3587" w:rsidRDefault="005F3587">
      <w:pPr>
        <w:spacing w:line="360" w:lineRule="auto"/>
        <w:jc w:val="both"/>
        <w:rPr>
          <w:b/>
          <w:bCs/>
          <w:sz w:val="28"/>
          <w:szCs w:val="28"/>
          <w:rtl/>
        </w:rPr>
      </w:pPr>
    </w:p>
    <w:p w14:paraId="37620C6A" w14:textId="77777777" w:rsidR="005F3587" w:rsidRDefault="00F03842">
      <w:pPr>
        <w:pStyle w:val="ListParagraph"/>
        <w:spacing w:line="360" w:lineRule="auto"/>
        <w:ind w:left="1134" w:hanging="414"/>
        <w:jc w:val="both"/>
        <w:rPr>
          <w:rFonts w:cs="David"/>
          <w:sz w:val="28"/>
          <w:szCs w:val="28"/>
          <w:rtl/>
        </w:rPr>
      </w:pPr>
      <w:r>
        <w:rPr>
          <w:rFonts w:cs="David" w:hint="cs"/>
          <w:sz w:val="28"/>
          <w:szCs w:val="28"/>
          <w:rtl/>
        </w:rPr>
        <w:t>18.</w:t>
      </w:r>
      <w:r>
        <w:rPr>
          <w:rFonts w:cs="David" w:hint="cs"/>
          <w:sz w:val="28"/>
          <w:szCs w:val="28"/>
          <w:rtl/>
        </w:rPr>
        <w:tab/>
        <w:t xml:space="preserve">המקרה שבפנינו נכלל בקטגוריה ה' שכן הנאשמים החזיקו באקדח מחשש לשלומם ולשלום בני משפחתם והם חשו מאוימים. </w:t>
      </w:r>
    </w:p>
    <w:p w14:paraId="4783082A" w14:textId="77777777" w:rsidR="005F3587" w:rsidRDefault="00F03842">
      <w:pPr>
        <w:pStyle w:val="ListParagraph"/>
        <w:spacing w:line="360" w:lineRule="auto"/>
        <w:ind w:left="1134"/>
        <w:jc w:val="both"/>
        <w:rPr>
          <w:rFonts w:cs="David"/>
          <w:sz w:val="28"/>
          <w:szCs w:val="28"/>
        </w:rPr>
      </w:pPr>
      <w:r>
        <w:rPr>
          <w:rFonts w:cs="David" w:hint="cs"/>
          <w:sz w:val="28"/>
          <w:szCs w:val="28"/>
          <w:rtl/>
        </w:rPr>
        <w:t xml:space="preserve">לאחר שהיחסים בין משפחת הנאשמים למשפחת גיסם היו טעונים נחתם ביניהם הסכם סולחה שגרם למשטרת ישראל ולממונה על עבודות שירות לקבוע שהם כשירים לבצע עבודות שירות. </w:t>
      </w:r>
    </w:p>
    <w:p w14:paraId="08DCFBF1" w14:textId="77777777" w:rsidR="005F3587" w:rsidRDefault="005F3587">
      <w:pPr>
        <w:pStyle w:val="ListParagraph"/>
        <w:spacing w:line="360" w:lineRule="auto"/>
        <w:jc w:val="both"/>
        <w:rPr>
          <w:rFonts w:cs="David"/>
          <w:sz w:val="28"/>
          <w:szCs w:val="28"/>
        </w:rPr>
      </w:pPr>
    </w:p>
    <w:p w14:paraId="20BA075F" w14:textId="77777777" w:rsidR="005F3587" w:rsidRDefault="00F03842">
      <w:pPr>
        <w:spacing w:line="360" w:lineRule="auto"/>
        <w:ind w:left="1134" w:hanging="426"/>
        <w:jc w:val="both"/>
        <w:rPr>
          <w:sz w:val="28"/>
          <w:szCs w:val="28"/>
        </w:rPr>
      </w:pPr>
      <w:r>
        <w:rPr>
          <w:rFonts w:hint="cs"/>
          <w:sz w:val="28"/>
          <w:szCs w:val="28"/>
          <w:rtl/>
        </w:rPr>
        <w:t>19.</w:t>
      </w:r>
      <w:r>
        <w:rPr>
          <w:rFonts w:hint="cs"/>
          <w:sz w:val="28"/>
          <w:szCs w:val="28"/>
          <w:rtl/>
        </w:rPr>
        <w:tab/>
        <w:t xml:space="preserve">לאור הנסיבות החריגות שכרוכות בהחזקת הנשק והירי ע"י נאשם 1 מתחם העונש ההולם הינו מעונש מאסר לריצוי בעבודות שירות ועד 18 חודשי מאסר בפועל ולא קיימים שיקולים אשר מצדיקים סטייה מהמתחם לקולא ולחומרה. </w:t>
      </w:r>
    </w:p>
    <w:p w14:paraId="1BB9918B" w14:textId="77777777" w:rsidR="005F3587" w:rsidRDefault="005F3587">
      <w:pPr>
        <w:pStyle w:val="ListParagraph"/>
        <w:jc w:val="both"/>
        <w:rPr>
          <w:rFonts w:cs="David"/>
          <w:sz w:val="28"/>
          <w:szCs w:val="28"/>
          <w:rtl/>
        </w:rPr>
      </w:pPr>
    </w:p>
    <w:p w14:paraId="391146A8" w14:textId="77777777" w:rsidR="005F3587" w:rsidRDefault="005F3587">
      <w:pPr>
        <w:pStyle w:val="ListParagraph"/>
        <w:jc w:val="both"/>
        <w:rPr>
          <w:rFonts w:cs="David"/>
          <w:sz w:val="28"/>
          <w:szCs w:val="28"/>
          <w:rtl/>
        </w:rPr>
      </w:pPr>
    </w:p>
    <w:p w14:paraId="66D0679B" w14:textId="77777777" w:rsidR="005F3587" w:rsidRDefault="005F3587">
      <w:pPr>
        <w:pStyle w:val="ListParagraph"/>
        <w:jc w:val="both"/>
        <w:rPr>
          <w:rFonts w:cs="David"/>
          <w:sz w:val="28"/>
          <w:szCs w:val="28"/>
        </w:rPr>
      </w:pPr>
    </w:p>
    <w:p w14:paraId="64239793" w14:textId="77777777" w:rsidR="005F3587" w:rsidRDefault="00F03842">
      <w:pPr>
        <w:pStyle w:val="ListParagraph"/>
        <w:spacing w:line="360" w:lineRule="auto"/>
        <w:ind w:left="1134" w:hanging="414"/>
        <w:jc w:val="both"/>
        <w:rPr>
          <w:rFonts w:cs="David"/>
          <w:sz w:val="28"/>
          <w:szCs w:val="28"/>
          <w:rtl/>
        </w:rPr>
      </w:pPr>
      <w:r>
        <w:rPr>
          <w:rFonts w:cs="David" w:hint="cs"/>
          <w:sz w:val="28"/>
          <w:szCs w:val="28"/>
          <w:rtl/>
        </w:rPr>
        <w:t>20.</w:t>
      </w:r>
      <w:r>
        <w:rPr>
          <w:rFonts w:cs="David" w:hint="cs"/>
          <w:sz w:val="28"/>
          <w:szCs w:val="28"/>
          <w:rtl/>
        </w:rPr>
        <w:tab/>
        <w:t xml:space="preserve">באשר לענישה במסגרת המתחם יש להתחשב בנסיבות שאינן קשורות בביצוע העבירה כדלקמן: </w:t>
      </w:r>
    </w:p>
    <w:p w14:paraId="447ABC51" w14:textId="77777777" w:rsidR="005F3587" w:rsidRDefault="005F3587">
      <w:pPr>
        <w:pStyle w:val="ListParagraph"/>
        <w:jc w:val="both"/>
        <w:rPr>
          <w:rFonts w:cs="David"/>
          <w:sz w:val="28"/>
          <w:szCs w:val="28"/>
        </w:rPr>
      </w:pPr>
    </w:p>
    <w:p w14:paraId="33974811" w14:textId="77777777" w:rsidR="005F3587" w:rsidRDefault="00F03842">
      <w:pPr>
        <w:pStyle w:val="ListParagraph"/>
        <w:spacing w:line="360" w:lineRule="auto"/>
        <w:ind w:left="1440" w:hanging="360"/>
        <w:jc w:val="both"/>
        <w:rPr>
          <w:rFonts w:cs="David"/>
          <w:sz w:val="28"/>
          <w:szCs w:val="28"/>
          <w:rtl/>
        </w:rPr>
      </w:pPr>
      <w:r>
        <w:rPr>
          <w:rFonts w:cs="David" w:hint="cs"/>
          <w:sz w:val="28"/>
          <w:szCs w:val="28"/>
          <w:rtl/>
        </w:rPr>
        <w:t>א.</w:t>
      </w:r>
      <w:r>
        <w:rPr>
          <w:rFonts w:cs="David" w:hint="cs"/>
          <w:sz w:val="28"/>
          <w:szCs w:val="28"/>
          <w:rtl/>
        </w:rPr>
        <w:tab/>
        <w:t>הפגיעה של העונש בנאשמים</w:t>
      </w:r>
      <w:r>
        <w:rPr>
          <w:rFonts w:cs="David" w:hint="cs"/>
          <w:b/>
          <w:bCs/>
          <w:sz w:val="28"/>
          <w:szCs w:val="28"/>
          <w:rtl/>
        </w:rPr>
        <w:t xml:space="preserve">: </w:t>
      </w:r>
      <w:r>
        <w:rPr>
          <w:rFonts w:cs="David" w:hint="cs"/>
          <w:sz w:val="28"/>
          <w:szCs w:val="28"/>
          <w:rtl/>
        </w:rPr>
        <w:t>עונש</w:t>
      </w:r>
      <w:r>
        <w:rPr>
          <w:rFonts w:cs="David" w:hint="cs"/>
          <w:b/>
          <w:bCs/>
          <w:sz w:val="28"/>
          <w:szCs w:val="28"/>
          <w:rtl/>
        </w:rPr>
        <w:t xml:space="preserve"> </w:t>
      </w:r>
      <w:r>
        <w:rPr>
          <w:rFonts w:cs="David" w:hint="cs"/>
          <w:sz w:val="28"/>
          <w:szCs w:val="28"/>
          <w:rtl/>
        </w:rPr>
        <w:t xml:space="preserve">מאסר בפועל לריצוי מאחורי סורג ובריח יפגע בנאשמים, שמנהלים אורח חיים נורמטיבי  ועובדים באופן קבוע  ורציף לפרנסת משפחתם. </w:t>
      </w:r>
    </w:p>
    <w:p w14:paraId="4DB48972" w14:textId="77777777" w:rsidR="005F3587" w:rsidRDefault="00F03842">
      <w:pPr>
        <w:pStyle w:val="ListParagraph"/>
        <w:spacing w:line="360" w:lineRule="auto"/>
        <w:ind w:left="1440" w:hanging="360"/>
        <w:jc w:val="both"/>
        <w:rPr>
          <w:rFonts w:cs="David"/>
          <w:sz w:val="28"/>
          <w:szCs w:val="28"/>
        </w:rPr>
      </w:pPr>
      <w:r>
        <w:rPr>
          <w:rFonts w:cs="David" w:hint="cs"/>
          <w:sz w:val="28"/>
          <w:szCs w:val="28"/>
          <w:rtl/>
        </w:rPr>
        <w:t>ב.</w:t>
      </w:r>
      <w:r>
        <w:rPr>
          <w:rFonts w:cs="David" w:hint="cs"/>
          <w:sz w:val="28"/>
          <w:szCs w:val="28"/>
          <w:rtl/>
        </w:rPr>
        <w:tab/>
        <w:t xml:space="preserve">הפגיעה של העונש במשפחתם של הנאשמים: כפי שעולה מהתסקירים הנאשמים, ובעיקר נאשם 1, נושאים בנטל פרנסת המשפחה והאחות. שליחתם למאסר מאחורי סורג ובריח תפגע  במשפחתם, ובמיוחד בנאשם 1, שסמוכים על שולחנו שני ילדיו הקטינים. </w:t>
      </w:r>
    </w:p>
    <w:p w14:paraId="2209A904" w14:textId="77777777" w:rsidR="005F3587" w:rsidRDefault="00F03842">
      <w:pPr>
        <w:pStyle w:val="ListParagraph"/>
        <w:spacing w:line="360" w:lineRule="auto"/>
        <w:ind w:left="1440" w:hanging="360"/>
        <w:jc w:val="both"/>
        <w:rPr>
          <w:rFonts w:cs="David"/>
          <w:sz w:val="28"/>
          <w:szCs w:val="28"/>
        </w:rPr>
      </w:pPr>
      <w:r>
        <w:rPr>
          <w:rFonts w:cs="David" w:hint="cs"/>
          <w:sz w:val="28"/>
          <w:szCs w:val="28"/>
          <w:rtl/>
        </w:rPr>
        <w:t>ג.</w:t>
      </w:r>
      <w:r>
        <w:rPr>
          <w:rFonts w:cs="David" w:hint="cs"/>
          <w:sz w:val="28"/>
          <w:szCs w:val="28"/>
          <w:rtl/>
        </w:rPr>
        <w:tab/>
        <w:t xml:space="preserve">הנאשמים  נטלו אחריות על מעשיהם, הודו מיד בחקירותיהם במשטרה ובביהמ"ש, הביעו חרטה עליהם וחסכו מזמנם של העדים של ביהמ"ש. </w:t>
      </w:r>
    </w:p>
    <w:p w14:paraId="67A5C6AF" w14:textId="77777777" w:rsidR="005F3587" w:rsidRDefault="00F03842">
      <w:pPr>
        <w:pStyle w:val="ListParagraph"/>
        <w:spacing w:line="360" w:lineRule="auto"/>
        <w:ind w:left="1440" w:hanging="360"/>
        <w:jc w:val="both"/>
        <w:rPr>
          <w:rFonts w:cs="David"/>
          <w:sz w:val="28"/>
          <w:szCs w:val="28"/>
          <w:rtl/>
        </w:rPr>
      </w:pPr>
      <w:r>
        <w:rPr>
          <w:rFonts w:cs="David" w:hint="cs"/>
          <w:sz w:val="28"/>
          <w:szCs w:val="28"/>
          <w:rtl/>
        </w:rPr>
        <w:t>ד.</w:t>
      </w:r>
      <w:r>
        <w:rPr>
          <w:rFonts w:cs="David" w:hint="cs"/>
          <w:sz w:val="28"/>
          <w:szCs w:val="28"/>
          <w:rtl/>
        </w:rPr>
        <w:tab/>
        <w:t>הנאשמים עשו מאמצים לתקן את תוצאות העבירות כאשר נאשם 1 מכר חלקו בעסק שבו בוצעו העבירות ופנה לעבוד כשכיר במקום עבודה אחר וכך גם נאשם 2. שניהם השתלבו במקומות העבודה החדשים והם מתפקדים לשביעות רצון מעסיקיהם.</w:t>
      </w:r>
    </w:p>
    <w:p w14:paraId="5DC4054F" w14:textId="77777777" w:rsidR="005F3587" w:rsidRDefault="005F3587">
      <w:pPr>
        <w:pStyle w:val="ListParagraph"/>
        <w:jc w:val="both"/>
        <w:rPr>
          <w:rFonts w:cs="David"/>
          <w:sz w:val="28"/>
          <w:szCs w:val="28"/>
        </w:rPr>
      </w:pPr>
    </w:p>
    <w:p w14:paraId="440C8A74" w14:textId="77777777" w:rsidR="005F3587" w:rsidRDefault="00F03842">
      <w:pPr>
        <w:pStyle w:val="ListParagraph"/>
        <w:spacing w:line="360" w:lineRule="auto"/>
        <w:ind w:left="1440" w:hanging="360"/>
        <w:jc w:val="both"/>
        <w:rPr>
          <w:rFonts w:cs="David"/>
          <w:sz w:val="28"/>
          <w:szCs w:val="28"/>
          <w:rtl/>
        </w:rPr>
      </w:pPr>
      <w:r>
        <w:rPr>
          <w:rFonts w:cs="David" w:hint="cs"/>
          <w:sz w:val="28"/>
          <w:szCs w:val="28"/>
          <w:rtl/>
        </w:rPr>
        <w:t>ה.</w:t>
      </w:r>
      <w:r>
        <w:rPr>
          <w:rFonts w:cs="David" w:hint="cs"/>
          <w:sz w:val="28"/>
          <w:szCs w:val="28"/>
          <w:rtl/>
        </w:rPr>
        <w:tab/>
        <w:t>עברו הפלילי של נאשם 1 מתמצה בהרשעה בעבירה של דרישה באיומים של רכוש משנת 2008, בגינה הוא ריצה 6 חודשי מאסר בפועל. עברו הפלילי של נאשם 2 מכביד יותר משל אחיו כאשר הוא הורשע בשנת 2011 בעבירות סמים בגינן הוא ריצה, בין היתר, 8 חודשי מאסר בפועל, וכן הורשע בשנת  2011 בעבירה של החזקת אגרופן או סכין למטרה לא כשרה בגינה נידון, בין היתר, למאסר מותנה.</w:t>
      </w:r>
    </w:p>
    <w:p w14:paraId="30286D6B" w14:textId="77777777" w:rsidR="005F3587" w:rsidRDefault="005F3587">
      <w:pPr>
        <w:pStyle w:val="ListParagraph"/>
        <w:spacing w:line="360" w:lineRule="auto"/>
        <w:jc w:val="both"/>
        <w:rPr>
          <w:rFonts w:cs="David"/>
          <w:sz w:val="28"/>
          <w:szCs w:val="28"/>
          <w:rtl/>
        </w:rPr>
      </w:pPr>
    </w:p>
    <w:p w14:paraId="19FA5D38" w14:textId="77777777" w:rsidR="005F3587" w:rsidRDefault="005F3587">
      <w:pPr>
        <w:pStyle w:val="ListParagraph"/>
        <w:spacing w:line="360" w:lineRule="auto"/>
        <w:jc w:val="both"/>
        <w:rPr>
          <w:rFonts w:cs="David"/>
          <w:sz w:val="28"/>
          <w:szCs w:val="28"/>
          <w:rtl/>
        </w:rPr>
      </w:pPr>
    </w:p>
    <w:p w14:paraId="34D6DB6D" w14:textId="77777777" w:rsidR="005F3587" w:rsidRDefault="00F03842">
      <w:pPr>
        <w:pStyle w:val="ListParagraph"/>
        <w:spacing w:line="360" w:lineRule="auto"/>
        <w:ind w:left="1440" w:hanging="720"/>
        <w:jc w:val="both"/>
        <w:rPr>
          <w:rFonts w:cs="David"/>
          <w:sz w:val="28"/>
          <w:szCs w:val="28"/>
          <w:rtl/>
        </w:rPr>
      </w:pPr>
      <w:r>
        <w:rPr>
          <w:rFonts w:cs="David" w:hint="cs"/>
          <w:sz w:val="28"/>
          <w:szCs w:val="28"/>
          <w:rtl/>
        </w:rPr>
        <w:t>21.</w:t>
      </w:r>
      <w:r>
        <w:rPr>
          <w:rFonts w:cs="David" w:hint="cs"/>
          <w:sz w:val="28"/>
          <w:szCs w:val="28"/>
          <w:rtl/>
        </w:rPr>
        <w:tab/>
        <w:t>כאשר אני מביא בחשבון את מתחם העונש ההולם במקרה חריג זה, את הנסיבות שאינן קשורות בביצוע העבירות כמפורט לעיל, את הצורך  בהרתעה אישית של הנאשמים והרתעת הרבים (</w:t>
      </w:r>
      <w:hyperlink r:id="rId32" w:history="1">
        <w:r w:rsidR="00207130" w:rsidRPr="00207130">
          <w:rPr>
            <w:rFonts w:cs="David"/>
            <w:color w:val="0000FF"/>
            <w:sz w:val="28"/>
            <w:szCs w:val="28"/>
            <w:u w:val="single"/>
            <w:rtl/>
          </w:rPr>
          <w:t>סעיפים 40 ו'-ז'</w:t>
        </w:r>
      </w:hyperlink>
      <w:r>
        <w:rPr>
          <w:rFonts w:cs="David" w:hint="cs"/>
          <w:sz w:val="28"/>
          <w:szCs w:val="28"/>
          <w:rtl/>
        </w:rPr>
        <w:t xml:space="preserve"> לחוק) מחד, ומאידך, את עברם הפלילי של הנאשמים, ואת נסיבותיהם האישיות והמשפחתיות כמתואר בתסקירי שרות המבחן. אני מקבל את המלצת שרות המבחן להטיל על כל אחד מהם מאסר שניתן לריצוי בעבודות שירות. </w:t>
      </w:r>
    </w:p>
    <w:p w14:paraId="31ACB346" w14:textId="77777777" w:rsidR="005F3587" w:rsidRDefault="00F03842">
      <w:pPr>
        <w:pStyle w:val="ListParagraph"/>
        <w:spacing w:line="360" w:lineRule="auto"/>
        <w:ind w:left="1440" w:hanging="720"/>
        <w:jc w:val="both"/>
        <w:rPr>
          <w:rFonts w:cs="David"/>
          <w:sz w:val="28"/>
          <w:szCs w:val="28"/>
          <w:rtl/>
        </w:rPr>
      </w:pPr>
      <w:r>
        <w:rPr>
          <w:rFonts w:cs="David" w:hint="cs"/>
          <w:sz w:val="28"/>
          <w:szCs w:val="28"/>
          <w:rtl/>
        </w:rPr>
        <w:tab/>
        <w:t xml:space="preserve">אינני מוצא לנכון לאבחן בין הנאשמים לאור המניע של הגנה על עצמם על אביהם העבירות ומאחר ועברו הפלילי של נאשם 2 חמור יותר משל נאשם 1, שהורשע גם בירי מהאקדח בשטח בנוי. </w:t>
      </w:r>
    </w:p>
    <w:p w14:paraId="496653A1" w14:textId="77777777" w:rsidR="005F3587" w:rsidRDefault="005F3587">
      <w:pPr>
        <w:spacing w:line="360" w:lineRule="auto"/>
        <w:jc w:val="both"/>
        <w:rPr>
          <w:sz w:val="28"/>
          <w:szCs w:val="28"/>
        </w:rPr>
      </w:pPr>
    </w:p>
    <w:p w14:paraId="75A32119" w14:textId="77777777" w:rsidR="005F3587" w:rsidRDefault="00F03842">
      <w:pPr>
        <w:spacing w:line="360" w:lineRule="auto"/>
        <w:ind w:left="1440" w:hanging="720"/>
        <w:jc w:val="both"/>
        <w:rPr>
          <w:sz w:val="28"/>
          <w:szCs w:val="28"/>
          <w:rtl/>
        </w:rPr>
      </w:pPr>
      <w:r>
        <w:rPr>
          <w:rFonts w:hint="cs"/>
          <w:sz w:val="28"/>
          <w:szCs w:val="28"/>
          <w:rtl/>
        </w:rPr>
        <w:t>22.</w:t>
      </w:r>
      <w:r>
        <w:rPr>
          <w:rFonts w:hint="cs"/>
          <w:sz w:val="28"/>
          <w:szCs w:val="28"/>
          <w:rtl/>
        </w:rPr>
        <w:tab/>
        <w:t xml:space="preserve">לאור כל האמור לעיל, אני גוזר על הנאשם 1 שישה חודשי מאסר שירוצו בעבודות שירות בישיבת "תומכי תמימים" בשכונת חב"ד בלוד החל מיום 6.6.13. </w:t>
      </w:r>
    </w:p>
    <w:p w14:paraId="0E39C594" w14:textId="77777777" w:rsidR="005F3587" w:rsidRDefault="00F03842">
      <w:pPr>
        <w:spacing w:line="360" w:lineRule="auto"/>
        <w:ind w:left="1440"/>
        <w:jc w:val="both"/>
        <w:rPr>
          <w:sz w:val="28"/>
          <w:szCs w:val="28"/>
          <w:rtl/>
        </w:rPr>
      </w:pPr>
      <w:r>
        <w:rPr>
          <w:rFonts w:hint="cs"/>
          <w:sz w:val="28"/>
          <w:szCs w:val="28"/>
          <w:rtl/>
        </w:rPr>
        <w:t xml:space="preserve">אני גוזר על הנאשם 1 שנה מאסר על תנאי שלא ירצה אלא אם יעבור תוך 3 שנים מהיום עבירות בנשק או עבירת אלימות מסוג פשע. </w:t>
      </w:r>
    </w:p>
    <w:p w14:paraId="595D7E3B" w14:textId="77777777" w:rsidR="005F3587" w:rsidRDefault="00F03842">
      <w:pPr>
        <w:spacing w:line="360" w:lineRule="auto"/>
        <w:ind w:left="1440"/>
        <w:jc w:val="both"/>
        <w:rPr>
          <w:sz w:val="28"/>
          <w:szCs w:val="28"/>
          <w:rtl/>
        </w:rPr>
      </w:pPr>
      <w:r>
        <w:rPr>
          <w:rFonts w:hint="cs"/>
          <w:sz w:val="28"/>
          <w:szCs w:val="28"/>
          <w:rtl/>
        </w:rPr>
        <w:t xml:space="preserve">אני גוזר על הנאשם 1 6 חודשי מאסר על תנאי שלא ירצה אלא אם יעבור תוך 3 שנים מהיום עבירת אלימות מסוג עוון, למעט תגרה, או עבירה של יריות בשטח בנוי. </w:t>
      </w:r>
    </w:p>
    <w:p w14:paraId="72C07180" w14:textId="77777777" w:rsidR="005F3587" w:rsidRDefault="005F3587">
      <w:pPr>
        <w:spacing w:line="360" w:lineRule="auto"/>
        <w:jc w:val="both"/>
        <w:rPr>
          <w:sz w:val="28"/>
          <w:szCs w:val="28"/>
          <w:rtl/>
        </w:rPr>
      </w:pPr>
    </w:p>
    <w:p w14:paraId="5BCF340F" w14:textId="77777777" w:rsidR="005F3587" w:rsidRDefault="00F03842">
      <w:pPr>
        <w:spacing w:line="360" w:lineRule="auto"/>
        <w:ind w:left="1440" w:hanging="720"/>
        <w:jc w:val="both"/>
        <w:rPr>
          <w:sz w:val="28"/>
          <w:szCs w:val="28"/>
          <w:rtl/>
        </w:rPr>
      </w:pPr>
      <w:r>
        <w:rPr>
          <w:rFonts w:hint="cs"/>
          <w:sz w:val="28"/>
          <w:szCs w:val="28"/>
          <w:rtl/>
        </w:rPr>
        <w:t>23.</w:t>
      </w:r>
      <w:r>
        <w:rPr>
          <w:rFonts w:hint="cs"/>
          <w:sz w:val="28"/>
          <w:szCs w:val="28"/>
          <w:rtl/>
        </w:rPr>
        <w:tab/>
        <w:t xml:space="preserve">לאור כל האמור לעיל, אני גוזר על הנאשם 2,  שלושה חודשי מאסר ויום שירוצו בעבודות שירות במפעל "חסד יד ביד" בלוד החל מיום 6.6.13. </w:t>
      </w:r>
    </w:p>
    <w:p w14:paraId="370D0754" w14:textId="77777777" w:rsidR="005F3587" w:rsidRDefault="00F03842">
      <w:pPr>
        <w:spacing w:line="360" w:lineRule="auto"/>
        <w:ind w:left="1440"/>
        <w:jc w:val="both"/>
        <w:rPr>
          <w:sz w:val="28"/>
          <w:szCs w:val="28"/>
          <w:rtl/>
        </w:rPr>
      </w:pPr>
      <w:r>
        <w:rPr>
          <w:rFonts w:hint="cs"/>
          <w:sz w:val="28"/>
          <w:szCs w:val="28"/>
          <w:rtl/>
        </w:rPr>
        <w:t xml:space="preserve">אני גוזר על הנאשם 2 שנה מאסר על תנאי שלא ירצה אלא אם יעבור תוך 3 שנים מהיום עבירות בנשק או עבירת אלימות מסוג פשע. </w:t>
      </w:r>
    </w:p>
    <w:p w14:paraId="09DF003B" w14:textId="77777777" w:rsidR="005F3587" w:rsidRDefault="00F03842">
      <w:pPr>
        <w:spacing w:line="360" w:lineRule="auto"/>
        <w:ind w:left="1440"/>
        <w:jc w:val="both"/>
        <w:rPr>
          <w:sz w:val="28"/>
          <w:szCs w:val="28"/>
          <w:rtl/>
        </w:rPr>
      </w:pPr>
      <w:r>
        <w:rPr>
          <w:rFonts w:hint="cs"/>
          <w:sz w:val="28"/>
          <w:szCs w:val="28"/>
          <w:rtl/>
        </w:rPr>
        <w:t xml:space="preserve">אני גוזר על הנאשם 2 שישה חודשי מאסר על תנאי שלא ירצה אלא אם יעבור תוך 3 שנים מהיום עבירת אלימות מסוג עוון, למעט תגרה. </w:t>
      </w:r>
    </w:p>
    <w:p w14:paraId="4B187B53" w14:textId="77777777" w:rsidR="005F3587" w:rsidRDefault="00F03842">
      <w:pPr>
        <w:spacing w:line="360" w:lineRule="auto"/>
        <w:ind w:left="1440"/>
        <w:jc w:val="both"/>
        <w:rPr>
          <w:sz w:val="28"/>
          <w:szCs w:val="28"/>
          <w:rtl/>
        </w:rPr>
      </w:pPr>
      <w:r>
        <w:rPr>
          <w:rFonts w:hint="cs"/>
          <w:sz w:val="28"/>
          <w:szCs w:val="28"/>
          <w:rtl/>
        </w:rPr>
        <w:t xml:space="preserve">הפקדות כספיות שהופקדו בתיקי </w:t>
      </w:r>
      <w:hyperlink r:id="rId33" w:history="1">
        <w:r w:rsidR="0056151B" w:rsidRPr="0056151B">
          <w:rPr>
            <w:rStyle w:val="Hyperlink"/>
            <w:sz w:val="28"/>
            <w:szCs w:val="28"/>
            <w:rtl/>
          </w:rPr>
          <w:t>מ"ת 11087-05-12</w:t>
        </w:r>
      </w:hyperlink>
      <w:r>
        <w:rPr>
          <w:rFonts w:hint="cs"/>
          <w:sz w:val="28"/>
          <w:szCs w:val="28"/>
          <w:rtl/>
        </w:rPr>
        <w:t xml:space="preserve"> ו- </w:t>
      </w:r>
      <w:hyperlink r:id="rId34" w:history="1">
        <w:r w:rsidR="00207130" w:rsidRPr="00207130">
          <w:rPr>
            <w:color w:val="0000FF"/>
            <w:sz w:val="28"/>
            <w:szCs w:val="28"/>
            <w:u w:val="single"/>
            <w:rtl/>
          </w:rPr>
          <w:t xml:space="preserve">49442-05-12 </w:t>
        </w:r>
      </w:hyperlink>
      <w:r>
        <w:rPr>
          <w:rFonts w:hint="cs"/>
          <w:sz w:val="28"/>
          <w:szCs w:val="28"/>
          <w:rtl/>
        </w:rPr>
        <w:t xml:space="preserve"> (בימ"ש מחוזי מרכז)</w:t>
      </w:r>
      <w:r w:rsidR="00265138">
        <w:rPr>
          <w:rFonts w:hint="cs"/>
          <w:sz w:val="28"/>
          <w:szCs w:val="28"/>
          <w:rtl/>
        </w:rPr>
        <w:t xml:space="preserve"> </w:t>
      </w:r>
      <w:r w:rsidR="00265138" w:rsidRPr="00265138">
        <w:rPr>
          <w:sz w:val="22"/>
          <w:rtl/>
        </w:rPr>
        <w:t xml:space="preserve">[פורסם בנבו] </w:t>
      </w:r>
      <w:r>
        <w:rPr>
          <w:rFonts w:hint="cs"/>
          <w:sz w:val="28"/>
          <w:szCs w:val="28"/>
          <w:rtl/>
        </w:rPr>
        <w:t xml:space="preserve"> יוחזרו בתום ביצוע עבודות השירות לאבי הנאשמים, סלאח אבו מוסא, ת.ז. 059333708, בנק הדואר, מס' חשבון 8571306. </w:t>
      </w:r>
    </w:p>
    <w:p w14:paraId="053FF938" w14:textId="77777777" w:rsidR="005F3587" w:rsidRDefault="005F3587">
      <w:pPr>
        <w:spacing w:line="360" w:lineRule="auto"/>
        <w:ind w:left="1440"/>
        <w:jc w:val="both"/>
        <w:rPr>
          <w:sz w:val="28"/>
          <w:szCs w:val="28"/>
          <w:rtl/>
        </w:rPr>
      </w:pPr>
    </w:p>
    <w:p w14:paraId="02489990" w14:textId="77777777" w:rsidR="005F3587" w:rsidRDefault="00F03842">
      <w:pPr>
        <w:spacing w:line="360" w:lineRule="auto"/>
        <w:ind w:left="720" w:hanging="720"/>
        <w:jc w:val="both"/>
        <w:rPr>
          <w:b/>
          <w:bCs/>
          <w:sz w:val="28"/>
          <w:szCs w:val="28"/>
        </w:rPr>
      </w:pPr>
      <w:r>
        <w:rPr>
          <w:rFonts w:hint="cs"/>
          <w:b/>
          <w:bCs/>
          <w:sz w:val="28"/>
          <w:szCs w:val="28"/>
          <w:rtl/>
        </w:rPr>
        <w:t xml:space="preserve">הודעה לנאשמים זכותם לערער לבית המשפט העליון תוך 45 ימים. </w:t>
      </w:r>
    </w:p>
    <w:p w14:paraId="3637CFFA" w14:textId="77777777" w:rsidR="005F3587" w:rsidRDefault="005F3587">
      <w:pPr>
        <w:spacing w:line="360" w:lineRule="auto"/>
        <w:rPr>
          <w:b/>
          <w:bCs/>
          <w:rtl/>
        </w:rPr>
      </w:pPr>
    </w:p>
    <w:p w14:paraId="1632792D" w14:textId="77777777" w:rsidR="00F03842" w:rsidRPr="00F03842" w:rsidRDefault="00F03842" w:rsidP="00F03842">
      <w:pPr>
        <w:keepNext/>
        <w:spacing w:line="360" w:lineRule="auto"/>
        <w:rPr>
          <w:rFonts w:ascii="David" w:hAnsi="David"/>
          <w:color w:val="000000"/>
          <w:sz w:val="22"/>
          <w:szCs w:val="22"/>
          <w:rtl/>
        </w:rPr>
      </w:pPr>
    </w:p>
    <w:p w14:paraId="295F652D" w14:textId="77777777" w:rsidR="005F3587" w:rsidRDefault="00F03842">
      <w:pPr>
        <w:spacing w:line="360" w:lineRule="auto"/>
        <w:jc w:val="both"/>
        <w:rPr>
          <w:rFonts w:ascii="Arial" w:hAnsi="Arial"/>
          <w:b/>
          <w:bCs/>
          <w:sz w:val="28"/>
          <w:szCs w:val="28"/>
        </w:rPr>
      </w:pPr>
      <w:r w:rsidRPr="00F03842">
        <w:rPr>
          <w:b/>
          <w:bCs/>
          <w:color w:val="FFFFFF"/>
          <w:sz w:val="2"/>
          <w:szCs w:val="2"/>
          <w:rtl/>
        </w:rPr>
        <w:t>5129371</w:t>
      </w:r>
      <w:r>
        <w:rPr>
          <w:b/>
          <w:bCs/>
          <w:sz w:val="28"/>
          <w:szCs w:val="28"/>
          <w:rtl/>
        </w:rPr>
        <w:t xml:space="preserve">ניתנה והודעה היום י' סיון תשע"ג, 19/05/2013 במעמד ב"כ הצדדים והנאשמים.  </w:t>
      </w:r>
    </w:p>
    <w:tbl>
      <w:tblPr>
        <w:bidiVisual/>
        <w:tblW w:w="0" w:type="auto"/>
        <w:tblInd w:w="5740" w:type="dxa"/>
        <w:tblLook w:val="01E0" w:firstRow="1" w:lastRow="1" w:firstColumn="1" w:lastColumn="1" w:noHBand="0" w:noVBand="0"/>
      </w:tblPr>
      <w:tblGrid>
        <w:gridCol w:w="2585"/>
      </w:tblGrid>
      <w:tr w:rsidR="005F3587" w14:paraId="1D05F5F3" w14:textId="77777777">
        <w:tc>
          <w:tcPr>
            <w:tcW w:w="2585" w:type="dxa"/>
            <w:tcBorders>
              <w:bottom w:val="single" w:sz="4" w:space="0" w:color="auto"/>
            </w:tcBorders>
          </w:tcPr>
          <w:p w14:paraId="4BB9412B" w14:textId="77777777" w:rsidR="005F3587" w:rsidRPr="00F03842" w:rsidRDefault="00F03842">
            <w:pPr>
              <w:rPr>
                <w:color w:val="FFFFFF"/>
                <w:sz w:val="2"/>
                <w:szCs w:val="2"/>
              </w:rPr>
            </w:pPr>
            <w:r w:rsidRPr="00F03842">
              <w:rPr>
                <w:color w:val="FFFFFF"/>
                <w:sz w:val="2"/>
                <w:szCs w:val="2"/>
                <w:rtl/>
              </w:rPr>
              <w:t>54678313</w:t>
            </w:r>
          </w:p>
        </w:tc>
      </w:tr>
      <w:tr w:rsidR="005F3587" w14:paraId="3585FF74" w14:textId="77777777">
        <w:tc>
          <w:tcPr>
            <w:tcW w:w="2585" w:type="dxa"/>
            <w:tcBorders>
              <w:top w:val="single" w:sz="4" w:space="0" w:color="auto"/>
            </w:tcBorders>
            <w:vAlign w:val="bottom"/>
          </w:tcPr>
          <w:p w14:paraId="08B93144" w14:textId="77777777" w:rsidR="005F3587" w:rsidRDefault="00F03842">
            <w:pPr>
              <w:jc w:val="center"/>
              <w:rPr>
                <w:rFonts w:ascii="Courier New" w:hAnsi="Courier New"/>
                <w:b/>
                <w:bCs/>
                <w:sz w:val="28"/>
                <w:szCs w:val="28"/>
                <w:rtl/>
              </w:rPr>
            </w:pPr>
            <w:r>
              <w:rPr>
                <w:rFonts w:ascii="Courier New" w:hAnsi="Courier New" w:hint="cs"/>
                <w:b/>
                <w:bCs/>
                <w:sz w:val="28"/>
                <w:szCs w:val="28"/>
                <w:rtl/>
              </w:rPr>
              <w:t>אברהם טל</w:t>
            </w:r>
            <w:r>
              <w:rPr>
                <w:rFonts w:ascii="Courier New" w:hAnsi="Courier New"/>
                <w:b/>
                <w:bCs/>
                <w:sz w:val="28"/>
                <w:szCs w:val="28"/>
                <w:rtl/>
              </w:rPr>
              <w:t xml:space="preserve">, </w:t>
            </w:r>
            <w:r>
              <w:rPr>
                <w:rFonts w:ascii="Courier New" w:hAnsi="Courier New" w:hint="cs"/>
                <w:b/>
                <w:bCs/>
                <w:sz w:val="28"/>
                <w:szCs w:val="28"/>
                <w:rtl/>
              </w:rPr>
              <w:t>שופט</w:t>
            </w:r>
          </w:p>
          <w:p w14:paraId="43A3A3D7" w14:textId="77777777" w:rsidR="005F3587" w:rsidRDefault="00F03842">
            <w:pPr>
              <w:jc w:val="center"/>
              <w:rPr>
                <w:rFonts w:ascii="Courier New" w:hAnsi="Courier New"/>
                <w:b/>
                <w:bCs/>
                <w:sz w:val="28"/>
                <w:szCs w:val="28"/>
                <w:rtl/>
              </w:rPr>
            </w:pPr>
            <w:r>
              <w:rPr>
                <w:rFonts w:ascii="Courier New" w:hAnsi="Courier New" w:hint="cs"/>
                <w:b/>
                <w:bCs/>
                <w:sz w:val="28"/>
                <w:szCs w:val="28"/>
                <w:rtl/>
              </w:rPr>
              <w:t>סג"נ</w:t>
            </w:r>
          </w:p>
          <w:p w14:paraId="77D15A66" w14:textId="77777777" w:rsidR="005F3587" w:rsidRDefault="005F3587">
            <w:pPr>
              <w:jc w:val="center"/>
              <w:rPr>
                <w:rFonts w:ascii="Courier New" w:hAnsi="Courier New"/>
                <w:b/>
                <w:bCs/>
                <w:rtl/>
              </w:rPr>
            </w:pPr>
          </w:p>
        </w:tc>
      </w:tr>
    </w:tbl>
    <w:p w14:paraId="70A5DD7A" w14:textId="77777777" w:rsidR="00265138" w:rsidRDefault="00265138" w:rsidP="00F03842">
      <w:pPr>
        <w:rPr>
          <w:rFonts w:hint="cs"/>
          <w:color w:val="000000"/>
          <w:rtl/>
        </w:rPr>
      </w:pPr>
    </w:p>
    <w:p w14:paraId="262E9772" w14:textId="77777777" w:rsidR="00265138" w:rsidRPr="00F03842" w:rsidRDefault="00265138" w:rsidP="00265138">
      <w:pPr>
        <w:keepNext/>
        <w:spacing w:line="360" w:lineRule="auto"/>
        <w:rPr>
          <w:rFonts w:ascii="David" w:hAnsi="David"/>
          <w:color w:val="000000"/>
          <w:sz w:val="22"/>
          <w:szCs w:val="22"/>
          <w:rtl/>
        </w:rPr>
      </w:pPr>
      <w:r w:rsidRPr="00F03842">
        <w:rPr>
          <w:rFonts w:ascii="David" w:hAnsi="David"/>
          <w:color w:val="000000"/>
          <w:sz w:val="22"/>
          <w:szCs w:val="22"/>
          <w:rtl/>
        </w:rPr>
        <w:t>אברהם טל 54678313</w:t>
      </w:r>
    </w:p>
    <w:p w14:paraId="6474A948" w14:textId="77777777" w:rsidR="00F03842" w:rsidRDefault="00F03842" w:rsidP="00F03842">
      <w:r w:rsidRPr="00F03842">
        <w:rPr>
          <w:color w:val="000000"/>
          <w:rtl/>
        </w:rPr>
        <w:t>נוסח מסמך זה כפוף לשינויי ניסוח ועריכה</w:t>
      </w:r>
    </w:p>
    <w:p w14:paraId="6A8F2A30" w14:textId="77777777" w:rsidR="00F03842" w:rsidRDefault="00F03842" w:rsidP="00F03842">
      <w:pPr>
        <w:rPr>
          <w:rtl/>
        </w:rPr>
      </w:pPr>
    </w:p>
    <w:p w14:paraId="11525705" w14:textId="77777777" w:rsidR="00F03842" w:rsidRDefault="00F03842" w:rsidP="00F03842">
      <w:pPr>
        <w:jc w:val="center"/>
        <w:rPr>
          <w:color w:val="0000FF"/>
          <w:u w:val="single"/>
        </w:rPr>
      </w:pPr>
      <w:r w:rsidRPr="00A40A9D">
        <w:rPr>
          <w:color w:val="000000"/>
          <w:rtl/>
        </w:rPr>
        <w:t>בעניין עריכה ושינויים במסמכי פסיקה, חקיקה ועוד באתר נבו – הקש כאן</w:t>
      </w:r>
    </w:p>
    <w:p w14:paraId="1EE11DA8" w14:textId="77777777" w:rsidR="005F3587" w:rsidRPr="00F03842" w:rsidRDefault="005F3587" w:rsidP="00F03842">
      <w:pPr>
        <w:jc w:val="center"/>
        <w:rPr>
          <w:color w:val="0000FF"/>
          <w:u w:val="single"/>
        </w:rPr>
      </w:pPr>
    </w:p>
    <w:sectPr w:rsidR="005F3587" w:rsidRPr="00F03842" w:rsidSect="00F0384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F3D3C" w14:textId="77777777" w:rsidR="00997DCC" w:rsidRPr="00EF061D" w:rsidRDefault="00997DCC">
      <w:pPr>
        <w:rPr>
          <w:rFonts w:cs="Times New Roman"/>
          <w:szCs w:val="20"/>
        </w:rPr>
      </w:pPr>
      <w:r>
        <w:separator/>
      </w:r>
    </w:p>
  </w:endnote>
  <w:endnote w:type="continuationSeparator" w:id="0">
    <w:p w14:paraId="4D20CDE3" w14:textId="77777777" w:rsidR="00997DCC" w:rsidRPr="00EF061D" w:rsidRDefault="00997DCC">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92CB3" w14:textId="77777777" w:rsidR="00EB2C21" w:rsidRDefault="00EB2C21" w:rsidP="00F0384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249264" w14:textId="77777777" w:rsidR="00EB2C21" w:rsidRPr="00F03842" w:rsidRDefault="00EB2C21" w:rsidP="00F03842">
    <w:pPr>
      <w:pStyle w:val="a5"/>
      <w:pBdr>
        <w:top w:val="single" w:sz="4" w:space="1" w:color="auto"/>
        <w:between w:val="single" w:sz="4" w:space="0" w:color="auto"/>
      </w:pBdr>
      <w:spacing w:after="60"/>
      <w:jc w:val="center"/>
      <w:rPr>
        <w:rFonts w:ascii="FrankRuehl" w:hAnsi="FrankRuehl" w:cs="FrankRuehl"/>
        <w:color w:val="000000"/>
      </w:rPr>
    </w:pPr>
    <w:r w:rsidRPr="00F038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6F1FA" w14:textId="77777777" w:rsidR="00EB2C21" w:rsidRDefault="00EB2C21" w:rsidP="00F0384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7905">
      <w:rPr>
        <w:rFonts w:ascii="FrankRuehl" w:hAnsi="FrankRuehl" w:cs="FrankRuehl"/>
        <w:noProof/>
        <w:rtl/>
      </w:rPr>
      <w:t>6</w:t>
    </w:r>
    <w:r>
      <w:rPr>
        <w:rFonts w:ascii="FrankRuehl" w:hAnsi="FrankRuehl" w:cs="FrankRuehl"/>
        <w:rtl/>
      </w:rPr>
      <w:fldChar w:fldCharType="end"/>
    </w:r>
  </w:p>
  <w:p w14:paraId="225DFB1C" w14:textId="77777777" w:rsidR="00EB2C21" w:rsidRPr="00F03842" w:rsidRDefault="00EB2C21" w:rsidP="00F03842">
    <w:pPr>
      <w:pStyle w:val="a5"/>
      <w:pBdr>
        <w:top w:val="single" w:sz="4" w:space="1" w:color="auto"/>
        <w:between w:val="single" w:sz="4" w:space="0" w:color="auto"/>
      </w:pBdr>
      <w:spacing w:after="60"/>
      <w:jc w:val="center"/>
      <w:rPr>
        <w:rFonts w:ascii="FrankRuehl" w:hAnsi="FrankRuehl" w:cs="FrankRuehl"/>
        <w:color w:val="000000"/>
      </w:rPr>
    </w:pPr>
    <w:r w:rsidRPr="00F03842">
      <w:rPr>
        <w:rFonts w:ascii="FrankRuehl" w:hAnsi="FrankRuehl" w:cs="FrankRuehl"/>
        <w:color w:val="000000"/>
      </w:rPr>
      <w:pict w14:anchorId="05A0B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DF059" w14:textId="77777777" w:rsidR="00997DCC" w:rsidRPr="00EF061D" w:rsidRDefault="00997DCC">
      <w:pPr>
        <w:rPr>
          <w:rFonts w:cs="Times New Roman"/>
          <w:szCs w:val="20"/>
        </w:rPr>
      </w:pPr>
      <w:r>
        <w:separator/>
      </w:r>
    </w:p>
  </w:footnote>
  <w:footnote w:type="continuationSeparator" w:id="0">
    <w:p w14:paraId="287D9D93" w14:textId="77777777" w:rsidR="00997DCC" w:rsidRPr="00EF061D" w:rsidRDefault="00997DCC">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23F44" w14:textId="77777777" w:rsidR="00EB2C21" w:rsidRPr="00F03842" w:rsidRDefault="00EB2C21" w:rsidP="00F038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11059-05-12</w:t>
    </w:r>
    <w:r>
      <w:rPr>
        <w:rFonts w:ascii="David" w:hAnsi="David"/>
        <w:color w:val="000000"/>
        <w:sz w:val="22"/>
        <w:szCs w:val="22"/>
        <w:rtl/>
      </w:rPr>
      <w:tab/>
      <w:t xml:space="preserve"> מדינת ישראל נ' באסל אבו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0EEC3" w14:textId="77777777" w:rsidR="00EB2C21" w:rsidRPr="00F03842" w:rsidRDefault="00EB2C21" w:rsidP="00F038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11059-05-12</w:t>
    </w:r>
    <w:r>
      <w:rPr>
        <w:rFonts w:ascii="David" w:hAnsi="David"/>
        <w:color w:val="000000"/>
        <w:sz w:val="22"/>
        <w:szCs w:val="22"/>
        <w:rtl/>
      </w:rPr>
      <w:tab/>
      <w:t xml:space="preserve"> מדינת ישראל נ' באסל אבו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E71C8"/>
    <w:multiLevelType w:val="hybridMultilevel"/>
    <w:tmpl w:val="818C5646"/>
    <w:lvl w:ilvl="0" w:tplc="D9309688">
      <w:start w:val="1"/>
      <w:numFmt w:val="decimal"/>
      <w:lvlText w:val="%1."/>
      <w:lvlJc w:val="left"/>
      <w:pPr>
        <w:ind w:left="720" w:hanging="360"/>
      </w:pPr>
      <w:rPr>
        <w:rFonts w:ascii="Arial" w:hAnsi="Arial" w:cs="Times New Roman"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C35307"/>
    <w:multiLevelType w:val="hybridMultilevel"/>
    <w:tmpl w:val="DFF2F5C0"/>
    <w:lvl w:ilvl="0" w:tplc="149276BE">
      <w:start w:val="7"/>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35B9A"/>
    <w:multiLevelType w:val="hybridMultilevel"/>
    <w:tmpl w:val="052A6F4A"/>
    <w:lvl w:ilvl="0" w:tplc="A29017F8">
      <w:start w:val="1"/>
      <w:numFmt w:val="hebrew1"/>
      <w:lvlText w:val="%1."/>
      <w:lvlJc w:val="left"/>
      <w:pPr>
        <w:ind w:left="1352" w:hanging="360"/>
      </w:pPr>
    </w:lvl>
    <w:lvl w:ilvl="1" w:tplc="04090019">
      <w:start w:val="1"/>
      <w:numFmt w:val="lowerLetter"/>
      <w:lvlText w:val="%2."/>
      <w:lvlJc w:val="left"/>
      <w:pPr>
        <w:ind w:left="2366" w:hanging="360"/>
      </w:pPr>
    </w:lvl>
    <w:lvl w:ilvl="2" w:tplc="0409001B">
      <w:start w:val="1"/>
      <w:numFmt w:val="lowerRoman"/>
      <w:lvlText w:val="%3."/>
      <w:lvlJc w:val="right"/>
      <w:pPr>
        <w:ind w:left="3086" w:hanging="180"/>
      </w:pPr>
    </w:lvl>
    <w:lvl w:ilvl="3" w:tplc="0409000F">
      <w:start w:val="1"/>
      <w:numFmt w:val="decimal"/>
      <w:lvlText w:val="%4."/>
      <w:lvlJc w:val="left"/>
      <w:pPr>
        <w:ind w:left="3806" w:hanging="360"/>
      </w:pPr>
    </w:lvl>
    <w:lvl w:ilvl="4" w:tplc="04090019">
      <w:start w:val="1"/>
      <w:numFmt w:val="lowerLetter"/>
      <w:lvlText w:val="%5."/>
      <w:lvlJc w:val="left"/>
      <w:pPr>
        <w:ind w:left="4526" w:hanging="360"/>
      </w:pPr>
    </w:lvl>
    <w:lvl w:ilvl="5" w:tplc="0409001B">
      <w:start w:val="1"/>
      <w:numFmt w:val="lowerRoman"/>
      <w:lvlText w:val="%6."/>
      <w:lvlJc w:val="right"/>
      <w:pPr>
        <w:ind w:left="5246" w:hanging="180"/>
      </w:pPr>
    </w:lvl>
    <w:lvl w:ilvl="6" w:tplc="0409000F">
      <w:start w:val="1"/>
      <w:numFmt w:val="decimal"/>
      <w:lvlText w:val="%7."/>
      <w:lvlJc w:val="left"/>
      <w:pPr>
        <w:ind w:left="5966" w:hanging="360"/>
      </w:pPr>
    </w:lvl>
    <w:lvl w:ilvl="7" w:tplc="04090019">
      <w:start w:val="1"/>
      <w:numFmt w:val="lowerLetter"/>
      <w:lvlText w:val="%8."/>
      <w:lvlJc w:val="left"/>
      <w:pPr>
        <w:ind w:left="6686" w:hanging="360"/>
      </w:pPr>
    </w:lvl>
    <w:lvl w:ilvl="8" w:tplc="0409001B">
      <w:start w:val="1"/>
      <w:numFmt w:val="lowerRoman"/>
      <w:lvlText w:val="%9."/>
      <w:lvlJc w:val="right"/>
      <w:pPr>
        <w:ind w:left="7406" w:hanging="180"/>
      </w:pPr>
    </w:lvl>
  </w:abstractNum>
  <w:num w:numId="1" w16cid:durableId="363286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8306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034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3587"/>
    <w:rsid w:val="00207130"/>
    <w:rsid w:val="00265138"/>
    <w:rsid w:val="0032212C"/>
    <w:rsid w:val="0056151B"/>
    <w:rsid w:val="005F3587"/>
    <w:rsid w:val="006B12E1"/>
    <w:rsid w:val="00927077"/>
    <w:rsid w:val="00997DCC"/>
    <w:rsid w:val="00A40A9D"/>
    <w:rsid w:val="00B13914"/>
    <w:rsid w:val="00BD5578"/>
    <w:rsid w:val="00DD7905"/>
    <w:rsid w:val="00E007BA"/>
    <w:rsid w:val="00E0156C"/>
    <w:rsid w:val="00EB2C21"/>
    <w:rsid w:val="00F03842"/>
    <w:rsid w:val="00F74E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E4FCB1"/>
  <w15:chartTrackingRefBased/>
  <w15:docId w15:val="{B9984757-7D9D-4CC3-8180-60472D65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358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F3587"/>
    <w:pPr>
      <w:tabs>
        <w:tab w:val="center" w:pos="4153"/>
        <w:tab w:val="right" w:pos="8306"/>
      </w:tabs>
    </w:pPr>
  </w:style>
  <w:style w:type="paragraph" w:styleId="a5">
    <w:name w:val="footer"/>
    <w:basedOn w:val="a"/>
    <w:rsid w:val="005F3587"/>
    <w:pPr>
      <w:tabs>
        <w:tab w:val="center" w:pos="4153"/>
        <w:tab w:val="right" w:pos="8306"/>
      </w:tabs>
    </w:pPr>
  </w:style>
  <w:style w:type="character" w:styleId="a6">
    <w:name w:val="page number"/>
    <w:basedOn w:val="a0"/>
    <w:rsid w:val="005F3587"/>
  </w:style>
  <w:style w:type="character" w:customStyle="1" w:styleId="a4">
    <w:name w:val="כותרת עליונה תו"/>
    <w:basedOn w:val="a0"/>
    <w:link w:val="a3"/>
    <w:rsid w:val="005F3587"/>
    <w:rPr>
      <w:rFonts w:cs="David"/>
      <w:sz w:val="24"/>
      <w:szCs w:val="24"/>
      <w:lang w:val="en-US" w:eastAsia="en-US" w:bidi="he-IL"/>
    </w:rPr>
  </w:style>
  <w:style w:type="paragraph" w:customStyle="1" w:styleId="ListParagraph">
    <w:name w:val="List Paragraph"/>
    <w:basedOn w:val="a"/>
    <w:rsid w:val="005F3587"/>
    <w:pPr>
      <w:ind w:left="720"/>
      <w:contextualSpacing/>
    </w:pPr>
    <w:rPr>
      <w:rFonts w:cs="Times New Roman"/>
    </w:rPr>
  </w:style>
  <w:style w:type="character" w:styleId="Hyperlink">
    <w:name w:val="Hyperlink"/>
    <w:basedOn w:val="a0"/>
    <w:rsid w:val="005F3587"/>
    <w:rPr>
      <w:color w:val="0000FF"/>
      <w:u w:val="single"/>
    </w:rPr>
  </w:style>
  <w:style w:type="paragraph" w:styleId="a7">
    <w:name w:val="List Paragraph"/>
    <w:basedOn w:val="a"/>
    <w:qFormat/>
    <w:rsid w:val="00F74E59"/>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24035" TargetMode="External"/><Relationship Id="rId26" Type="http://schemas.openxmlformats.org/officeDocument/2006/relationships/hyperlink" Target="http://www.nevo.co.il/case/5678001" TargetMode="External"/><Relationship Id="rId39" Type="http://schemas.openxmlformats.org/officeDocument/2006/relationships/fontTable" Target="fontTable.xml"/><Relationship Id="rId21" Type="http://schemas.openxmlformats.org/officeDocument/2006/relationships/hyperlink" Target="http://www.nevo.co.il/case/6169310" TargetMode="External"/><Relationship Id="rId34" Type="http://schemas.openxmlformats.org/officeDocument/2006/relationships/hyperlink" Target="http://www.nevo.co.il/case/4691718"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0a" TargetMode="External"/><Relationship Id="rId17" Type="http://schemas.openxmlformats.org/officeDocument/2006/relationships/hyperlink" Target="http://www.nevo.co.il/case/5597217" TargetMode="External"/><Relationship Id="rId25" Type="http://schemas.openxmlformats.org/officeDocument/2006/relationships/hyperlink" Target="http://www.nevo.co.il/case/541153" TargetMode="External"/><Relationship Id="rId33" Type="http://schemas.openxmlformats.org/officeDocument/2006/relationships/hyperlink" Target="http://www.nevo.co.il/case/4691717"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040482" TargetMode="External"/><Relationship Id="rId29" Type="http://schemas.openxmlformats.org/officeDocument/2006/relationships/hyperlink" Target="http://www.nevo.co.il/case/5274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917285" TargetMode="External"/><Relationship Id="rId32" Type="http://schemas.openxmlformats.org/officeDocument/2006/relationships/hyperlink" Target="http://www.nevo.co.il/law/70301/40f;40g"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case/5758567" TargetMode="External"/><Relationship Id="rId28" Type="http://schemas.openxmlformats.org/officeDocument/2006/relationships/hyperlink" Target="http://www.nevo.co.il/case/2100382" TargetMode="External"/><Relationship Id="rId36" Type="http://schemas.openxmlformats.org/officeDocument/2006/relationships/header" Target="header2.xml"/><Relationship Id="rId10" Type="http://schemas.openxmlformats.org/officeDocument/2006/relationships/hyperlink" Target="http://www.nevo.co.il/law/70301/40i" TargetMode="External"/><Relationship Id="rId19" Type="http://schemas.openxmlformats.org/officeDocument/2006/relationships/hyperlink" Target="http://www.nevo.co.il/case/5733731" TargetMode="External"/><Relationship Id="rId31" Type="http://schemas.openxmlformats.org/officeDocument/2006/relationships/hyperlink" Target="http://www.nevo.co.il/case/17929065" TargetMode="Externa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52404" TargetMode="External"/><Relationship Id="rId27" Type="http://schemas.openxmlformats.org/officeDocument/2006/relationships/hyperlink" Target="http://www.nevo.co.il/case/4258499" TargetMode="External"/><Relationship Id="rId30" Type="http://schemas.openxmlformats.org/officeDocument/2006/relationships/hyperlink" Target="http://www.nevo.co.il/law/70301/40i" TargetMode="External"/><Relationship Id="rId35" Type="http://schemas.openxmlformats.org/officeDocument/2006/relationships/header" Target="header1.xml"/><Relationship Id="rId8" Type="http://schemas.openxmlformats.org/officeDocument/2006/relationships/hyperlink" Target="http://www.nevo.co.il/law/70301/40f"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3671</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21987</CharactersWithSpaces>
  <SharedDoc>false</SharedDoc>
  <HLinks>
    <vt:vector size="168" baseType="variant">
      <vt:variant>
        <vt:i4>3276914</vt:i4>
      </vt:variant>
      <vt:variant>
        <vt:i4>81</vt:i4>
      </vt:variant>
      <vt:variant>
        <vt:i4>0</vt:i4>
      </vt:variant>
      <vt:variant>
        <vt:i4>5</vt:i4>
      </vt:variant>
      <vt:variant>
        <vt:lpwstr>http://www.nevo.co.il/case/4691718</vt:lpwstr>
      </vt:variant>
      <vt:variant>
        <vt:lpwstr/>
      </vt:variant>
      <vt:variant>
        <vt:i4>3997810</vt:i4>
      </vt:variant>
      <vt:variant>
        <vt:i4>78</vt:i4>
      </vt:variant>
      <vt:variant>
        <vt:i4>0</vt:i4>
      </vt:variant>
      <vt:variant>
        <vt:i4>5</vt:i4>
      </vt:variant>
      <vt:variant>
        <vt:lpwstr>http://www.nevo.co.il/case/4691717</vt:lpwstr>
      </vt:variant>
      <vt:variant>
        <vt:lpwstr/>
      </vt:variant>
      <vt:variant>
        <vt:i4>7209011</vt:i4>
      </vt:variant>
      <vt:variant>
        <vt:i4>75</vt:i4>
      </vt:variant>
      <vt:variant>
        <vt:i4>0</vt:i4>
      </vt:variant>
      <vt:variant>
        <vt:i4>5</vt:i4>
      </vt:variant>
      <vt:variant>
        <vt:lpwstr>http://www.nevo.co.il/law/70301/40f;40g</vt:lpwstr>
      </vt:variant>
      <vt:variant>
        <vt:lpwstr/>
      </vt:variant>
      <vt:variant>
        <vt:i4>3604593</vt:i4>
      </vt:variant>
      <vt:variant>
        <vt:i4>72</vt:i4>
      </vt:variant>
      <vt:variant>
        <vt:i4>0</vt:i4>
      </vt:variant>
      <vt:variant>
        <vt:i4>5</vt:i4>
      </vt:variant>
      <vt:variant>
        <vt:lpwstr>http://www.nevo.co.il/case/17929065</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65602</vt:i4>
      </vt:variant>
      <vt:variant>
        <vt:i4>66</vt:i4>
      </vt:variant>
      <vt:variant>
        <vt:i4>0</vt:i4>
      </vt:variant>
      <vt:variant>
        <vt:i4>5</vt:i4>
      </vt:variant>
      <vt:variant>
        <vt:lpwstr>http://www.nevo.co.il/case/527439</vt:lpwstr>
      </vt:variant>
      <vt:variant>
        <vt:lpwstr/>
      </vt:variant>
      <vt:variant>
        <vt:i4>3342461</vt:i4>
      </vt:variant>
      <vt:variant>
        <vt:i4>63</vt:i4>
      </vt:variant>
      <vt:variant>
        <vt:i4>0</vt:i4>
      </vt:variant>
      <vt:variant>
        <vt:i4>5</vt:i4>
      </vt:variant>
      <vt:variant>
        <vt:lpwstr>http://www.nevo.co.il/case/2100382</vt:lpwstr>
      </vt:variant>
      <vt:variant>
        <vt:lpwstr/>
      </vt:variant>
      <vt:variant>
        <vt:i4>3932279</vt:i4>
      </vt:variant>
      <vt:variant>
        <vt:i4>60</vt:i4>
      </vt:variant>
      <vt:variant>
        <vt:i4>0</vt:i4>
      </vt:variant>
      <vt:variant>
        <vt:i4>5</vt:i4>
      </vt:variant>
      <vt:variant>
        <vt:lpwstr>http://www.nevo.co.il/case/4258499</vt:lpwstr>
      </vt:variant>
      <vt:variant>
        <vt:lpwstr/>
      </vt:variant>
      <vt:variant>
        <vt:i4>3342458</vt:i4>
      </vt:variant>
      <vt:variant>
        <vt:i4>57</vt:i4>
      </vt:variant>
      <vt:variant>
        <vt:i4>0</vt:i4>
      </vt:variant>
      <vt:variant>
        <vt:i4>5</vt:i4>
      </vt:variant>
      <vt:variant>
        <vt:lpwstr>http://www.nevo.co.il/case/5678001</vt:lpwstr>
      </vt:variant>
      <vt:variant>
        <vt:lpwstr/>
      </vt:variant>
      <vt:variant>
        <vt:i4>65601</vt:i4>
      </vt:variant>
      <vt:variant>
        <vt:i4>54</vt:i4>
      </vt:variant>
      <vt:variant>
        <vt:i4>0</vt:i4>
      </vt:variant>
      <vt:variant>
        <vt:i4>5</vt:i4>
      </vt:variant>
      <vt:variant>
        <vt:lpwstr>http://www.nevo.co.il/case/541153</vt:lpwstr>
      </vt:variant>
      <vt:variant>
        <vt:lpwstr/>
      </vt:variant>
      <vt:variant>
        <vt:i4>3342450</vt:i4>
      </vt:variant>
      <vt:variant>
        <vt:i4>51</vt:i4>
      </vt:variant>
      <vt:variant>
        <vt:i4>0</vt:i4>
      </vt:variant>
      <vt:variant>
        <vt:i4>5</vt:i4>
      </vt:variant>
      <vt:variant>
        <vt:lpwstr>http://www.nevo.co.il/case/5917285</vt:lpwstr>
      </vt:variant>
      <vt:variant>
        <vt:lpwstr/>
      </vt:variant>
      <vt:variant>
        <vt:i4>3276925</vt:i4>
      </vt:variant>
      <vt:variant>
        <vt:i4>48</vt:i4>
      </vt:variant>
      <vt:variant>
        <vt:i4>0</vt:i4>
      </vt:variant>
      <vt:variant>
        <vt:i4>5</vt:i4>
      </vt:variant>
      <vt:variant>
        <vt:lpwstr>http://www.nevo.co.il/case/5758567</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3342461</vt:i4>
      </vt:variant>
      <vt:variant>
        <vt:i4>42</vt:i4>
      </vt:variant>
      <vt:variant>
        <vt:i4>0</vt:i4>
      </vt:variant>
      <vt:variant>
        <vt:i4>5</vt:i4>
      </vt:variant>
      <vt:variant>
        <vt:lpwstr>http://www.nevo.co.il/case/6169310</vt:lpwstr>
      </vt:variant>
      <vt:variant>
        <vt:lpwstr/>
      </vt:variant>
      <vt:variant>
        <vt:i4>3407996</vt:i4>
      </vt:variant>
      <vt:variant>
        <vt:i4>39</vt:i4>
      </vt:variant>
      <vt:variant>
        <vt:i4>0</vt:i4>
      </vt:variant>
      <vt:variant>
        <vt:i4>5</vt:i4>
      </vt:variant>
      <vt:variant>
        <vt:lpwstr>http://www.nevo.co.il/case/6040482</vt:lpwstr>
      </vt:variant>
      <vt:variant>
        <vt:lpwstr/>
      </vt:variant>
      <vt:variant>
        <vt:i4>3145843</vt:i4>
      </vt:variant>
      <vt:variant>
        <vt:i4>36</vt:i4>
      </vt:variant>
      <vt:variant>
        <vt:i4>0</vt:i4>
      </vt:variant>
      <vt:variant>
        <vt:i4>5</vt:i4>
      </vt:variant>
      <vt:variant>
        <vt:lpwstr>http://www.nevo.co.il/case/5733731</vt:lpwstr>
      </vt:variant>
      <vt:variant>
        <vt:lpwstr/>
      </vt:variant>
      <vt:variant>
        <vt:i4>3211379</vt:i4>
      </vt:variant>
      <vt:variant>
        <vt:i4>33</vt:i4>
      </vt:variant>
      <vt:variant>
        <vt:i4>0</vt:i4>
      </vt:variant>
      <vt:variant>
        <vt:i4>5</vt:i4>
      </vt:variant>
      <vt:variant>
        <vt:lpwstr>http://www.nevo.co.il/case/6024035</vt:lpwstr>
      </vt:variant>
      <vt:variant>
        <vt:lpwstr/>
      </vt:variant>
      <vt:variant>
        <vt:i4>3735671</vt:i4>
      </vt:variant>
      <vt:variant>
        <vt:i4>30</vt:i4>
      </vt:variant>
      <vt:variant>
        <vt:i4>0</vt:i4>
      </vt:variant>
      <vt:variant>
        <vt:i4>5</vt:i4>
      </vt:variant>
      <vt:variant>
        <vt:lpwstr>http://www.nevo.co.il/case/5597217</vt:lpwstr>
      </vt:variant>
      <vt:variant>
        <vt:lpwstr/>
      </vt:variant>
      <vt:variant>
        <vt:i4>7995492</vt:i4>
      </vt:variant>
      <vt:variant>
        <vt:i4>27</vt:i4>
      </vt:variant>
      <vt:variant>
        <vt:i4>0</vt:i4>
      </vt:variant>
      <vt:variant>
        <vt:i4>5</vt:i4>
      </vt:variant>
      <vt:variant>
        <vt:lpwstr>http://www.nevo.co.il/law/70301</vt:lpwstr>
      </vt:variant>
      <vt:variant>
        <vt:lpwstr/>
      </vt:variant>
      <vt:variant>
        <vt:i4>86</vt:i4>
      </vt:variant>
      <vt:variant>
        <vt:i4>24</vt:i4>
      </vt:variant>
      <vt:variant>
        <vt:i4>0</vt:i4>
      </vt:variant>
      <vt:variant>
        <vt:i4>5</vt:i4>
      </vt:variant>
      <vt:variant>
        <vt:lpwstr>http://www.nevo.co.il/law/70301/340a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86</vt:i4>
      </vt:variant>
      <vt:variant>
        <vt:i4>15</vt:i4>
      </vt:variant>
      <vt:variant>
        <vt:i4>0</vt:i4>
      </vt:variant>
      <vt:variant>
        <vt:i4>5</vt:i4>
      </vt:variant>
      <vt:variant>
        <vt:lpwstr>http://www.nevo.co.il/law/70301/340a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11059</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באסל אבו מוסא;חסן אבו מוסא</vt:lpwstr>
  </property>
  <property fmtid="{D5CDD505-2E9C-101B-9397-08002B2CF9AE}" pid="10" name="JUDGE">
    <vt:lpwstr>אברהם טל</vt:lpwstr>
  </property>
  <property fmtid="{D5CDD505-2E9C-101B-9397-08002B2CF9AE}" pid="11" name="CITY">
    <vt:lpwstr>מרכז</vt:lpwstr>
  </property>
  <property fmtid="{D5CDD505-2E9C-101B-9397-08002B2CF9AE}" pid="12" name="DATE">
    <vt:lpwstr>20130519</vt:lpwstr>
  </property>
  <property fmtid="{D5CDD505-2E9C-101B-9397-08002B2CF9AE}" pid="13" name="TYPE_N_DATE">
    <vt:lpwstr>39020130519</vt:lpwstr>
  </property>
  <property fmtid="{D5CDD505-2E9C-101B-9397-08002B2CF9AE}" pid="14" name="WORDNUMPAGES">
    <vt:lpwstr>16</vt:lpwstr>
  </property>
  <property fmtid="{D5CDD505-2E9C-101B-9397-08002B2CF9AE}" pid="15" name="TYPE_ABS_DATE">
    <vt:lpwstr>390120130519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77;77;77;77;77;77</vt:lpwstr>
  </property>
  <property fmtid="{D5CDD505-2E9C-101B-9397-08002B2CF9AE}" pid="37" name="NOSE2ID">
    <vt:lpwstr>1443;1446;1446;1446;1446;1446</vt:lpwstr>
  </property>
  <property fmtid="{D5CDD505-2E9C-101B-9397-08002B2CF9AE}" pid="38" name="NOSE3ID">
    <vt:lpwstr>12554;14985;14799;13800;12553;8996</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החזקת נשק ללא רשיון</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מתחם הענישה</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עקרון ההלימה‏</vt:lpwstr>
  </property>
  <property fmtid="{D5CDD505-2E9C-101B-9397-08002B2CF9AE}" pid="48" name="NOSE14">
    <vt:lpwstr>עונשין</vt:lpwstr>
  </property>
  <property fmtid="{D5CDD505-2E9C-101B-9397-08002B2CF9AE}" pid="49" name="NOSE24">
    <vt:lpwstr>ענישה</vt:lpwstr>
  </property>
  <property fmtid="{D5CDD505-2E9C-101B-9397-08002B2CF9AE}" pid="50" name="NOSE34">
    <vt:lpwstr>מדיניות ענישה: עבירות נשק</vt:lpwstr>
  </property>
  <property fmtid="{D5CDD505-2E9C-101B-9397-08002B2CF9AE}" pid="51" name="NOSE15">
    <vt:lpwstr>עונשין</vt:lpwstr>
  </property>
  <property fmtid="{D5CDD505-2E9C-101B-9397-08002B2CF9AE}" pid="52" name="NOSE25">
    <vt:lpwstr>ענישה</vt:lpwstr>
  </property>
  <property fmtid="{D5CDD505-2E9C-101B-9397-08002B2CF9AE}" pid="53" name="NOSE35">
    <vt:lpwstr>מדיניות ענישה: החזקת נשק</vt:lpwstr>
  </property>
  <property fmtid="{D5CDD505-2E9C-101B-9397-08002B2CF9AE}" pid="54" name="NOSE16">
    <vt:lpwstr>עונשין</vt:lpwstr>
  </property>
  <property fmtid="{D5CDD505-2E9C-101B-9397-08002B2CF9AE}" pid="55" name="NOSE26">
    <vt:lpwstr>ענישה</vt:lpwstr>
  </property>
  <property fmtid="{D5CDD505-2E9C-101B-9397-08002B2CF9AE}" pid="56" name="NOSE36">
    <vt:lpwstr>מדיניות ענישה: שיקולים לקולה</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20130530</vt:lpwstr>
  </property>
  <property fmtid="{D5CDD505-2E9C-101B-9397-08002B2CF9AE}" pid="70" name="CASESLISTTMP1">
    <vt:lpwstr>5597217;6024035;5733731;6040482;6169310;5852404;5758567;5917285;541153;5678001;4258499;2100382;527439;17929065;4691717;4691718</vt:lpwstr>
  </property>
  <property fmtid="{D5CDD505-2E9C-101B-9397-08002B2CF9AE}" pid="71" name="LAWLISTTMP1">
    <vt:lpwstr>70301/144.a;340a;040i;040f;040g</vt:lpwstr>
  </property>
</Properties>
</file>