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tbl>
      <w:tblPr>
        <w:bidiVisual/>
        <w:tblW w:w="0" w:type="auto"/>
        <w:jc w:val="center"/>
        <w:tblLook w:val="0000" w:firstRow="0" w:lastRow="0" w:firstColumn="0" w:lastColumn="0" w:noHBand="0" w:noVBand="0"/>
      </w:tblPr>
      <w:tblGrid>
        <w:gridCol w:w="5049"/>
        <w:gridCol w:w="3672"/>
      </w:tblGrid>
      <w:tr w:rsidR="004406D8" w:rsidRPr="00365F51" w14:paraId="3012EF95" w14:textId="77777777">
        <w:trPr>
          <w:trHeight w:hRule="exact" w:val="418"/>
          <w:jc w:val="center"/>
        </w:trPr>
        <w:tc>
          <w:tcPr>
            <w:tcW w:w="8721" w:type="dxa"/>
            <w:gridSpan w:val="2"/>
          </w:tcPr>
          <w:p w14:paraId="46C2891D" w14:textId="77777777" w:rsidR="004406D8" w:rsidRPr="00365F51" w:rsidRDefault="00365F51">
            <w:pPr>
              <w:pStyle w:val="a3"/>
              <w:jc w:val="center"/>
              <w:rPr>
                <w:rFonts w:ascii="Tahoma" w:hAnsi="Tahoma" w:cs="Tahoma"/>
                <w:color w:val="000080"/>
                <w:rtl/>
              </w:rPr>
            </w:pPr>
            <w:r w:rsidRPr="00365F51">
              <w:rPr>
                <w:rFonts w:ascii="Tahoma" w:hAnsi="Tahoma" w:cs="Tahoma"/>
                <w:b/>
                <w:bCs/>
                <w:color w:val="000080"/>
                <w:rtl/>
              </w:rPr>
              <w:t>בית המשפט המחוזי בחיפה</w:t>
            </w:r>
          </w:p>
        </w:tc>
      </w:tr>
      <w:tr w:rsidR="004406D8" w:rsidRPr="00365F51" w14:paraId="24EE7B64" w14:textId="77777777">
        <w:trPr>
          <w:trHeight w:val="337"/>
          <w:jc w:val="center"/>
        </w:trPr>
        <w:tc>
          <w:tcPr>
            <w:tcW w:w="5049" w:type="dxa"/>
          </w:tcPr>
          <w:p w14:paraId="617DFCFF" w14:textId="77777777" w:rsidR="004406D8" w:rsidRPr="00365F51" w:rsidRDefault="00365F51">
            <w:r w:rsidRPr="00365F51">
              <w:rPr>
                <w:rtl/>
              </w:rPr>
              <w:t>ת"פ</w:t>
            </w:r>
            <w:r w:rsidRPr="00365F51">
              <w:rPr>
                <w:rFonts w:hint="cs"/>
                <w:rtl/>
              </w:rPr>
              <w:t xml:space="preserve"> </w:t>
            </w:r>
            <w:r w:rsidRPr="00365F51">
              <w:rPr>
                <w:rtl/>
              </w:rPr>
              <w:t>14266-05-12</w:t>
            </w:r>
            <w:r w:rsidRPr="00365F51">
              <w:rPr>
                <w:rFonts w:hint="cs"/>
                <w:rtl/>
              </w:rPr>
              <w:t xml:space="preserve"> </w:t>
            </w:r>
            <w:r w:rsidRPr="00365F51">
              <w:rPr>
                <w:rtl/>
              </w:rPr>
              <w:t>מדינת ישראל נ' עיאשה</w:t>
            </w:r>
          </w:p>
        </w:tc>
        <w:tc>
          <w:tcPr>
            <w:tcW w:w="3672" w:type="dxa"/>
          </w:tcPr>
          <w:p w14:paraId="395FA29F" w14:textId="77777777" w:rsidR="004406D8" w:rsidRPr="00365F51" w:rsidRDefault="00365F51">
            <w:pPr>
              <w:pStyle w:val="a3"/>
              <w:jc w:val="center"/>
              <w:rPr>
                <w:rFonts w:cs="FrankRuehl"/>
                <w:sz w:val="28"/>
                <w:szCs w:val="28"/>
                <w:rtl/>
              </w:rPr>
            </w:pPr>
            <w:r w:rsidRPr="00365F51">
              <w:rPr>
                <w:rFonts w:cs="FrankRuehl"/>
              </w:rPr>
              <w:t>29</w:t>
            </w:r>
            <w:r w:rsidRPr="00365F51">
              <w:rPr>
                <w:rFonts w:cs="FrankRuehl" w:hint="cs"/>
                <w:rtl/>
              </w:rPr>
              <w:t xml:space="preserve"> בינואר</w:t>
            </w:r>
            <w:r w:rsidRPr="00365F51">
              <w:rPr>
                <w:rFonts w:cs="FrankRuehl"/>
                <w:rtl/>
              </w:rPr>
              <w:t xml:space="preserve"> 2013</w:t>
            </w:r>
          </w:p>
        </w:tc>
      </w:tr>
    </w:tbl>
    <w:p w14:paraId="6C0065B2" w14:textId="77777777" w:rsidR="004406D8" w:rsidRPr="00365F51" w:rsidRDefault="00365F51">
      <w:pPr>
        <w:pStyle w:val="a3"/>
        <w:rPr>
          <w:rtl/>
        </w:rPr>
      </w:pPr>
      <w:r w:rsidRPr="00365F51">
        <w:rPr>
          <w:rFonts w:hint="cs"/>
          <w:rtl/>
        </w:rPr>
        <w:t xml:space="preserve"> </w:t>
      </w: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923"/>
        <w:gridCol w:w="4126"/>
        <w:gridCol w:w="3771"/>
      </w:tblGrid>
      <w:tr w:rsidR="004406D8" w:rsidRPr="00365F51" w14:paraId="377C9805" w14:textId="77777777">
        <w:trPr>
          <w:trHeight w:val="295"/>
          <w:jc w:val="center"/>
        </w:trPr>
        <w:tc>
          <w:tcPr>
            <w:tcW w:w="923" w:type="dxa"/>
            <w:tcBorders>
              <w:top w:val="nil"/>
              <w:left w:val="nil"/>
              <w:bottom w:val="nil"/>
              <w:right w:val="nil"/>
            </w:tcBorders>
          </w:tcPr>
          <w:p w14:paraId="664A4A9C" w14:textId="77777777" w:rsidR="004406D8" w:rsidRPr="00365F51" w:rsidRDefault="00365F51">
            <w:pPr>
              <w:jc w:val="both"/>
              <w:rPr>
                <w:rFonts w:ascii="Arial" w:hAnsi="Arial"/>
                <w:b/>
                <w:bCs/>
              </w:rPr>
            </w:pPr>
            <w:r w:rsidRPr="00365F51">
              <w:rPr>
                <w:rFonts w:hint="cs"/>
                <w:rtl/>
              </w:rPr>
              <w:t xml:space="preserve"> </w:t>
            </w:r>
            <w:bookmarkStart w:id="0" w:name="_GoBack"/>
            <w:bookmarkEnd w:id="0"/>
            <w:r w:rsidRPr="00365F51">
              <w:rPr>
                <w:rFonts w:ascii="Arial" w:hAnsi="Arial" w:hint="cs"/>
                <w:b/>
                <w:bCs/>
                <w:rtl/>
              </w:rPr>
              <w:t>ב</w:t>
            </w:r>
            <w:r w:rsidRPr="00365F51">
              <w:rPr>
                <w:rFonts w:ascii="Arial" w:hAnsi="Arial"/>
                <w:b/>
                <w:bCs/>
                <w:rtl/>
              </w:rPr>
              <w:t xml:space="preserve">פני </w:t>
            </w:r>
          </w:p>
        </w:tc>
        <w:tc>
          <w:tcPr>
            <w:tcW w:w="7897" w:type="dxa"/>
            <w:gridSpan w:val="2"/>
            <w:tcBorders>
              <w:top w:val="nil"/>
              <w:left w:val="nil"/>
              <w:bottom w:val="nil"/>
              <w:right w:val="nil"/>
            </w:tcBorders>
          </w:tcPr>
          <w:p w14:paraId="4B1D20B5" w14:textId="77777777" w:rsidR="004406D8" w:rsidRPr="00365F51" w:rsidRDefault="00365F51">
            <w:pPr>
              <w:jc w:val="both"/>
              <w:rPr>
                <w:rFonts w:ascii="Arial" w:hAnsi="Arial"/>
                <w:b/>
                <w:bCs/>
              </w:rPr>
            </w:pPr>
            <w:r w:rsidRPr="00365F51">
              <w:rPr>
                <w:rFonts w:hint="cs"/>
                <w:b/>
                <w:bCs/>
                <w:rtl/>
              </w:rPr>
              <w:t>סגן הנשיא השופט אילן שיף</w:t>
            </w:r>
          </w:p>
        </w:tc>
      </w:tr>
      <w:tr w:rsidR="004406D8" w:rsidRPr="00365F51" w14:paraId="56457F7D" w14:textId="77777777">
        <w:trPr>
          <w:trHeight w:val="355"/>
          <w:jc w:val="center"/>
        </w:trPr>
        <w:tc>
          <w:tcPr>
            <w:tcW w:w="923" w:type="dxa"/>
            <w:tcBorders>
              <w:top w:val="nil"/>
              <w:left w:val="nil"/>
              <w:bottom w:val="nil"/>
              <w:right w:val="nil"/>
            </w:tcBorders>
          </w:tcPr>
          <w:p w14:paraId="41E0D09B" w14:textId="77777777" w:rsidR="004406D8" w:rsidRPr="00365F51" w:rsidRDefault="004406D8">
            <w:pPr>
              <w:jc w:val="both"/>
              <w:rPr>
                <w:rFonts w:ascii="Arial" w:hAnsi="Arial"/>
                <w:b/>
                <w:bCs/>
                <w:rtl/>
              </w:rPr>
            </w:pPr>
            <w:bookmarkStart w:id="1" w:name="FirstAppellant"/>
            <w:bookmarkStart w:id="2" w:name="LastJudge"/>
            <w:bookmarkEnd w:id="2"/>
          </w:p>
          <w:p w14:paraId="68AFAD83" w14:textId="77777777" w:rsidR="004406D8" w:rsidRPr="00365F51" w:rsidRDefault="00365F51">
            <w:pPr>
              <w:jc w:val="both"/>
              <w:rPr>
                <w:rFonts w:ascii="Arial" w:hAnsi="Arial"/>
                <w:b/>
                <w:bCs/>
              </w:rPr>
            </w:pPr>
            <w:r w:rsidRPr="00365F51">
              <w:rPr>
                <w:rFonts w:ascii="Arial" w:hAnsi="Arial" w:hint="cs"/>
                <w:b/>
                <w:bCs/>
                <w:rtl/>
              </w:rPr>
              <w:t>בעניין:</w:t>
            </w:r>
          </w:p>
        </w:tc>
        <w:tc>
          <w:tcPr>
            <w:tcW w:w="4126" w:type="dxa"/>
            <w:tcBorders>
              <w:top w:val="nil"/>
              <w:left w:val="nil"/>
              <w:bottom w:val="nil"/>
              <w:right w:val="nil"/>
            </w:tcBorders>
          </w:tcPr>
          <w:p w14:paraId="36A06750" w14:textId="77777777" w:rsidR="004406D8" w:rsidRPr="00365F51" w:rsidRDefault="004406D8">
            <w:pPr>
              <w:jc w:val="both"/>
              <w:rPr>
                <w:rFonts w:ascii="Arial" w:hAnsi="Arial"/>
                <w:b/>
                <w:bCs/>
                <w:rtl/>
              </w:rPr>
            </w:pPr>
          </w:p>
          <w:p w14:paraId="42A8310B" w14:textId="77777777" w:rsidR="004406D8" w:rsidRPr="00365F51" w:rsidRDefault="00365F51">
            <w:pPr>
              <w:rPr>
                <w:b/>
                <w:bCs/>
                <w:rtl/>
              </w:rPr>
            </w:pPr>
            <w:r w:rsidRPr="00365F51">
              <w:rPr>
                <w:rFonts w:hint="cs"/>
                <w:b/>
                <w:bCs/>
                <w:rtl/>
              </w:rPr>
              <w:t>מדינת ישראל</w:t>
            </w:r>
          </w:p>
          <w:p w14:paraId="496E49B0" w14:textId="77777777" w:rsidR="004406D8" w:rsidRPr="00365F51" w:rsidRDefault="00365F51">
            <w:pPr>
              <w:rPr>
                <w:b/>
                <w:bCs/>
                <w:rtl/>
              </w:rPr>
            </w:pPr>
            <w:r w:rsidRPr="00365F51">
              <w:rPr>
                <w:rFonts w:hint="cs"/>
                <w:b/>
                <w:bCs/>
                <w:rtl/>
              </w:rPr>
              <w:t xml:space="preserve">ע"י פמ"ח </w:t>
            </w:r>
            <w:r w:rsidRPr="00365F51">
              <w:rPr>
                <w:b/>
                <w:bCs/>
                <w:rtl/>
              </w:rPr>
              <w:t>–</w:t>
            </w:r>
            <w:r w:rsidRPr="00365F51">
              <w:rPr>
                <w:rFonts w:hint="cs"/>
                <w:b/>
                <w:bCs/>
                <w:rtl/>
              </w:rPr>
              <w:t xml:space="preserve"> עו"ד עלית אפשטיין </w:t>
            </w:r>
          </w:p>
        </w:tc>
        <w:tc>
          <w:tcPr>
            <w:tcW w:w="3771" w:type="dxa"/>
            <w:tcBorders>
              <w:top w:val="nil"/>
              <w:left w:val="nil"/>
              <w:bottom w:val="nil"/>
              <w:right w:val="nil"/>
            </w:tcBorders>
          </w:tcPr>
          <w:p w14:paraId="270DC4D9" w14:textId="77777777" w:rsidR="004406D8" w:rsidRPr="00365F51" w:rsidRDefault="004406D8">
            <w:pPr>
              <w:jc w:val="both"/>
              <w:rPr>
                <w:rFonts w:ascii="Arial" w:hAnsi="Arial"/>
                <w:b/>
                <w:bCs/>
              </w:rPr>
            </w:pPr>
          </w:p>
        </w:tc>
      </w:tr>
      <w:bookmarkEnd w:id="1"/>
      <w:tr w:rsidR="004406D8" w:rsidRPr="00365F51" w14:paraId="37CCE2A8" w14:textId="77777777">
        <w:trPr>
          <w:trHeight w:val="355"/>
          <w:jc w:val="center"/>
        </w:trPr>
        <w:tc>
          <w:tcPr>
            <w:tcW w:w="923" w:type="dxa"/>
            <w:tcBorders>
              <w:top w:val="nil"/>
              <w:left w:val="nil"/>
              <w:bottom w:val="nil"/>
              <w:right w:val="nil"/>
            </w:tcBorders>
          </w:tcPr>
          <w:p w14:paraId="4338C344" w14:textId="77777777" w:rsidR="004406D8" w:rsidRPr="00365F51" w:rsidRDefault="004406D8">
            <w:pPr>
              <w:jc w:val="both"/>
              <w:rPr>
                <w:rFonts w:ascii="Arial" w:hAnsi="Arial"/>
                <w:b/>
                <w:bCs/>
                <w:rtl/>
              </w:rPr>
            </w:pPr>
          </w:p>
        </w:tc>
        <w:tc>
          <w:tcPr>
            <w:tcW w:w="4126" w:type="dxa"/>
            <w:tcBorders>
              <w:top w:val="nil"/>
              <w:left w:val="nil"/>
              <w:bottom w:val="nil"/>
              <w:right w:val="nil"/>
            </w:tcBorders>
          </w:tcPr>
          <w:p w14:paraId="73A7CDE8" w14:textId="77777777" w:rsidR="004406D8" w:rsidRPr="00365F51" w:rsidRDefault="004406D8">
            <w:pPr>
              <w:jc w:val="both"/>
              <w:rPr>
                <w:b/>
                <w:bCs/>
                <w:rtl/>
              </w:rPr>
            </w:pPr>
          </w:p>
        </w:tc>
        <w:tc>
          <w:tcPr>
            <w:tcW w:w="3771" w:type="dxa"/>
            <w:tcBorders>
              <w:top w:val="nil"/>
              <w:left w:val="nil"/>
              <w:bottom w:val="nil"/>
              <w:right w:val="nil"/>
            </w:tcBorders>
          </w:tcPr>
          <w:p w14:paraId="0793450E" w14:textId="77777777" w:rsidR="004406D8" w:rsidRPr="00365F51" w:rsidRDefault="00365F51">
            <w:pPr>
              <w:jc w:val="right"/>
              <w:rPr>
                <w:rFonts w:ascii="Arial" w:hAnsi="Arial"/>
                <w:b/>
                <w:bCs/>
                <w:rtl/>
              </w:rPr>
            </w:pPr>
            <w:r w:rsidRPr="00365F51">
              <w:rPr>
                <w:rFonts w:ascii="Arial" w:hAnsi="Arial" w:hint="cs"/>
                <w:b/>
                <w:bCs/>
                <w:rtl/>
              </w:rPr>
              <w:t>ה</w:t>
            </w:r>
            <w:r w:rsidRPr="00365F51">
              <w:rPr>
                <w:rFonts w:hint="cs"/>
                <w:b/>
                <w:bCs/>
                <w:rtl/>
              </w:rPr>
              <w:t>מאשימה</w:t>
            </w:r>
          </w:p>
        </w:tc>
      </w:tr>
      <w:tr w:rsidR="004406D8" w:rsidRPr="00365F51" w14:paraId="5BC498F4" w14:textId="77777777">
        <w:trPr>
          <w:trHeight w:val="355"/>
          <w:jc w:val="center"/>
        </w:trPr>
        <w:tc>
          <w:tcPr>
            <w:tcW w:w="923" w:type="dxa"/>
            <w:tcBorders>
              <w:top w:val="nil"/>
              <w:left w:val="nil"/>
              <w:bottom w:val="nil"/>
              <w:right w:val="nil"/>
            </w:tcBorders>
          </w:tcPr>
          <w:p w14:paraId="4A202631" w14:textId="77777777" w:rsidR="004406D8" w:rsidRPr="00365F51" w:rsidRDefault="004406D8">
            <w:pPr>
              <w:jc w:val="both"/>
              <w:rPr>
                <w:rFonts w:ascii="Arial" w:hAnsi="Arial"/>
                <w:b/>
                <w:bCs/>
                <w:rtl/>
              </w:rPr>
            </w:pPr>
          </w:p>
        </w:tc>
        <w:tc>
          <w:tcPr>
            <w:tcW w:w="7897" w:type="dxa"/>
            <w:gridSpan w:val="2"/>
            <w:tcBorders>
              <w:top w:val="nil"/>
              <w:left w:val="nil"/>
              <w:bottom w:val="nil"/>
              <w:right w:val="nil"/>
            </w:tcBorders>
          </w:tcPr>
          <w:p w14:paraId="4E65F380" w14:textId="77777777" w:rsidR="004406D8" w:rsidRPr="00365F51" w:rsidRDefault="004406D8">
            <w:pPr>
              <w:jc w:val="center"/>
              <w:rPr>
                <w:rFonts w:ascii="Arial" w:hAnsi="Arial"/>
                <w:b/>
                <w:bCs/>
                <w:rtl/>
              </w:rPr>
            </w:pPr>
          </w:p>
          <w:p w14:paraId="383B5D34" w14:textId="77777777" w:rsidR="004406D8" w:rsidRPr="00365F51" w:rsidRDefault="00365F51">
            <w:pPr>
              <w:jc w:val="center"/>
              <w:rPr>
                <w:rFonts w:ascii="Arial" w:hAnsi="Arial"/>
                <w:b/>
                <w:bCs/>
                <w:rtl/>
              </w:rPr>
            </w:pPr>
            <w:r w:rsidRPr="00365F51">
              <w:rPr>
                <w:rFonts w:ascii="Arial" w:hAnsi="Arial"/>
                <w:b/>
                <w:bCs/>
                <w:rtl/>
              </w:rPr>
              <w:t>נגד</w:t>
            </w:r>
          </w:p>
          <w:p w14:paraId="5873565A" w14:textId="77777777" w:rsidR="004406D8" w:rsidRPr="00365F51" w:rsidRDefault="004406D8">
            <w:pPr>
              <w:jc w:val="both"/>
              <w:rPr>
                <w:rFonts w:ascii="Arial" w:hAnsi="Arial"/>
                <w:b/>
                <w:bCs/>
              </w:rPr>
            </w:pPr>
          </w:p>
        </w:tc>
      </w:tr>
      <w:tr w:rsidR="004406D8" w:rsidRPr="00365F51" w14:paraId="58465464" w14:textId="77777777">
        <w:trPr>
          <w:trHeight w:val="355"/>
          <w:jc w:val="center"/>
        </w:trPr>
        <w:tc>
          <w:tcPr>
            <w:tcW w:w="923" w:type="dxa"/>
            <w:tcBorders>
              <w:top w:val="nil"/>
              <w:left w:val="nil"/>
              <w:bottom w:val="nil"/>
              <w:right w:val="nil"/>
            </w:tcBorders>
          </w:tcPr>
          <w:p w14:paraId="202CB5D0" w14:textId="77777777" w:rsidR="004406D8" w:rsidRPr="00365F51" w:rsidRDefault="004406D8">
            <w:pPr>
              <w:jc w:val="both"/>
              <w:rPr>
                <w:rFonts w:ascii="Arial" w:hAnsi="Arial"/>
                <w:b/>
                <w:bCs/>
                <w:rtl/>
              </w:rPr>
            </w:pPr>
          </w:p>
        </w:tc>
        <w:tc>
          <w:tcPr>
            <w:tcW w:w="4126" w:type="dxa"/>
            <w:tcBorders>
              <w:top w:val="nil"/>
              <w:left w:val="nil"/>
              <w:bottom w:val="nil"/>
              <w:right w:val="nil"/>
            </w:tcBorders>
          </w:tcPr>
          <w:p w14:paraId="6E47B8FD" w14:textId="77777777" w:rsidR="004406D8" w:rsidRPr="00365F51" w:rsidRDefault="00365F51">
            <w:pPr>
              <w:jc w:val="both"/>
              <w:rPr>
                <w:b/>
                <w:bCs/>
                <w:rtl/>
              </w:rPr>
            </w:pPr>
            <w:r w:rsidRPr="00365F51">
              <w:rPr>
                <w:rFonts w:hint="cs"/>
                <w:b/>
                <w:bCs/>
                <w:rtl/>
              </w:rPr>
              <w:t>חמודה עיאשה</w:t>
            </w:r>
          </w:p>
        </w:tc>
        <w:tc>
          <w:tcPr>
            <w:tcW w:w="3771" w:type="dxa"/>
            <w:tcBorders>
              <w:top w:val="nil"/>
              <w:left w:val="nil"/>
              <w:bottom w:val="nil"/>
              <w:right w:val="nil"/>
            </w:tcBorders>
          </w:tcPr>
          <w:p w14:paraId="5090A63D" w14:textId="77777777" w:rsidR="004406D8" w:rsidRPr="00365F51" w:rsidRDefault="004406D8">
            <w:pPr>
              <w:jc w:val="right"/>
              <w:rPr>
                <w:rFonts w:ascii="Arial" w:hAnsi="Arial"/>
                <w:b/>
                <w:bCs/>
              </w:rPr>
            </w:pPr>
          </w:p>
        </w:tc>
      </w:tr>
      <w:tr w:rsidR="004406D8" w:rsidRPr="00365F51" w14:paraId="60AA9406" w14:textId="77777777">
        <w:trPr>
          <w:trHeight w:val="355"/>
          <w:jc w:val="center"/>
        </w:trPr>
        <w:tc>
          <w:tcPr>
            <w:tcW w:w="923" w:type="dxa"/>
            <w:tcBorders>
              <w:top w:val="nil"/>
              <w:left w:val="nil"/>
              <w:bottom w:val="nil"/>
              <w:right w:val="nil"/>
            </w:tcBorders>
          </w:tcPr>
          <w:p w14:paraId="1D205F31" w14:textId="77777777" w:rsidR="004406D8" w:rsidRPr="00365F51" w:rsidRDefault="004406D8">
            <w:pPr>
              <w:jc w:val="both"/>
              <w:rPr>
                <w:rFonts w:ascii="Arial" w:hAnsi="Arial"/>
                <w:b/>
                <w:bCs/>
                <w:rtl/>
              </w:rPr>
            </w:pPr>
            <w:bookmarkStart w:id="3" w:name="FirstLawyer"/>
          </w:p>
        </w:tc>
        <w:tc>
          <w:tcPr>
            <w:tcW w:w="4126" w:type="dxa"/>
            <w:tcBorders>
              <w:top w:val="nil"/>
              <w:left w:val="nil"/>
              <w:bottom w:val="nil"/>
              <w:right w:val="nil"/>
            </w:tcBorders>
          </w:tcPr>
          <w:p w14:paraId="7DF08CA0" w14:textId="77777777" w:rsidR="004406D8" w:rsidRPr="00365F51" w:rsidRDefault="00365F51">
            <w:pPr>
              <w:jc w:val="both"/>
              <w:rPr>
                <w:b/>
                <w:bCs/>
                <w:rtl/>
              </w:rPr>
            </w:pPr>
            <w:r w:rsidRPr="00365F51">
              <w:rPr>
                <w:rFonts w:hint="cs"/>
                <w:b/>
                <w:bCs/>
                <w:rtl/>
              </w:rPr>
              <w:t>ע"י ב"כ עו"ד מיכאל כרמל</w:t>
            </w:r>
          </w:p>
        </w:tc>
        <w:tc>
          <w:tcPr>
            <w:tcW w:w="3771" w:type="dxa"/>
            <w:tcBorders>
              <w:top w:val="nil"/>
              <w:left w:val="nil"/>
              <w:bottom w:val="nil"/>
              <w:right w:val="nil"/>
            </w:tcBorders>
          </w:tcPr>
          <w:p w14:paraId="104FCE50" w14:textId="77777777" w:rsidR="004406D8" w:rsidRPr="00365F51" w:rsidRDefault="00365F51">
            <w:pPr>
              <w:jc w:val="right"/>
              <w:rPr>
                <w:rFonts w:ascii="Arial" w:hAnsi="Arial"/>
                <w:b/>
                <w:bCs/>
              </w:rPr>
            </w:pPr>
            <w:r w:rsidRPr="00365F51">
              <w:rPr>
                <w:rFonts w:ascii="Arial" w:hAnsi="Arial" w:hint="cs"/>
                <w:b/>
                <w:bCs/>
                <w:rtl/>
              </w:rPr>
              <w:t>הנאשם</w:t>
            </w:r>
          </w:p>
        </w:tc>
      </w:tr>
    </w:tbl>
    <w:p w14:paraId="0AFD9688" w14:textId="77777777" w:rsidR="00613EF6" w:rsidRDefault="00613EF6">
      <w:pPr>
        <w:rPr>
          <w:rFonts w:ascii="Arial" w:hAnsi="Arial" w:cs="FrankRuehl"/>
          <w:sz w:val="28"/>
          <w:szCs w:val="28"/>
          <w:rtl/>
        </w:rPr>
      </w:pPr>
      <w:bookmarkStart w:id="4" w:name="LawTable"/>
      <w:bookmarkEnd w:id="3"/>
      <w:bookmarkEnd w:id="4"/>
    </w:p>
    <w:p w14:paraId="3D84858C" w14:textId="77777777" w:rsidR="00613EF6" w:rsidRPr="00613EF6" w:rsidRDefault="00613EF6" w:rsidP="00613EF6">
      <w:pPr>
        <w:spacing w:after="120" w:line="240" w:lineRule="exact"/>
        <w:ind w:left="283" w:hanging="283"/>
        <w:jc w:val="both"/>
        <w:rPr>
          <w:rFonts w:ascii="FrankRuehl" w:hAnsi="FrankRuehl" w:cs="FrankRuehl"/>
          <w:rtl/>
        </w:rPr>
      </w:pPr>
    </w:p>
    <w:p w14:paraId="200410CC" w14:textId="77777777" w:rsidR="00613EF6" w:rsidRPr="00613EF6" w:rsidRDefault="00613EF6" w:rsidP="00613EF6">
      <w:pPr>
        <w:spacing w:after="120" w:line="240" w:lineRule="exact"/>
        <w:ind w:left="283" w:hanging="283"/>
        <w:jc w:val="both"/>
        <w:rPr>
          <w:rFonts w:ascii="FrankRuehl" w:hAnsi="FrankRuehl" w:cs="FrankRuehl"/>
          <w:rtl/>
        </w:rPr>
      </w:pPr>
      <w:r w:rsidRPr="00613EF6">
        <w:rPr>
          <w:rFonts w:ascii="FrankRuehl" w:hAnsi="FrankRuehl" w:cs="FrankRuehl"/>
          <w:rtl/>
        </w:rPr>
        <w:t xml:space="preserve">חקיקה שאוזכרה: </w:t>
      </w:r>
    </w:p>
    <w:p w14:paraId="570519C8" w14:textId="77777777" w:rsidR="00613EF6" w:rsidRPr="00613EF6" w:rsidRDefault="00613EF6" w:rsidP="00613EF6">
      <w:pPr>
        <w:spacing w:after="120" w:line="240" w:lineRule="exact"/>
        <w:ind w:left="283" w:hanging="283"/>
        <w:jc w:val="both"/>
        <w:rPr>
          <w:rFonts w:ascii="FrankRuehl" w:hAnsi="FrankRuehl" w:cs="FrankRuehl"/>
          <w:rtl/>
        </w:rPr>
      </w:pPr>
      <w:hyperlink r:id="rId7" w:history="1">
        <w:r w:rsidRPr="00613EF6">
          <w:rPr>
            <w:rFonts w:ascii="FrankRuehl" w:hAnsi="FrankRuehl" w:cs="FrankRuehl"/>
            <w:color w:val="0000FF"/>
            <w:u w:val="single"/>
            <w:rtl/>
          </w:rPr>
          <w:t>חוק העונשין, תשל"ז-1977</w:t>
        </w:r>
      </w:hyperlink>
      <w:r w:rsidRPr="00613EF6">
        <w:rPr>
          <w:rFonts w:ascii="FrankRuehl" w:hAnsi="FrankRuehl" w:cs="FrankRuehl"/>
          <w:rtl/>
        </w:rPr>
        <w:t xml:space="preserve">: סע'  </w:t>
      </w:r>
      <w:hyperlink r:id="rId8" w:history="1">
        <w:r w:rsidRPr="00613EF6">
          <w:rPr>
            <w:rFonts w:ascii="FrankRuehl" w:hAnsi="FrankRuehl" w:cs="FrankRuehl"/>
            <w:color w:val="0000FF"/>
            <w:u w:val="single"/>
            <w:rtl/>
          </w:rPr>
          <w:t>29</w:t>
        </w:r>
      </w:hyperlink>
      <w:r w:rsidRPr="00613EF6">
        <w:rPr>
          <w:rFonts w:ascii="FrankRuehl" w:hAnsi="FrankRuehl" w:cs="FrankRuehl"/>
          <w:rtl/>
        </w:rPr>
        <w:t xml:space="preserve">, </w:t>
      </w:r>
      <w:hyperlink r:id="rId9" w:history="1">
        <w:r w:rsidRPr="00613EF6">
          <w:rPr>
            <w:rFonts w:ascii="FrankRuehl" w:hAnsi="FrankRuehl" w:cs="FrankRuehl"/>
            <w:color w:val="0000FF"/>
            <w:u w:val="single"/>
            <w:rtl/>
          </w:rPr>
          <w:t>144(א)</w:t>
        </w:r>
      </w:hyperlink>
      <w:r w:rsidRPr="00613EF6">
        <w:rPr>
          <w:rFonts w:ascii="FrankRuehl" w:hAnsi="FrankRuehl" w:cs="FrankRuehl"/>
          <w:rtl/>
        </w:rPr>
        <w:t xml:space="preserve">, </w:t>
      </w:r>
      <w:hyperlink r:id="rId10" w:history="1">
        <w:r w:rsidRPr="00613EF6">
          <w:rPr>
            <w:rFonts w:ascii="FrankRuehl" w:hAnsi="FrankRuehl" w:cs="FrankRuehl"/>
            <w:color w:val="0000FF"/>
            <w:u w:val="single"/>
            <w:rtl/>
          </w:rPr>
          <w:t>(ב)</w:t>
        </w:r>
      </w:hyperlink>
      <w:r w:rsidRPr="00613EF6">
        <w:rPr>
          <w:rFonts w:ascii="FrankRuehl" w:hAnsi="FrankRuehl" w:cs="FrankRuehl"/>
          <w:rtl/>
        </w:rPr>
        <w:t xml:space="preserve">, </w:t>
      </w:r>
      <w:hyperlink r:id="rId11" w:history="1">
        <w:r w:rsidRPr="00613EF6">
          <w:rPr>
            <w:rFonts w:ascii="FrankRuehl" w:hAnsi="FrankRuehl" w:cs="FrankRuehl"/>
            <w:color w:val="0000FF"/>
            <w:u w:val="single"/>
            <w:rtl/>
          </w:rPr>
          <w:t>238</w:t>
        </w:r>
      </w:hyperlink>
      <w:r w:rsidRPr="00613EF6">
        <w:rPr>
          <w:rFonts w:ascii="FrankRuehl" w:hAnsi="FrankRuehl" w:cs="FrankRuehl"/>
          <w:rtl/>
        </w:rPr>
        <w:t xml:space="preserve">, </w:t>
      </w:r>
      <w:hyperlink r:id="rId12" w:history="1">
        <w:r w:rsidRPr="00613EF6">
          <w:rPr>
            <w:rFonts w:ascii="FrankRuehl" w:hAnsi="FrankRuehl" w:cs="FrankRuehl"/>
            <w:color w:val="0000FF"/>
            <w:u w:val="single"/>
            <w:rtl/>
          </w:rPr>
          <w:t>243</w:t>
        </w:r>
      </w:hyperlink>
      <w:r w:rsidRPr="00613EF6">
        <w:rPr>
          <w:rFonts w:ascii="FrankRuehl" w:hAnsi="FrankRuehl" w:cs="FrankRuehl"/>
          <w:rtl/>
        </w:rPr>
        <w:t xml:space="preserve">, </w:t>
      </w:r>
      <w:hyperlink r:id="rId13" w:history="1">
        <w:r w:rsidRPr="00613EF6">
          <w:rPr>
            <w:rFonts w:ascii="FrankRuehl" w:hAnsi="FrankRuehl" w:cs="FrankRuehl"/>
            <w:color w:val="0000FF"/>
            <w:u w:val="single"/>
            <w:rtl/>
          </w:rPr>
          <w:t>499</w:t>
        </w:r>
      </w:hyperlink>
    </w:p>
    <w:p w14:paraId="79BAE5EB" w14:textId="77777777" w:rsidR="00613EF6" w:rsidRPr="00613EF6" w:rsidRDefault="00613EF6" w:rsidP="00613EF6">
      <w:pPr>
        <w:spacing w:after="120" w:line="240" w:lineRule="exact"/>
        <w:ind w:left="283" w:hanging="283"/>
        <w:jc w:val="both"/>
        <w:rPr>
          <w:rFonts w:ascii="FrankRuehl" w:hAnsi="FrankRuehl" w:cs="FrankRuehl"/>
          <w:rtl/>
        </w:rPr>
      </w:pPr>
    </w:p>
    <w:p w14:paraId="12136787" w14:textId="77777777" w:rsidR="00613EF6" w:rsidRPr="00613EF6" w:rsidRDefault="00613EF6">
      <w:pPr>
        <w:rPr>
          <w:rFonts w:ascii="Arial" w:hAnsi="Arial" w:cs="FrankRuehl"/>
          <w:sz w:val="28"/>
          <w:szCs w:val="28"/>
          <w:rtl/>
        </w:rPr>
      </w:pPr>
      <w:bookmarkStart w:id="5" w:name="LawTable_End"/>
      <w:bookmarkEnd w:id="5"/>
    </w:p>
    <w:p w14:paraId="0D7762F7" w14:textId="77777777" w:rsidR="00117653" w:rsidRPr="00117653" w:rsidRDefault="00117653">
      <w:pPr>
        <w:rPr>
          <w:rFonts w:ascii="Arial" w:hAnsi="Arial" w:cs="FrankRuehl"/>
          <w:sz w:val="28"/>
          <w:szCs w:val="28"/>
          <w:rtl/>
        </w:rPr>
      </w:pPr>
    </w:p>
    <w:p w14:paraId="381C44B2" w14:textId="77777777" w:rsidR="00117653" w:rsidRPr="00117653" w:rsidRDefault="00117653">
      <w:pPr>
        <w:rPr>
          <w:rFonts w:ascii="Arial" w:hAnsi="Arial" w:cs="FrankRuehl"/>
          <w:sz w:val="28"/>
          <w:szCs w:val="28"/>
          <w:rtl/>
        </w:rPr>
      </w:pPr>
    </w:p>
    <w:p w14:paraId="2F842586" w14:textId="77777777" w:rsidR="004406D8" w:rsidRPr="00117653" w:rsidRDefault="004406D8">
      <w:pPr>
        <w:rPr>
          <w:rFonts w:ascii="Arial" w:hAnsi="Arial" w:cs="FrankRuehl"/>
          <w:sz w:val="28"/>
          <w:szCs w:val="28"/>
          <w:rtl/>
        </w:rPr>
      </w:pPr>
    </w:p>
    <w:tbl>
      <w:tblPr>
        <w:bidiVisual/>
        <w:tblW w:w="882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8820"/>
      </w:tblGrid>
      <w:tr w:rsidR="004406D8" w14:paraId="3A526F6C" w14:textId="77777777">
        <w:trPr>
          <w:trHeight w:val="355"/>
          <w:jc w:val="center"/>
        </w:trPr>
        <w:tc>
          <w:tcPr>
            <w:tcW w:w="8820" w:type="dxa"/>
            <w:tcBorders>
              <w:top w:val="nil"/>
              <w:left w:val="nil"/>
              <w:bottom w:val="nil"/>
              <w:right w:val="nil"/>
            </w:tcBorders>
          </w:tcPr>
          <w:p w14:paraId="7BA05CBE" w14:textId="77777777" w:rsidR="00365F51" w:rsidRPr="00365F51" w:rsidRDefault="00365F51" w:rsidP="00365F51">
            <w:pPr>
              <w:jc w:val="center"/>
              <w:rPr>
                <w:rFonts w:ascii="Arial" w:hAnsi="Arial"/>
                <w:b/>
                <w:bCs/>
                <w:u w:val="single"/>
                <w:rtl/>
              </w:rPr>
            </w:pPr>
            <w:bookmarkStart w:id="6" w:name="PsakDin" w:colFirst="0" w:colLast="0"/>
            <w:r w:rsidRPr="00365F51">
              <w:rPr>
                <w:rFonts w:ascii="Arial" w:hAnsi="Arial"/>
                <w:b/>
                <w:bCs/>
                <w:u w:val="single"/>
                <w:rtl/>
              </w:rPr>
              <w:t>גזר דין</w:t>
            </w:r>
          </w:p>
          <w:p w14:paraId="5212E7C6" w14:textId="77777777" w:rsidR="004406D8" w:rsidRPr="00365F51" w:rsidRDefault="004406D8" w:rsidP="00365F51">
            <w:pPr>
              <w:jc w:val="center"/>
              <w:rPr>
                <w:rFonts w:ascii="Arial" w:hAnsi="Arial"/>
                <w:b/>
                <w:bCs/>
                <w:u w:val="single"/>
                <w:rtl/>
              </w:rPr>
            </w:pPr>
          </w:p>
        </w:tc>
      </w:tr>
      <w:bookmarkEnd w:id="6"/>
    </w:tbl>
    <w:p w14:paraId="07894992" w14:textId="77777777" w:rsidR="004406D8" w:rsidRDefault="004406D8">
      <w:pPr>
        <w:rPr>
          <w:rFonts w:ascii="Arial" w:hAnsi="Arial" w:cs="FrankRuehl"/>
          <w:sz w:val="28"/>
          <w:szCs w:val="28"/>
          <w:rtl/>
        </w:rPr>
      </w:pPr>
    </w:p>
    <w:p w14:paraId="38D81685" w14:textId="77777777" w:rsidR="004406D8" w:rsidRDefault="004406D8">
      <w:pPr>
        <w:spacing w:line="360" w:lineRule="auto"/>
        <w:jc w:val="both"/>
        <w:rPr>
          <w:b/>
          <w:bCs/>
          <w:u w:val="single"/>
          <w:rtl/>
        </w:rPr>
      </w:pPr>
    </w:p>
    <w:p w14:paraId="54E4B3CC" w14:textId="77777777" w:rsidR="004406D8" w:rsidRDefault="00365F51">
      <w:pPr>
        <w:spacing w:line="360" w:lineRule="auto"/>
        <w:ind w:left="720" w:hanging="720"/>
        <w:jc w:val="both"/>
        <w:rPr>
          <w:b/>
          <w:bCs/>
          <w:u w:val="single"/>
          <w:rtl/>
        </w:rPr>
      </w:pPr>
      <w:r>
        <w:rPr>
          <w:b/>
          <w:bCs/>
          <w:rtl/>
        </w:rPr>
        <w:t>א.</w:t>
      </w:r>
      <w:r>
        <w:rPr>
          <w:rFonts w:hint="cs"/>
          <w:b/>
          <w:bCs/>
          <w:rtl/>
        </w:rPr>
        <w:tab/>
      </w:r>
      <w:r>
        <w:rPr>
          <w:b/>
          <w:bCs/>
          <w:u w:val="single"/>
          <w:rtl/>
        </w:rPr>
        <w:t>תמצית הכרעת הדין</w:t>
      </w:r>
    </w:p>
    <w:p w14:paraId="64D27DE3" w14:textId="77777777" w:rsidR="004406D8" w:rsidRDefault="00365F51">
      <w:pPr>
        <w:spacing w:line="360" w:lineRule="auto"/>
        <w:jc w:val="both"/>
        <w:rPr>
          <w:rtl/>
        </w:rPr>
      </w:pPr>
      <w:r>
        <w:rPr>
          <w:rtl/>
        </w:rPr>
        <w:t>בהמשך להודיית הנאשם בעובדות כתב האישום המתוקן במסגרת הסדר טיעון, הרשעתי אותו בעבירות הבאות:</w:t>
      </w:r>
    </w:p>
    <w:p w14:paraId="7A345310" w14:textId="77777777" w:rsidR="004406D8" w:rsidRDefault="00365F51" w:rsidP="00E47908">
      <w:pPr>
        <w:numPr>
          <w:ilvl w:val="0"/>
          <w:numId w:val="2"/>
        </w:numPr>
        <w:spacing w:line="360" w:lineRule="auto"/>
        <w:jc w:val="both"/>
        <w:rPr>
          <w:rtl/>
        </w:rPr>
      </w:pPr>
      <w:bookmarkStart w:id="7" w:name="ABSTRACT_START"/>
      <w:bookmarkEnd w:id="7"/>
      <w:r>
        <w:rPr>
          <w:rtl/>
        </w:rPr>
        <w:t xml:space="preserve">קשר לפשע – עבירה לפי </w:t>
      </w:r>
      <w:hyperlink r:id="rId14" w:history="1">
        <w:r w:rsidR="00613EF6" w:rsidRPr="00613EF6">
          <w:rPr>
            <w:color w:val="0000FF"/>
            <w:u w:val="single"/>
            <w:rtl/>
          </w:rPr>
          <w:t>סעיף 499</w:t>
        </w:r>
      </w:hyperlink>
      <w:r>
        <w:rPr>
          <w:rtl/>
        </w:rPr>
        <w:t xml:space="preserve"> + </w:t>
      </w:r>
      <w:hyperlink r:id="rId15" w:history="1">
        <w:r w:rsidR="00613EF6" w:rsidRPr="00613EF6">
          <w:rPr>
            <w:color w:val="0000FF"/>
            <w:u w:val="single"/>
            <w:rtl/>
          </w:rPr>
          <w:t>29</w:t>
        </w:r>
      </w:hyperlink>
      <w:r>
        <w:rPr>
          <w:rtl/>
        </w:rPr>
        <w:t xml:space="preserve"> ל</w:t>
      </w:r>
      <w:hyperlink r:id="rId16" w:history="1">
        <w:r w:rsidR="00117653" w:rsidRPr="00117653">
          <w:rPr>
            <w:rStyle w:val="Hyperlink"/>
            <w:rtl/>
          </w:rPr>
          <w:t>חוק העונשין</w:t>
        </w:r>
      </w:hyperlink>
      <w:r>
        <w:rPr>
          <w:rtl/>
        </w:rPr>
        <w:t>, התשל"ז- 1977 (להלן:"החוק")</w:t>
      </w:r>
      <w:r>
        <w:rPr>
          <w:rFonts w:hint="cs"/>
          <w:rtl/>
        </w:rPr>
        <w:t>;</w:t>
      </w:r>
    </w:p>
    <w:p w14:paraId="446398B4" w14:textId="77777777" w:rsidR="004406D8" w:rsidRDefault="00365F51" w:rsidP="00E47908">
      <w:pPr>
        <w:numPr>
          <w:ilvl w:val="0"/>
          <w:numId w:val="2"/>
        </w:numPr>
        <w:spacing w:line="360" w:lineRule="auto"/>
        <w:jc w:val="both"/>
        <w:rPr>
          <w:rtl/>
        </w:rPr>
      </w:pPr>
      <w:r>
        <w:rPr>
          <w:rtl/>
        </w:rPr>
        <w:t xml:space="preserve">בידוי ראיות – עבירה לפי </w:t>
      </w:r>
      <w:hyperlink r:id="rId17" w:history="1">
        <w:r w:rsidR="00613EF6" w:rsidRPr="00613EF6">
          <w:rPr>
            <w:color w:val="0000FF"/>
            <w:u w:val="single"/>
            <w:rtl/>
          </w:rPr>
          <w:t>סעיף 238</w:t>
        </w:r>
      </w:hyperlink>
      <w:r>
        <w:rPr>
          <w:rtl/>
        </w:rPr>
        <w:t xml:space="preserve"> + </w:t>
      </w:r>
      <w:hyperlink r:id="rId18" w:history="1">
        <w:r w:rsidR="00613EF6" w:rsidRPr="00613EF6">
          <w:rPr>
            <w:color w:val="0000FF"/>
            <w:u w:val="single"/>
            <w:rtl/>
          </w:rPr>
          <w:t>29</w:t>
        </w:r>
      </w:hyperlink>
      <w:r>
        <w:rPr>
          <w:rtl/>
        </w:rPr>
        <w:t xml:space="preserve"> לחוק</w:t>
      </w:r>
      <w:r>
        <w:rPr>
          <w:rFonts w:hint="cs"/>
          <w:rtl/>
        </w:rPr>
        <w:t>;</w:t>
      </w:r>
    </w:p>
    <w:p w14:paraId="3BE61007" w14:textId="77777777" w:rsidR="004406D8" w:rsidRDefault="00365F51" w:rsidP="00E47908">
      <w:pPr>
        <w:numPr>
          <w:ilvl w:val="0"/>
          <w:numId w:val="2"/>
        </w:numPr>
        <w:spacing w:line="360" w:lineRule="auto"/>
        <w:jc w:val="both"/>
        <w:rPr>
          <w:rtl/>
        </w:rPr>
      </w:pPr>
      <w:r>
        <w:rPr>
          <w:rtl/>
        </w:rPr>
        <w:t xml:space="preserve">ידיעה כוזבת – עבירה לפי </w:t>
      </w:r>
      <w:hyperlink r:id="rId19" w:history="1">
        <w:r w:rsidR="00613EF6" w:rsidRPr="00613EF6">
          <w:rPr>
            <w:color w:val="0000FF"/>
            <w:u w:val="single"/>
            <w:rtl/>
          </w:rPr>
          <w:t>סעיף 243</w:t>
        </w:r>
      </w:hyperlink>
      <w:r>
        <w:rPr>
          <w:rtl/>
        </w:rPr>
        <w:t xml:space="preserve"> + </w:t>
      </w:r>
      <w:hyperlink r:id="rId20" w:history="1">
        <w:r w:rsidR="00613EF6" w:rsidRPr="00613EF6">
          <w:rPr>
            <w:rStyle w:val="Hyperlink"/>
            <w:rtl/>
          </w:rPr>
          <w:t>29</w:t>
        </w:r>
      </w:hyperlink>
      <w:r>
        <w:rPr>
          <w:rtl/>
        </w:rPr>
        <w:t xml:space="preserve"> לחוק</w:t>
      </w:r>
      <w:r>
        <w:rPr>
          <w:rFonts w:hint="cs"/>
          <w:rtl/>
        </w:rPr>
        <w:t>;</w:t>
      </w:r>
    </w:p>
    <w:p w14:paraId="04019FD5" w14:textId="77777777" w:rsidR="004406D8" w:rsidRDefault="00365F51" w:rsidP="00E47908">
      <w:pPr>
        <w:numPr>
          <w:ilvl w:val="0"/>
          <w:numId w:val="2"/>
        </w:numPr>
        <w:spacing w:line="360" w:lineRule="auto"/>
        <w:jc w:val="both"/>
      </w:pPr>
      <w:r>
        <w:rPr>
          <w:rtl/>
        </w:rPr>
        <w:t xml:space="preserve">עבירות בנשק – עבירה לפי </w:t>
      </w:r>
      <w:hyperlink r:id="rId21" w:history="1">
        <w:r w:rsidR="00613EF6" w:rsidRPr="00613EF6">
          <w:rPr>
            <w:rStyle w:val="Hyperlink"/>
            <w:rtl/>
          </w:rPr>
          <w:t>סעיפים 144(א)</w:t>
        </w:r>
      </w:hyperlink>
      <w:r>
        <w:rPr>
          <w:rtl/>
        </w:rPr>
        <w:t xml:space="preserve"> רישא וסיפא + </w:t>
      </w:r>
      <w:hyperlink r:id="rId22" w:history="1">
        <w:r w:rsidR="00613EF6" w:rsidRPr="00613EF6">
          <w:rPr>
            <w:color w:val="0000FF"/>
            <w:u w:val="single"/>
            <w:rtl/>
          </w:rPr>
          <w:t>(ב)</w:t>
        </w:r>
      </w:hyperlink>
      <w:r>
        <w:rPr>
          <w:rtl/>
        </w:rPr>
        <w:t xml:space="preserve"> רישא וסיפא לחוק.</w:t>
      </w:r>
    </w:p>
    <w:p w14:paraId="4D5D6633" w14:textId="77777777" w:rsidR="004406D8" w:rsidRDefault="004406D8">
      <w:pPr>
        <w:spacing w:line="360" w:lineRule="auto"/>
        <w:jc w:val="both"/>
        <w:rPr>
          <w:b/>
          <w:bCs/>
          <w:u w:val="single"/>
          <w:rtl/>
        </w:rPr>
      </w:pPr>
      <w:bookmarkStart w:id="8" w:name="ABSTRACT_END"/>
      <w:bookmarkEnd w:id="8"/>
    </w:p>
    <w:p w14:paraId="132698BC" w14:textId="77777777" w:rsidR="004406D8" w:rsidRDefault="00365F51">
      <w:pPr>
        <w:spacing w:line="360" w:lineRule="auto"/>
        <w:ind w:left="720" w:hanging="720"/>
        <w:jc w:val="both"/>
        <w:rPr>
          <w:b/>
          <w:bCs/>
          <w:u w:val="single"/>
          <w:rtl/>
        </w:rPr>
      </w:pPr>
      <w:r>
        <w:rPr>
          <w:b/>
          <w:bCs/>
          <w:rtl/>
        </w:rPr>
        <w:t>ב.</w:t>
      </w:r>
      <w:r>
        <w:rPr>
          <w:rFonts w:hint="cs"/>
          <w:b/>
          <w:bCs/>
          <w:rtl/>
        </w:rPr>
        <w:tab/>
      </w:r>
      <w:r>
        <w:rPr>
          <w:b/>
          <w:bCs/>
          <w:u w:val="single"/>
          <w:rtl/>
        </w:rPr>
        <w:t>עובדות כתב האישום המתוקן</w:t>
      </w:r>
    </w:p>
    <w:p w14:paraId="4ABE0E7B" w14:textId="77777777" w:rsidR="004406D8" w:rsidRDefault="00365F51">
      <w:pPr>
        <w:spacing w:line="360" w:lineRule="auto"/>
        <w:jc w:val="both"/>
        <w:rPr>
          <w:rtl/>
        </w:rPr>
      </w:pPr>
      <w:r>
        <w:rPr>
          <w:rtl/>
        </w:rPr>
        <w:t xml:space="preserve">הנאשם הינו חברו של מוניר חנג'ר (להלן:"חנג'ר") אשר במועדים הרלוונטיים לכתב האישום עבד כשומר ובמסגרת תפקידו הוא קיבל הרשאה לשאת כלי ירייה מסוג אקדח שבכוחו להמית אדם,  ושתי מחסניות הכוללות 24 כדורים וזאת לצורך מילוי תפקידו בלבד. </w:t>
      </w:r>
    </w:p>
    <w:p w14:paraId="783E68A3" w14:textId="77777777" w:rsidR="004406D8" w:rsidRDefault="004406D8">
      <w:pPr>
        <w:spacing w:line="360" w:lineRule="auto"/>
        <w:jc w:val="both"/>
        <w:rPr>
          <w:rtl/>
        </w:rPr>
      </w:pPr>
    </w:p>
    <w:p w14:paraId="0D411AE5" w14:textId="77777777" w:rsidR="004406D8" w:rsidRDefault="00365F51">
      <w:pPr>
        <w:spacing w:line="360" w:lineRule="auto"/>
        <w:jc w:val="both"/>
        <w:rPr>
          <w:rtl/>
        </w:rPr>
      </w:pPr>
      <w:r>
        <w:rPr>
          <w:rtl/>
        </w:rPr>
        <w:t>ביום 30/4/12, קשרו חנג'ר והנאשם קשר לפיו הנאשם יקבל את הנשק מחנג'ר. בהמשך, ח'נג'ר ימסור למשטרה ידיעה שקרית לפיה הותקף ונשדד על ידי אלמונים ולאחר מכן חנג'ר ימכור את הנשק.</w:t>
      </w:r>
      <w:r>
        <w:rPr>
          <w:rFonts w:hint="cs"/>
          <w:rtl/>
        </w:rPr>
        <w:t xml:space="preserve"> </w:t>
      </w:r>
      <w:r>
        <w:rPr>
          <w:rtl/>
        </w:rPr>
        <w:t>בהתאם לקשר ועל מנת לקדמו, יצר חנג'ר קשר עם הנאשם, השניים סיכמו להיפגש בכביש עכו בסמוך לתחנת דלק סונול.</w:t>
      </w:r>
      <w:r>
        <w:rPr>
          <w:rFonts w:hint="cs"/>
          <w:rtl/>
        </w:rPr>
        <w:t xml:space="preserve"> </w:t>
      </w:r>
      <w:r>
        <w:rPr>
          <w:rtl/>
        </w:rPr>
        <w:t>השניים הגיעו למקום המפגש, חנג'ר ניקב את הגלגל של רכבו שלו, ביקש מהנאשם לשרוט אותו בפניו באמצעות מסמר ולקשור את ידיו לאחור. הנאשם עשה כבקשתו של חנג'ר.</w:t>
      </w:r>
    </w:p>
    <w:p w14:paraId="15B18967" w14:textId="77777777" w:rsidR="004406D8" w:rsidRDefault="00365F51">
      <w:pPr>
        <w:spacing w:line="360" w:lineRule="auto"/>
        <w:jc w:val="both"/>
        <w:rPr>
          <w:rtl/>
        </w:rPr>
      </w:pPr>
      <w:r>
        <w:rPr>
          <w:rtl/>
        </w:rPr>
        <w:t>באותו מעמד, קיבל הנאשם את האקדח, המחסניות והכדורים לידיו, וסיכם עם חנג'ר כי יחזיק בנשק עד שהחקירה המשטרתית, בגין הידיעה השקרית, ת</w:t>
      </w:r>
      <w:r>
        <w:rPr>
          <w:rFonts w:hint="cs"/>
          <w:rtl/>
        </w:rPr>
        <w:t xml:space="preserve">סתיים. </w:t>
      </w:r>
    </w:p>
    <w:p w14:paraId="56F0EF76" w14:textId="77777777" w:rsidR="004406D8" w:rsidRDefault="00365F51">
      <w:pPr>
        <w:spacing w:line="360" w:lineRule="auto"/>
        <w:jc w:val="both"/>
        <w:rPr>
          <w:rtl/>
        </w:rPr>
      </w:pPr>
      <w:r>
        <w:rPr>
          <w:rtl/>
        </w:rPr>
        <w:t xml:space="preserve">הנאשם </w:t>
      </w:r>
      <w:r>
        <w:rPr>
          <w:rFonts w:hint="cs"/>
          <w:rtl/>
        </w:rPr>
        <w:t xml:space="preserve">נשא והוביל את האקדח, המחסניות והכדורים לטמרה, </w:t>
      </w:r>
      <w:r>
        <w:rPr>
          <w:rtl/>
        </w:rPr>
        <w:t>שם הסתיר את האקדח בין העשבים.</w:t>
      </w:r>
    </w:p>
    <w:p w14:paraId="741F60CC" w14:textId="77777777" w:rsidR="004406D8" w:rsidRDefault="00365F51">
      <w:pPr>
        <w:spacing w:line="360" w:lineRule="auto"/>
        <w:jc w:val="both"/>
        <w:rPr>
          <w:rtl/>
        </w:rPr>
      </w:pPr>
      <w:r>
        <w:rPr>
          <w:rtl/>
        </w:rPr>
        <w:t>בהמשך, ולאחר עזיבתו של הנאשם, התקשר חנג'ר למשטרה והודיע בכזב כי הוא הותקף ונשדד על ידי אלמונים, ואף אקדחו נגנב.</w:t>
      </w:r>
    </w:p>
    <w:p w14:paraId="72D177A1" w14:textId="77777777" w:rsidR="004406D8" w:rsidRDefault="004406D8">
      <w:pPr>
        <w:spacing w:line="360" w:lineRule="auto"/>
        <w:jc w:val="both"/>
        <w:rPr>
          <w:rtl/>
        </w:rPr>
      </w:pPr>
    </w:p>
    <w:p w14:paraId="68E74FB3" w14:textId="77777777" w:rsidR="004406D8" w:rsidRDefault="00365F51">
      <w:pPr>
        <w:spacing w:line="360" w:lineRule="auto"/>
        <w:jc w:val="both"/>
        <w:rPr>
          <w:rtl/>
        </w:rPr>
      </w:pPr>
      <w:r>
        <w:rPr>
          <w:rFonts w:hint="cs"/>
          <w:u w:val="single"/>
          <w:rtl/>
        </w:rPr>
        <w:t>ב"כ הצדדים</w:t>
      </w:r>
      <w:r>
        <w:rPr>
          <w:rFonts w:hint="cs"/>
          <w:rtl/>
        </w:rPr>
        <w:t xml:space="preserve"> הביאו לידיעתי, כי חנג'ר נשבר מיד בחקירתו ובעקבות כך החזיר הנאשם, באותו לילה, את הנשק למשטרה. </w:t>
      </w:r>
    </w:p>
    <w:p w14:paraId="0CE97BBE" w14:textId="77777777" w:rsidR="004406D8" w:rsidRDefault="004406D8">
      <w:pPr>
        <w:spacing w:line="360" w:lineRule="auto"/>
        <w:jc w:val="both"/>
        <w:rPr>
          <w:b/>
          <w:bCs/>
          <w:u w:val="single"/>
          <w:rtl/>
        </w:rPr>
      </w:pPr>
    </w:p>
    <w:p w14:paraId="743CE935" w14:textId="77777777" w:rsidR="004406D8" w:rsidRDefault="00365F51">
      <w:pPr>
        <w:spacing w:line="360" w:lineRule="auto"/>
        <w:ind w:left="720" w:hanging="720"/>
        <w:jc w:val="both"/>
        <w:rPr>
          <w:b/>
          <w:bCs/>
          <w:u w:val="single"/>
          <w:rtl/>
        </w:rPr>
      </w:pPr>
      <w:r>
        <w:rPr>
          <w:b/>
          <w:bCs/>
          <w:rtl/>
        </w:rPr>
        <w:t>ג.</w:t>
      </w:r>
      <w:r>
        <w:rPr>
          <w:rFonts w:hint="cs"/>
          <w:b/>
          <w:bCs/>
          <w:rtl/>
        </w:rPr>
        <w:tab/>
      </w:r>
      <w:r>
        <w:rPr>
          <w:b/>
          <w:bCs/>
          <w:u w:val="single"/>
          <w:rtl/>
        </w:rPr>
        <w:t>תסקיר שירות המבחן</w:t>
      </w:r>
    </w:p>
    <w:p w14:paraId="5FCB9781" w14:textId="77777777" w:rsidR="004406D8" w:rsidRDefault="00365F51">
      <w:pPr>
        <w:spacing w:line="360" w:lineRule="auto"/>
        <w:jc w:val="both"/>
        <w:rPr>
          <w:rtl/>
        </w:rPr>
      </w:pPr>
      <w:r>
        <w:rPr>
          <w:rtl/>
        </w:rPr>
        <w:t xml:space="preserve">הנאשם בן 26, רווק המתגורר בבית הוריו. </w:t>
      </w:r>
      <w:r>
        <w:rPr>
          <w:rFonts w:hint="cs"/>
          <w:rtl/>
        </w:rPr>
        <w:t>הוא עובד</w:t>
      </w:r>
      <w:r>
        <w:rPr>
          <w:rtl/>
        </w:rPr>
        <w:t xml:space="preserve"> עם אביו בעסק המשפחתי בתחום האינסטלציה. משפחת מוצאו מונה זוג הורים ו-7 ילדים. </w:t>
      </w:r>
    </w:p>
    <w:p w14:paraId="20801671" w14:textId="77777777" w:rsidR="004406D8" w:rsidRDefault="004406D8">
      <w:pPr>
        <w:spacing w:line="360" w:lineRule="auto"/>
        <w:jc w:val="both"/>
        <w:rPr>
          <w:rtl/>
        </w:rPr>
      </w:pPr>
    </w:p>
    <w:p w14:paraId="6CE9BA13" w14:textId="77777777" w:rsidR="004406D8" w:rsidRDefault="00365F51">
      <w:pPr>
        <w:spacing w:line="360" w:lineRule="auto"/>
        <w:jc w:val="both"/>
        <w:rPr>
          <w:rtl/>
        </w:rPr>
      </w:pPr>
      <w:r>
        <w:rPr>
          <w:rtl/>
        </w:rPr>
        <w:t xml:space="preserve">קצינת המבחן התרשמה מאדם אשר ניהל אורח חיים נורמטיבי וחונך במשפחה שהעניקה לו ערכים </w:t>
      </w:r>
      <w:r>
        <w:rPr>
          <w:rFonts w:hint="cs"/>
          <w:rtl/>
        </w:rPr>
        <w:t>ו</w:t>
      </w:r>
      <w:r>
        <w:rPr>
          <w:rtl/>
        </w:rPr>
        <w:t>נורמות חיוביות. יחד עם זאת, היא התרשמה כי מדובר באדם המרצה את סביבתו, המתקשה בגילוי אסרטיביות ובעל כוחות אגו נמוכים. לדידה, תהליך התפתחותו במשפחה בה הינו בן הזקונים שימרה את חווייתו כחלש וכתלוי ו</w:t>
      </w:r>
      <w:r>
        <w:rPr>
          <w:rFonts w:hint="cs"/>
          <w:rtl/>
        </w:rPr>
        <w:t>כ</w:t>
      </w:r>
      <w:r>
        <w:rPr>
          <w:rtl/>
        </w:rPr>
        <w:t xml:space="preserve">נגרר אחר סביבתו. </w:t>
      </w:r>
      <w:r>
        <w:rPr>
          <w:rFonts w:hint="cs"/>
          <w:rtl/>
        </w:rPr>
        <w:t xml:space="preserve">אליבא דקצינת המבחן, </w:t>
      </w:r>
      <w:r>
        <w:rPr>
          <w:rtl/>
        </w:rPr>
        <w:t xml:space="preserve">יתכן </w:t>
      </w:r>
      <w:r>
        <w:rPr>
          <w:rFonts w:hint="cs"/>
          <w:rtl/>
        </w:rPr>
        <w:t>ש</w:t>
      </w:r>
      <w:r>
        <w:rPr>
          <w:rtl/>
        </w:rPr>
        <w:t>ביחסים מול חברו –</w:t>
      </w:r>
      <w:r>
        <w:rPr>
          <w:rFonts w:hint="cs"/>
          <w:rtl/>
        </w:rPr>
        <w:t xml:space="preserve"> שותפו לעבירה </w:t>
      </w:r>
      <w:r>
        <w:rPr>
          <w:rtl/>
        </w:rPr>
        <w:t>–</w:t>
      </w:r>
      <w:r>
        <w:rPr>
          <w:rFonts w:hint="cs"/>
          <w:rtl/>
        </w:rPr>
        <w:t xml:space="preserve"> הנאשם </w:t>
      </w:r>
      <w:r>
        <w:rPr>
          <w:rtl/>
        </w:rPr>
        <w:t>שיחזר עמדה רגשית זו ומתוך חשש לחוש דחייה מצידו ולא להיות מוערך, נענה לשתף פעולה עימו.</w:t>
      </w:r>
    </w:p>
    <w:p w14:paraId="5D94609D" w14:textId="77777777" w:rsidR="004406D8" w:rsidRDefault="004406D8">
      <w:pPr>
        <w:spacing w:line="360" w:lineRule="auto"/>
        <w:jc w:val="both"/>
        <w:rPr>
          <w:rtl/>
        </w:rPr>
      </w:pPr>
    </w:p>
    <w:p w14:paraId="204B4EAA" w14:textId="77777777" w:rsidR="004406D8" w:rsidRDefault="00365F51">
      <w:pPr>
        <w:spacing w:line="360" w:lineRule="auto"/>
        <w:jc w:val="both"/>
        <w:rPr>
          <w:rtl/>
        </w:rPr>
      </w:pPr>
      <w:r>
        <w:rPr>
          <w:rFonts w:hint="cs"/>
          <w:rtl/>
        </w:rPr>
        <w:t xml:space="preserve">לדעת קצינת המבחן, </w:t>
      </w:r>
      <w:r>
        <w:rPr>
          <w:rtl/>
        </w:rPr>
        <w:t>הנאשם מקבל אחריות</w:t>
      </w:r>
      <w:r>
        <w:rPr>
          <w:rFonts w:hint="cs"/>
          <w:rtl/>
        </w:rPr>
        <w:t xml:space="preserve"> באשר לעבירות שביצע, </w:t>
      </w:r>
      <w:r>
        <w:rPr>
          <w:rtl/>
        </w:rPr>
        <w:t>מביע חרטה ומבין את חומרת מעשיו. היא סבורה כי הנאשם אינו בעל מאפייני אישיות עבריינים או אלימים. אף מאבחון שנערך לנאשם עולה כי רמת הסיכון</w:t>
      </w:r>
      <w:r>
        <w:rPr>
          <w:rFonts w:hint="cs"/>
          <w:rtl/>
        </w:rPr>
        <w:t>,</w:t>
      </w:r>
      <w:r>
        <w:rPr>
          <w:rtl/>
        </w:rPr>
        <w:t xml:space="preserve"> להישנות התנהגות דומה בעתיד ורמת המסוכנות שלו</w:t>
      </w:r>
      <w:r>
        <w:rPr>
          <w:rFonts w:hint="cs"/>
          <w:rtl/>
        </w:rPr>
        <w:t>,</w:t>
      </w:r>
      <w:r>
        <w:rPr>
          <w:rtl/>
        </w:rPr>
        <w:t xml:space="preserve"> הינה נמוכה. </w:t>
      </w:r>
    </w:p>
    <w:p w14:paraId="04158B41" w14:textId="77777777" w:rsidR="004406D8" w:rsidRDefault="004406D8">
      <w:pPr>
        <w:spacing w:line="360" w:lineRule="auto"/>
        <w:jc w:val="both"/>
        <w:rPr>
          <w:rtl/>
        </w:rPr>
      </w:pPr>
    </w:p>
    <w:p w14:paraId="498BF8A1" w14:textId="77777777" w:rsidR="004406D8" w:rsidRDefault="00365F51">
      <w:pPr>
        <w:spacing w:line="360" w:lineRule="auto"/>
        <w:jc w:val="both"/>
        <w:rPr>
          <w:rtl/>
        </w:rPr>
      </w:pPr>
      <w:r>
        <w:rPr>
          <w:rtl/>
        </w:rPr>
        <w:t xml:space="preserve">להערכת קצינת המבחן, בשל אישיות הנאשם הנוטה להיגרר אחר השפעת אחרים, </w:t>
      </w:r>
      <w:r>
        <w:rPr>
          <w:rFonts w:hint="cs"/>
          <w:rtl/>
        </w:rPr>
        <w:t xml:space="preserve">הוא </w:t>
      </w:r>
      <w:r>
        <w:rPr>
          <w:rtl/>
        </w:rPr>
        <w:t>עלול למצוא באסירים אחרים</w:t>
      </w:r>
      <w:r>
        <w:rPr>
          <w:rFonts w:hint="cs"/>
          <w:rtl/>
        </w:rPr>
        <w:t xml:space="preserve">, בין כתלי הכלא, </w:t>
      </w:r>
      <w:r>
        <w:rPr>
          <w:rtl/>
        </w:rPr>
        <w:t xml:space="preserve"> משום דמויות משמעותיות להזדהות וחיקוי.</w:t>
      </w:r>
    </w:p>
    <w:p w14:paraId="19CE2549" w14:textId="77777777" w:rsidR="004406D8" w:rsidRDefault="004406D8">
      <w:pPr>
        <w:spacing w:line="360" w:lineRule="auto"/>
        <w:jc w:val="both"/>
        <w:rPr>
          <w:rtl/>
        </w:rPr>
      </w:pPr>
    </w:p>
    <w:p w14:paraId="14793179" w14:textId="77777777" w:rsidR="004406D8" w:rsidRDefault="00365F51">
      <w:pPr>
        <w:spacing w:line="360" w:lineRule="auto"/>
        <w:jc w:val="both"/>
        <w:rPr>
          <w:rtl/>
        </w:rPr>
      </w:pPr>
      <w:r>
        <w:rPr>
          <w:rtl/>
        </w:rPr>
        <w:lastRenderedPageBreak/>
        <w:t xml:space="preserve">לסיכום, שליחת הנאשם לריצוי מאסר בפועל מאחורי סורג ובריח עלולה לגרום לפגיעה רגשית ותפקודית קשה עבורו. במצב דברים זה, קצינת המבחן ממליצה כי אם יוטל על הנאשם עונש של מאסר בפועל, תישקל האפשרות להמירו בעבודות שירות. </w:t>
      </w:r>
    </w:p>
    <w:p w14:paraId="086B9B2B" w14:textId="77777777" w:rsidR="004406D8" w:rsidRDefault="004406D8">
      <w:pPr>
        <w:spacing w:line="360" w:lineRule="auto"/>
        <w:jc w:val="both"/>
        <w:rPr>
          <w:rtl/>
        </w:rPr>
      </w:pPr>
    </w:p>
    <w:p w14:paraId="232C7A8B" w14:textId="77777777" w:rsidR="004406D8" w:rsidRDefault="00365F51">
      <w:pPr>
        <w:spacing w:line="360" w:lineRule="auto"/>
        <w:jc w:val="both"/>
        <w:rPr>
          <w:b/>
          <w:bCs/>
          <w:u w:val="single"/>
          <w:rtl/>
        </w:rPr>
      </w:pPr>
      <w:r>
        <w:rPr>
          <w:rFonts w:hint="cs"/>
          <w:b/>
          <w:bCs/>
          <w:rtl/>
        </w:rPr>
        <w:t>ד.</w:t>
      </w:r>
      <w:r>
        <w:rPr>
          <w:rFonts w:hint="cs"/>
          <w:b/>
          <w:bCs/>
          <w:rtl/>
        </w:rPr>
        <w:tab/>
      </w:r>
      <w:r>
        <w:rPr>
          <w:rFonts w:hint="cs"/>
          <w:b/>
          <w:bCs/>
          <w:u w:val="single"/>
          <w:rtl/>
        </w:rPr>
        <w:t>ראיות לעניין העונש</w:t>
      </w:r>
    </w:p>
    <w:p w14:paraId="7C65E9A1" w14:textId="77777777" w:rsidR="004406D8" w:rsidRDefault="00365F51">
      <w:pPr>
        <w:spacing w:line="360" w:lineRule="auto"/>
        <w:jc w:val="both"/>
        <w:rPr>
          <w:rtl/>
        </w:rPr>
      </w:pPr>
      <w:r>
        <w:rPr>
          <w:rFonts w:hint="cs"/>
          <w:rtl/>
        </w:rPr>
        <w:t xml:space="preserve">מטעם הנאשם, העיד אחיו אמג'ד עיאשה. לדבריו, בליל האירוע נשוא כתב האישום, הזעיק אותו אחיו וביקש ממנו להחזיר הנשק למשטרה וכך נעשה. </w:t>
      </w:r>
    </w:p>
    <w:p w14:paraId="6CC0BC19" w14:textId="77777777" w:rsidR="004406D8" w:rsidRDefault="004406D8">
      <w:pPr>
        <w:spacing w:line="360" w:lineRule="auto"/>
        <w:jc w:val="both"/>
        <w:rPr>
          <w:rtl/>
        </w:rPr>
      </w:pPr>
    </w:p>
    <w:p w14:paraId="38FCF99A" w14:textId="77777777" w:rsidR="004406D8" w:rsidRDefault="00365F51">
      <w:pPr>
        <w:spacing w:line="360" w:lineRule="auto"/>
        <w:jc w:val="both"/>
        <w:rPr>
          <w:rtl/>
        </w:rPr>
      </w:pPr>
      <w:r>
        <w:rPr>
          <w:rFonts w:hint="cs"/>
          <w:rtl/>
        </w:rPr>
        <w:t xml:space="preserve">עוד העיד אביו של הנאשם, אחמד עיאשה, הוא סיפר על היות משפחתו משפחה נורמטיבית. הוא ביקר את מעשי בנו, הנוגד את החינוך שהעניק לילדיו. עוד סיפר, על הסבל שעבר על משפחתו בעקבות הסתבכותו של בנו. הוא ביקש רחמים על בנו והביע חששו מפני השתת עונש מאסר שיגרום לבנו להשלח ל"מכללה לפשע". </w:t>
      </w:r>
    </w:p>
    <w:p w14:paraId="5C005FC9" w14:textId="77777777" w:rsidR="004406D8" w:rsidRDefault="004406D8">
      <w:pPr>
        <w:spacing w:line="360" w:lineRule="auto"/>
        <w:jc w:val="both"/>
        <w:rPr>
          <w:rtl/>
        </w:rPr>
      </w:pPr>
    </w:p>
    <w:p w14:paraId="15678FDE" w14:textId="77777777" w:rsidR="004406D8" w:rsidRDefault="00365F51">
      <w:pPr>
        <w:spacing w:line="360" w:lineRule="auto"/>
        <w:jc w:val="both"/>
        <w:rPr>
          <w:b/>
          <w:bCs/>
          <w:u w:val="single"/>
          <w:rtl/>
        </w:rPr>
      </w:pPr>
      <w:r>
        <w:rPr>
          <w:rFonts w:hint="cs"/>
          <w:b/>
          <w:bCs/>
          <w:rtl/>
        </w:rPr>
        <w:t>ה.</w:t>
      </w:r>
      <w:r>
        <w:rPr>
          <w:rFonts w:hint="cs"/>
          <w:b/>
          <w:bCs/>
          <w:rtl/>
        </w:rPr>
        <w:tab/>
      </w:r>
      <w:r>
        <w:rPr>
          <w:rFonts w:hint="cs"/>
          <w:b/>
          <w:bCs/>
          <w:u w:val="single"/>
          <w:rtl/>
        </w:rPr>
        <w:t>טיעוני ב"כ הצדדים</w:t>
      </w:r>
    </w:p>
    <w:p w14:paraId="4106F610" w14:textId="77777777" w:rsidR="004406D8" w:rsidRDefault="00365F51">
      <w:pPr>
        <w:spacing w:line="360" w:lineRule="auto"/>
        <w:jc w:val="both"/>
        <w:rPr>
          <w:rtl/>
        </w:rPr>
      </w:pPr>
      <w:r>
        <w:rPr>
          <w:rFonts w:hint="cs"/>
          <w:u w:val="single"/>
          <w:rtl/>
        </w:rPr>
        <w:t>ב"כ המאשימה</w:t>
      </w:r>
      <w:r>
        <w:rPr>
          <w:rFonts w:hint="cs"/>
          <w:rtl/>
        </w:rPr>
        <w:t xml:space="preserve">, עמדה על הנסיבות החמורות של האירועים. היא ציינה את הסיכון הרב שבהחזקת נשק שלא כדין. התובעת הסכימה כי מדובר באירוע אחד וביקשה לקבוע מתחם ענישה הולם לאירוע כולו. לדעתה, מתחם הענישה ההולם הוא בין שנתיים ל-5 שנים. </w:t>
      </w:r>
    </w:p>
    <w:p w14:paraId="431AA96A" w14:textId="77777777" w:rsidR="004406D8" w:rsidRDefault="004406D8">
      <w:pPr>
        <w:spacing w:line="360" w:lineRule="auto"/>
        <w:jc w:val="both"/>
        <w:rPr>
          <w:rtl/>
        </w:rPr>
      </w:pPr>
    </w:p>
    <w:p w14:paraId="70E22D08" w14:textId="77777777" w:rsidR="004406D8" w:rsidRDefault="00365F51">
      <w:pPr>
        <w:spacing w:line="360" w:lineRule="auto"/>
        <w:jc w:val="both"/>
        <w:rPr>
          <w:rtl/>
        </w:rPr>
      </w:pPr>
      <w:r>
        <w:rPr>
          <w:rFonts w:hint="cs"/>
          <w:rtl/>
        </w:rPr>
        <w:t xml:space="preserve">התובעה ביקשה להשית על הנאשם מאסר בפועל בגדר המתחם וכן מאסר מותנה וקנס. </w:t>
      </w:r>
    </w:p>
    <w:p w14:paraId="2FE690D5" w14:textId="77777777" w:rsidR="004406D8" w:rsidRDefault="004406D8">
      <w:pPr>
        <w:spacing w:line="360" w:lineRule="auto"/>
        <w:jc w:val="both"/>
        <w:rPr>
          <w:rtl/>
        </w:rPr>
      </w:pPr>
    </w:p>
    <w:p w14:paraId="3B4EF7D9" w14:textId="77777777" w:rsidR="004406D8" w:rsidRDefault="00365F51">
      <w:pPr>
        <w:spacing w:line="360" w:lineRule="auto"/>
        <w:jc w:val="both"/>
        <w:rPr>
          <w:rtl/>
        </w:rPr>
      </w:pPr>
      <w:r>
        <w:rPr>
          <w:rFonts w:hint="cs"/>
          <w:u w:val="single"/>
          <w:rtl/>
        </w:rPr>
        <w:t>ב"כ הנאשם</w:t>
      </w:r>
      <w:r>
        <w:rPr>
          <w:rFonts w:hint="cs"/>
          <w:rtl/>
        </w:rPr>
        <w:t xml:space="preserve"> גרס, כי מתחם הענישה הנטען ע"י התביעה הוא מוגזם וכי לפי הפסיקה המתחם נע בין מספר חודשי מאסר בפועל ל-18 חודשים בפועל וכי במקרה זה ראוי לסטות לקולא מהרף התחתון. </w:t>
      </w:r>
    </w:p>
    <w:p w14:paraId="5F8709B6" w14:textId="77777777" w:rsidR="004406D8" w:rsidRDefault="004406D8">
      <w:pPr>
        <w:spacing w:line="360" w:lineRule="auto"/>
        <w:jc w:val="both"/>
        <w:rPr>
          <w:rtl/>
        </w:rPr>
      </w:pPr>
    </w:p>
    <w:p w14:paraId="5A8C68B4" w14:textId="77777777" w:rsidR="004406D8" w:rsidRDefault="00365F51">
      <w:pPr>
        <w:spacing w:line="360" w:lineRule="auto"/>
        <w:jc w:val="both"/>
        <w:rPr>
          <w:rtl/>
        </w:rPr>
      </w:pPr>
      <w:r>
        <w:rPr>
          <w:rFonts w:hint="cs"/>
          <w:rtl/>
        </w:rPr>
        <w:t xml:space="preserve">ב"כ הנאשם הדגיש, כי תכנון האירועים היה קצר וכל כולו אירע ביום אחד. מלכתחילה, הוגש נגד הנאשם כתב אישום חמור יותר, אך לבסוף תוקן כתב האישום בהתאם לגרסת הנאשם במשטרה, מה שמלמד כי הנאשם לקח אחריות על מעשיו באופן מידי. </w:t>
      </w:r>
    </w:p>
    <w:p w14:paraId="57999635" w14:textId="77777777" w:rsidR="004406D8" w:rsidRDefault="004406D8">
      <w:pPr>
        <w:spacing w:line="360" w:lineRule="auto"/>
        <w:jc w:val="both"/>
        <w:rPr>
          <w:rtl/>
        </w:rPr>
      </w:pPr>
    </w:p>
    <w:p w14:paraId="3A2460C5" w14:textId="77777777" w:rsidR="004406D8" w:rsidRDefault="00365F51">
      <w:pPr>
        <w:spacing w:line="360" w:lineRule="auto"/>
        <w:jc w:val="both"/>
        <w:rPr>
          <w:rtl/>
        </w:rPr>
      </w:pPr>
      <w:r>
        <w:rPr>
          <w:rFonts w:hint="cs"/>
          <w:rtl/>
        </w:rPr>
        <w:t xml:space="preserve">עוד ציין הסנגור כי מרשו החזיר מידית את הנשק ולא ביקש כל תמורה על כך. נשיאת הנשק ע"י הנאשם ארכה דקות ספורות בלבד. </w:t>
      </w:r>
    </w:p>
    <w:p w14:paraId="20A14687" w14:textId="77777777" w:rsidR="004406D8" w:rsidRDefault="004406D8">
      <w:pPr>
        <w:spacing w:line="360" w:lineRule="auto"/>
        <w:jc w:val="both"/>
        <w:rPr>
          <w:rtl/>
        </w:rPr>
      </w:pPr>
    </w:p>
    <w:p w14:paraId="661B5E2A" w14:textId="77777777" w:rsidR="004406D8" w:rsidRDefault="00365F51">
      <w:pPr>
        <w:spacing w:line="360" w:lineRule="auto"/>
        <w:jc w:val="both"/>
        <w:rPr>
          <w:rtl/>
        </w:rPr>
      </w:pPr>
      <w:r>
        <w:rPr>
          <w:rFonts w:hint="cs"/>
          <w:rtl/>
        </w:rPr>
        <w:t xml:space="preserve">ב"כ הנאשם עמד על עברו הנקי של מרשו וציין כי לא נטען נגד מרשו, כי היה אמור לקבל תמורה על מעשיו. </w:t>
      </w:r>
    </w:p>
    <w:p w14:paraId="42F86925" w14:textId="77777777" w:rsidR="004406D8" w:rsidRDefault="004406D8">
      <w:pPr>
        <w:spacing w:line="360" w:lineRule="auto"/>
        <w:jc w:val="both"/>
        <w:rPr>
          <w:rtl/>
        </w:rPr>
      </w:pPr>
    </w:p>
    <w:p w14:paraId="4EE67BE5" w14:textId="77777777" w:rsidR="004406D8" w:rsidRDefault="00365F51">
      <w:pPr>
        <w:spacing w:line="360" w:lineRule="auto"/>
        <w:jc w:val="both"/>
        <w:rPr>
          <w:rtl/>
        </w:rPr>
      </w:pPr>
      <w:r>
        <w:rPr>
          <w:rFonts w:hint="cs"/>
          <w:rtl/>
        </w:rPr>
        <w:t xml:space="preserve">אליבא דהסנגור, המעצר בו שהה הנאשם, היה קשה עבורו. בעת מעצר הבית שלו טופל הנאשם ע"י שירות המבחן. </w:t>
      </w:r>
    </w:p>
    <w:p w14:paraId="7B2BD6A8" w14:textId="77777777" w:rsidR="004406D8" w:rsidRDefault="004406D8">
      <w:pPr>
        <w:spacing w:line="360" w:lineRule="auto"/>
        <w:jc w:val="both"/>
        <w:rPr>
          <w:rtl/>
        </w:rPr>
      </w:pPr>
    </w:p>
    <w:p w14:paraId="5BD6DC65" w14:textId="77777777" w:rsidR="004406D8" w:rsidRDefault="00365F51">
      <w:pPr>
        <w:spacing w:line="360" w:lineRule="auto"/>
        <w:jc w:val="both"/>
        <w:rPr>
          <w:rtl/>
        </w:rPr>
      </w:pPr>
      <w:r>
        <w:rPr>
          <w:rFonts w:hint="cs"/>
          <w:rtl/>
        </w:rPr>
        <w:t xml:space="preserve">פרקליטו של הנאשם הפנה לתסקיר החיובי של שירות המבחן ולהמלצת שירות המבחן, שלא להטיל על הנאשם מאסר בפועל מאחורי סורג ובריח. </w:t>
      </w:r>
    </w:p>
    <w:p w14:paraId="5CD20826" w14:textId="77777777" w:rsidR="004406D8" w:rsidRDefault="004406D8">
      <w:pPr>
        <w:spacing w:line="360" w:lineRule="auto"/>
        <w:jc w:val="both"/>
        <w:rPr>
          <w:rtl/>
        </w:rPr>
      </w:pPr>
    </w:p>
    <w:p w14:paraId="008F8482" w14:textId="77777777" w:rsidR="004406D8" w:rsidRDefault="00365F51">
      <w:pPr>
        <w:spacing w:line="360" w:lineRule="auto"/>
        <w:jc w:val="both"/>
        <w:rPr>
          <w:rtl/>
        </w:rPr>
      </w:pPr>
      <w:r>
        <w:rPr>
          <w:rFonts w:hint="cs"/>
          <w:rtl/>
        </w:rPr>
        <w:t xml:space="preserve">עוד ציין הסנגור כי נשיאת הנשק ויתר העבירות, בוצעו, "עבורו" של חנג'ר ולא למען הנאשם עצמו. </w:t>
      </w:r>
    </w:p>
    <w:p w14:paraId="1CDB1584" w14:textId="77777777" w:rsidR="004406D8" w:rsidRDefault="004406D8">
      <w:pPr>
        <w:spacing w:line="360" w:lineRule="auto"/>
        <w:jc w:val="both"/>
        <w:rPr>
          <w:rtl/>
        </w:rPr>
      </w:pPr>
    </w:p>
    <w:p w14:paraId="1BD53BD4" w14:textId="77777777" w:rsidR="004406D8" w:rsidRDefault="00365F51">
      <w:pPr>
        <w:spacing w:line="360" w:lineRule="auto"/>
        <w:jc w:val="both"/>
        <w:rPr>
          <w:rtl/>
        </w:rPr>
      </w:pPr>
      <w:r>
        <w:rPr>
          <w:rFonts w:hint="cs"/>
          <w:rtl/>
        </w:rPr>
        <w:t xml:space="preserve">ב"כ הנאשם ביקש להסתפק בעונש מאסר שירוצה בעבודות שירות ולחילופין להשית עליו עונש במתחם הנמוך של מתחם הענישה. </w:t>
      </w:r>
    </w:p>
    <w:p w14:paraId="5E64EEF2" w14:textId="77777777" w:rsidR="004406D8" w:rsidRDefault="004406D8">
      <w:pPr>
        <w:spacing w:line="360" w:lineRule="auto"/>
        <w:jc w:val="both"/>
        <w:rPr>
          <w:rtl/>
        </w:rPr>
      </w:pPr>
    </w:p>
    <w:p w14:paraId="612FA193" w14:textId="77777777" w:rsidR="004406D8" w:rsidRDefault="00365F51">
      <w:pPr>
        <w:spacing w:line="360" w:lineRule="auto"/>
        <w:jc w:val="both"/>
        <w:rPr>
          <w:rtl/>
        </w:rPr>
      </w:pPr>
      <w:r>
        <w:rPr>
          <w:rFonts w:hint="cs"/>
          <w:rtl/>
        </w:rPr>
        <w:t xml:space="preserve">כל צד הפנה אותי לפסיקה התומכת לדעתו בעמדתו.  </w:t>
      </w:r>
    </w:p>
    <w:p w14:paraId="7B567CE2" w14:textId="77777777" w:rsidR="004406D8" w:rsidRDefault="004406D8">
      <w:pPr>
        <w:spacing w:line="360" w:lineRule="auto"/>
        <w:jc w:val="both"/>
        <w:rPr>
          <w:rtl/>
        </w:rPr>
      </w:pPr>
    </w:p>
    <w:p w14:paraId="4001ED4D" w14:textId="77777777" w:rsidR="004406D8" w:rsidRDefault="00365F51">
      <w:pPr>
        <w:spacing w:line="360" w:lineRule="auto"/>
        <w:jc w:val="both"/>
        <w:rPr>
          <w:rtl/>
        </w:rPr>
      </w:pPr>
      <w:r>
        <w:rPr>
          <w:rFonts w:hint="cs"/>
          <w:u w:val="single"/>
          <w:rtl/>
        </w:rPr>
        <w:t>הנאשם ב"דברו האחרון"</w:t>
      </w:r>
      <w:r>
        <w:rPr>
          <w:rFonts w:hint="cs"/>
          <w:rtl/>
        </w:rPr>
        <w:t xml:space="preserve"> ביקש סליחה על מעשיו והביע צערו. הוא נטל אחריות על מעשיו. לדבריו, עשה "רק" טובה לחבר. הוא ביקש שלא להחזירו לבית הסוהר. </w:t>
      </w:r>
    </w:p>
    <w:p w14:paraId="24F97EE9" w14:textId="77777777" w:rsidR="004406D8" w:rsidRDefault="004406D8">
      <w:pPr>
        <w:spacing w:line="360" w:lineRule="auto"/>
        <w:jc w:val="both"/>
      </w:pPr>
    </w:p>
    <w:p w14:paraId="1286859E" w14:textId="77777777" w:rsidR="004406D8" w:rsidRDefault="00365F51">
      <w:pPr>
        <w:spacing w:line="360" w:lineRule="auto"/>
        <w:jc w:val="both"/>
        <w:rPr>
          <w:rtl/>
        </w:rPr>
      </w:pPr>
      <w:r>
        <w:rPr>
          <w:rFonts w:hint="cs"/>
          <w:b/>
          <w:bCs/>
          <w:rtl/>
        </w:rPr>
        <w:t>ו.</w:t>
      </w:r>
      <w:r>
        <w:rPr>
          <w:rFonts w:hint="cs"/>
          <w:b/>
          <w:bCs/>
          <w:rtl/>
        </w:rPr>
        <w:tab/>
      </w:r>
      <w:r>
        <w:rPr>
          <w:rFonts w:hint="cs"/>
          <w:b/>
          <w:bCs/>
          <w:u w:val="single"/>
          <w:rtl/>
        </w:rPr>
        <w:t>דיון</w:t>
      </w:r>
    </w:p>
    <w:p w14:paraId="4DC0B120" w14:textId="77777777" w:rsidR="004406D8" w:rsidRDefault="00365F51">
      <w:pPr>
        <w:spacing w:line="360" w:lineRule="auto"/>
        <w:jc w:val="both"/>
        <w:rPr>
          <w:rtl/>
        </w:rPr>
      </w:pPr>
      <w:r>
        <w:rPr>
          <w:rFonts w:hint="cs"/>
          <w:rtl/>
        </w:rPr>
        <w:t xml:space="preserve">הנאשם ביצע עבירות חמורות ובכללן נשיאת נשק, על מנת לאפשר לחברו למכור נשקו לאדם שאינו מוסמך לשאתו. </w:t>
      </w:r>
    </w:p>
    <w:p w14:paraId="7457F156" w14:textId="77777777" w:rsidR="004406D8" w:rsidRDefault="004406D8">
      <w:pPr>
        <w:spacing w:line="360" w:lineRule="auto"/>
        <w:jc w:val="both"/>
        <w:rPr>
          <w:rtl/>
        </w:rPr>
      </w:pPr>
    </w:p>
    <w:p w14:paraId="6CD272D7" w14:textId="77777777" w:rsidR="004406D8" w:rsidRDefault="00365F51">
      <w:pPr>
        <w:spacing w:line="360" w:lineRule="auto"/>
        <w:jc w:val="both"/>
        <w:rPr>
          <w:rtl/>
        </w:rPr>
      </w:pPr>
      <w:r>
        <w:rPr>
          <w:rFonts w:hint="cs"/>
          <w:rtl/>
        </w:rPr>
        <w:t xml:space="preserve">אין צורך להרבות מילים על הסיכון הרב הנשקף לחברה כתוצאה מהחזקת נשק ומנשיאתו, ע"י אלו שאינם רשאים להחזיקו. רבים אלו שקיפחו חייהם או שנפצעו כתוצאה משימוש בנשק ע"י אלו המחזיקים בו שלא כדין. במקרה זה קדמה לנשיאת הנשק הכנה מוקדמת שכללה בידוי ראיות ומסירת ידיעה כוזבת למשטרה, שמן הסתם הכבידה על המשטרה שנדרשה לחקור בנדון. </w:t>
      </w:r>
    </w:p>
    <w:p w14:paraId="608C9305" w14:textId="77777777" w:rsidR="004406D8" w:rsidRDefault="004406D8">
      <w:pPr>
        <w:spacing w:line="360" w:lineRule="auto"/>
        <w:jc w:val="both"/>
        <w:rPr>
          <w:rtl/>
        </w:rPr>
      </w:pPr>
    </w:p>
    <w:p w14:paraId="0BF11CD5" w14:textId="77777777" w:rsidR="004406D8" w:rsidRDefault="00365F51">
      <w:pPr>
        <w:spacing w:line="360" w:lineRule="auto"/>
        <w:jc w:val="both"/>
        <w:rPr>
          <w:rtl/>
        </w:rPr>
      </w:pPr>
      <w:r>
        <w:rPr>
          <w:rFonts w:hint="cs"/>
          <w:rtl/>
        </w:rPr>
        <w:t xml:space="preserve">פסיקת בית המשפט העליון מייחסת חומרה של ממש לעבירות בנשק (ראו למשל: </w:t>
      </w:r>
      <w:hyperlink r:id="rId23" w:history="1">
        <w:r w:rsidR="00117653" w:rsidRPr="00117653">
          <w:rPr>
            <w:rStyle w:val="Hyperlink"/>
            <w:rtl/>
          </w:rPr>
          <w:t>ע"פ 761/07</w:t>
        </w:r>
      </w:hyperlink>
      <w:r>
        <w:rPr>
          <w:rFonts w:hint="cs"/>
          <w:rtl/>
        </w:rPr>
        <w:t xml:space="preserve"> </w:t>
      </w:r>
      <w:r>
        <w:rPr>
          <w:rFonts w:hint="cs"/>
          <w:b/>
          <w:bCs/>
          <w:rtl/>
        </w:rPr>
        <w:t>מדינת ישראל נ' אדרי</w:t>
      </w:r>
      <w:r>
        <w:rPr>
          <w:rFonts w:hint="cs"/>
          <w:rtl/>
        </w:rPr>
        <w:t xml:space="preserve"> (22.2.07) וכן </w:t>
      </w:r>
      <w:hyperlink r:id="rId24" w:history="1">
        <w:r w:rsidR="00117653" w:rsidRPr="00117653">
          <w:rPr>
            <w:rStyle w:val="Hyperlink"/>
            <w:rtl/>
          </w:rPr>
          <w:t>ע"פ 1462/12</w:t>
        </w:r>
      </w:hyperlink>
      <w:r>
        <w:rPr>
          <w:rFonts w:hint="cs"/>
          <w:rtl/>
        </w:rPr>
        <w:t xml:space="preserve"> </w:t>
      </w:r>
      <w:r>
        <w:rPr>
          <w:rFonts w:hint="cs"/>
          <w:b/>
          <w:bCs/>
          <w:rtl/>
        </w:rPr>
        <w:t>שוקרון נ' מדינת ישראל</w:t>
      </w:r>
      <w:r>
        <w:rPr>
          <w:rFonts w:hint="cs"/>
          <w:rtl/>
        </w:rPr>
        <w:t xml:space="preserve"> (7.6.12)). </w:t>
      </w:r>
    </w:p>
    <w:p w14:paraId="3BEBCE14" w14:textId="77777777" w:rsidR="004406D8" w:rsidRDefault="004406D8">
      <w:pPr>
        <w:spacing w:line="360" w:lineRule="auto"/>
        <w:jc w:val="both"/>
        <w:rPr>
          <w:rtl/>
        </w:rPr>
      </w:pPr>
    </w:p>
    <w:p w14:paraId="604D9FAB" w14:textId="77777777" w:rsidR="004406D8" w:rsidRDefault="00365F51">
      <w:pPr>
        <w:spacing w:line="360" w:lineRule="auto"/>
        <w:jc w:val="both"/>
        <w:rPr>
          <w:rtl/>
        </w:rPr>
      </w:pPr>
      <w:r>
        <w:rPr>
          <w:rFonts w:hint="cs"/>
          <w:rtl/>
        </w:rPr>
        <w:t xml:space="preserve">עקרון ההלימה מחייב התייחסות מחמירה לעבירות הגורמות נזק כבד לציבור. מנגד, כל מקרה צריך להידון לגופו ושומה עלי לשקול גם את הנימוקים לקולא. </w:t>
      </w:r>
    </w:p>
    <w:p w14:paraId="1CF34B20" w14:textId="77777777" w:rsidR="004406D8" w:rsidRDefault="004406D8">
      <w:pPr>
        <w:spacing w:line="360" w:lineRule="auto"/>
        <w:jc w:val="both"/>
        <w:rPr>
          <w:rtl/>
        </w:rPr>
      </w:pPr>
    </w:p>
    <w:p w14:paraId="3C95C299" w14:textId="77777777" w:rsidR="004406D8" w:rsidRDefault="00365F51">
      <w:pPr>
        <w:spacing w:line="360" w:lineRule="auto"/>
        <w:jc w:val="both"/>
        <w:rPr>
          <w:rtl/>
        </w:rPr>
      </w:pPr>
      <w:r>
        <w:rPr>
          <w:rFonts w:hint="cs"/>
          <w:rtl/>
        </w:rPr>
        <w:t xml:space="preserve">נראה, כי יוזם העבירה, בעל הנשק, שהיה אמור אף למוכרו, העבריין העיקרי, היה במקרה זה חנג'ר. </w:t>
      </w:r>
    </w:p>
    <w:p w14:paraId="5857355B" w14:textId="77777777" w:rsidR="004406D8" w:rsidRDefault="004406D8">
      <w:pPr>
        <w:spacing w:line="360" w:lineRule="auto"/>
        <w:jc w:val="both"/>
        <w:rPr>
          <w:rtl/>
        </w:rPr>
      </w:pPr>
    </w:p>
    <w:p w14:paraId="24A6D2BB" w14:textId="77777777" w:rsidR="004406D8" w:rsidRDefault="00365F51">
      <w:pPr>
        <w:spacing w:line="360" w:lineRule="auto"/>
        <w:jc w:val="both"/>
        <w:rPr>
          <w:rtl/>
        </w:rPr>
      </w:pPr>
      <w:r>
        <w:rPr>
          <w:rFonts w:hint="cs"/>
          <w:rtl/>
        </w:rPr>
        <w:t xml:space="preserve">הנאשם הודה בחקירתו במשטרה והזדרז למסור לידיה את הנשק ללא כל תמורה. נשיאת הנשק והחזקתו ארכה זמן קצר, הוא אף נטל אחריות והודה בבית המשפט מיד לאחר שתוקן כתב האישום. אף שקדם לעבירת נשיאת הנשק תכנון מדוקדק, נראה כי כל העבירות בוצעו באותו היום. </w:t>
      </w:r>
    </w:p>
    <w:p w14:paraId="2EEF0E46" w14:textId="77777777" w:rsidR="004406D8" w:rsidRDefault="004406D8">
      <w:pPr>
        <w:spacing w:line="360" w:lineRule="auto"/>
        <w:jc w:val="both"/>
        <w:rPr>
          <w:rtl/>
        </w:rPr>
      </w:pPr>
    </w:p>
    <w:p w14:paraId="24037211" w14:textId="77777777" w:rsidR="004406D8" w:rsidRDefault="00365F51">
      <w:pPr>
        <w:spacing w:line="360" w:lineRule="auto"/>
        <w:jc w:val="both"/>
        <w:rPr>
          <w:rtl/>
        </w:rPr>
      </w:pPr>
      <w:r>
        <w:rPr>
          <w:rFonts w:hint="cs"/>
          <w:rtl/>
        </w:rPr>
        <w:t xml:space="preserve">לנאשם עבר נקי לחלוטין והוא חונך במשפחה נורמטיבית. אביו אף טרח להתנער ממעשי בנו ותיאר בפנינו את הסבל שסבלה המשפחה בעקבות הסתבכותו של הנאשם. </w:t>
      </w:r>
    </w:p>
    <w:p w14:paraId="333BB976" w14:textId="77777777" w:rsidR="004406D8" w:rsidRDefault="004406D8">
      <w:pPr>
        <w:spacing w:line="360" w:lineRule="auto"/>
        <w:jc w:val="both"/>
        <w:rPr>
          <w:rtl/>
        </w:rPr>
      </w:pPr>
    </w:p>
    <w:p w14:paraId="1546C20E" w14:textId="77777777" w:rsidR="004406D8" w:rsidRDefault="00365F51">
      <w:pPr>
        <w:spacing w:line="360" w:lineRule="auto"/>
        <w:jc w:val="both"/>
        <w:rPr>
          <w:rtl/>
        </w:rPr>
      </w:pPr>
      <w:r>
        <w:rPr>
          <w:rFonts w:hint="cs"/>
          <w:rtl/>
        </w:rPr>
        <w:t xml:space="preserve">הנאשם אף שהה במעצר וב"מעצר בית" בעקבות מעשיו. </w:t>
      </w:r>
    </w:p>
    <w:p w14:paraId="568F52EC" w14:textId="77777777" w:rsidR="004406D8" w:rsidRDefault="004406D8">
      <w:pPr>
        <w:spacing w:line="360" w:lineRule="auto"/>
        <w:jc w:val="both"/>
        <w:rPr>
          <w:rtl/>
        </w:rPr>
      </w:pPr>
    </w:p>
    <w:p w14:paraId="536D1EA5" w14:textId="77777777" w:rsidR="004406D8" w:rsidRDefault="00365F51">
      <w:pPr>
        <w:spacing w:line="360" w:lineRule="auto"/>
        <w:jc w:val="both"/>
        <w:rPr>
          <w:rtl/>
        </w:rPr>
      </w:pPr>
      <w:r>
        <w:rPr>
          <w:rFonts w:hint="cs"/>
          <w:rtl/>
        </w:rPr>
        <w:t xml:space="preserve">לנגד עיניי עומד גם התסקיר החיובי של שירות המבחן והמלצת קצין המבחן, שלא להטיל על הנאשם מאסר בפועל, מאחורי סורג ובריח. </w:t>
      </w:r>
    </w:p>
    <w:p w14:paraId="1C3D83E6" w14:textId="77777777" w:rsidR="004406D8" w:rsidRDefault="004406D8">
      <w:pPr>
        <w:spacing w:line="360" w:lineRule="auto"/>
        <w:jc w:val="both"/>
        <w:rPr>
          <w:rtl/>
        </w:rPr>
      </w:pPr>
    </w:p>
    <w:p w14:paraId="7EF9CDDE" w14:textId="77777777" w:rsidR="004406D8" w:rsidRDefault="00365F51">
      <w:pPr>
        <w:spacing w:line="360" w:lineRule="auto"/>
        <w:jc w:val="both"/>
        <w:rPr>
          <w:rtl/>
        </w:rPr>
      </w:pPr>
      <w:r>
        <w:rPr>
          <w:rFonts w:hint="cs"/>
          <w:rtl/>
        </w:rPr>
        <w:t xml:space="preserve">חרף המלצת שירות המבחן, לנוכח עקרון ההלימה המנחה את הענישה הראויה, לא אוכל לאמץ את ההמלצה. שירות המבחן רואה לנגד עיניו בעיקר את טובת הנאשם ואילו עלי להביא לידי ביטוי גם את טובת הציבור ויתר עקרונות הענישה. יחד עם זאת, אתן כאמור משקל לקולא לאמור בתסקיר. </w:t>
      </w:r>
    </w:p>
    <w:p w14:paraId="505BAA25" w14:textId="77777777" w:rsidR="004406D8" w:rsidRDefault="004406D8">
      <w:pPr>
        <w:spacing w:line="360" w:lineRule="auto"/>
        <w:jc w:val="both"/>
        <w:rPr>
          <w:rtl/>
        </w:rPr>
      </w:pPr>
    </w:p>
    <w:p w14:paraId="679B27E1" w14:textId="77777777" w:rsidR="004406D8" w:rsidRDefault="00365F51">
      <w:pPr>
        <w:spacing w:line="360" w:lineRule="auto"/>
        <w:jc w:val="both"/>
        <w:rPr>
          <w:rtl/>
        </w:rPr>
      </w:pPr>
      <w:r>
        <w:rPr>
          <w:rFonts w:hint="cs"/>
          <w:rtl/>
        </w:rPr>
        <w:t xml:space="preserve">נראה, כי בנסיבות הנדונות רף הענישה המקובל לגבי כל העבירות הנדונות נע בין שנת מאסר בפועל לבין 30 חודשי מאסר (ראו למשל: </w:t>
      </w:r>
      <w:hyperlink r:id="rId25" w:history="1">
        <w:r w:rsidR="00117653" w:rsidRPr="00117653">
          <w:rPr>
            <w:rStyle w:val="Hyperlink"/>
            <w:rtl/>
          </w:rPr>
          <w:t>ע"פ 2044/11</w:t>
        </w:r>
      </w:hyperlink>
      <w:r>
        <w:rPr>
          <w:rFonts w:hint="cs"/>
          <w:rtl/>
        </w:rPr>
        <w:t xml:space="preserve"> </w:t>
      </w:r>
      <w:r>
        <w:rPr>
          <w:rFonts w:hint="cs"/>
          <w:b/>
          <w:bCs/>
          <w:rtl/>
        </w:rPr>
        <w:t>מדינת ישראל נ' בלוצרקובסקי</w:t>
      </w:r>
      <w:r>
        <w:rPr>
          <w:rFonts w:hint="cs"/>
          <w:rtl/>
        </w:rPr>
        <w:t xml:space="preserve"> (ניתן ביום 7.7.11) ו-</w:t>
      </w:r>
      <w:hyperlink r:id="rId26" w:history="1">
        <w:r w:rsidR="00117653" w:rsidRPr="00117653">
          <w:rPr>
            <w:rStyle w:val="Hyperlink"/>
            <w:rtl/>
          </w:rPr>
          <w:t>ת.פ. 23194-02-11</w:t>
        </w:r>
      </w:hyperlink>
      <w:r>
        <w:rPr>
          <w:rFonts w:hint="cs"/>
          <w:rtl/>
        </w:rPr>
        <w:t xml:space="preserve"> </w:t>
      </w:r>
      <w:r>
        <w:rPr>
          <w:rFonts w:hint="cs"/>
          <w:b/>
          <w:bCs/>
          <w:rtl/>
        </w:rPr>
        <w:t>מדינת ישראל נ' דראוושה</w:t>
      </w:r>
      <w:r>
        <w:rPr>
          <w:rFonts w:hint="cs"/>
          <w:rtl/>
        </w:rPr>
        <w:t xml:space="preserve"> (ניתן ביום 25.7.11) וכן ראו </w:t>
      </w:r>
      <w:hyperlink r:id="rId27" w:history="1">
        <w:r w:rsidR="00117653" w:rsidRPr="00117653">
          <w:rPr>
            <w:rStyle w:val="Hyperlink"/>
            <w:rtl/>
          </w:rPr>
          <w:t>ע"פ 9373/10</w:t>
        </w:r>
      </w:hyperlink>
      <w:r>
        <w:rPr>
          <w:rFonts w:hint="cs"/>
          <w:rtl/>
        </w:rPr>
        <w:t xml:space="preserve"> </w:t>
      </w:r>
      <w:r>
        <w:rPr>
          <w:rFonts w:hint="cs"/>
          <w:b/>
          <w:bCs/>
          <w:rtl/>
        </w:rPr>
        <w:t>ותד נ' מדינת ישראל</w:t>
      </w:r>
      <w:r>
        <w:rPr>
          <w:rFonts w:hint="cs"/>
          <w:rtl/>
        </w:rPr>
        <w:t xml:space="preserve"> (ניתן ביום 14.9.11)). </w:t>
      </w:r>
    </w:p>
    <w:p w14:paraId="4655C5CB" w14:textId="77777777" w:rsidR="004406D8" w:rsidRDefault="004406D8">
      <w:pPr>
        <w:spacing w:line="360" w:lineRule="auto"/>
        <w:jc w:val="both"/>
        <w:rPr>
          <w:rtl/>
        </w:rPr>
      </w:pPr>
    </w:p>
    <w:p w14:paraId="6391DB87" w14:textId="77777777" w:rsidR="004406D8" w:rsidRDefault="00365F51">
      <w:pPr>
        <w:spacing w:line="360" w:lineRule="auto"/>
        <w:jc w:val="both"/>
        <w:rPr>
          <w:rtl/>
        </w:rPr>
      </w:pPr>
      <w:r>
        <w:rPr>
          <w:rFonts w:hint="cs"/>
          <w:rtl/>
        </w:rPr>
        <w:t xml:space="preserve">בהתחשב בכל הנימוקים לחומרא ולקולא, אני גוזר על הנאשם 30 חודשי מאסר, מתוכם 15 חודשים בפועל והיתרה מותנית, למשך 3 שנים, לבל יעבור עבירה בגינה הורשע או כל עבירה אחרת הקשורה בהחזקת נשק, בייצורו או בשימוש בו שלא כדין. </w:t>
      </w:r>
    </w:p>
    <w:p w14:paraId="6D9FC1A0" w14:textId="77777777" w:rsidR="004406D8" w:rsidRDefault="004406D8">
      <w:pPr>
        <w:spacing w:line="360" w:lineRule="auto"/>
        <w:jc w:val="both"/>
        <w:rPr>
          <w:rtl/>
        </w:rPr>
      </w:pPr>
    </w:p>
    <w:p w14:paraId="24D4136F" w14:textId="77777777" w:rsidR="004406D8" w:rsidRDefault="00365F51">
      <w:pPr>
        <w:spacing w:line="360" w:lineRule="auto"/>
        <w:jc w:val="both"/>
        <w:rPr>
          <w:rtl/>
        </w:rPr>
      </w:pPr>
      <w:r w:rsidRPr="00365F51">
        <w:rPr>
          <w:color w:val="FFFFFF"/>
          <w:sz w:val="2"/>
          <w:szCs w:val="2"/>
          <w:rtl/>
        </w:rPr>
        <w:t>5129371</w:t>
      </w:r>
      <w:r>
        <w:rPr>
          <w:rFonts w:hint="cs"/>
          <w:rtl/>
        </w:rPr>
        <w:t xml:space="preserve">מתקופת המאסר תנוכה תקופת מעצרו של הנאשם החל מ-1.5.11 ועד 11.6.11. </w:t>
      </w:r>
    </w:p>
    <w:p w14:paraId="76FA49FC" w14:textId="77777777" w:rsidR="004406D8" w:rsidRPr="00365F51" w:rsidRDefault="00365F51">
      <w:pPr>
        <w:spacing w:line="360" w:lineRule="auto"/>
        <w:jc w:val="both"/>
        <w:rPr>
          <w:b/>
          <w:bCs/>
          <w:color w:val="FFFFFF"/>
          <w:sz w:val="2"/>
          <w:szCs w:val="2"/>
          <w:u w:val="single"/>
          <w:rtl/>
        </w:rPr>
      </w:pPr>
      <w:r w:rsidRPr="00365F51">
        <w:rPr>
          <w:b/>
          <w:bCs/>
          <w:color w:val="FFFFFF"/>
          <w:sz w:val="2"/>
          <w:szCs w:val="2"/>
          <w:u w:val="single"/>
          <w:rtl/>
        </w:rPr>
        <w:t>54678313</w:t>
      </w:r>
    </w:p>
    <w:p w14:paraId="7AF53F61" w14:textId="77777777" w:rsidR="00365F51" w:rsidRPr="00365F51" w:rsidRDefault="00365F51" w:rsidP="00365F51">
      <w:pPr>
        <w:keepNext/>
        <w:spacing w:line="360" w:lineRule="auto"/>
        <w:rPr>
          <w:rFonts w:ascii="David" w:hAnsi="David" w:hint="cs"/>
          <w:color w:val="000000"/>
          <w:sz w:val="22"/>
          <w:szCs w:val="22"/>
          <w:u w:val="single"/>
          <w:rtl/>
        </w:rPr>
      </w:pPr>
    </w:p>
    <w:p w14:paraId="2D8D6FBD" w14:textId="77777777" w:rsidR="004406D8" w:rsidRDefault="00E47908">
      <w:pPr>
        <w:spacing w:line="360" w:lineRule="auto"/>
        <w:jc w:val="both"/>
        <w:rPr>
          <w:b/>
          <w:bCs/>
          <w:u w:val="single"/>
        </w:rPr>
      </w:pPr>
      <w:r w:rsidRPr="00E47908">
        <w:rPr>
          <w:b/>
          <w:bCs/>
          <w:color w:val="FFFFFF"/>
          <w:sz w:val="2"/>
          <w:szCs w:val="2"/>
          <w:u w:val="single"/>
          <w:rtl/>
        </w:rPr>
        <w:t>54678313</w:t>
      </w:r>
      <w:r w:rsidR="00365F51">
        <w:rPr>
          <w:rFonts w:hint="cs"/>
          <w:b/>
          <w:bCs/>
          <w:u w:val="single"/>
          <w:rtl/>
        </w:rPr>
        <w:t xml:space="preserve">זכות ערעור לביהמ"ש העליון, תוך 45 יום מהיום. </w:t>
      </w:r>
    </w:p>
    <w:p w14:paraId="2604771C" w14:textId="77777777" w:rsidR="00E47908" w:rsidRPr="00E47908" w:rsidRDefault="00E47908" w:rsidP="00E47908">
      <w:pPr>
        <w:keepNext/>
        <w:spacing w:line="360" w:lineRule="auto"/>
        <w:rPr>
          <w:rFonts w:ascii="David" w:hAnsi="David"/>
          <w:color w:val="000000"/>
          <w:sz w:val="22"/>
          <w:szCs w:val="22"/>
          <w:rtl/>
        </w:rPr>
      </w:pPr>
    </w:p>
    <w:p w14:paraId="145A31A9" w14:textId="77777777" w:rsidR="00E47908" w:rsidRPr="00E47908" w:rsidRDefault="00E47908" w:rsidP="00E47908">
      <w:pPr>
        <w:keepNext/>
        <w:spacing w:line="360" w:lineRule="auto"/>
        <w:rPr>
          <w:rFonts w:ascii="David" w:hAnsi="David"/>
          <w:color w:val="000000"/>
          <w:sz w:val="22"/>
          <w:szCs w:val="22"/>
          <w:rtl/>
        </w:rPr>
      </w:pPr>
      <w:r w:rsidRPr="00E47908">
        <w:rPr>
          <w:rFonts w:ascii="David" w:hAnsi="David"/>
          <w:color w:val="000000"/>
          <w:sz w:val="22"/>
          <w:szCs w:val="22"/>
          <w:rtl/>
        </w:rPr>
        <w:t>אילן שיף 54678313-/</w:t>
      </w:r>
    </w:p>
    <w:p w14:paraId="632FD49E" w14:textId="77777777" w:rsidR="004406D8" w:rsidRDefault="00365F51">
      <w:pPr>
        <w:spacing w:line="360" w:lineRule="auto"/>
        <w:jc w:val="both"/>
        <w:rPr>
          <w:rFonts w:ascii="Arial" w:hAnsi="Arial"/>
          <w:rtl/>
        </w:rPr>
      </w:pPr>
      <w:r>
        <w:rPr>
          <w:rFonts w:ascii="Arial" w:hAnsi="Arial"/>
          <w:rtl/>
        </w:rPr>
        <w:t xml:space="preserve">ניתן היום,  י"ח שבט תשע"ג, 29 ינואר 2013, במעמד הצדדים. </w:t>
      </w:r>
    </w:p>
    <w:p w14:paraId="3CFCA264" w14:textId="77777777" w:rsidR="00365F51" w:rsidRDefault="00365F51" w:rsidP="00365F51">
      <w:r w:rsidRPr="00365F51">
        <w:rPr>
          <w:color w:val="000000"/>
          <w:rtl/>
        </w:rPr>
        <w:t>נוסח מסמך זה כפוף לשינויי ניסוח ועריכה</w:t>
      </w:r>
    </w:p>
    <w:p w14:paraId="42EEACDF" w14:textId="77777777" w:rsidR="00365F51" w:rsidRDefault="00365F51" w:rsidP="00365F51">
      <w:pPr>
        <w:rPr>
          <w:rtl/>
        </w:rPr>
      </w:pPr>
    </w:p>
    <w:p w14:paraId="596AB8FB" w14:textId="77777777" w:rsidR="00365F51" w:rsidRDefault="00365F51" w:rsidP="00365F51">
      <w:pPr>
        <w:jc w:val="center"/>
        <w:rPr>
          <w:color w:val="0000FF"/>
          <w:u w:val="single"/>
        </w:rPr>
      </w:pPr>
      <w:r w:rsidRPr="002726F9">
        <w:rPr>
          <w:color w:val="000000"/>
          <w:rtl/>
        </w:rPr>
        <w:t>בעניין עריכה ושינויים במסמכי פסיקה, חקיקה ועוד באתר נבו – הקש כאן</w:t>
      </w:r>
    </w:p>
    <w:sectPr w:rsidR="00365F51" w:rsidSect="00E47908">
      <w:headerReference w:type="even" r:id="rId28"/>
      <w:headerReference w:type="default" r:id="rId29"/>
      <w:footerReference w:type="even" r:id="rId30"/>
      <w:footerReference w:type="default" r:id="rId31"/>
      <w:pgSz w:w="11907" w:h="16840" w:code="9"/>
      <w:pgMar w:top="1701" w:right="1701" w:bottom="2552" w:left="1701" w:header="187" w:footer="720" w:gutter="0"/>
      <w:pgNumType w:start="1"/>
      <w:cols w:space="720"/>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11B02D52" w14:textId="77777777" w:rsidR="002B1983" w:rsidRPr="006D051D" w:rsidRDefault="002B1983">
      <w:pPr>
        <w:rPr>
          <w:rFonts w:cs="Arial"/>
          <w:szCs w:val="20"/>
        </w:rPr>
      </w:pPr>
      <w:r>
        <w:separator/>
      </w:r>
    </w:p>
  </w:endnote>
  <w:endnote w:type="continuationSeparator" w:id="0">
    <w:p w14:paraId="3095BCC1" w14:textId="77777777" w:rsidR="002B1983" w:rsidRPr="006D051D" w:rsidRDefault="002B1983">
      <w:pPr>
        <w:rPr>
          <w:rFonts w:cs="Arial"/>
          <w:szCs w:val="20"/>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FrankRuehl">
    <w:panose1 w:val="020E0503060101010101"/>
    <w:charset w:val="00"/>
    <w:family w:val="swiss"/>
    <w:pitch w:val="variable"/>
    <w:sig w:usb0="00000803" w:usb1="00000000" w:usb2="00000000" w:usb3="00000000" w:csb0="00000021"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FA026D4" w14:textId="77777777" w:rsidR="00016A0A" w:rsidRDefault="00016A0A" w:rsidP="00E47908">
    <w:pPr>
      <w:pStyle w:val="a4"/>
      <w:jc w:val="center"/>
      <w:rPr>
        <w:rFonts w:ascii="FrankRuehl" w:hAnsi="FrankRuehl" w:cs="FrankRueh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rPr>
      <w:instrText>PAGE</w:instrText>
    </w:r>
    <w:r>
      <w:rPr>
        <w:rFonts w:ascii="FrankRuehl" w:hAnsi="FrankRuehl" w:cs="FrankRuehl"/>
        <w:rtl/>
      </w:rPr>
      <w:instrText xml:space="preserve">  \* </w:instrText>
    </w:r>
    <w:r>
      <w:rPr>
        <w:rFonts w:ascii="FrankRuehl" w:hAnsi="FrankRuehl" w:cs="FrankRuehl"/>
      </w:rPr>
      <w:instrText>MERGEFORMAT</w:instrText>
    </w:r>
    <w:r>
      <w:rPr>
        <w:rFonts w:ascii="FrankRuehl" w:hAnsi="FrankRuehl" w:cs="FrankRuehl"/>
        <w:rtl/>
      </w:rPr>
      <w:instrText xml:space="preserve"> </w:instrText>
    </w:r>
    <w:r>
      <w:rPr>
        <w:rFonts w:ascii="FrankRuehl" w:hAnsi="FrankRuehl" w:cs="FrankRuehl"/>
        <w:rtl/>
      </w:rPr>
      <w:fldChar w:fldCharType="separate"/>
    </w:r>
    <w:r>
      <w:rPr>
        <w:rFonts w:ascii="FrankRuehl" w:hAnsi="FrankRuehl" w:cs="FrankRuehl"/>
        <w:rtl/>
      </w:rPr>
      <w:t>1</w:t>
    </w:r>
    <w:r>
      <w:rPr>
        <w:rFonts w:ascii="FrankRuehl" w:hAnsi="FrankRuehl" w:cs="FrankRuehl"/>
        <w:rtl/>
      </w:rPr>
      <w:fldChar w:fldCharType="end"/>
    </w:r>
  </w:p>
  <w:p w14:paraId="6DFE8787" w14:textId="77777777" w:rsidR="00016A0A" w:rsidRPr="00E47908" w:rsidRDefault="00016A0A" w:rsidP="00E47908">
    <w:pPr>
      <w:pStyle w:val="a4"/>
      <w:pBdr>
        <w:top w:val="single" w:sz="4" w:space="1" w:color="auto"/>
        <w:between w:val="single" w:sz="4" w:space="0" w:color="auto"/>
      </w:pBdr>
      <w:spacing w:after="60"/>
      <w:jc w:val="center"/>
      <w:rPr>
        <w:rFonts w:ascii="FrankRuehl" w:hAnsi="FrankRuehl" w:cs="FrankRuehl"/>
        <w:color w:val="000000"/>
      </w:rPr>
    </w:pPr>
    <w:r w:rsidRPr="00E47908">
      <w:rPr>
        <w:rFonts w:ascii="FrankRuehl" w:hAnsi="FrankRuehl" w:cs="FrankRuehl"/>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43.8pt;height:18pt">
          <v:imagedata r:id="rId1" o:title="Nevologo2"/>
        </v:shape>
      </w:pic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148D4D8" w14:textId="77777777" w:rsidR="00016A0A" w:rsidRDefault="00016A0A" w:rsidP="00E47908">
    <w:pPr>
      <w:pStyle w:val="a4"/>
      <w:jc w:val="center"/>
      <w:rPr>
        <w:rFonts w:ascii="FrankRuehl" w:hAnsi="FrankRuehl" w:cs="FrankRuehl"/>
        <w:rtl/>
      </w:rPr>
    </w:pPr>
    <w:r>
      <w:rPr>
        <w:rFonts w:ascii="FrankRuehl" w:hAnsi="FrankRuehl" w:cs="FrankRuehl"/>
        <w:rtl/>
      </w:rPr>
      <w:fldChar w:fldCharType="begin"/>
    </w:r>
    <w:r>
      <w:rPr>
        <w:rFonts w:ascii="FrankRuehl" w:hAnsi="FrankRuehl" w:cs="FrankRuehl"/>
        <w:rtl/>
      </w:rPr>
      <w:instrText xml:space="preserve"> </w:instrText>
    </w:r>
    <w:r>
      <w:rPr>
        <w:rFonts w:ascii="FrankRuehl" w:hAnsi="FrankRuehl" w:cs="FrankRuehl" w:hint="cs"/>
      </w:rPr>
      <w:instrText>PAGE</w:instrText>
    </w:r>
    <w:r>
      <w:rPr>
        <w:rFonts w:ascii="FrankRuehl" w:hAnsi="FrankRuehl" w:cs="FrankRuehl" w:hint="cs"/>
        <w:rtl/>
      </w:rPr>
      <w:instrText xml:space="preserve">  \* </w:instrText>
    </w:r>
    <w:r>
      <w:rPr>
        <w:rFonts w:ascii="FrankRuehl" w:hAnsi="FrankRuehl" w:cs="FrankRuehl" w:hint="cs"/>
      </w:rPr>
      <w:instrText>MERGEFORMAT</w:instrText>
    </w:r>
    <w:r>
      <w:rPr>
        <w:rFonts w:ascii="FrankRuehl" w:hAnsi="FrankRuehl" w:cs="FrankRuehl"/>
        <w:rtl/>
      </w:rPr>
      <w:instrText xml:space="preserve"> </w:instrText>
    </w:r>
    <w:r>
      <w:rPr>
        <w:rFonts w:ascii="FrankRuehl" w:hAnsi="FrankRuehl" w:cs="FrankRuehl"/>
        <w:rtl/>
      </w:rPr>
      <w:fldChar w:fldCharType="separate"/>
    </w:r>
    <w:r w:rsidR="00800644">
      <w:rPr>
        <w:rFonts w:ascii="FrankRuehl" w:hAnsi="FrankRuehl" w:cs="FrankRuehl"/>
        <w:rtl/>
      </w:rPr>
      <w:t>1</w:t>
    </w:r>
    <w:r>
      <w:rPr>
        <w:rFonts w:ascii="FrankRuehl" w:hAnsi="FrankRuehl" w:cs="FrankRuehl"/>
        <w:rtl/>
      </w:rPr>
      <w:fldChar w:fldCharType="end"/>
    </w:r>
  </w:p>
  <w:p w14:paraId="421A45D3" w14:textId="77777777" w:rsidR="00016A0A" w:rsidRPr="00E47908" w:rsidRDefault="00016A0A" w:rsidP="00E47908">
    <w:pPr>
      <w:pStyle w:val="a4"/>
      <w:pBdr>
        <w:top w:val="single" w:sz="4" w:space="1" w:color="auto"/>
        <w:between w:val="single" w:sz="4" w:space="0" w:color="auto"/>
      </w:pBdr>
      <w:spacing w:after="60"/>
      <w:jc w:val="center"/>
      <w:rPr>
        <w:rFonts w:ascii="FrankRuehl" w:hAnsi="FrankRuehl" w:cs="FrankRuehl" w:hint="cs"/>
        <w:color w:val="000000"/>
        <w:rtl/>
      </w:rPr>
    </w:pPr>
    <w:r w:rsidRPr="00E47908">
      <w:rPr>
        <w:rFonts w:ascii="FrankRuehl" w:hAnsi="FrankRuehl" w:cs="FrankRuehl" w:hint="cs"/>
        <w:color w:val="000000"/>
      </w:rPr>
      <w:pict w14:anchorId="2BC6EAE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pt;height:18pt">
          <v:imagedata r:id="rId1" o:title="Nevologo2"/>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4CB7B85" w14:textId="77777777" w:rsidR="002B1983" w:rsidRPr="006D051D" w:rsidRDefault="002B1983">
      <w:pPr>
        <w:rPr>
          <w:rFonts w:cs="Arial"/>
          <w:szCs w:val="20"/>
        </w:rPr>
      </w:pPr>
      <w:r>
        <w:separator/>
      </w:r>
    </w:p>
  </w:footnote>
  <w:footnote w:type="continuationSeparator" w:id="0">
    <w:p w14:paraId="545B20EE" w14:textId="77777777" w:rsidR="002B1983" w:rsidRPr="006D051D" w:rsidRDefault="002B1983">
      <w:pPr>
        <w:rPr>
          <w:rFonts w:cs="Arial"/>
          <w:szCs w:val="20"/>
        </w:rPr>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1DBD09C" w14:textId="77777777" w:rsidR="00016A0A" w:rsidRPr="00E47908" w:rsidRDefault="00016A0A" w:rsidP="00E4790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14266-05-12</w:t>
    </w:r>
    <w:r>
      <w:rPr>
        <w:rFonts w:ascii="David" w:hAnsi="David"/>
        <w:color w:val="000000"/>
        <w:sz w:val="22"/>
        <w:szCs w:val="22"/>
        <w:rtl/>
      </w:rPr>
      <w:tab/>
      <w:t xml:space="preserve"> מדינת ישראל נ' חמודה עיאשה</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0A81356" w14:textId="77777777" w:rsidR="00016A0A" w:rsidRPr="00E47908" w:rsidRDefault="00016A0A" w:rsidP="00E47908">
    <w:pPr>
      <w:pStyle w:val="a3"/>
      <w:pBdr>
        <w:bottom w:val="single" w:sz="4" w:space="1" w:color="auto"/>
      </w:pBdr>
      <w:tabs>
        <w:tab w:val="clear" w:pos="4153"/>
        <w:tab w:val="clear" w:pos="8306"/>
        <w:tab w:val="right" w:pos="8311"/>
      </w:tabs>
      <w:spacing w:line="220" w:lineRule="exact"/>
      <w:rPr>
        <w:rFonts w:ascii="David" w:hAnsi="David"/>
        <w:color w:val="000000"/>
        <w:sz w:val="22"/>
        <w:szCs w:val="22"/>
        <w:rtl/>
      </w:rPr>
    </w:pPr>
    <w:r>
      <w:rPr>
        <w:rFonts w:ascii="David" w:hAnsi="David"/>
        <w:color w:val="000000"/>
        <w:sz w:val="22"/>
        <w:szCs w:val="22"/>
        <w:rtl/>
      </w:rPr>
      <w:t>תפ (חי') 14266-05-12</w:t>
    </w:r>
    <w:r>
      <w:rPr>
        <w:rFonts w:ascii="David" w:hAnsi="David"/>
        <w:color w:val="000000"/>
        <w:sz w:val="22"/>
        <w:szCs w:val="22"/>
        <w:rtl/>
      </w:rPr>
      <w:tab/>
      <w:t xml:space="preserve"> מדינת ישראל נ' חמודה עיאשה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523D35"/>
    <w:multiLevelType w:val="hybridMultilevel"/>
    <w:tmpl w:val="C5C222A8"/>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7C8A1F2E"/>
    <w:multiLevelType w:val="hybridMultilevel"/>
    <w:tmpl w:val="B838B6D6"/>
    <w:lvl w:ilvl="0" w:tplc="514AE884">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473565485">
    <w:abstractNumId w:val="0"/>
  </w:num>
  <w:num w:numId="2" w16cid:durableId="6400407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rawingGridHorizontalSpacing w:val="120"/>
  <w:displayHorizontalDrawingGridEvery w:val="2"/>
  <w:characterSpacingControl w:val="doNotCompress"/>
  <w:footnotePr>
    <w:footnote w:id="-1"/>
    <w:footnote w:id="0"/>
  </w:footnotePr>
  <w:endnotePr>
    <w:endnote w:id="-1"/>
    <w:endnote w:id="0"/>
  </w:endnotePr>
  <w:compa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docVars>
    <w:docVar w:name="MyInfo" w:val="This document was extracted from Nevo's site"/>
  </w:docVars>
  <w:rsids>
    <w:rsidRoot w:val="004406D8"/>
    <w:rsid w:val="00016A0A"/>
    <w:rsid w:val="00117653"/>
    <w:rsid w:val="00122B88"/>
    <w:rsid w:val="002726F9"/>
    <w:rsid w:val="002B1983"/>
    <w:rsid w:val="00365F51"/>
    <w:rsid w:val="004406D8"/>
    <w:rsid w:val="004F5B13"/>
    <w:rsid w:val="005A3159"/>
    <w:rsid w:val="00613EF6"/>
    <w:rsid w:val="00725C39"/>
    <w:rsid w:val="00800644"/>
    <w:rsid w:val="008944C3"/>
    <w:rsid w:val="00E47908"/>
    <w:rsid w:val="00FA6E7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1"/>
    </o:shapelayout>
  </w:shapeDefaults>
  <w:decimalSymbol w:val="."/>
  <w:listSeparator w:val=","/>
  <w14:docId w14:val="4B5CFF42"/>
  <w15:chartTrackingRefBased/>
  <w15:docId w15:val="{4B356C4D-EC6D-4841-B1B0-7076A601C3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4406D8"/>
    <w:pPr>
      <w:bidi/>
    </w:pPr>
    <w:rPr>
      <w:rFonts w:cs="David"/>
      <w:noProof/>
      <w:sz w:val="24"/>
      <w:szCs w:val="24"/>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styleId="a3">
    <w:name w:val="header"/>
    <w:basedOn w:val="a"/>
    <w:rsid w:val="004406D8"/>
    <w:pPr>
      <w:tabs>
        <w:tab w:val="center" w:pos="4153"/>
        <w:tab w:val="right" w:pos="8306"/>
      </w:tabs>
    </w:pPr>
  </w:style>
  <w:style w:type="paragraph" w:styleId="a4">
    <w:name w:val="footer"/>
    <w:basedOn w:val="a"/>
    <w:link w:val="a5"/>
    <w:rsid w:val="004406D8"/>
    <w:pPr>
      <w:tabs>
        <w:tab w:val="center" w:pos="4153"/>
        <w:tab w:val="right" w:pos="8306"/>
      </w:tabs>
    </w:pPr>
  </w:style>
  <w:style w:type="character" w:customStyle="1" w:styleId="a5">
    <w:name w:val="כותרת תחתונה תו"/>
    <w:link w:val="a4"/>
    <w:rsid w:val="004406D8"/>
    <w:rPr>
      <w:rFonts w:cs="David"/>
      <w:noProof/>
      <w:sz w:val="24"/>
      <w:szCs w:val="24"/>
      <w:lang w:val="en-US" w:eastAsia="en-US" w:bidi="he-IL"/>
    </w:rPr>
  </w:style>
  <w:style w:type="character" w:styleId="a6">
    <w:name w:val="page number"/>
    <w:basedOn w:val="a0"/>
    <w:rsid w:val="00365F51"/>
  </w:style>
  <w:style w:type="character" w:styleId="Hyperlink">
    <w:name w:val="Hyperlink"/>
    <w:rsid w:val="00365F5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targetScreenSz w:val="800x600"/>
</w:webSettings>
</file>

<file path=word/_rels/document.xml.rels><?xml version="1.0" encoding="UTF-8" standalone="yes"?>
<Relationships xmlns="http://schemas.openxmlformats.org/package/2006/relationships"><Relationship Id="rId13" Type="http://schemas.openxmlformats.org/officeDocument/2006/relationships/hyperlink" Target="http://www.nevo.co.il/law/70301/499" TargetMode="External"/><Relationship Id="rId18" Type="http://schemas.openxmlformats.org/officeDocument/2006/relationships/hyperlink" Target="http://www.nevo.co.il/law/70301/29" TargetMode="External"/><Relationship Id="rId26" Type="http://schemas.openxmlformats.org/officeDocument/2006/relationships/hyperlink" Target="http://www.nevo.co.il/case/2731290" TargetMode="External"/><Relationship Id="rId3" Type="http://schemas.openxmlformats.org/officeDocument/2006/relationships/settings" Target="settings.xml"/><Relationship Id="rId21" Type="http://schemas.openxmlformats.org/officeDocument/2006/relationships/hyperlink" Target="http://www.nevo.co.il/law/70301/144.a" TargetMode="External"/><Relationship Id="rId7" Type="http://schemas.openxmlformats.org/officeDocument/2006/relationships/hyperlink" Target="http://www.nevo.co.il/law/70301" TargetMode="External"/><Relationship Id="rId12" Type="http://schemas.openxmlformats.org/officeDocument/2006/relationships/hyperlink" Target="http://www.nevo.co.il/law/70301/243" TargetMode="External"/><Relationship Id="rId17" Type="http://schemas.openxmlformats.org/officeDocument/2006/relationships/hyperlink" Target="http://www.nevo.co.il/law/70301/238" TargetMode="External"/><Relationship Id="rId25" Type="http://schemas.openxmlformats.org/officeDocument/2006/relationships/hyperlink" Target="http://www.nevo.co.il/case/5808567" TargetMode="Externa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hyperlink" Target="http://www.nevo.co.il/law/70301" TargetMode="External"/><Relationship Id="rId20" Type="http://schemas.openxmlformats.org/officeDocument/2006/relationships/hyperlink" Target="http://www.nevo.co.il/law/70301/29" TargetMode="External"/><Relationship Id="rId29"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www.nevo.co.il/law/70301/238" TargetMode="External"/><Relationship Id="rId24" Type="http://schemas.openxmlformats.org/officeDocument/2006/relationships/hyperlink" Target="http://www.nevo.co.il/case/5576212" TargetMode="Externa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hyperlink" Target="http://www.nevo.co.il/law/70301/29" TargetMode="External"/><Relationship Id="rId23" Type="http://schemas.openxmlformats.org/officeDocument/2006/relationships/hyperlink" Target="http://www.nevo.co.il/case/5724364" TargetMode="External"/><Relationship Id="rId28" Type="http://schemas.openxmlformats.org/officeDocument/2006/relationships/header" Target="header1.xml"/><Relationship Id="rId10" Type="http://schemas.openxmlformats.org/officeDocument/2006/relationships/hyperlink" Target="http://www.nevo.co.il/law/70301/144.b" TargetMode="External"/><Relationship Id="rId19" Type="http://schemas.openxmlformats.org/officeDocument/2006/relationships/hyperlink" Target="http://www.nevo.co.il/law/70301/243" TargetMode="External"/><Relationship Id="rId31"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yperlink" Target="http://www.nevo.co.il/law/70301/144.a" TargetMode="External"/><Relationship Id="rId14" Type="http://schemas.openxmlformats.org/officeDocument/2006/relationships/hyperlink" Target="http://www.nevo.co.il/law/70301/499" TargetMode="External"/><Relationship Id="rId22" Type="http://schemas.openxmlformats.org/officeDocument/2006/relationships/hyperlink" Target="http://www.nevo.co.il/law/70301/144.b" TargetMode="External"/><Relationship Id="rId27" Type="http://schemas.openxmlformats.org/officeDocument/2006/relationships/hyperlink" Target="http://www.nevo.co.il/case/6151556" TargetMode="External"/><Relationship Id="rId30" Type="http://schemas.openxmlformats.org/officeDocument/2006/relationships/footer" Target="footer1.xml"/><Relationship Id="rId8" Type="http://schemas.openxmlformats.org/officeDocument/2006/relationships/hyperlink" Target="http://www.nevo.co.il/law/70301/29" TargetMode="External"/></Relationships>
</file>

<file path=word/_rels/footer1.xml.rels><?xml version="1.0" encoding="UTF-8" standalone="yes"?>
<Relationships xmlns="http://schemas.openxmlformats.org/package/2006/relationships"><Relationship Id="rId1" Type="http://schemas.openxmlformats.org/officeDocument/2006/relationships/image" Target="media/image1.jpeg"/></Relationships>
</file>

<file path=word/_rels/footer2.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1419</Words>
  <Characters>7099</Characters>
  <Application>Microsoft Office Word</Application>
  <DocSecurity>0</DocSecurity>
  <Lines>59</Lines>
  <Paragraphs>17</Paragraphs>
  <ScaleCrop>false</ScaleCrop>
  <HeadingPairs>
    <vt:vector size="2" baseType="variant">
      <vt:variant>
        <vt:lpstr>Title</vt:lpstr>
      </vt:variant>
      <vt:variant>
        <vt:i4>1</vt:i4>
      </vt:variant>
    </vt:vector>
  </HeadingPairs>
  <TitlesOfParts>
    <vt:vector size="1" baseType="lpstr">
      <vt:lpstr>nevo.co.il</vt:lpstr>
    </vt:vector>
  </TitlesOfParts>
  <Company> </Company>
  <LinksUpToDate>false</LinksUpToDate>
  <CharactersWithSpaces>8501</CharactersWithSpaces>
  <SharedDoc>false</SharedDoc>
  <HLinks>
    <vt:vector size="126" baseType="variant">
      <vt:variant>
        <vt:i4>3145841</vt:i4>
      </vt:variant>
      <vt:variant>
        <vt:i4>60</vt:i4>
      </vt:variant>
      <vt:variant>
        <vt:i4>0</vt:i4>
      </vt:variant>
      <vt:variant>
        <vt:i4>5</vt:i4>
      </vt:variant>
      <vt:variant>
        <vt:lpwstr>http://www.nevo.co.il/case/6151556</vt:lpwstr>
      </vt:variant>
      <vt:variant>
        <vt:lpwstr/>
      </vt:variant>
      <vt:variant>
        <vt:i4>3342459</vt:i4>
      </vt:variant>
      <vt:variant>
        <vt:i4>57</vt:i4>
      </vt:variant>
      <vt:variant>
        <vt:i4>0</vt:i4>
      </vt:variant>
      <vt:variant>
        <vt:i4>5</vt:i4>
      </vt:variant>
      <vt:variant>
        <vt:lpwstr>http://www.nevo.co.il/case/2731290</vt:lpwstr>
      </vt:variant>
      <vt:variant>
        <vt:lpwstr/>
      </vt:variant>
      <vt:variant>
        <vt:i4>3604594</vt:i4>
      </vt:variant>
      <vt:variant>
        <vt:i4>54</vt:i4>
      </vt:variant>
      <vt:variant>
        <vt:i4>0</vt:i4>
      </vt:variant>
      <vt:variant>
        <vt:i4>5</vt:i4>
      </vt:variant>
      <vt:variant>
        <vt:lpwstr>http://www.nevo.co.il/case/5808567</vt:lpwstr>
      </vt:variant>
      <vt:variant>
        <vt:lpwstr/>
      </vt:variant>
      <vt:variant>
        <vt:i4>3276918</vt:i4>
      </vt:variant>
      <vt:variant>
        <vt:i4>51</vt:i4>
      </vt:variant>
      <vt:variant>
        <vt:i4>0</vt:i4>
      </vt:variant>
      <vt:variant>
        <vt:i4>5</vt:i4>
      </vt:variant>
      <vt:variant>
        <vt:lpwstr>http://www.nevo.co.il/case/5576212</vt:lpwstr>
      </vt:variant>
      <vt:variant>
        <vt:lpwstr/>
      </vt:variant>
      <vt:variant>
        <vt:i4>3145841</vt:i4>
      </vt:variant>
      <vt:variant>
        <vt:i4>48</vt:i4>
      </vt:variant>
      <vt:variant>
        <vt:i4>0</vt:i4>
      </vt:variant>
      <vt:variant>
        <vt:i4>5</vt:i4>
      </vt:variant>
      <vt:variant>
        <vt:lpwstr>http://www.nevo.co.il/case/5724364</vt:lpwstr>
      </vt:variant>
      <vt:variant>
        <vt:lpwstr/>
      </vt:variant>
      <vt:variant>
        <vt:i4>5177424</vt:i4>
      </vt:variant>
      <vt:variant>
        <vt:i4>45</vt:i4>
      </vt:variant>
      <vt:variant>
        <vt:i4>0</vt:i4>
      </vt:variant>
      <vt:variant>
        <vt:i4>5</vt:i4>
      </vt:variant>
      <vt:variant>
        <vt:lpwstr>http://www.nevo.co.il/law/70301/144.b</vt:lpwstr>
      </vt:variant>
      <vt:variant>
        <vt:lpwstr/>
      </vt:variant>
      <vt:variant>
        <vt:i4>5177424</vt:i4>
      </vt:variant>
      <vt:variant>
        <vt:i4>42</vt:i4>
      </vt:variant>
      <vt:variant>
        <vt:i4>0</vt:i4>
      </vt:variant>
      <vt:variant>
        <vt:i4>5</vt:i4>
      </vt:variant>
      <vt:variant>
        <vt:lpwstr>http://www.nevo.co.il/law/70301/144.a</vt:lpwstr>
      </vt:variant>
      <vt:variant>
        <vt:lpwstr/>
      </vt:variant>
      <vt:variant>
        <vt:i4>7077991</vt:i4>
      </vt:variant>
      <vt:variant>
        <vt:i4>39</vt:i4>
      </vt:variant>
      <vt:variant>
        <vt:i4>0</vt:i4>
      </vt:variant>
      <vt:variant>
        <vt:i4>5</vt:i4>
      </vt:variant>
      <vt:variant>
        <vt:lpwstr>http://www.nevo.co.il/law/70301/29</vt:lpwstr>
      </vt:variant>
      <vt:variant>
        <vt:lpwstr/>
      </vt:variant>
      <vt:variant>
        <vt:i4>6357095</vt:i4>
      </vt:variant>
      <vt:variant>
        <vt:i4>36</vt:i4>
      </vt:variant>
      <vt:variant>
        <vt:i4>0</vt:i4>
      </vt:variant>
      <vt:variant>
        <vt:i4>5</vt:i4>
      </vt:variant>
      <vt:variant>
        <vt:lpwstr>http://www.nevo.co.il/law/70301/243</vt:lpwstr>
      </vt:variant>
      <vt:variant>
        <vt:lpwstr/>
      </vt:variant>
      <vt:variant>
        <vt:i4>7077991</vt:i4>
      </vt:variant>
      <vt:variant>
        <vt:i4>33</vt:i4>
      </vt:variant>
      <vt:variant>
        <vt:i4>0</vt:i4>
      </vt:variant>
      <vt:variant>
        <vt:i4>5</vt:i4>
      </vt:variant>
      <vt:variant>
        <vt:lpwstr>http://www.nevo.co.il/law/70301/29</vt:lpwstr>
      </vt:variant>
      <vt:variant>
        <vt:lpwstr/>
      </vt:variant>
      <vt:variant>
        <vt:i4>6684775</vt:i4>
      </vt:variant>
      <vt:variant>
        <vt:i4>30</vt:i4>
      </vt:variant>
      <vt:variant>
        <vt:i4>0</vt:i4>
      </vt:variant>
      <vt:variant>
        <vt:i4>5</vt:i4>
      </vt:variant>
      <vt:variant>
        <vt:lpwstr>http://www.nevo.co.il/law/70301/238</vt:lpwstr>
      </vt:variant>
      <vt:variant>
        <vt:lpwstr/>
      </vt:variant>
      <vt:variant>
        <vt:i4>7995492</vt:i4>
      </vt:variant>
      <vt:variant>
        <vt:i4>27</vt:i4>
      </vt:variant>
      <vt:variant>
        <vt:i4>0</vt:i4>
      </vt:variant>
      <vt:variant>
        <vt:i4>5</vt:i4>
      </vt:variant>
      <vt:variant>
        <vt:lpwstr>http://www.nevo.co.il/law/70301</vt:lpwstr>
      </vt:variant>
      <vt:variant>
        <vt:lpwstr/>
      </vt:variant>
      <vt:variant>
        <vt:i4>7077991</vt:i4>
      </vt:variant>
      <vt:variant>
        <vt:i4>24</vt:i4>
      </vt:variant>
      <vt:variant>
        <vt:i4>0</vt:i4>
      </vt:variant>
      <vt:variant>
        <vt:i4>5</vt:i4>
      </vt:variant>
      <vt:variant>
        <vt:lpwstr>http://www.nevo.co.il/law/70301/29</vt:lpwstr>
      </vt:variant>
      <vt:variant>
        <vt:lpwstr/>
      </vt:variant>
      <vt:variant>
        <vt:i4>7077985</vt:i4>
      </vt:variant>
      <vt:variant>
        <vt:i4>21</vt:i4>
      </vt:variant>
      <vt:variant>
        <vt:i4>0</vt:i4>
      </vt:variant>
      <vt:variant>
        <vt:i4>5</vt:i4>
      </vt:variant>
      <vt:variant>
        <vt:lpwstr>http://www.nevo.co.il/law/70301/499</vt:lpwstr>
      </vt:variant>
      <vt:variant>
        <vt:lpwstr/>
      </vt:variant>
      <vt:variant>
        <vt:i4>7077985</vt:i4>
      </vt:variant>
      <vt:variant>
        <vt:i4>18</vt:i4>
      </vt:variant>
      <vt:variant>
        <vt:i4>0</vt:i4>
      </vt:variant>
      <vt:variant>
        <vt:i4>5</vt:i4>
      </vt:variant>
      <vt:variant>
        <vt:lpwstr>http://www.nevo.co.il/law/70301/499</vt:lpwstr>
      </vt:variant>
      <vt:variant>
        <vt:lpwstr/>
      </vt:variant>
      <vt:variant>
        <vt:i4>6357095</vt:i4>
      </vt:variant>
      <vt:variant>
        <vt:i4>15</vt:i4>
      </vt:variant>
      <vt:variant>
        <vt:i4>0</vt:i4>
      </vt:variant>
      <vt:variant>
        <vt:i4>5</vt:i4>
      </vt:variant>
      <vt:variant>
        <vt:lpwstr>http://www.nevo.co.il/law/70301/243</vt:lpwstr>
      </vt:variant>
      <vt:variant>
        <vt:lpwstr/>
      </vt:variant>
      <vt:variant>
        <vt:i4>6684775</vt:i4>
      </vt:variant>
      <vt:variant>
        <vt:i4>12</vt:i4>
      </vt:variant>
      <vt:variant>
        <vt:i4>0</vt:i4>
      </vt:variant>
      <vt:variant>
        <vt:i4>5</vt:i4>
      </vt:variant>
      <vt:variant>
        <vt:lpwstr>http://www.nevo.co.il/law/70301/238</vt:lpwstr>
      </vt:variant>
      <vt:variant>
        <vt:lpwstr/>
      </vt:variant>
      <vt:variant>
        <vt:i4>5177424</vt:i4>
      </vt:variant>
      <vt:variant>
        <vt:i4>9</vt:i4>
      </vt:variant>
      <vt:variant>
        <vt:i4>0</vt:i4>
      </vt:variant>
      <vt:variant>
        <vt:i4>5</vt:i4>
      </vt:variant>
      <vt:variant>
        <vt:lpwstr>http://www.nevo.co.il/law/70301/144.b</vt:lpwstr>
      </vt:variant>
      <vt:variant>
        <vt:lpwstr/>
      </vt:variant>
      <vt:variant>
        <vt:i4>5177424</vt:i4>
      </vt:variant>
      <vt:variant>
        <vt:i4>6</vt:i4>
      </vt:variant>
      <vt:variant>
        <vt:i4>0</vt:i4>
      </vt:variant>
      <vt:variant>
        <vt:i4>5</vt:i4>
      </vt:variant>
      <vt:variant>
        <vt:lpwstr>http://www.nevo.co.il/law/70301/144.a</vt:lpwstr>
      </vt:variant>
      <vt:variant>
        <vt:lpwstr/>
      </vt:variant>
      <vt:variant>
        <vt:i4>7077991</vt:i4>
      </vt:variant>
      <vt:variant>
        <vt:i4>3</vt:i4>
      </vt:variant>
      <vt:variant>
        <vt:i4>0</vt:i4>
      </vt:variant>
      <vt:variant>
        <vt:i4>5</vt:i4>
      </vt:variant>
      <vt:variant>
        <vt:lpwstr>http://www.nevo.co.il/law/70301/29</vt:lpwstr>
      </vt:variant>
      <vt:variant>
        <vt:lpwstr/>
      </vt:variant>
      <vt:variant>
        <vt:i4>7995492</vt:i4>
      </vt:variant>
      <vt:variant>
        <vt:i4>0</vt:i4>
      </vt:variant>
      <vt:variant>
        <vt:i4>0</vt:i4>
      </vt:variant>
      <vt:variant>
        <vt:i4>5</vt:i4>
      </vt:variant>
      <vt:variant>
        <vt:lpwstr>http://www.nevo.co.il/law/70301</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subject>
  <dc:creator> </dc:creator>
  <cp:keywords/>
  <dc:description/>
  <cp:lastModifiedBy>Tal Klein</cp:lastModifiedBy>
  <cp:revision>2</cp:revision>
  <dcterms:created xsi:type="dcterms:W3CDTF">2025-04-25T10:27:00Z</dcterms:created>
  <dcterms:modified xsi:type="dcterms:W3CDTF">2025-04-25T10:27:00Z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YPE">
    <vt:lpwstr>2</vt:lpwstr>
  </property>
  <property fmtid="{D5CDD505-2E9C-101B-9397-08002B2CF9AE}" pid="3" name="PSAKDIN">
    <vt:lpwstr>גזר-דין</vt:lpwstr>
  </property>
  <property fmtid="{D5CDD505-2E9C-101B-9397-08002B2CF9AE}" pid="4" name="NEWPROC">
    <vt:lpwstr>תפ</vt:lpwstr>
  </property>
  <property fmtid="{D5CDD505-2E9C-101B-9397-08002B2CF9AE}" pid="5" name="NEWPARTA">
    <vt:lpwstr>14266</vt:lpwstr>
  </property>
  <property fmtid="{D5CDD505-2E9C-101B-9397-08002B2CF9AE}" pid="6" name="NEWPARTB">
    <vt:lpwstr>05</vt:lpwstr>
  </property>
  <property fmtid="{D5CDD505-2E9C-101B-9397-08002B2CF9AE}" pid="7" name="NEWPARTC">
    <vt:lpwstr>12</vt:lpwstr>
  </property>
  <property fmtid="{D5CDD505-2E9C-101B-9397-08002B2CF9AE}" pid="8" name="APPELLANT">
    <vt:lpwstr>מדינת ישראל</vt:lpwstr>
  </property>
  <property fmtid="{D5CDD505-2E9C-101B-9397-08002B2CF9AE}" pid="9" name="APPELLEE">
    <vt:lpwstr>חמודה עיאשה</vt:lpwstr>
  </property>
  <property fmtid="{D5CDD505-2E9C-101B-9397-08002B2CF9AE}" pid="10" name="LAWYER">
    <vt:lpwstr>מיכאל כרמל;עלית אפשטיין</vt:lpwstr>
  </property>
  <property fmtid="{D5CDD505-2E9C-101B-9397-08002B2CF9AE}" pid="11" name="JUDGE">
    <vt:lpwstr>אילן שיף</vt:lpwstr>
  </property>
  <property fmtid="{D5CDD505-2E9C-101B-9397-08002B2CF9AE}" pid="12" name="CITY">
    <vt:lpwstr>חי'</vt:lpwstr>
  </property>
  <property fmtid="{D5CDD505-2E9C-101B-9397-08002B2CF9AE}" pid="13" name="DATE">
    <vt:lpwstr>20130129</vt:lpwstr>
  </property>
  <property fmtid="{D5CDD505-2E9C-101B-9397-08002B2CF9AE}" pid="14" name="TYPE_N_DATE">
    <vt:lpwstr>39020130129</vt:lpwstr>
  </property>
  <property fmtid="{D5CDD505-2E9C-101B-9397-08002B2CF9AE}" pid="15" name="WORDNUMPAGES">
    <vt:lpwstr>5</vt:lpwstr>
  </property>
  <property fmtid="{D5CDD505-2E9C-101B-9397-08002B2CF9AE}" pid="16" name="TYPE_ABS_DATE">
    <vt:lpwstr>390020130129</vt:lpwstr>
  </property>
  <property fmtid="{D5CDD505-2E9C-101B-9397-08002B2CF9AE}" pid="17" name="ISABSTRACT">
    <vt:lpwstr>Y</vt:lpwstr>
  </property>
  <property fmtid="{D5CDD505-2E9C-101B-9397-08002B2CF9AE}" pid="18" name="APPELLANT1">
    <vt:lpwstr/>
  </property>
  <property fmtid="{D5CDD505-2E9C-101B-9397-08002B2CF9AE}" pid="19" name="APPELLANT2">
    <vt:lpwstr/>
  </property>
  <property fmtid="{D5CDD505-2E9C-101B-9397-08002B2CF9AE}" pid="20" name="APPELLEE1">
    <vt:lpwstr/>
  </property>
  <property fmtid="{D5CDD505-2E9C-101B-9397-08002B2CF9AE}" pid="21" name="APPELLEE2">
    <vt:lpwstr/>
  </property>
  <property fmtid="{D5CDD505-2E9C-101B-9397-08002B2CF9AE}" pid="22" name="PROCESS">
    <vt:lpwstr/>
  </property>
  <property fmtid="{D5CDD505-2E9C-101B-9397-08002B2CF9AE}" pid="23" name="PROCNUM">
    <vt:lpwstr/>
  </property>
  <property fmtid="{D5CDD505-2E9C-101B-9397-08002B2CF9AE}" pid="24" name="PROCYEAR">
    <vt:lpwstr/>
  </property>
  <property fmtid="{D5CDD505-2E9C-101B-9397-08002B2CF9AE}" pid="25" name="VOLUME">
    <vt:lpwstr/>
  </property>
  <property fmtid="{D5CDD505-2E9C-101B-9397-08002B2CF9AE}" pid="26" name="PART">
    <vt:lpwstr/>
  </property>
  <property fmtid="{D5CDD505-2E9C-101B-9397-08002B2CF9AE}" pid="27" name="PAGE">
    <vt:lpwstr/>
  </property>
  <property fmtid="{D5CDD505-2E9C-101B-9397-08002B2CF9AE}" pid="28" name="PADIMAIL">
    <vt:lpwstr/>
  </property>
  <property fmtid="{D5CDD505-2E9C-101B-9397-08002B2CF9AE}" pid="29" name="DELEMATA">
    <vt:lpwstr/>
  </property>
  <property fmtid="{D5CDD505-2E9C-101B-9397-08002B2CF9AE}" pid="30" name="LINKK1">
    <vt:lpwstr/>
  </property>
  <property fmtid="{D5CDD505-2E9C-101B-9397-08002B2CF9AE}" pid="31" name="LINKK2">
    <vt:lpwstr/>
  </property>
  <property fmtid="{D5CDD505-2E9C-101B-9397-08002B2CF9AE}" pid="32" name="LINKK3">
    <vt:lpwstr/>
  </property>
  <property fmtid="{D5CDD505-2E9C-101B-9397-08002B2CF9AE}" pid="33" name="LINKK4">
    <vt:lpwstr/>
  </property>
  <property fmtid="{D5CDD505-2E9C-101B-9397-08002B2CF9AE}" pid="34" name="LINKK5">
    <vt:lpwstr/>
  </property>
  <property fmtid="{D5CDD505-2E9C-101B-9397-08002B2CF9AE}" pid="35" name="CASESLISTTMP1">
    <vt:lpwstr>5724364;5576212;5808567;2731290;6151556</vt:lpwstr>
  </property>
  <property fmtid="{D5CDD505-2E9C-101B-9397-08002B2CF9AE}" pid="36" name="LAWLISTTMP1">
    <vt:lpwstr>70301/499;029:3;238;243;144.a;144.b</vt:lpwstr>
  </property>
</Properties>
</file>