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943CBE" w:rsidRPr="00943CBE" w14:paraId="7E836389" w14:textId="77777777">
        <w:trPr>
          <w:trHeight w:hRule="exact" w:val="418"/>
          <w:jc w:val="center"/>
        </w:trPr>
        <w:tc>
          <w:tcPr>
            <w:tcW w:w="8721" w:type="dxa"/>
            <w:gridSpan w:val="2"/>
          </w:tcPr>
          <w:p w14:paraId="5DDCE67E" w14:textId="77777777" w:rsidR="00943CBE" w:rsidRPr="00943CBE" w:rsidRDefault="00943CBE" w:rsidP="00943CBE">
            <w:pPr>
              <w:pStyle w:val="a3"/>
              <w:jc w:val="center"/>
              <w:rPr>
                <w:rFonts w:ascii="Tahoma" w:hAnsi="Tahoma" w:cs="Tahoma"/>
                <w:color w:val="000080"/>
              </w:rPr>
            </w:pPr>
            <w:r w:rsidRPr="00943CBE">
              <w:rPr>
                <w:rFonts w:ascii="Tahoma" w:hAnsi="Tahoma" w:cs="Tahoma"/>
                <w:b/>
                <w:bCs/>
                <w:color w:val="000080"/>
                <w:rtl/>
              </w:rPr>
              <w:t>בית המשפט המחוזי בחיפה</w:t>
            </w:r>
          </w:p>
        </w:tc>
      </w:tr>
      <w:tr w:rsidR="00943CBE" w:rsidRPr="00943CBE" w14:paraId="6BA4A88B" w14:textId="77777777">
        <w:trPr>
          <w:trHeight w:val="337"/>
          <w:jc w:val="center"/>
        </w:trPr>
        <w:tc>
          <w:tcPr>
            <w:tcW w:w="5057" w:type="dxa"/>
          </w:tcPr>
          <w:p w14:paraId="118E70F7" w14:textId="77777777" w:rsidR="00943CBE" w:rsidRPr="003636B7" w:rsidRDefault="00943CBE" w:rsidP="00943CBE">
            <w:pPr>
              <w:rPr>
                <w:rFonts w:cs="FrankRuehl"/>
                <w:b/>
                <w:bCs/>
                <w:sz w:val="28"/>
                <w:szCs w:val="28"/>
                <w:rtl/>
              </w:rPr>
            </w:pPr>
            <w:r w:rsidRPr="003636B7">
              <w:rPr>
                <w:rFonts w:cs="FrankRuehl"/>
                <w:b/>
                <w:bCs/>
                <w:sz w:val="28"/>
                <w:szCs w:val="28"/>
                <w:rtl/>
              </w:rPr>
              <w:t>תפ"ח</w:t>
            </w:r>
            <w:r w:rsidRPr="003636B7">
              <w:rPr>
                <w:rFonts w:cs="FrankRuehl" w:hint="cs"/>
                <w:b/>
                <w:bCs/>
                <w:sz w:val="28"/>
                <w:szCs w:val="28"/>
                <w:rtl/>
              </w:rPr>
              <w:t xml:space="preserve"> </w:t>
            </w:r>
            <w:r w:rsidRPr="003636B7">
              <w:rPr>
                <w:rFonts w:cs="FrankRuehl"/>
                <w:b/>
                <w:bCs/>
                <w:sz w:val="28"/>
                <w:szCs w:val="28"/>
                <w:rtl/>
              </w:rPr>
              <w:t>39094-05-12</w:t>
            </w:r>
            <w:r w:rsidRPr="003636B7">
              <w:rPr>
                <w:rFonts w:cs="FrankRuehl" w:hint="cs"/>
                <w:b/>
                <w:bCs/>
                <w:sz w:val="28"/>
                <w:szCs w:val="28"/>
                <w:rtl/>
              </w:rPr>
              <w:t xml:space="preserve"> </w:t>
            </w:r>
            <w:r w:rsidRPr="003636B7">
              <w:rPr>
                <w:rFonts w:cs="FrankRuehl"/>
                <w:b/>
                <w:bCs/>
                <w:sz w:val="28"/>
                <w:szCs w:val="28"/>
                <w:rtl/>
              </w:rPr>
              <w:t>מדינת ישראל נ' שלב</w:t>
            </w:r>
            <w:r w:rsidR="003636B7" w:rsidRPr="003636B7">
              <w:rPr>
                <w:rFonts w:cs="FrankRuehl" w:hint="cs"/>
                <w:b/>
                <w:bCs/>
                <w:sz w:val="28"/>
                <w:szCs w:val="28"/>
                <w:rtl/>
              </w:rPr>
              <w:t xml:space="preserve"> </w:t>
            </w:r>
            <w:r w:rsidRPr="003636B7">
              <w:rPr>
                <w:rFonts w:cs="FrankRuehl"/>
                <w:b/>
                <w:bCs/>
                <w:sz w:val="28"/>
                <w:szCs w:val="28"/>
                <w:rtl/>
              </w:rPr>
              <w:t>(עציר) ואח'</w:t>
            </w:r>
          </w:p>
          <w:p w14:paraId="20906051" w14:textId="77777777" w:rsidR="00943CBE" w:rsidRPr="00943CBE" w:rsidRDefault="00943CBE" w:rsidP="00943CBE">
            <w:pPr>
              <w:pStyle w:val="a3"/>
              <w:rPr>
                <w:rFonts w:cs="FrankRuehl"/>
                <w:sz w:val="28"/>
                <w:szCs w:val="28"/>
              </w:rPr>
            </w:pPr>
          </w:p>
        </w:tc>
        <w:tc>
          <w:tcPr>
            <w:tcW w:w="3664" w:type="dxa"/>
          </w:tcPr>
          <w:p w14:paraId="5DCBB9D2" w14:textId="77777777" w:rsidR="00943CBE" w:rsidRPr="00943CBE" w:rsidRDefault="00943CBE" w:rsidP="00943CBE">
            <w:pPr>
              <w:pStyle w:val="a3"/>
              <w:jc w:val="right"/>
              <w:rPr>
                <w:rFonts w:cs="FrankRuehl"/>
                <w:sz w:val="28"/>
                <w:szCs w:val="28"/>
              </w:rPr>
            </w:pPr>
          </w:p>
        </w:tc>
      </w:tr>
    </w:tbl>
    <w:p w14:paraId="26E2D4FC" w14:textId="77777777" w:rsidR="00943CBE" w:rsidRPr="00943CBE" w:rsidRDefault="00943CBE" w:rsidP="00403B4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943CBE" w:rsidRPr="00943CBE" w14:paraId="12F1B5D2" w14:textId="77777777">
        <w:trPr>
          <w:trHeight w:val="295"/>
          <w:jc w:val="center"/>
        </w:trPr>
        <w:tc>
          <w:tcPr>
            <w:tcW w:w="945" w:type="dxa"/>
            <w:tcBorders>
              <w:top w:val="nil"/>
              <w:left w:val="nil"/>
              <w:bottom w:val="nil"/>
              <w:right w:val="nil"/>
            </w:tcBorders>
          </w:tcPr>
          <w:p w14:paraId="67117E05" w14:textId="77777777" w:rsidR="00943CBE" w:rsidRPr="00943CBE" w:rsidRDefault="00943CBE" w:rsidP="00943CBE">
            <w:pPr>
              <w:spacing w:line="360" w:lineRule="auto"/>
              <w:jc w:val="both"/>
              <w:rPr>
                <w:rFonts w:ascii="Arial" w:hAnsi="Arial"/>
                <w:b/>
                <w:bCs/>
                <w:sz w:val="28"/>
                <w:szCs w:val="28"/>
              </w:rPr>
            </w:pPr>
            <w:r w:rsidRPr="00943CBE">
              <w:rPr>
                <w:rFonts w:ascii="Arial" w:hAnsi="Arial"/>
                <w:b/>
                <w:bCs/>
                <w:sz w:val="28"/>
                <w:szCs w:val="28"/>
                <w:rtl/>
              </w:rPr>
              <w:t xml:space="preserve">בפני </w:t>
            </w:r>
          </w:p>
        </w:tc>
        <w:tc>
          <w:tcPr>
            <w:tcW w:w="7875" w:type="dxa"/>
            <w:gridSpan w:val="2"/>
            <w:tcBorders>
              <w:top w:val="nil"/>
              <w:left w:val="nil"/>
              <w:bottom w:val="nil"/>
              <w:right w:val="nil"/>
            </w:tcBorders>
          </w:tcPr>
          <w:p w14:paraId="251C61AE" w14:textId="77777777" w:rsidR="00943CBE" w:rsidRPr="00943CBE" w:rsidRDefault="00943CBE" w:rsidP="00943CBE">
            <w:pPr>
              <w:spacing w:line="360" w:lineRule="auto"/>
              <w:rPr>
                <w:rFonts w:ascii="Arial" w:hAnsi="Arial"/>
                <w:b/>
                <w:bCs/>
                <w:sz w:val="28"/>
                <w:szCs w:val="28"/>
                <w:rtl/>
              </w:rPr>
            </w:pPr>
            <w:r w:rsidRPr="00943CBE">
              <w:rPr>
                <w:rFonts w:ascii="Arial" w:hAnsi="Arial"/>
                <w:b/>
                <w:bCs/>
                <w:sz w:val="28"/>
                <w:szCs w:val="28"/>
                <w:rtl/>
              </w:rPr>
              <w:t>כב' השופט יוסף אלרון, נשיא [אב"ד]</w:t>
            </w:r>
          </w:p>
          <w:p w14:paraId="4CDC1E36" w14:textId="77777777" w:rsidR="00943CBE" w:rsidRPr="00943CBE" w:rsidRDefault="00943CBE" w:rsidP="00943CBE">
            <w:pPr>
              <w:spacing w:line="360" w:lineRule="auto"/>
              <w:rPr>
                <w:rFonts w:ascii="Arial" w:hAnsi="Arial"/>
                <w:b/>
                <w:bCs/>
                <w:sz w:val="28"/>
                <w:szCs w:val="28"/>
                <w:rtl/>
              </w:rPr>
            </w:pPr>
            <w:r w:rsidRPr="00943CBE">
              <w:rPr>
                <w:rFonts w:ascii="Arial" w:hAnsi="Arial"/>
                <w:b/>
                <w:bCs/>
                <w:sz w:val="28"/>
                <w:szCs w:val="28"/>
                <w:rtl/>
              </w:rPr>
              <w:t>כב' השופט משה גלעד</w:t>
            </w:r>
          </w:p>
          <w:p w14:paraId="337FDAD4" w14:textId="77777777" w:rsidR="00943CBE" w:rsidRPr="00943CBE" w:rsidRDefault="00943CBE" w:rsidP="00943CBE">
            <w:pPr>
              <w:rPr>
                <w:rFonts w:ascii="Arial" w:hAnsi="Arial"/>
                <w:b/>
                <w:bCs/>
                <w:sz w:val="28"/>
                <w:szCs w:val="28"/>
                <w:rtl/>
              </w:rPr>
            </w:pPr>
            <w:r w:rsidRPr="00943CBE">
              <w:rPr>
                <w:rFonts w:ascii="Arial" w:hAnsi="Arial"/>
                <w:b/>
                <w:bCs/>
                <w:sz w:val="28"/>
                <w:szCs w:val="28"/>
                <w:rtl/>
              </w:rPr>
              <w:t>כב' השופט ד"ר מנחם רניאל</w:t>
            </w:r>
          </w:p>
          <w:p w14:paraId="4AFACF5B" w14:textId="77777777" w:rsidR="00943CBE" w:rsidRPr="00943CBE" w:rsidRDefault="00943CBE" w:rsidP="00943CBE">
            <w:pPr>
              <w:rPr>
                <w:rFonts w:ascii="Arial" w:hAnsi="Arial"/>
                <w:b/>
                <w:bCs/>
                <w:sz w:val="28"/>
                <w:szCs w:val="28"/>
              </w:rPr>
            </w:pPr>
          </w:p>
        </w:tc>
      </w:tr>
      <w:tr w:rsidR="00943CBE" w:rsidRPr="00943CBE" w14:paraId="60CCE99F" w14:textId="77777777">
        <w:trPr>
          <w:trHeight w:val="355"/>
          <w:jc w:val="center"/>
        </w:trPr>
        <w:tc>
          <w:tcPr>
            <w:tcW w:w="945" w:type="dxa"/>
            <w:tcBorders>
              <w:top w:val="nil"/>
              <w:left w:val="nil"/>
              <w:bottom w:val="nil"/>
              <w:right w:val="nil"/>
            </w:tcBorders>
          </w:tcPr>
          <w:p w14:paraId="5DD8F202" w14:textId="77777777" w:rsidR="00943CBE" w:rsidRPr="00943CBE" w:rsidRDefault="00943CBE" w:rsidP="00943CBE">
            <w:pPr>
              <w:spacing w:line="360" w:lineRule="auto"/>
              <w:jc w:val="both"/>
              <w:rPr>
                <w:rFonts w:ascii="Arial" w:hAnsi="Arial"/>
                <w:b/>
                <w:bCs/>
                <w:sz w:val="28"/>
                <w:szCs w:val="28"/>
              </w:rPr>
            </w:pPr>
            <w:bookmarkStart w:id="0" w:name="FirstAppellant"/>
            <w:bookmarkStart w:id="1" w:name="LastJudge"/>
            <w:bookmarkEnd w:id="1"/>
            <w:r w:rsidRPr="00943CBE">
              <w:rPr>
                <w:rFonts w:ascii="Arial" w:hAnsi="Arial"/>
                <w:b/>
                <w:bCs/>
                <w:sz w:val="28"/>
                <w:szCs w:val="28"/>
                <w:rtl/>
              </w:rPr>
              <w:t>בעניין:</w:t>
            </w:r>
          </w:p>
        </w:tc>
        <w:tc>
          <w:tcPr>
            <w:tcW w:w="4114" w:type="dxa"/>
            <w:tcBorders>
              <w:top w:val="nil"/>
              <w:left w:val="nil"/>
              <w:bottom w:val="nil"/>
              <w:right w:val="nil"/>
            </w:tcBorders>
          </w:tcPr>
          <w:p w14:paraId="66C923D2" w14:textId="77777777" w:rsidR="00943CBE" w:rsidRPr="00943CBE" w:rsidRDefault="00943CBE" w:rsidP="00943CBE">
            <w:pPr>
              <w:spacing w:line="360" w:lineRule="auto"/>
              <w:rPr>
                <w:b/>
                <w:bCs/>
              </w:rPr>
            </w:pPr>
            <w:r w:rsidRPr="00943CBE">
              <w:rPr>
                <w:rFonts w:ascii="Arial" w:hAnsi="Arial"/>
                <w:b/>
                <w:bCs/>
                <w:sz w:val="28"/>
                <w:szCs w:val="28"/>
                <w:rtl/>
              </w:rPr>
              <w:t>מדינת ישראל</w:t>
            </w:r>
          </w:p>
        </w:tc>
        <w:tc>
          <w:tcPr>
            <w:tcW w:w="3761" w:type="dxa"/>
            <w:tcBorders>
              <w:top w:val="nil"/>
              <w:left w:val="nil"/>
              <w:bottom w:val="nil"/>
              <w:right w:val="nil"/>
            </w:tcBorders>
          </w:tcPr>
          <w:p w14:paraId="4D701B1C" w14:textId="77777777" w:rsidR="00943CBE" w:rsidRPr="00943CBE" w:rsidRDefault="00943CBE" w:rsidP="00943CBE">
            <w:pPr>
              <w:spacing w:line="360" w:lineRule="auto"/>
              <w:jc w:val="both"/>
              <w:rPr>
                <w:rFonts w:ascii="Arial" w:hAnsi="Arial"/>
                <w:b/>
                <w:bCs/>
                <w:sz w:val="28"/>
                <w:szCs w:val="28"/>
              </w:rPr>
            </w:pPr>
            <w:r w:rsidRPr="00943CBE">
              <w:rPr>
                <w:rFonts w:ascii="Arial" w:hAnsi="Arial"/>
                <w:b/>
                <w:bCs/>
                <w:sz w:val="28"/>
                <w:szCs w:val="28"/>
                <w:rtl/>
              </w:rPr>
              <w:t>המאשימה</w:t>
            </w:r>
          </w:p>
        </w:tc>
      </w:tr>
      <w:bookmarkEnd w:id="0"/>
      <w:tr w:rsidR="00943CBE" w:rsidRPr="00943CBE" w14:paraId="30C7E1B0" w14:textId="77777777">
        <w:trPr>
          <w:trHeight w:val="355"/>
          <w:jc w:val="center"/>
        </w:trPr>
        <w:tc>
          <w:tcPr>
            <w:tcW w:w="945" w:type="dxa"/>
            <w:tcBorders>
              <w:top w:val="nil"/>
              <w:left w:val="nil"/>
              <w:bottom w:val="nil"/>
              <w:right w:val="nil"/>
            </w:tcBorders>
          </w:tcPr>
          <w:p w14:paraId="302B5A8B" w14:textId="77777777" w:rsidR="00943CBE" w:rsidRPr="00943CBE" w:rsidRDefault="00943CBE" w:rsidP="00943CBE">
            <w:pPr>
              <w:spacing w:line="360" w:lineRule="auto"/>
              <w:jc w:val="both"/>
              <w:rPr>
                <w:rFonts w:ascii="Arial" w:hAnsi="Arial"/>
                <w:b/>
                <w:bCs/>
                <w:sz w:val="28"/>
                <w:szCs w:val="28"/>
              </w:rPr>
            </w:pPr>
          </w:p>
        </w:tc>
        <w:tc>
          <w:tcPr>
            <w:tcW w:w="7875" w:type="dxa"/>
            <w:gridSpan w:val="2"/>
            <w:tcBorders>
              <w:top w:val="nil"/>
              <w:left w:val="nil"/>
              <w:bottom w:val="nil"/>
              <w:right w:val="nil"/>
            </w:tcBorders>
          </w:tcPr>
          <w:p w14:paraId="0A3D61EA" w14:textId="77777777" w:rsidR="00943CBE" w:rsidRPr="00943CBE" w:rsidRDefault="00943CBE" w:rsidP="00943CBE">
            <w:pPr>
              <w:jc w:val="center"/>
              <w:rPr>
                <w:rFonts w:ascii="Arial" w:hAnsi="Arial"/>
                <w:b/>
                <w:bCs/>
                <w:sz w:val="28"/>
                <w:szCs w:val="28"/>
                <w:rtl/>
              </w:rPr>
            </w:pPr>
          </w:p>
          <w:p w14:paraId="6FE1F232" w14:textId="77777777" w:rsidR="00943CBE" w:rsidRPr="00943CBE" w:rsidRDefault="00943CBE" w:rsidP="00943CBE">
            <w:pPr>
              <w:jc w:val="center"/>
              <w:rPr>
                <w:rFonts w:ascii="Arial" w:hAnsi="Arial"/>
                <w:b/>
                <w:bCs/>
                <w:sz w:val="28"/>
                <w:szCs w:val="28"/>
                <w:rtl/>
              </w:rPr>
            </w:pPr>
            <w:r w:rsidRPr="00943CBE">
              <w:rPr>
                <w:rFonts w:ascii="Arial" w:hAnsi="Arial"/>
                <w:b/>
                <w:bCs/>
                <w:sz w:val="28"/>
                <w:szCs w:val="28"/>
                <w:rtl/>
              </w:rPr>
              <w:t>נגד</w:t>
            </w:r>
          </w:p>
          <w:p w14:paraId="4A155E1A" w14:textId="77777777" w:rsidR="00943CBE" w:rsidRPr="00943CBE" w:rsidRDefault="00943CBE" w:rsidP="00943CBE">
            <w:pPr>
              <w:jc w:val="center"/>
              <w:rPr>
                <w:rFonts w:ascii="Arial" w:hAnsi="Arial"/>
                <w:b/>
                <w:bCs/>
                <w:sz w:val="28"/>
                <w:szCs w:val="28"/>
              </w:rPr>
            </w:pPr>
          </w:p>
        </w:tc>
      </w:tr>
      <w:tr w:rsidR="00943CBE" w:rsidRPr="00943CBE" w14:paraId="13F9052B" w14:textId="77777777">
        <w:trPr>
          <w:trHeight w:val="355"/>
          <w:jc w:val="center"/>
        </w:trPr>
        <w:tc>
          <w:tcPr>
            <w:tcW w:w="945" w:type="dxa"/>
            <w:tcBorders>
              <w:top w:val="nil"/>
              <w:left w:val="nil"/>
              <w:bottom w:val="nil"/>
              <w:right w:val="nil"/>
            </w:tcBorders>
          </w:tcPr>
          <w:p w14:paraId="7F29F965" w14:textId="77777777" w:rsidR="00943CBE" w:rsidRPr="00943CBE" w:rsidRDefault="00943CBE" w:rsidP="00943CBE">
            <w:pPr>
              <w:spacing w:line="360" w:lineRule="auto"/>
              <w:rPr>
                <w:rFonts w:ascii="Arial" w:hAnsi="Arial"/>
                <w:b/>
                <w:bCs/>
                <w:sz w:val="28"/>
                <w:szCs w:val="28"/>
              </w:rPr>
            </w:pPr>
          </w:p>
        </w:tc>
        <w:tc>
          <w:tcPr>
            <w:tcW w:w="4114" w:type="dxa"/>
            <w:tcBorders>
              <w:top w:val="nil"/>
              <w:left w:val="nil"/>
              <w:bottom w:val="nil"/>
              <w:right w:val="nil"/>
            </w:tcBorders>
          </w:tcPr>
          <w:p w14:paraId="08519D71" w14:textId="77777777" w:rsidR="00943CBE" w:rsidRPr="00943CBE" w:rsidRDefault="00943CBE" w:rsidP="00943CBE">
            <w:pPr>
              <w:spacing w:line="360" w:lineRule="auto"/>
              <w:rPr>
                <w:b/>
                <w:bCs/>
                <w:rtl/>
              </w:rPr>
            </w:pPr>
            <w:r w:rsidRPr="00943CBE">
              <w:rPr>
                <w:rFonts w:ascii="Arial" w:hAnsi="Arial"/>
                <w:b/>
                <w:bCs/>
                <w:sz w:val="28"/>
                <w:szCs w:val="28"/>
                <w:rtl/>
              </w:rPr>
              <w:t>1.שי שלב (עציר)</w:t>
            </w:r>
          </w:p>
          <w:p w14:paraId="3E11B45E" w14:textId="77777777" w:rsidR="00943CBE" w:rsidRPr="00943CBE" w:rsidRDefault="00943CBE" w:rsidP="00943CBE">
            <w:pPr>
              <w:spacing w:line="360" w:lineRule="auto"/>
              <w:rPr>
                <w:b/>
                <w:bCs/>
                <w:rtl/>
              </w:rPr>
            </w:pPr>
            <w:r w:rsidRPr="00943CBE">
              <w:rPr>
                <w:rFonts w:ascii="Arial" w:hAnsi="Arial"/>
                <w:b/>
                <w:bCs/>
                <w:sz w:val="28"/>
                <w:szCs w:val="28"/>
                <w:rtl/>
              </w:rPr>
              <w:t>2.דביר בן חיים (עציר)</w:t>
            </w:r>
          </w:p>
          <w:p w14:paraId="48415C74" w14:textId="77777777" w:rsidR="00943CBE" w:rsidRPr="00943CBE" w:rsidRDefault="00943CBE" w:rsidP="00943CBE">
            <w:pPr>
              <w:spacing w:line="360" w:lineRule="auto"/>
              <w:rPr>
                <w:b/>
                <w:bCs/>
              </w:rPr>
            </w:pPr>
            <w:r w:rsidRPr="00943CBE">
              <w:rPr>
                <w:rFonts w:ascii="Arial" w:hAnsi="Arial"/>
                <w:b/>
                <w:bCs/>
                <w:sz w:val="28"/>
                <w:szCs w:val="28"/>
                <w:rtl/>
              </w:rPr>
              <w:t>3.עלי קארוט (עציר)</w:t>
            </w:r>
          </w:p>
        </w:tc>
        <w:tc>
          <w:tcPr>
            <w:tcW w:w="3761" w:type="dxa"/>
            <w:tcBorders>
              <w:top w:val="nil"/>
              <w:left w:val="nil"/>
              <w:bottom w:val="nil"/>
              <w:right w:val="nil"/>
            </w:tcBorders>
          </w:tcPr>
          <w:p w14:paraId="0E84B3F9" w14:textId="77777777" w:rsidR="00943CBE" w:rsidRPr="00943CBE" w:rsidRDefault="00943CBE" w:rsidP="00943CBE">
            <w:pPr>
              <w:spacing w:line="360" w:lineRule="auto"/>
              <w:rPr>
                <w:rFonts w:ascii="Arial" w:hAnsi="Arial"/>
                <w:b/>
                <w:bCs/>
                <w:sz w:val="28"/>
                <w:szCs w:val="28"/>
              </w:rPr>
            </w:pPr>
            <w:r w:rsidRPr="00943CBE">
              <w:rPr>
                <w:rFonts w:ascii="Arial" w:hAnsi="Arial"/>
                <w:b/>
                <w:bCs/>
                <w:sz w:val="28"/>
                <w:szCs w:val="28"/>
                <w:rtl/>
              </w:rPr>
              <w:t>הנאשמים</w:t>
            </w:r>
          </w:p>
        </w:tc>
      </w:tr>
    </w:tbl>
    <w:p w14:paraId="5347EE74" w14:textId="77777777" w:rsidR="00BE5882" w:rsidRPr="00BE5882" w:rsidRDefault="00BE5882" w:rsidP="00BE5882">
      <w:pPr>
        <w:spacing w:after="120" w:line="240" w:lineRule="exact"/>
        <w:ind w:left="283" w:hanging="283"/>
        <w:jc w:val="both"/>
        <w:rPr>
          <w:rFonts w:ascii="FrankRuehl" w:hAnsi="FrankRuehl" w:cs="FrankRuehl"/>
          <w:rtl/>
        </w:rPr>
      </w:pPr>
      <w:bookmarkStart w:id="2" w:name="LawTable"/>
      <w:bookmarkEnd w:id="2"/>
    </w:p>
    <w:p w14:paraId="0993BBF3" w14:textId="77777777" w:rsidR="00BE5882" w:rsidRPr="00BE5882" w:rsidRDefault="00BE5882" w:rsidP="00BE5882">
      <w:pPr>
        <w:spacing w:after="120" w:line="240" w:lineRule="exact"/>
        <w:ind w:left="283" w:hanging="283"/>
        <w:jc w:val="both"/>
        <w:rPr>
          <w:rFonts w:ascii="FrankRuehl" w:hAnsi="FrankRuehl" w:cs="FrankRuehl"/>
          <w:rtl/>
        </w:rPr>
      </w:pPr>
      <w:r w:rsidRPr="00BE5882">
        <w:rPr>
          <w:rFonts w:ascii="FrankRuehl" w:hAnsi="FrankRuehl" w:cs="FrankRuehl"/>
          <w:rtl/>
        </w:rPr>
        <w:t xml:space="preserve">חקיקה שאוזכרה: </w:t>
      </w:r>
    </w:p>
    <w:p w14:paraId="039E0AA9" w14:textId="77777777" w:rsidR="00BE5882" w:rsidRPr="00BE5882" w:rsidRDefault="00BE5882" w:rsidP="00BE5882">
      <w:pPr>
        <w:spacing w:after="120" w:line="240" w:lineRule="exact"/>
        <w:ind w:left="283" w:hanging="283"/>
        <w:jc w:val="both"/>
        <w:rPr>
          <w:rFonts w:ascii="FrankRuehl" w:hAnsi="FrankRuehl" w:cs="FrankRuehl"/>
          <w:rtl/>
        </w:rPr>
      </w:pPr>
      <w:hyperlink r:id="rId7" w:history="1">
        <w:r w:rsidRPr="00BE5882">
          <w:rPr>
            <w:rFonts w:ascii="FrankRuehl" w:hAnsi="FrankRuehl" w:cs="FrankRuehl"/>
            <w:color w:val="0000FF"/>
            <w:u w:val="single"/>
            <w:rtl/>
          </w:rPr>
          <w:t>חוק העונשין, תשל"ז-1977</w:t>
        </w:r>
      </w:hyperlink>
      <w:r w:rsidRPr="00BE5882">
        <w:rPr>
          <w:rFonts w:ascii="FrankRuehl" w:hAnsi="FrankRuehl" w:cs="FrankRuehl"/>
          <w:rtl/>
        </w:rPr>
        <w:t xml:space="preserve">: סע'  </w:t>
      </w:r>
      <w:hyperlink r:id="rId8" w:history="1">
        <w:r w:rsidRPr="00BE5882">
          <w:rPr>
            <w:rFonts w:ascii="FrankRuehl" w:hAnsi="FrankRuehl" w:cs="FrankRuehl"/>
            <w:color w:val="0000FF"/>
            <w:u w:val="single"/>
            <w:rtl/>
          </w:rPr>
          <w:t>29</w:t>
        </w:r>
      </w:hyperlink>
      <w:r w:rsidRPr="00BE5882">
        <w:rPr>
          <w:rFonts w:ascii="FrankRuehl" w:hAnsi="FrankRuehl" w:cs="FrankRuehl"/>
          <w:rtl/>
        </w:rPr>
        <w:t xml:space="preserve">, </w:t>
      </w:r>
      <w:hyperlink r:id="rId9" w:history="1">
        <w:r w:rsidRPr="00BE5882">
          <w:rPr>
            <w:rFonts w:ascii="FrankRuehl" w:hAnsi="FrankRuehl" w:cs="FrankRuehl"/>
            <w:color w:val="0000FF"/>
            <w:u w:val="single"/>
            <w:rtl/>
          </w:rPr>
          <w:t>40ב</w:t>
        </w:r>
      </w:hyperlink>
      <w:r w:rsidRPr="00BE5882">
        <w:rPr>
          <w:rFonts w:ascii="FrankRuehl" w:hAnsi="FrankRuehl" w:cs="FrankRuehl"/>
          <w:rtl/>
        </w:rPr>
        <w:t xml:space="preserve">, </w:t>
      </w:r>
      <w:hyperlink r:id="rId10" w:history="1">
        <w:r w:rsidRPr="00BE5882">
          <w:rPr>
            <w:rFonts w:ascii="FrankRuehl" w:hAnsi="FrankRuehl" w:cs="FrankRuehl"/>
            <w:color w:val="0000FF"/>
            <w:u w:val="single"/>
            <w:rtl/>
          </w:rPr>
          <w:t>40ג(א)</w:t>
        </w:r>
      </w:hyperlink>
      <w:r w:rsidRPr="00BE5882">
        <w:rPr>
          <w:rFonts w:ascii="FrankRuehl" w:hAnsi="FrankRuehl" w:cs="FrankRuehl"/>
          <w:rtl/>
        </w:rPr>
        <w:t xml:space="preserve">, </w:t>
      </w:r>
      <w:hyperlink r:id="rId11" w:history="1">
        <w:r w:rsidRPr="00BE5882">
          <w:rPr>
            <w:rFonts w:ascii="FrankRuehl" w:hAnsi="FrankRuehl" w:cs="FrankRuehl"/>
            <w:color w:val="0000FF"/>
            <w:u w:val="single"/>
            <w:rtl/>
          </w:rPr>
          <w:t>40ג(ב)</w:t>
        </w:r>
      </w:hyperlink>
      <w:r w:rsidRPr="00BE5882">
        <w:rPr>
          <w:rFonts w:ascii="FrankRuehl" w:hAnsi="FrankRuehl" w:cs="FrankRuehl"/>
          <w:rtl/>
        </w:rPr>
        <w:t xml:space="preserve">, </w:t>
      </w:r>
      <w:hyperlink r:id="rId12" w:history="1">
        <w:r w:rsidRPr="00BE5882">
          <w:rPr>
            <w:rFonts w:ascii="FrankRuehl" w:hAnsi="FrankRuehl" w:cs="FrankRuehl"/>
            <w:color w:val="0000FF"/>
            <w:u w:val="single"/>
            <w:rtl/>
          </w:rPr>
          <w:t>40ו.</w:t>
        </w:r>
      </w:hyperlink>
      <w:r w:rsidRPr="00BE5882">
        <w:rPr>
          <w:rFonts w:ascii="FrankRuehl" w:hAnsi="FrankRuehl" w:cs="FrankRuehl"/>
          <w:rtl/>
        </w:rPr>
        <w:t xml:space="preserve">, </w:t>
      </w:r>
      <w:hyperlink r:id="rId13" w:history="1">
        <w:r w:rsidRPr="00BE5882">
          <w:rPr>
            <w:rFonts w:ascii="FrankRuehl" w:hAnsi="FrankRuehl" w:cs="FrankRuehl"/>
            <w:color w:val="0000FF"/>
            <w:u w:val="single"/>
            <w:rtl/>
          </w:rPr>
          <w:t>40ז</w:t>
        </w:r>
      </w:hyperlink>
      <w:r w:rsidRPr="00BE5882">
        <w:rPr>
          <w:rFonts w:ascii="FrankRuehl" w:hAnsi="FrankRuehl" w:cs="FrankRuehl"/>
          <w:rtl/>
        </w:rPr>
        <w:t xml:space="preserve">, </w:t>
      </w:r>
      <w:hyperlink r:id="rId14" w:history="1">
        <w:r w:rsidRPr="00BE5882">
          <w:rPr>
            <w:rFonts w:ascii="FrankRuehl" w:hAnsi="FrankRuehl" w:cs="FrankRuehl"/>
            <w:color w:val="0000FF"/>
            <w:u w:val="single"/>
            <w:rtl/>
          </w:rPr>
          <w:t>40ט).</w:t>
        </w:r>
      </w:hyperlink>
      <w:r w:rsidRPr="00BE5882">
        <w:rPr>
          <w:rFonts w:ascii="FrankRuehl" w:hAnsi="FrankRuehl" w:cs="FrankRuehl"/>
          <w:rtl/>
        </w:rPr>
        <w:t xml:space="preserve">, </w:t>
      </w:r>
      <w:hyperlink r:id="rId15" w:history="1">
        <w:r w:rsidRPr="00BE5882">
          <w:rPr>
            <w:rFonts w:ascii="FrankRuehl" w:hAnsi="FrankRuehl" w:cs="FrankRuehl"/>
            <w:color w:val="0000FF"/>
            <w:u w:val="single"/>
            <w:rtl/>
          </w:rPr>
          <w:t>144 (א)</w:t>
        </w:r>
      </w:hyperlink>
      <w:r w:rsidRPr="00BE5882">
        <w:rPr>
          <w:rFonts w:ascii="FrankRuehl" w:hAnsi="FrankRuehl" w:cs="FrankRuehl"/>
          <w:rtl/>
        </w:rPr>
        <w:t xml:space="preserve">, </w:t>
      </w:r>
      <w:hyperlink r:id="rId16" w:history="1">
        <w:r w:rsidRPr="00BE5882">
          <w:rPr>
            <w:rFonts w:ascii="FrankRuehl" w:hAnsi="FrankRuehl" w:cs="FrankRuehl"/>
            <w:color w:val="0000FF"/>
            <w:u w:val="single"/>
            <w:rtl/>
          </w:rPr>
          <w:t>(ב)</w:t>
        </w:r>
      </w:hyperlink>
      <w:r w:rsidRPr="00BE5882">
        <w:rPr>
          <w:rFonts w:ascii="FrankRuehl" w:hAnsi="FrankRuehl" w:cs="FrankRuehl"/>
          <w:rtl/>
        </w:rPr>
        <w:t xml:space="preserve">, </w:t>
      </w:r>
      <w:hyperlink r:id="rId17" w:history="1">
        <w:r w:rsidRPr="00BE5882">
          <w:rPr>
            <w:rFonts w:ascii="FrankRuehl" w:hAnsi="FrankRuehl" w:cs="FrankRuehl"/>
            <w:color w:val="0000FF"/>
            <w:u w:val="single"/>
            <w:rtl/>
          </w:rPr>
          <w:t>298</w:t>
        </w:r>
      </w:hyperlink>
      <w:r w:rsidRPr="00BE5882">
        <w:rPr>
          <w:rFonts w:ascii="FrankRuehl" w:hAnsi="FrankRuehl" w:cs="FrankRuehl"/>
          <w:rtl/>
        </w:rPr>
        <w:t xml:space="preserve">, </w:t>
      </w:r>
      <w:hyperlink r:id="rId18" w:history="1">
        <w:r w:rsidRPr="00BE5882">
          <w:rPr>
            <w:rFonts w:ascii="FrankRuehl" w:hAnsi="FrankRuehl" w:cs="FrankRuehl"/>
            <w:color w:val="0000FF"/>
            <w:u w:val="single"/>
            <w:rtl/>
          </w:rPr>
          <w:t>40יא</w:t>
        </w:r>
      </w:hyperlink>
      <w:r w:rsidRPr="00BE5882">
        <w:rPr>
          <w:rFonts w:ascii="FrankRuehl" w:hAnsi="FrankRuehl" w:cs="FrankRuehl"/>
          <w:rtl/>
        </w:rPr>
        <w:t xml:space="preserve">, </w:t>
      </w:r>
      <w:hyperlink r:id="rId19" w:history="1">
        <w:r w:rsidRPr="00BE5882">
          <w:rPr>
            <w:rFonts w:ascii="FrankRuehl" w:hAnsi="FrankRuehl" w:cs="FrankRuehl"/>
            <w:color w:val="0000FF"/>
            <w:u w:val="single"/>
            <w:rtl/>
          </w:rPr>
          <w:t>40יב</w:t>
        </w:r>
      </w:hyperlink>
      <w:r w:rsidRPr="00BE5882">
        <w:rPr>
          <w:rFonts w:ascii="FrankRuehl" w:hAnsi="FrankRuehl" w:cs="FrankRuehl"/>
          <w:rtl/>
        </w:rPr>
        <w:t xml:space="preserve">, </w:t>
      </w:r>
      <w:hyperlink r:id="rId20" w:history="1">
        <w:r w:rsidRPr="00BE5882">
          <w:rPr>
            <w:rFonts w:ascii="FrankRuehl" w:hAnsi="FrankRuehl" w:cs="FrankRuehl"/>
            <w:color w:val="0000FF"/>
            <w:u w:val="single"/>
            <w:rtl/>
          </w:rPr>
          <w:t>40יג</w:t>
        </w:r>
      </w:hyperlink>
      <w:r w:rsidRPr="00BE5882">
        <w:rPr>
          <w:rFonts w:ascii="FrankRuehl" w:hAnsi="FrankRuehl" w:cs="FrankRuehl"/>
          <w:rtl/>
        </w:rPr>
        <w:t xml:space="preserve">, </w:t>
      </w:r>
      <w:hyperlink r:id="rId21" w:history="1">
        <w:r w:rsidRPr="00BE5882">
          <w:rPr>
            <w:rFonts w:ascii="FrankRuehl" w:hAnsi="FrankRuehl" w:cs="FrankRuehl"/>
            <w:color w:val="0000FF"/>
            <w:u w:val="single"/>
            <w:rtl/>
          </w:rPr>
          <w:t>40יג(א)</w:t>
        </w:r>
      </w:hyperlink>
      <w:r w:rsidRPr="00BE5882">
        <w:rPr>
          <w:rFonts w:ascii="FrankRuehl" w:hAnsi="FrankRuehl" w:cs="FrankRuehl"/>
          <w:rtl/>
        </w:rPr>
        <w:t xml:space="preserve">, </w:t>
      </w:r>
      <w:hyperlink r:id="rId22" w:history="1">
        <w:r w:rsidRPr="00BE5882">
          <w:rPr>
            <w:rFonts w:ascii="FrankRuehl" w:hAnsi="FrankRuehl" w:cs="FrankRuehl"/>
            <w:color w:val="0000FF"/>
            <w:u w:val="single"/>
            <w:rtl/>
          </w:rPr>
          <w:t>40יג(ב)</w:t>
        </w:r>
      </w:hyperlink>
      <w:r w:rsidRPr="00BE5882">
        <w:rPr>
          <w:rFonts w:ascii="FrankRuehl" w:hAnsi="FrankRuehl" w:cs="FrankRuehl"/>
          <w:rtl/>
        </w:rPr>
        <w:t xml:space="preserve">, </w:t>
      </w:r>
      <w:hyperlink r:id="rId23" w:history="1">
        <w:r w:rsidRPr="00BE5882">
          <w:rPr>
            <w:rFonts w:ascii="FrankRuehl" w:hAnsi="FrankRuehl" w:cs="FrankRuehl"/>
            <w:color w:val="0000FF"/>
            <w:u w:val="single"/>
            <w:rtl/>
          </w:rPr>
          <w:t>499</w:t>
        </w:r>
      </w:hyperlink>
    </w:p>
    <w:p w14:paraId="610B9D68" w14:textId="77777777" w:rsidR="00BE5882" w:rsidRPr="00BE5882" w:rsidRDefault="00BE5882" w:rsidP="00BE5882">
      <w:pPr>
        <w:spacing w:after="120" w:line="240" w:lineRule="exact"/>
        <w:ind w:left="283" w:hanging="283"/>
        <w:jc w:val="both"/>
        <w:rPr>
          <w:rFonts w:ascii="FrankRuehl" w:hAnsi="FrankRuehl" w:cs="FrankRuehl"/>
          <w:rtl/>
        </w:rPr>
      </w:pPr>
      <w:hyperlink r:id="rId24" w:history="1">
        <w:r w:rsidRPr="00BE5882">
          <w:rPr>
            <w:rFonts w:ascii="FrankRuehl" w:hAnsi="FrankRuehl" w:cs="FrankRuehl"/>
            <w:color w:val="0000FF"/>
            <w:u w:val="single"/>
            <w:rtl/>
          </w:rPr>
          <w:t>חוק זכויות נפגעי עבירה, תשס"א-2001</w:t>
        </w:r>
      </w:hyperlink>
    </w:p>
    <w:p w14:paraId="15A27879" w14:textId="77777777" w:rsidR="00BE5882" w:rsidRPr="00BE5882" w:rsidRDefault="00BE5882" w:rsidP="00BE5882">
      <w:pPr>
        <w:spacing w:after="120" w:line="240" w:lineRule="exact"/>
        <w:ind w:left="283" w:hanging="283"/>
        <w:jc w:val="both"/>
        <w:rPr>
          <w:rFonts w:ascii="FrankRuehl" w:hAnsi="FrankRuehl" w:cs="FrankRuehl"/>
          <w:rtl/>
        </w:rPr>
      </w:pPr>
    </w:p>
    <w:p w14:paraId="14F47DB2" w14:textId="77777777" w:rsidR="003636B7" w:rsidRDefault="003636B7" w:rsidP="003636B7">
      <w:pPr>
        <w:pBdr>
          <w:top w:val="single" w:sz="4" w:space="1" w:color="auto"/>
          <w:bottom w:val="single" w:sz="4" w:space="1" w:color="auto"/>
        </w:pBdr>
        <w:spacing w:after="120" w:line="320" w:lineRule="exact"/>
        <w:jc w:val="both"/>
        <w:rPr>
          <w:rFonts w:cs="FrankRuehl" w:hint="cs"/>
          <w:szCs w:val="26"/>
          <w:rtl/>
        </w:rPr>
      </w:pPr>
      <w:bookmarkStart w:id="3" w:name="LawTable_End"/>
      <w:bookmarkStart w:id="4" w:name="ABSTRACT_START"/>
      <w:bookmarkEnd w:id="3"/>
      <w:bookmarkEnd w:id="4"/>
      <w:r>
        <w:rPr>
          <w:rFonts w:cs="FrankRuehl"/>
          <w:szCs w:val="26"/>
          <w:rtl/>
        </w:rPr>
        <w:t>מיני-רציו:</w:t>
      </w:r>
    </w:p>
    <w:p w14:paraId="0286D0F0" w14:textId="77777777" w:rsidR="003636B7" w:rsidRPr="003636B7" w:rsidRDefault="003636B7" w:rsidP="003636B7">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3636B7">
        <w:rPr>
          <w:rFonts w:cs="FrankRuehl"/>
          <w:szCs w:val="26"/>
          <w:rtl/>
        </w:rPr>
        <w:t>כאשר נאשם מגיע להסדר טיעון עם התביעה הכולל עונש בטווח ענישה מוסכם המוצג בפני בית המשפט על ידי כל אחד מהצדדים על פי הטיעון כפי שהוסכם, הרי שהוא נוטל על עצמו את הסיכון כי יושת עליו הרף המקסימאלי של הטווח המוסכם.</w:t>
      </w:r>
    </w:p>
    <w:p w14:paraId="090A2E4E" w14:textId="77777777" w:rsidR="003636B7" w:rsidRDefault="003636B7" w:rsidP="003636B7">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הסדר טיעון</w:t>
      </w:r>
    </w:p>
    <w:p w14:paraId="669F12C5" w14:textId="77777777" w:rsidR="003636B7" w:rsidRDefault="003636B7" w:rsidP="003636B7">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הריגה</w:t>
      </w:r>
    </w:p>
    <w:p w14:paraId="7F9FF562" w14:textId="77777777" w:rsidR="00F965D6" w:rsidRDefault="003636B7" w:rsidP="003636B7">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36959BC0" w14:textId="77777777" w:rsidR="003636B7" w:rsidRDefault="003636B7" w:rsidP="003636B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484E500" w14:textId="77777777" w:rsidR="00F965D6" w:rsidRPr="003636B7" w:rsidRDefault="00F965D6" w:rsidP="003636B7">
      <w:pPr>
        <w:pBdr>
          <w:top w:val="single" w:sz="4" w:space="1" w:color="auto"/>
          <w:bottom w:val="single" w:sz="4" w:space="1" w:color="auto"/>
        </w:pBdr>
        <w:spacing w:after="120" w:line="320" w:lineRule="exact"/>
        <w:jc w:val="both"/>
        <w:rPr>
          <w:rFonts w:cs="FrankRuehl"/>
          <w:szCs w:val="26"/>
          <w:rtl/>
        </w:rPr>
      </w:pPr>
      <w:r w:rsidRPr="003636B7">
        <w:rPr>
          <w:rFonts w:cs="FrankRuehl"/>
          <w:szCs w:val="26"/>
          <w:rtl/>
        </w:rPr>
        <w:t xml:space="preserve">הנאשמים הורשעו על פי הודאתם, במסגרת הסדר טיעון, בעבירות שיוחסו להם בכתב האישום המתוקן. העבירות בהן הורשעו הנאשמים הן: הריגה, קשר לפשע ועבירות בנשק. על פי הסדר הטיעון, הוסכם בין באי כוח הצדדים, כי על הנאשמים ייגזר עונש מאסר בפועל בטווח ענישה שבין 18 שנים ל- 27 שנים, כאשר כל צד יעתור בהתאם לטווח העליון או התחתון. </w:t>
      </w:r>
    </w:p>
    <w:p w14:paraId="1951F915" w14:textId="77777777" w:rsidR="00F965D6" w:rsidRPr="003636B7" w:rsidRDefault="003636B7" w:rsidP="003636B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8CD6A6D" w14:textId="77777777" w:rsidR="00F965D6" w:rsidRPr="003636B7" w:rsidRDefault="00F965D6" w:rsidP="003636B7">
      <w:pPr>
        <w:pBdr>
          <w:top w:val="single" w:sz="4" w:space="1" w:color="auto"/>
          <w:bottom w:val="single" w:sz="4" w:space="1" w:color="auto"/>
        </w:pBdr>
        <w:spacing w:after="120" w:line="320" w:lineRule="exact"/>
        <w:jc w:val="both"/>
        <w:rPr>
          <w:rFonts w:cs="FrankRuehl"/>
          <w:szCs w:val="26"/>
          <w:rtl/>
        </w:rPr>
      </w:pPr>
      <w:r w:rsidRPr="003636B7">
        <w:rPr>
          <w:rFonts w:cs="FrankRuehl"/>
          <w:szCs w:val="26"/>
          <w:rtl/>
        </w:rPr>
        <w:lastRenderedPageBreak/>
        <w:t>בית המשפט פסק כלהלן:</w:t>
      </w:r>
    </w:p>
    <w:p w14:paraId="7B78C298" w14:textId="77777777" w:rsidR="00F965D6" w:rsidRPr="003636B7" w:rsidRDefault="00F965D6" w:rsidP="003636B7">
      <w:pPr>
        <w:pBdr>
          <w:top w:val="single" w:sz="4" w:space="1" w:color="auto"/>
          <w:bottom w:val="single" w:sz="4" w:space="1" w:color="auto"/>
        </w:pBdr>
        <w:spacing w:after="120" w:line="320" w:lineRule="exact"/>
        <w:jc w:val="both"/>
        <w:rPr>
          <w:rFonts w:cs="FrankRuehl"/>
          <w:szCs w:val="26"/>
          <w:rtl/>
        </w:rPr>
      </w:pPr>
      <w:r w:rsidRPr="003636B7">
        <w:rPr>
          <w:rFonts w:cs="FrankRuehl"/>
          <w:szCs w:val="26"/>
          <w:rtl/>
        </w:rPr>
        <w:t>אין בהסכמת הצדדים לעניין העונש הראוי כדי למנוע מבית המשפט לבחון את העונש המוסכם על פי המבחנים הקבועים בחוק, תוך יישום הוראותיו.</w:t>
      </w:r>
      <w:r w:rsidR="003636B7">
        <w:rPr>
          <w:rFonts w:cs="FrankRuehl" w:hint="cs"/>
          <w:szCs w:val="26"/>
          <w:rtl/>
        </w:rPr>
        <w:t xml:space="preserve"> </w:t>
      </w:r>
      <w:r w:rsidRPr="003636B7">
        <w:rPr>
          <w:rFonts w:cs="FrankRuehl"/>
          <w:szCs w:val="26"/>
          <w:rtl/>
        </w:rPr>
        <w:t>עסקינן במספר עבירות המהוות אירוע אחד, ומשכך יש לקבוע מתחם עונש הולם לאירוע כולו, ולגזור עונש כולל לכל העבירות בשל אותו אירוע.</w:t>
      </w:r>
    </w:p>
    <w:p w14:paraId="62CE29BE" w14:textId="77777777" w:rsidR="00F965D6" w:rsidRPr="003636B7" w:rsidRDefault="00F965D6" w:rsidP="003636B7">
      <w:pPr>
        <w:pBdr>
          <w:top w:val="single" w:sz="4" w:space="1" w:color="auto"/>
          <w:bottom w:val="single" w:sz="4" w:space="1" w:color="auto"/>
        </w:pBdr>
        <w:spacing w:after="120" w:line="320" w:lineRule="exact"/>
        <w:jc w:val="both"/>
        <w:rPr>
          <w:rFonts w:cs="FrankRuehl"/>
          <w:szCs w:val="26"/>
          <w:rtl/>
        </w:rPr>
      </w:pPr>
      <w:r w:rsidRPr="003636B7">
        <w:rPr>
          <w:rFonts w:cs="FrankRuehl"/>
          <w:szCs w:val="26"/>
          <w:rtl/>
        </w:rPr>
        <w:t>בהתאם לעיקרון ההלימה, אין להתחשב רק בסוג העבירות שבוצעו, אלא גם בחומרת מעשה העבירה בנסיבותיו ומידת אשמו של הנאשם. יש לקבוע מתחם עונש הולם לאירוע כולו, ולגזור עונש כולל לכל העבירות.</w:t>
      </w:r>
      <w:r w:rsidR="003636B7">
        <w:rPr>
          <w:rFonts w:cs="FrankRuehl" w:hint="cs"/>
          <w:szCs w:val="26"/>
          <w:rtl/>
        </w:rPr>
        <w:t xml:space="preserve"> </w:t>
      </w:r>
      <w:r w:rsidRPr="003636B7">
        <w:rPr>
          <w:rFonts w:cs="FrankRuehl"/>
          <w:szCs w:val="26"/>
          <w:rtl/>
        </w:rPr>
        <w:t>במעשיהם הנלוזים והנפשעים, רמסו הנאשמים ברגל גסה את עקרון קדושת החיים והפכוהו עפר. גדיעת חיי אדם והערך של חיי אדם, צריך להיות הערך המוגן ביותר בכל חברה מתוקנת.</w:t>
      </w:r>
    </w:p>
    <w:p w14:paraId="1A2446DA" w14:textId="77777777" w:rsidR="00F965D6" w:rsidRPr="003636B7" w:rsidRDefault="00F965D6" w:rsidP="003636B7">
      <w:pPr>
        <w:pBdr>
          <w:top w:val="single" w:sz="4" w:space="1" w:color="auto"/>
          <w:bottom w:val="single" w:sz="4" w:space="1" w:color="auto"/>
        </w:pBdr>
        <w:spacing w:after="120" w:line="320" w:lineRule="exact"/>
        <w:jc w:val="both"/>
        <w:rPr>
          <w:rFonts w:cs="FrankRuehl" w:hint="cs"/>
          <w:szCs w:val="26"/>
          <w:rtl/>
        </w:rPr>
      </w:pPr>
      <w:r w:rsidRPr="003636B7">
        <w:rPr>
          <w:rFonts w:cs="FrankRuehl"/>
          <w:szCs w:val="26"/>
          <w:rtl/>
        </w:rPr>
        <w:t>כאשר נסיבותיו של מעשה ההמתה מתאפיינות בחומרה קשה במיוחד – כפי בענייננו – ניתן להשית את העונש המרבי הקבוע בצידה של העבירה, או עונש הנושק לעונש המרבי האמור.</w:t>
      </w:r>
      <w:r w:rsidR="003636B7">
        <w:rPr>
          <w:rFonts w:cs="FrankRuehl" w:hint="cs"/>
          <w:szCs w:val="26"/>
          <w:rtl/>
        </w:rPr>
        <w:t xml:space="preserve"> </w:t>
      </w:r>
      <w:r w:rsidRPr="003636B7">
        <w:rPr>
          <w:rFonts w:cs="FrankRuehl"/>
          <w:szCs w:val="26"/>
          <w:rtl/>
        </w:rPr>
        <w:t xml:space="preserve">באשר לעבירת קשירת הקשר בה הורשעו הנאשמים, נראה כי עבירה זו נבלעת בעבירה העיקרית שבה הורשעו הנאשמים, קרי עבירת ההריגה. </w:t>
      </w:r>
    </w:p>
    <w:p w14:paraId="7CBED117" w14:textId="77777777" w:rsidR="00F965D6" w:rsidRPr="003636B7" w:rsidRDefault="00F965D6" w:rsidP="003636B7">
      <w:pPr>
        <w:pBdr>
          <w:top w:val="single" w:sz="4" w:space="1" w:color="auto"/>
          <w:bottom w:val="single" w:sz="4" w:space="1" w:color="auto"/>
        </w:pBdr>
        <w:spacing w:after="120" w:line="320" w:lineRule="exact"/>
        <w:jc w:val="both"/>
        <w:rPr>
          <w:rFonts w:cs="FrankRuehl"/>
          <w:szCs w:val="26"/>
          <w:rtl/>
        </w:rPr>
      </w:pPr>
      <w:r w:rsidRPr="003636B7">
        <w:rPr>
          <w:rFonts w:cs="FrankRuehl"/>
          <w:szCs w:val="26"/>
          <w:rtl/>
        </w:rPr>
        <w:t xml:space="preserve">מתחם הענישה ההולם את מעשי העבירות שביצעו הנאשמים – קשירת קשר, הריגה בדם קר, שקדם לה תכנון מקדים ומדוקדק באמצעות נשק חם שהחזיקו שלא כדין – נע בין 20 שנים ברף התחתון, לבין 27 שנים ברף העליון. </w:t>
      </w:r>
    </w:p>
    <w:p w14:paraId="3F684C87" w14:textId="77777777" w:rsidR="00F965D6" w:rsidRPr="003636B7" w:rsidRDefault="00F965D6" w:rsidP="003636B7">
      <w:pPr>
        <w:pBdr>
          <w:top w:val="single" w:sz="4" w:space="1" w:color="auto"/>
          <w:bottom w:val="single" w:sz="4" w:space="1" w:color="auto"/>
        </w:pBdr>
        <w:spacing w:after="120" w:line="320" w:lineRule="exact"/>
        <w:jc w:val="both"/>
        <w:rPr>
          <w:rFonts w:cs="FrankRuehl"/>
          <w:szCs w:val="26"/>
          <w:rtl/>
        </w:rPr>
      </w:pPr>
      <w:r w:rsidRPr="003636B7">
        <w:rPr>
          <w:rFonts w:cs="FrankRuehl"/>
          <w:szCs w:val="26"/>
          <w:rtl/>
        </w:rPr>
        <w:t xml:space="preserve">העונש שנגזר על הנאשמים הולם, ומאזן נכונה בין השיקולים לקולה, בעיקר הודאתם במסגרת הסדר הטיעון, לבין השיקולים לחומרה לחובתם. </w:t>
      </w:r>
    </w:p>
    <w:p w14:paraId="1F4CA38C" w14:textId="77777777" w:rsidR="00943CBE" w:rsidRPr="00943CBE" w:rsidRDefault="00943CBE" w:rsidP="00403B47">
      <w:pPr>
        <w:rPr>
          <w:rFonts w:ascii="Arial" w:hAnsi="Arial"/>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43CBE" w:rsidRPr="00977D4C" w14:paraId="3D4AA7C8" w14:textId="77777777">
        <w:trPr>
          <w:trHeight w:val="355"/>
          <w:jc w:val="center"/>
        </w:trPr>
        <w:tc>
          <w:tcPr>
            <w:tcW w:w="8820" w:type="dxa"/>
            <w:tcBorders>
              <w:top w:val="nil"/>
              <w:left w:val="nil"/>
              <w:bottom w:val="nil"/>
              <w:right w:val="nil"/>
            </w:tcBorders>
          </w:tcPr>
          <w:p w14:paraId="5A2AF6CB" w14:textId="77777777" w:rsidR="00943CBE" w:rsidRPr="00943CBE" w:rsidRDefault="00943CBE" w:rsidP="00943CBE">
            <w:pPr>
              <w:spacing w:line="360" w:lineRule="auto"/>
              <w:jc w:val="center"/>
              <w:rPr>
                <w:rFonts w:ascii="Arial" w:hAnsi="Arial"/>
                <w:bCs/>
                <w:sz w:val="32"/>
                <w:szCs w:val="32"/>
                <w:u w:val="single"/>
              </w:rPr>
            </w:pPr>
            <w:bookmarkStart w:id="6" w:name="PsakDin" w:colFirst="0" w:colLast="0"/>
            <w:r w:rsidRPr="00943CBE">
              <w:rPr>
                <w:rFonts w:ascii="Arial" w:hAnsi="Arial"/>
                <w:b/>
                <w:bCs/>
                <w:sz w:val="32"/>
                <w:szCs w:val="32"/>
                <w:u w:val="single"/>
                <w:rtl/>
              </w:rPr>
              <w:t>גזר דין</w:t>
            </w:r>
          </w:p>
        </w:tc>
      </w:tr>
      <w:bookmarkEnd w:id="6"/>
    </w:tbl>
    <w:p w14:paraId="74137BEB" w14:textId="77777777" w:rsidR="00137958" w:rsidRPr="00977D4C" w:rsidRDefault="00137958" w:rsidP="00403B47">
      <w:pPr>
        <w:rPr>
          <w:rFonts w:ascii="Arial" w:hAnsi="Arial"/>
          <w:rtl/>
        </w:rPr>
      </w:pPr>
    </w:p>
    <w:p w14:paraId="2A85E587" w14:textId="77777777" w:rsidR="00137958" w:rsidRDefault="00137958" w:rsidP="00977D4C">
      <w:pPr>
        <w:spacing w:line="360" w:lineRule="auto"/>
        <w:ind w:left="720" w:hanging="720"/>
        <w:rPr>
          <w:rtl/>
        </w:rPr>
      </w:pPr>
      <w:r>
        <w:rPr>
          <w:rtl/>
        </w:rPr>
        <w:t>א.</w:t>
      </w:r>
      <w:r>
        <w:rPr>
          <w:rtl/>
        </w:rPr>
        <w:tab/>
      </w:r>
      <w:r>
        <w:rPr>
          <w:b/>
          <w:bCs/>
          <w:u w:val="single"/>
          <w:rtl/>
        </w:rPr>
        <w:t>כללי</w:t>
      </w:r>
    </w:p>
    <w:p w14:paraId="6DC328F5" w14:textId="77777777" w:rsidR="00137958" w:rsidRDefault="00137958" w:rsidP="00403B47">
      <w:pPr>
        <w:jc w:val="both"/>
        <w:rPr>
          <w:b/>
          <w:bCs/>
          <w:u w:val="single"/>
          <w:rtl/>
        </w:rPr>
      </w:pPr>
    </w:p>
    <w:p w14:paraId="730732B1" w14:textId="77777777" w:rsidR="00137958" w:rsidRDefault="00137958" w:rsidP="00977D4C">
      <w:pPr>
        <w:spacing w:line="360" w:lineRule="auto"/>
        <w:jc w:val="both"/>
        <w:rPr>
          <w:rtl/>
        </w:rPr>
      </w:pPr>
      <w:r>
        <w:rPr>
          <w:rtl/>
        </w:rPr>
        <w:t xml:space="preserve">הנאשמים הורשעו על פי הודאתם, במסגרת הסדר טיעון, בעבירות שיוחסו להם בכתב האישום המתוקן (להלן: </w:t>
      </w:r>
      <w:r>
        <w:rPr>
          <w:rFonts w:cs="Miriam"/>
          <w:rtl/>
        </w:rPr>
        <w:t>"כתב האישום"</w:t>
      </w:r>
      <w:r>
        <w:rPr>
          <w:rtl/>
        </w:rPr>
        <w:t xml:space="preserve">). </w:t>
      </w:r>
    </w:p>
    <w:p w14:paraId="76309B85" w14:textId="77777777" w:rsidR="00137958" w:rsidRDefault="00137958" w:rsidP="00403B47">
      <w:pPr>
        <w:rPr>
          <w:rtl/>
        </w:rPr>
      </w:pPr>
    </w:p>
    <w:p w14:paraId="41CB3AD2" w14:textId="77777777" w:rsidR="00137958" w:rsidRDefault="00137958" w:rsidP="00977D4C">
      <w:pPr>
        <w:spacing w:line="360" w:lineRule="auto"/>
        <w:jc w:val="both"/>
        <w:rPr>
          <w:rtl/>
        </w:rPr>
      </w:pPr>
      <w:r>
        <w:rPr>
          <w:rtl/>
        </w:rPr>
        <w:t xml:space="preserve">העבירות בהן הורשעו הנאשמים הן: הריגה, קשר לפשע ועבירות בנשק, וזאת לפי </w:t>
      </w:r>
      <w:hyperlink r:id="rId25" w:history="1">
        <w:r w:rsidR="00BE5882" w:rsidRPr="00BE5882">
          <w:rPr>
            <w:color w:val="0000FF"/>
            <w:u w:val="single"/>
            <w:rtl/>
          </w:rPr>
          <w:t>סעיפים 298</w:t>
        </w:r>
      </w:hyperlink>
      <w:r>
        <w:rPr>
          <w:rtl/>
        </w:rPr>
        <w:t xml:space="preserve"> בצירוף </w:t>
      </w:r>
      <w:hyperlink r:id="rId26" w:history="1">
        <w:r w:rsidR="00BE5882" w:rsidRPr="00BE5882">
          <w:rPr>
            <w:color w:val="0000FF"/>
            <w:u w:val="single"/>
            <w:rtl/>
          </w:rPr>
          <w:t>סעיף 29</w:t>
        </w:r>
      </w:hyperlink>
      <w:r>
        <w:rPr>
          <w:rtl/>
        </w:rPr>
        <w:t xml:space="preserve">, </w:t>
      </w:r>
      <w:hyperlink r:id="rId27" w:history="1">
        <w:r w:rsidR="00BE5882" w:rsidRPr="00BE5882">
          <w:rPr>
            <w:color w:val="0000FF"/>
            <w:u w:val="single"/>
            <w:rtl/>
          </w:rPr>
          <w:t>499</w:t>
        </w:r>
      </w:hyperlink>
      <w:r>
        <w:rPr>
          <w:rtl/>
        </w:rPr>
        <w:t xml:space="preserve"> ו-</w:t>
      </w:r>
      <w:hyperlink r:id="rId28" w:history="1">
        <w:r w:rsidR="00BE5882" w:rsidRPr="00BE5882">
          <w:rPr>
            <w:color w:val="0000FF"/>
            <w:u w:val="single"/>
            <w:rtl/>
          </w:rPr>
          <w:t>144 (א)</w:t>
        </w:r>
      </w:hyperlink>
      <w:r>
        <w:rPr>
          <w:rtl/>
        </w:rPr>
        <w:t xml:space="preserve"> ו-</w:t>
      </w:r>
      <w:hyperlink r:id="rId29" w:history="1">
        <w:r w:rsidR="00BE5882" w:rsidRPr="00BE5882">
          <w:rPr>
            <w:color w:val="0000FF"/>
            <w:u w:val="single"/>
            <w:rtl/>
          </w:rPr>
          <w:t>(ב)</w:t>
        </w:r>
      </w:hyperlink>
      <w:r>
        <w:rPr>
          <w:rtl/>
        </w:rPr>
        <w:t xml:space="preserve"> ל</w:t>
      </w:r>
      <w:hyperlink r:id="rId30" w:history="1">
        <w:r w:rsidR="00943CBE" w:rsidRPr="00943CBE">
          <w:rPr>
            <w:color w:val="0000FF"/>
            <w:u w:val="single"/>
            <w:rtl/>
          </w:rPr>
          <w:t>חוק העונשין</w:t>
        </w:r>
      </w:hyperlink>
      <w:r>
        <w:rPr>
          <w:rtl/>
        </w:rPr>
        <w:t>, התשל"ז-1977 (להלן: "</w:t>
      </w:r>
      <w:r>
        <w:rPr>
          <w:rFonts w:cs="Miriam"/>
          <w:rtl/>
        </w:rPr>
        <w:t>חוק העונשין</w:t>
      </w:r>
      <w:r>
        <w:rPr>
          <w:rtl/>
        </w:rPr>
        <w:t>").</w:t>
      </w:r>
    </w:p>
    <w:p w14:paraId="2C9C6DB8" w14:textId="77777777" w:rsidR="00137958" w:rsidRDefault="00137958" w:rsidP="00403B47">
      <w:pPr>
        <w:rPr>
          <w:rtl/>
        </w:rPr>
      </w:pPr>
    </w:p>
    <w:p w14:paraId="082A071C" w14:textId="77777777" w:rsidR="00137958" w:rsidRDefault="00137958" w:rsidP="00977D4C">
      <w:pPr>
        <w:spacing w:line="360" w:lineRule="auto"/>
        <w:jc w:val="both"/>
        <w:rPr>
          <w:rtl/>
        </w:rPr>
      </w:pPr>
      <w:r>
        <w:rPr>
          <w:rtl/>
        </w:rPr>
        <w:t>על פי הסדר הטיעון, הוסכם בין באי כח הצדדים, כי על הנאשמים ייגזר עונש מאסר בפועל בטווח ענישה שבין 18 שנים ל- 27 שנים, כאשר כל צד יעתור בהתאם לטווח העליון או התחתון.</w:t>
      </w:r>
    </w:p>
    <w:p w14:paraId="4F5F79CA" w14:textId="77777777" w:rsidR="00137958" w:rsidRDefault="00137958" w:rsidP="00403B47">
      <w:pPr>
        <w:jc w:val="both"/>
        <w:rPr>
          <w:rtl/>
        </w:rPr>
      </w:pPr>
    </w:p>
    <w:p w14:paraId="1CD01234" w14:textId="77777777" w:rsidR="00137958" w:rsidRDefault="00137958" w:rsidP="00977D4C">
      <w:pPr>
        <w:spacing w:line="360" w:lineRule="auto"/>
        <w:jc w:val="both"/>
        <w:rPr>
          <w:rtl/>
        </w:rPr>
      </w:pPr>
      <w:r>
        <w:rPr>
          <w:rtl/>
        </w:rPr>
        <w:t xml:space="preserve">כמו כן, הוסכם כי יוטל על הנאשמים עונש מאסר מותנה ופיצוי כספי למשפחת המנוח, על פי שיקול דעתו של בית המשפט, כאשר המאשימה תעתור לחיוב בפיצוי, בעוד ההגנה תהא רשאית לבקש להימנע מכך. </w:t>
      </w:r>
    </w:p>
    <w:p w14:paraId="755703DE" w14:textId="77777777" w:rsidR="00137958" w:rsidRDefault="00137958" w:rsidP="00403B47">
      <w:pPr>
        <w:jc w:val="both"/>
        <w:rPr>
          <w:rtl/>
        </w:rPr>
      </w:pPr>
    </w:p>
    <w:p w14:paraId="263C5795" w14:textId="77777777" w:rsidR="00137958" w:rsidRDefault="00137958" w:rsidP="003636B7">
      <w:pPr>
        <w:spacing w:line="360" w:lineRule="auto"/>
        <w:jc w:val="both"/>
        <w:rPr>
          <w:rtl/>
        </w:rPr>
      </w:pPr>
      <w:r>
        <w:rPr>
          <w:rtl/>
        </w:rPr>
        <w:t xml:space="preserve">בהתייחס לנאשם 1, תלוי ועומד נגדו עונש מאסר על תנאי </w:t>
      </w:r>
      <w:r>
        <w:rPr>
          <w:u w:val="single"/>
          <w:rtl/>
        </w:rPr>
        <w:t>חב הפעלה</w:t>
      </w:r>
      <w:r>
        <w:rPr>
          <w:rtl/>
        </w:rPr>
        <w:t>, בן 12 חודשים, שהוטל עליו ב</w:t>
      </w:r>
      <w:hyperlink r:id="rId31" w:history="1">
        <w:r w:rsidR="00943CBE" w:rsidRPr="00943CBE">
          <w:rPr>
            <w:color w:val="0000FF"/>
            <w:u w:val="single"/>
            <w:rtl/>
          </w:rPr>
          <w:t>תיק פלילי 1184/08</w:t>
        </w:r>
      </w:hyperlink>
      <w:r>
        <w:rPr>
          <w:rtl/>
        </w:rPr>
        <w:t xml:space="preserve"> (חדרה) </w:t>
      </w:r>
      <w:r w:rsidR="003636B7" w:rsidRPr="003636B7">
        <w:rPr>
          <w:sz w:val="22"/>
          <w:rtl/>
        </w:rPr>
        <w:t xml:space="preserve">[פורסם בנבו] </w:t>
      </w:r>
      <w:r>
        <w:rPr>
          <w:rtl/>
        </w:rPr>
        <w:t xml:space="preserve">מיום 20/09/09, והוארך לתקופה של שנתיים ביום </w:t>
      </w:r>
      <w:r>
        <w:rPr>
          <w:rtl/>
        </w:rPr>
        <w:lastRenderedPageBreak/>
        <w:t>15/12/10 ב</w:t>
      </w:r>
      <w:hyperlink r:id="rId32" w:history="1">
        <w:r w:rsidR="00943CBE" w:rsidRPr="00943CBE">
          <w:rPr>
            <w:color w:val="0000FF"/>
            <w:u w:val="single"/>
            <w:rtl/>
          </w:rPr>
          <w:t>תיק פלילי 34008-05-10</w:t>
        </w:r>
      </w:hyperlink>
      <w:r>
        <w:rPr>
          <w:rtl/>
        </w:rPr>
        <w:t xml:space="preserve"> (אילת)</w:t>
      </w:r>
      <w:r w:rsidR="003636B7">
        <w:rPr>
          <w:rFonts w:hint="cs"/>
          <w:rtl/>
        </w:rPr>
        <w:t xml:space="preserve"> </w:t>
      </w:r>
      <w:r w:rsidR="003636B7" w:rsidRPr="003636B7">
        <w:rPr>
          <w:sz w:val="22"/>
          <w:rtl/>
        </w:rPr>
        <w:t>[פורסם בנבו]</w:t>
      </w:r>
      <w:r>
        <w:rPr>
          <w:rtl/>
        </w:rPr>
        <w:t>. הפעלת מאסר על תנאי זה אינה נכללת בטווח הענישה שהוסכם עליו, והטיעון לעניין אופן הפעלתו הינו חופשי, כך שהמאשימה תעתור להפעלתו בנוסף למאסר שבטווח הענישה העליון, ובמצטבר לו,היינו 28 שנים לריצוי בפועל, בעוד ההגנה רשאית לעתור לריצויו בחופף.</w:t>
      </w:r>
    </w:p>
    <w:p w14:paraId="73F8B363" w14:textId="77777777" w:rsidR="00137958" w:rsidRDefault="00137958" w:rsidP="00977D4C">
      <w:pPr>
        <w:spacing w:line="360" w:lineRule="auto"/>
        <w:jc w:val="both"/>
        <w:rPr>
          <w:rtl/>
        </w:rPr>
      </w:pPr>
      <w:r>
        <w:rPr>
          <w:rtl/>
        </w:rPr>
        <w:t>ב.</w:t>
      </w:r>
      <w:r>
        <w:rPr>
          <w:rtl/>
        </w:rPr>
        <w:tab/>
      </w:r>
      <w:r>
        <w:rPr>
          <w:b/>
          <w:bCs/>
          <w:u w:val="single"/>
          <w:rtl/>
        </w:rPr>
        <w:t>עובדות כתב האישום</w:t>
      </w:r>
    </w:p>
    <w:p w14:paraId="2706C903" w14:textId="77777777" w:rsidR="00137958" w:rsidRDefault="00137958" w:rsidP="00977D4C">
      <w:pPr>
        <w:spacing w:line="360" w:lineRule="auto"/>
        <w:jc w:val="both"/>
        <w:rPr>
          <w:rtl/>
        </w:rPr>
      </w:pPr>
    </w:p>
    <w:p w14:paraId="4A5A4F3B" w14:textId="77777777" w:rsidR="00137958" w:rsidRDefault="00137958" w:rsidP="00977D4C">
      <w:pPr>
        <w:spacing w:line="360" w:lineRule="auto"/>
        <w:jc w:val="both"/>
        <w:rPr>
          <w:rtl/>
        </w:rPr>
      </w:pPr>
      <w:r>
        <w:rPr>
          <w:rtl/>
        </w:rPr>
        <w:t xml:space="preserve">כרקע לאמור בכתב האישום צויין, כי הנאשמים חברים. בתאריכים הרלבנטיים לכתב האישום התגורר נאשם 3 בביתו של הנאשם 2 ברח' רמב"ם 15 בנהריה (להלן: </w:t>
      </w:r>
      <w:r>
        <w:rPr>
          <w:rFonts w:cs="Miriam"/>
          <w:rtl/>
        </w:rPr>
        <w:t>"הבית"</w:t>
      </w:r>
      <w:r>
        <w:rPr>
          <w:rtl/>
        </w:rPr>
        <w:t xml:space="preserve">), יחד עם הנאשם 2 ואשתו. </w:t>
      </w:r>
    </w:p>
    <w:p w14:paraId="059E6DCB" w14:textId="77777777" w:rsidR="00137958" w:rsidRDefault="00137958" w:rsidP="00977D4C">
      <w:pPr>
        <w:spacing w:line="360" w:lineRule="auto"/>
        <w:jc w:val="both"/>
        <w:rPr>
          <w:rtl/>
        </w:rPr>
      </w:pPr>
    </w:p>
    <w:p w14:paraId="29E6B2AE" w14:textId="77777777" w:rsidR="00137958" w:rsidRDefault="00137958" w:rsidP="00977D4C">
      <w:pPr>
        <w:spacing w:line="360" w:lineRule="auto"/>
        <w:jc w:val="both"/>
        <w:rPr>
          <w:rtl/>
        </w:rPr>
      </w:pPr>
      <w:r>
        <w:rPr>
          <w:rtl/>
        </w:rPr>
        <w:t>עוד צויין, כי בתקופה הרלבנטית לכתב האישום היה סכסוך בין הנאשמים לבין אופיר לאלאזר (להלן:</w:t>
      </w:r>
      <w:r>
        <w:rPr>
          <w:rFonts w:cs="Miriam"/>
          <w:rtl/>
        </w:rPr>
        <w:t>"המנוח"</w:t>
      </w:r>
      <w:r>
        <w:rPr>
          <w:rtl/>
        </w:rPr>
        <w:t>) ובני משפחתו. הסכסוך נבע, בין היתר, מחוב אותו חב לכאורה המנוח לנאשמים ולווה במספר עימותים הדדיים בעלי אופי אלים, בין הצדדים (להלן: "</w:t>
      </w:r>
      <w:r>
        <w:rPr>
          <w:rFonts w:cs="Miriam"/>
          <w:rtl/>
        </w:rPr>
        <w:t>הסכסוך</w:t>
      </w:r>
      <w:r>
        <w:rPr>
          <w:rtl/>
        </w:rPr>
        <w:t xml:space="preserve">"). </w:t>
      </w:r>
    </w:p>
    <w:p w14:paraId="12617DF4" w14:textId="77777777" w:rsidR="00137958" w:rsidRDefault="00137958" w:rsidP="00977D4C">
      <w:pPr>
        <w:spacing w:line="360" w:lineRule="auto"/>
        <w:jc w:val="both"/>
        <w:rPr>
          <w:rtl/>
        </w:rPr>
      </w:pPr>
    </w:p>
    <w:p w14:paraId="4129AAB8" w14:textId="77777777" w:rsidR="00137958" w:rsidRDefault="00137958" w:rsidP="00977D4C">
      <w:pPr>
        <w:spacing w:line="360" w:lineRule="auto"/>
        <w:jc w:val="both"/>
        <w:rPr>
          <w:rtl/>
        </w:rPr>
      </w:pPr>
      <w:r>
        <w:rPr>
          <w:rtl/>
        </w:rPr>
        <w:t xml:space="preserve">בשלהי חודש מרץ 2012 או בסמוך לכך, בעקבות הסכסוך והעימותים ההדדיים, עברו הנאשם 1, אשתו וילדיו להתגורר אף הם בבית. בשלב זה, התקינו הנאשמים מספר מצלמות אבטחה בבית, שחוברו לממיר שהוצב בסלון הבית (להלן: </w:t>
      </w:r>
      <w:r>
        <w:rPr>
          <w:rFonts w:cs="Miriam"/>
          <w:rtl/>
        </w:rPr>
        <w:t>"הממיר"</w:t>
      </w:r>
      <w:r>
        <w:rPr>
          <w:rtl/>
        </w:rPr>
        <w:t xml:space="preserve">). </w:t>
      </w:r>
    </w:p>
    <w:p w14:paraId="76872DB5" w14:textId="77777777" w:rsidR="00137958" w:rsidRDefault="00137958" w:rsidP="00977D4C">
      <w:pPr>
        <w:spacing w:line="360" w:lineRule="auto"/>
        <w:jc w:val="both"/>
        <w:rPr>
          <w:rtl/>
        </w:rPr>
      </w:pPr>
    </w:p>
    <w:p w14:paraId="3AF162EE" w14:textId="77777777" w:rsidR="00137958" w:rsidRDefault="00137958" w:rsidP="00977D4C">
      <w:pPr>
        <w:spacing w:line="360" w:lineRule="auto"/>
        <w:jc w:val="both"/>
        <w:rPr>
          <w:rtl/>
        </w:rPr>
      </w:pPr>
      <w:r>
        <w:rPr>
          <w:rtl/>
        </w:rPr>
        <w:t>בתאריך 03/04/12 בשעות הערב, ובהמשך לסכסוך, הגיעו הנאשמים לאיזור מגורי משפחת המנוח ותצפתו על בני משפחתו, תוך שהם מדווחים האחד לשני על הגעת בני המשפחה ועל אפשרות הגעת כוחות משטרה למקום, ככל שיגיעו, ובשלב מסויים התפתח עימות בין הצדדים.</w:t>
      </w:r>
    </w:p>
    <w:p w14:paraId="596D06C5" w14:textId="77777777" w:rsidR="00137958" w:rsidRDefault="00137958" w:rsidP="00977D4C">
      <w:pPr>
        <w:spacing w:line="360" w:lineRule="auto"/>
        <w:jc w:val="both"/>
        <w:rPr>
          <w:rtl/>
        </w:rPr>
      </w:pPr>
    </w:p>
    <w:p w14:paraId="46A9AA41" w14:textId="77777777" w:rsidR="00137958" w:rsidRDefault="00137958" w:rsidP="00977D4C">
      <w:pPr>
        <w:spacing w:line="360" w:lineRule="auto"/>
        <w:jc w:val="both"/>
        <w:rPr>
          <w:rtl/>
        </w:rPr>
      </w:pPr>
      <w:r>
        <w:rPr>
          <w:rtl/>
        </w:rPr>
        <w:t xml:space="preserve">בעקבות האמור לעיל, קשרו הנאשמים קשר לפגוע במנוח באמצעות ירי (להלן: </w:t>
      </w:r>
      <w:r>
        <w:rPr>
          <w:rFonts w:cs="Miriam"/>
          <w:rtl/>
        </w:rPr>
        <w:t>"הקשר"</w:t>
      </w:r>
      <w:r>
        <w:rPr>
          <w:rtl/>
        </w:rPr>
        <w:t xml:space="preserve">). במסגרת הקשר פעלו הנאשמים כמפורט להלן: הנאשמים הצטיידו בלא פחות משני אקדחים המסוגלים להמית אדם ובתחמושת, אותם החזיקו ונשאו ללא רשות על פי דין (להלן: </w:t>
      </w:r>
      <w:r>
        <w:rPr>
          <w:rFonts w:cs="Miriam"/>
          <w:rtl/>
        </w:rPr>
        <w:t>"האקדחים"</w:t>
      </w:r>
      <w:r>
        <w:rPr>
          <w:rtl/>
        </w:rPr>
        <w:t>) והמתינו עם האקדחים בסלון הבית.</w:t>
      </w:r>
    </w:p>
    <w:p w14:paraId="75F54EA9" w14:textId="77777777" w:rsidR="00137958" w:rsidRDefault="00137958" w:rsidP="00977D4C">
      <w:pPr>
        <w:spacing w:line="360" w:lineRule="auto"/>
        <w:jc w:val="both"/>
        <w:rPr>
          <w:rtl/>
        </w:rPr>
      </w:pPr>
    </w:p>
    <w:p w14:paraId="5ED79B6F" w14:textId="77777777" w:rsidR="00137958" w:rsidRDefault="00137958" w:rsidP="00977D4C">
      <w:pPr>
        <w:spacing w:line="360" w:lineRule="auto"/>
        <w:jc w:val="both"/>
        <w:rPr>
          <w:rtl/>
        </w:rPr>
      </w:pPr>
      <w:r>
        <w:rPr>
          <w:rtl/>
        </w:rPr>
        <w:t xml:space="preserve">נאשם 3 התקשר מספר פעמים לאנשים שונים שעיסוקם במחשבים ומצלמות וקיבל מהם, לבקשתו, הנחיות מפורטות כיצד להפסיק את ההקלטה של המצלמות בבית, כל זאת כדי למנוע תיעוד. </w:t>
      </w:r>
    </w:p>
    <w:p w14:paraId="1072DCD9" w14:textId="77777777" w:rsidR="00137958" w:rsidRDefault="00137958" w:rsidP="00977D4C">
      <w:pPr>
        <w:spacing w:line="360" w:lineRule="auto"/>
        <w:jc w:val="both"/>
        <w:rPr>
          <w:rtl/>
        </w:rPr>
      </w:pPr>
    </w:p>
    <w:p w14:paraId="218F3D69" w14:textId="77777777" w:rsidR="00137958" w:rsidRDefault="00137958" w:rsidP="00977D4C">
      <w:pPr>
        <w:spacing w:line="360" w:lineRule="auto"/>
        <w:jc w:val="both"/>
        <w:rPr>
          <w:rtl/>
        </w:rPr>
      </w:pPr>
      <w:r>
        <w:rPr>
          <w:rtl/>
        </w:rPr>
        <w:t xml:space="preserve">הנאשם 1 הזמין מונית לבית וכשזו הגיעה, התקשר לנהג וביקש ממנו שימתין באזור ויחזור עוד מעט, כל זאת על מנת להיעזר במונית כרכב מילוט. בסביבות השעה 24:35, בעת שישבו הנאשמים בסלון הבית כשהם מצויידים באקדחים והמתינו להגעת המנוח, הבחינו בשתי דמויות מגיעות לאזור הבית, כשהמנוח אחת מהן. בסמוך לכך, התקשר שוב הנאשם 1 לנהג המונית וביקש ממנו לבדוק האם יש משטרה באזור. נהג המונית בדק את האזור והודיע לנאשם 1 שאין משטרה בנמצא. בסמוך לכך, ניתקו הנאשמים את חיבור הממיר מהמצלמות, על מנת למנוע תיעוד. </w:t>
      </w:r>
    </w:p>
    <w:p w14:paraId="0F33B10D" w14:textId="77777777" w:rsidR="00137958" w:rsidRDefault="00137958" w:rsidP="0017693E">
      <w:pPr>
        <w:spacing w:line="360" w:lineRule="auto"/>
        <w:jc w:val="both"/>
        <w:rPr>
          <w:rtl/>
        </w:rPr>
      </w:pPr>
    </w:p>
    <w:p w14:paraId="4D1BF346" w14:textId="77777777" w:rsidR="00137958" w:rsidRDefault="00137958" w:rsidP="00977D4C">
      <w:pPr>
        <w:spacing w:line="360" w:lineRule="auto"/>
        <w:jc w:val="both"/>
        <w:rPr>
          <w:rtl/>
        </w:rPr>
      </w:pPr>
      <w:r>
        <w:rPr>
          <w:rtl/>
        </w:rPr>
        <w:t xml:space="preserve">הנאשמים, כשהם מצויידים באקדחים, יצאו לעבר המנוח והאדם הנוסף כשאלה נשאו סכין בכליהם. הנאשמים התחילו לירות מספר רב של יריות לעברם. לעבר המנוח נורו 6 יריות, שפגעו בבטנו, בגבו ובראשו, כשאחת מהיריות שפגעה בראש נורתה ממרחק של פחות ממטר. </w:t>
      </w:r>
    </w:p>
    <w:p w14:paraId="44509D12" w14:textId="77777777" w:rsidR="00137958" w:rsidRDefault="00137958" w:rsidP="0017693E">
      <w:pPr>
        <w:spacing w:line="360" w:lineRule="auto"/>
        <w:jc w:val="both"/>
        <w:rPr>
          <w:rtl/>
        </w:rPr>
      </w:pPr>
    </w:p>
    <w:p w14:paraId="63A690CE" w14:textId="77777777" w:rsidR="00137958" w:rsidRDefault="00137958" w:rsidP="00977D4C">
      <w:pPr>
        <w:spacing w:line="360" w:lineRule="auto"/>
        <w:jc w:val="both"/>
        <w:rPr>
          <w:rtl/>
        </w:rPr>
      </w:pPr>
      <w:r>
        <w:rPr>
          <w:rtl/>
        </w:rPr>
        <w:t xml:space="preserve">כתוצאה מהירי שביצעו הנאשמים במנוח, נגרמו לו פגיעות במקומות שונים בפלג גופו העליון ובראשו. </w:t>
      </w:r>
    </w:p>
    <w:p w14:paraId="080E23CE" w14:textId="77777777" w:rsidR="00137958" w:rsidRDefault="00137958" w:rsidP="0017693E">
      <w:pPr>
        <w:spacing w:line="360" w:lineRule="auto"/>
        <w:jc w:val="both"/>
        <w:rPr>
          <w:rtl/>
        </w:rPr>
      </w:pPr>
    </w:p>
    <w:p w14:paraId="218037B5" w14:textId="77777777" w:rsidR="00137958" w:rsidRDefault="00137958" w:rsidP="00977D4C">
      <w:pPr>
        <w:spacing w:line="360" w:lineRule="auto"/>
        <w:jc w:val="both"/>
        <w:rPr>
          <w:rtl/>
        </w:rPr>
      </w:pPr>
      <w:r>
        <w:rPr>
          <w:rtl/>
        </w:rPr>
        <w:t>מותו של המנוח, כך צויין בכתב האישום, נגרם מנזקים חמורים לריאות ולכבד, ממעבר 3 קליעים דרך הגוו. קליע נוסף עבר משיקי במח, וסביר להניח שתרם לסיבת המוות בעקבות הנזק החמור.</w:t>
      </w:r>
    </w:p>
    <w:p w14:paraId="4EE5D220" w14:textId="77777777" w:rsidR="00137958" w:rsidRDefault="00137958" w:rsidP="0017693E">
      <w:pPr>
        <w:spacing w:line="360" w:lineRule="auto"/>
        <w:jc w:val="both"/>
        <w:rPr>
          <w:rtl/>
        </w:rPr>
      </w:pPr>
    </w:p>
    <w:p w14:paraId="61BAF861" w14:textId="77777777" w:rsidR="00137958" w:rsidRDefault="00137958" w:rsidP="0017693E">
      <w:pPr>
        <w:spacing w:line="360" w:lineRule="auto"/>
        <w:jc w:val="both"/>
        <w:rPr>
          <w:rtl/>
        </w:rPr>
      </w:pPr>
      <w:r>
        <w:rPr>
          <w:rtl/>
        </w:rPr>
        <w:t>בשלב זה, נמלטו הנאשמים 1 ו-2 מהמקום, עד שנעצרו על ידי המשטרה בתאריכים 18/04/12</w:t>
      </w:r>
      <w:r>
        <w:rPr>
          <w:rtl/>
        </w:rPr>
        <w:br/>
        <w:t xml:space="preserve">ו-20/04/12. נאשם 3 נשאר בבית ודאג עוד באותו הלילה להעלים ראיות, ובין היתר לסלק את ממיר המצלמות מהבית ולהשמיד כרטיסי סים של מכשירי פלאפון. בהמשך אותו לילה, נעצר הנאשם 3 בבית. </w:t>
      </w:r>
    </w:p>
    <w:p w14:paraId="5CD78A83" w14:textId="77777777" w:rsidR="00137958" w:rsidRDefault="00137958" w:rsidP="0017693E">
      <w:pPr>
        <w:spacing w:line="360" w:lineRule="auto"/>
        <w:jc w:val="both"/>
        <w:rPr>
          <w:rtl/>
        </w:rPr>
      </w:pPr>
    </w:p>
    <w:p w14:paraId="53E9A54C" w14:textId="77777777" w:rsidR="00137958" w:rsidRDefault="00137958" w:rsidP="00977D4C">
      <w:pPr>
        <w:spacing w:line="360" w:lineRule="auto"/>
        <w:jc w:val="both"/>
        <w:rPr>
          <w:rtl/>
        </w:rPr>
      </w:pPr>
      <w:r>
        <w:rPr>
          <w:rtl/>
        </w:rPr>
        <w:t xml:space="preserve">במעשיהם, כמתואר לעיל, קשרו הנאשמים קשר לפגוע במנוח באמצעות ירי וגרמו בצוותא חדא במעשה אסור למותו של המנוח וכן, החזיקו ונשאו בצוותא חדא נשק ותחמושת בלא רשות על פי דין לנשיאתם והחזקתם. </w:t>
      </w:r>
    </w:p>
    <w:p w14:paraId="4577290E" w14:textId="77777777" w:rsidR="00137958" w:rsidRDefault="00137958" w:rsidP="00403B47">
      <w:pPr>
        <w:jc w:val="both"/>
        <w:rPr>
          <w:rtl/>
        </w:rPr>
      </w:pPr>
    </w:p>
    <w:p w14:paraId="076ECCC4" w14:textId="77777777" w:rsidR="00137958" w:rsidRDefault="00137958" w:rsidP="00977D4C">
      <w:pPr>
        <w:spacing w:line="360" w:lineRule="auto"/>
        <w:jc w:val="both"/>
        <w:rPr>
          <w:b/>
          <w:bCs/>
          <w:u w:val="single"/>
          <w:rtl/>
        </w:rPr>
      </w:pPr>
      <w:r>
        <w:rPr>
          <w:rtl/>
        </w:rPr>
        <w:t>ג.</w:t>
      </w:r>
      <w:r>
        <w:rPr>
          <w:rtl/>
        </w:rPr>
        <w:tab/>
      </w:r>
      <w:r>
        <w:rPr>
          <w:b/>
          <w:bCs/>
          <w:u w:val="single"/>
          <w:rtl/>
        </w:rPr>
        <w:t>תסקיר נפגע אודות בני משפחת הקרבן</w:t>
      </w:r>
    </w:p>
    <w:p w14:paraId="40B2240A" w14:textId="77777777" w:rsidR="00137958" w:rsidRDefault="00137958" w:rsidP="00403B47">
      <w:pPr>
        <w:jc w:val="both"/>
        <w:rPr>
          <w:rtl/>
        </w:rPr>
      </w:pPr>
    </w:p>
    <w:p w14:paraId="0D1D6D40" w14:textId="77777777" w:rsidR="00137958" w:rsidRDefault="00137958" w:rsidP="00977D4C">
      <w:pPr>
        <w:spacing w:line="360" w:lineRule="auto"/>
        <w:jc w:val="both"/>
        <w:rPr>
          <w:rtl/>
        </w:rPr>
      </w:pPr>
      <w:r>
        <w:rPr>
          <w:rtl/>
        </w:rPr>
        <w:t xml:space="preserve">נעתרנו לבקשת ב"כ המאשימה והורינו על הכנת תסקיר קרבן בהתייחס למשפחת המנוח. בתסקיר זה פירטה הגב' דליה פלדמן, מפקחת מחוזית לנפגעי עבירה, את הרקע המשפחתי של הקרבן ולצורך כך שוחחה עם הוריו, אחיו ואחותו וכן עם בת זוגו לשעבר ואם בנם בן השנתיים וחצי. </w:t>
      </w:r>
    </w:p>
    <w:p w14:paraId="3CF4ED04" w14:textId="77777777" w:rsidR="00137958" w:rsidRDefault="00137958" w:rsidP="00977D4C">
      <w:pPr>
        <w:spacing w:line="360" w:lineRule="auto"/>
        <w:jc w:val="both"/>
        <w:rPr>
          <w:rtl/>
        </w:rPr>
      </w:pPr>
    </w:p>
    <w:p w14:paraId="1B359835" w14:textId="77777777" w:rsidR="00137958" w:rsidRDefault="00137958" w:rsidP="00977D4C">
      <w:pPr>
        <w:spacing w:line="360" w:lineRule="auto"/>
        <w:jc w:val="both"/>
        <w:rPr>
          <w:rtl/>
        </w:rPr>
      </w:pPr>
      <w:r>
        <w:rPr>
          <w:rtl/>
        </w:rPr>
        <w:t xml:space="preserve">בתסקיר צויין כי, כעשור עובר לאירוע נשוא כתב האישום, יחסי הוריו של המנוח עלו על שרטון,  בהמשך להתמודדות משברית קודמת של האם עם טיפולים מורכבים שעברה בעקבות מחלה בה לקתה. לאירועים אלו שפקדו את המשפחה הייתה השפעה רבה על המנוח אשר היה קרוב לאמו, נזקק לה וחשש שמא עלול לאבד אותה. </w:t>
      </w:r>
    </w:p>
    <w:p w14:paraId="721CF65A" w14:textId="77777777" w:rsidR="00137958" w:rsidRDefault="00137958" w:rsidP="00977D4C">
      <w:pPr>
        <w:spacing w:line="360" w:lineRule="auto"/>
        <w:jc w:val="both"/>
        <w:rPr>
          <w:rtl/>
        </w:rPr>
      </w:pPr>
    </w:p>
    <w:p w14:paraId="5C23D760" w14:textId="77777777" w:rsidR="00137958" w:rsidRDefault="00137958" w:rsidP="00977D4C">
      <w:pPr>
        <w:spacing w:line="360" w:lineRule="auto"/>
        <w:jc w:val="both"/>
        <w:rPr>
          <w:rtl/>
        </w:rPr>
      </w:pPr>
      <w:r>
        <w:rPr>
          <w:rtl/>
        </w:rPr>
        <w:t>בהתייחס למנוח, פורט כי התגייס לצה"ל וסיים את שירותו הצבאי, ואולם בסמוך לשחרורו ביצע עבירה אשר בגינה נדון ל-4 שנות מאסר, וכי בשנתיים שחלפו מאז שחרורו מהכלא ועד למותו נעשה ניסיון של בני משפחתו לסייע בידו להקים משפחה ולקיים אורח חיים יציב ותקין, למרות  קשייו להתרחק ולהימנע ממעורבות בפלילים. בעת מותו היה בנו התינוק כבן 4 חודשים בלבד.</w:t>
      </w:r>
    </w:p>
    <w:p w14:paraId="660A614E" w14:textId="77777777" w:rsidR="00137958" w:rsidRDefault="00137958" w:rsidP="00977D4C">
      <w:pPr>
        <w:spacing w:line="360" w:lineRule="auto"/>
        <w:jc w:val="both"/>
        <w:rPr>
          <w:rtl/>
        </w:rPr>
      </w:pPr>
      <w:r>
        <w:rPr>
          <w:rtl/>
        </w:rPr>
        <w:t>עורכת התסקיר ציינה כי האכזריות שבה נגרם מותו של המנוח, שכלל ירי מטווח קצר, אינה מרפה מהם ולכך השלכות ונזקים ביכולת ההתמודדות שלהם עם האבל הטראומתי והמורכב שבו הם מצויים. האם מתוארת כמי שנותרה, לאחר מותו של המנוח, שבר כלי, "</w:t>
      </w:r>
      <w:r>
        <w:rPr>
          <w:rFonts w:cs="Miriam"/>
          <w:rtl/>
        </w:rPr>
        <w:t>מרוקנת מכוחותיה הפיזיים והנפשיים</w:t>
      </w:r>
      <w:r>
        <w:rPr>
          <w:rtl/>
        </w:rPr>
        <w:t xml:space="preserve">", וכי שיתפה בסימפטומים הפוסט-טראומתיים מהם היא סובלת: כמו קשיי הירדמות, סיוטים, מחשבות טורדניות, פחד, דריכות ואימה שמא הנאשמים או אחרים מטעמם, עלולים לפגוע בילדיה האחרים. </w:t>
      </w:r>
    </w:p>
    <w:p w14:paraId="3743C899" w14:textId="77777777" w:rsidR="00137958" w:rsidRDefault="00137958" w:rsidP="00403B47">
      <w:pPr>
        <w:jc w:val="both"/>
        <w:rPr>
          <w:rtl/>
        </w:rPr>
      </w:pPr>
    </w:p>
    <w:p w14:paraId="3E737890" w14:textId="77777777" w:rsidR="00137958" w:rsidRDefault="00137958" w:rsidP="00977D4C">
      <w:pPr>
        <w:spacing w:line="360" w:lineRule="auto"/>
        <w:jc w:val="both"/>
        <w:rPr>
          <w:rtl/>
        </w:rPr>
      </w:pPr>
      <w:r>
        <w:rPr>
          <w:rtl/>
        </w:rPr>
        <w:t xml:space="preserve">ההשפעות הרגשיות הקשות שתוארו לעיל, בהתייחס לאם, מלוות גם את האב, אשר מות בנו גרם אף לו לזעזוע עמוק, להסתגרות בתוך עצמו והימנעות מאינטראקציות עם בני משפחה וחברים. כך גם לגבי אחיו של המנוח. </w:t>
      </w:r>
    </w:p>
    <w:p w14:paraId="6EE50420" w14:textId="77777777" w:rsidR="00137958" w:rsidRDefault="00137958" w:rsidP="00403B47">
      <w:pPr>
        <w:jc w:val="both"/>
        <w:rPr>
          <w:rtl/>
        </w:rPr>
      </w:pPr>
    </w:p>
    <w:p w14:paraId="62DC3B54" w14:textId="77777777" w:rsidR="00137958" w:rsidRDefault="00137958" w:rsidP="00977D4C">
      <w:pPr>
        <w:spacing w:line="360" w:lineRule="auto"/>
        <w:jc w:val="both"/>
        <w:rPr>
          <w:rtl/>
        </w:rPr>
      </w:pPr>
      <w:r>
        <w:rPr>
          <w:rtl/>
        </w:rPr>
        <w:t xml:space="preserve">התרשמות עורכת התסקיר הינה שאצל משפחת הקרבן, כפרטים וכמכלול, האבל המתמשך מלווה את מהלך חייהם ומותיר את המשפחה כואבת, מרוקנת, נטולת שמחת חיים ובמשבר כרוני. כמו כן, ניכרים אצלם נזקים רגשיים ותפקודיים, במישורים נרחבים בחייהם, המועצמים, על רקע אירועים קשים בעברם (מחלת האם ופרידת ההורים). </w:t>
      </w:r>
    </w:p>
    <w:p w14:paraId="35DD0186" w14:textId="77777777" w:rsidR="00137958" w:rsidRDefault="00137958" w:rsidP="00403B47">
      <w:pPr>
        <w:jc w:val="both"/>
        <w:rPr>
          <w:rtl/>
        </w:rPr>
      </w:pPr>
    </w:p>
    <w:p w14:paraId="7A903CC1" w14:textId="77777777" w:rsidR="00137958" w:rsidRDefault="00137958" w:rsidP="00977D4C">
      <w:pPr>
        <w:spacing w:line="360" w:lineRule="auto"/>
        <w:jc w:val="both"/>
        <w:rPr>
          <w:rtl/>
        </w:rPr>
      </w:pPr>
      <w:r>
        <w:rPr>
          <w:rtl/>
        </w:rPr>
        <w:t xml:space="preserve">הצפייה היא לקשיים משמעותיים בהמשך התמודדות המשפחה עם האובדן הטרגי והאלים של המנוח, כשבולטת חרדתם לבריאותה ושלומה של אֵם המשפחה, וכי למעשה כל אחד מבני המשפחה (למרות הלכידות המשפחתית אותה הם מגלים) נותר בודד בכאב ובאובדן שחווה, ולכן ההערכה היא כי מצב זה עלול להימשך לאורך זמן. </w:t>
      </w:r>
    </w:p>
    <w:p w14:paraId="0A77B878" w14:textId="77777777" w:rsidR="00137958" w:rsidRDefault="00137958" w:rsidP="00403B47">
      <w:pPr>
        <w:jc w:val="both"/>
        <w:rPr>
          <w:rtl/>
        </w:rPr>
      </w:pPr>
    </w:p>
    <w:p w14:paraId="2DEC8CEA" w14:textId="77777777" w:rsidR="00137958" w:rsidRDefault="00137958" w:rsidP="00977D4C">
      <w:pPr>
        <w:spacing w:line="360" w:lineRule="auto"/>
        <w:jc w:val="both"/>
        <w:rPr>
          <w:rtl/>
        </w:rPr>
      </w:pPr>
      <w:r>
        <w:rPr>
          <w:rtl/>
        </w:rPr>
        <w:t>המשפחה מצפה כי תינתן "</w:t>
      </w:r>
      <w:r>
        <w:rPr>
          <w:rFonts w:cs="Miriam"/>
          <w:rtl/>
        </w:rPr>
        <w:t>הכרה מקסימאלית בחומרת העבירה</w:t>
      </w:r>
      <w:r>
        <w:rPr>
          <w:rtl/>
        </w:rPr>
        <w:t>", וכן כי יוטל פיצוי כספי הולם, שיועבר לרווחת בנו של המנוח, אותו לא זכה לגדל.</w:t>
      </w:r>
    </w:p>
    <w:p w14:paraId="66E6C51F" w14:textId="77777777" w:rsidR="00137958" w:rsidRDefault="00137958" w:rsidP="00403B47">
      <w:pPr>
        <w:jc w:val="both"/>
        <w:rPr>
          <w:rtl/>
        </w:rPr>
      </w:pPr>
    </w:p>
    <w:p w14:paraId="3E25277B" w14:textId="77777777" w:rsidR="00137958" w:rsidRDefault="00137958" w:rsidP="00403B47">
      <w:pPr>
        <w:jc w:val="both"/>
        <w:rPr>
          <w:rtl/>
        </w:rPr>
      </w:pPr>
      <w:r>
        <w:rPr>
          <w:rtl/>
        </w:rPr>
        <w:t>ד.</w:t>
      </w:r>
      <w:r>
        <w:rPr>
          <w:rtl/>
        </w:rPr>
        <w:tab/>
      </w:r>
      <w:r>
        <w:rPr>
          <w:b/>
          <w:bCs/>
          <w:u w:val="single"/>
          <w:rtl/>
        </w:rPr>
        <w:t>ראיות לעונש</w:t>
      </w:r>
    </w:p>
    <w:p w14:paraId="32685EC5" w14:textId="77777777" w:rsidR="00137958" w:rsidRDefault="00137958" w:rsidP="00403B47">
      <w:pPr>
        <w:spacing w:line="360" w:lineRule="auto"/>
        <w:jc w:val="both"/>
        <w:rPr>
          <w:rtl/>
        </w:rPr>
      </w:pPr>
    </w:p>
    <w:p w14:paraId="6908712C" w14:textId="77777777" w:rsidR="00137958" w:rsidRDefault="00137958" w:rsidP="00977D4C">
      <w:pPr>
        <w:spacing w:line="360" w:lineRule="auto"/>
        <w:jc w:val="both"/>
        <w:rPr>
          <w:rtl/>
        </w:rPr>
      </w:pPr>
      <w:r>
        <w:rPr>
          <w:rtl/>
        </w:rPr>
        <w:t>ב"כ המאשימה הניחה בפנינו, במסגרת ראיותיה לעונש, את פסקי הדין המתייחסים לעונש המאסר המותנה</w:t>
      </w:r>
      <w:r w:rsidR="003636B7">
        <w:rPr>
          <w:rFonts w:hint="cs"/>
          <w:rtl/>
        </w:rPr>
        <w:t xml:space="preserve"> </w:t>
      </w:r>
      <w:r>
        <w:rPr>
          <w:rtl/>
        </w:rPr>
        <w:t xml:space="preserve">התלוי ועומד כנגד הנאשם מס' 1, וכן תיעוד המתייחס לעבירות פליליות בעבר של כל הנאשמים ורישומיהם הפליליים (ט/1 - ט/12). </w:t>
      </w:r>
    </w:p>
    <w:p w14:paraId="03EA9B60" w14:textId="77777777" w:rsidR="00137958" w:rsidRDefault="00137958" w:rsidP="00403B47">
      <w:pPr>
        <w:spacing w:line="360" w:lineRule="auto"/>
        <w:jc w:val="both"/>
        <w:rPr>
          <w:rtl/>
        </w:rPr>
      </w:pPr>
    </w:p>
    <w:p w14:paraId="5A57650D" w14:textId="77777777" w:rsidR="00137958" w:rsidRDefault="00137958" w:rsidP="00977D4C">
      <w:pPr>
        <w:spacing w:line="360" w:lineRule="auto"/>
        <w:jc w:val="both"/>
        <w:rPr>
          <w:rtl/>
        </w:rPr>
      </w:pPr>
      <w:r>
        <w:rPr>
          <w:rtl/>
        </w:rPr>
        <w:t xml:space="preserve">ב"כ הנאשם מס' 1 הניח בפנינו מספר תעודות הוקרה והצטיינות משירותו הצבאי של הנאשם 1 (ס/1 – ס/3), וכן מסמכים באשר למצבו הכלכלי של הנאשם, בכלל זה הליך הוצל"פ (ס/4 – ס/5). </w:t>
      </w:r>
    </w:p>
    <w:p w14:paraId="65CC7FE2" w14:textId="77777777" w:rsidR="00137958" w:rsidRDefault="00137958" w:rsidP="00403B47">
      <w:pPr>
        <w:jc w:val="both"/>
        <w:rPr>
          <w:rtl/>
        </w:rPr>
      </w:pPr>
    </w:p>
    <w:p w14:paraId="7152EAF9" w14:textId="77777777" w:rsidR="00137958" w:rsidRDefault="00137958" w:rsidP="00403B47">
      <w:pPr>
        <w:spacing w:line="360" w:lineRule="auto"/>
        <w:jc w:val="both"/>
        <w:rPr>
          <w:rtl/>
        </w:rPr>
      </w:pPr>
    </w:p>
    <w:p w14:paraId="150D458D" w14:textId="77777777" w:rsidR="00137958" w:rsidRDefault="00137958" w:rsidP="00403B47">
      <w:pPr>
        <w:spacing w:line="360" w:lineRule="auto"/>
        <w:jc w:val="both"/>
        <w:rPr>
          <w:rtl/>
        </w:rPr>
      </w:pPr>
    </w:p>
    <w:p w14:paraId="3931E5B3" w14:textId="77777777" w:rsidR="00137958" w:rsidRDefault="00137958" w:rsidP="00977D4C">
      <w:pPr>
        <w:spacing w:line="360" w:lineRule="auto"/>
        <w:jc w:val="both"/>
        <w:rPr>
          <w:rtl/>
        </w:rPr>
      </w:pPr>
      <w:r>
        <w:rPr>
          <w:rtl/>
        </w:rPr>
        <w:t>בנוסף לכך, העידו מספר עדי אופי בעניינו של הנאשם 1– גב' מירב משה סיפרה בעדותה ובמכתב שהגישה (ס/6), כי היא מכירה את הנאשם 1 עוד מנעוריו כחבר של אחיה ובהתרגשות רבה העידה על היכרותה איתו במשך השנים ועל הקשר ביניהם, כמו גם על הקשיים שליוו את הנאשם ובני משפחתו לאורך השנים.</w:t>
      </w:r>
    </w:p>
    <w:p w14:paraId="4A45D5B3" w14:textId="77777777" w:rsidR="00137958" w:rsidRDefault="00137958" w:rsidP="00403B47">
      <w:pPr>
        <w:jc w:val="both"/>
        <w:rPr>
          <w:rtl/>
        </w:rPr>
      </w:pPr>
    </w:p>
    <w:p w14:paraId="74240D6A" w14:textId="77777777" w:rsidR="00137958" w:rsidRDefault="00137958" w:rsidP="00977D4C">
      <w:pPr>
        <w:spacing w:line="360" w:lineRule="auto"/>
        <w:jc w:val="both"/>
        <w:rPr>
          <w:rtl/>
        </w:rPr>
      </w:pPr>
      <w:r>
        <w:rPr>
          <w:rtl/>
        </w:rPr>
        <w:t>לדברי הגב' משה, הימצאו של הנאשם 1 כיום בבית האסורים אינו "</w:t>
      </w:r>
      <w:r>
        <w:rPr>
          <w:rFonts w:cs="Miriam"/>
          <w:rtl/>
        </w:rPr>
        <w:t>המקום הטבעי</w:t>
      </w:r>
      <w:r>
        <w:rPr>
          <w:rtl/>
        </w:rPr>
        <w:t>" שלו, כהגדרתה, וכלשונה "</w:t>
      </w:r>
      <w:r>
        <w:rPr>
          <w:rFonts w:cs="Miriam"/>
          <w:rtl/>
        </w:rPr>
        <w:t>זה התסריט הכי לא אמיתי שאפשר לדמיין עבורו</w:t>
      </w:r>
      <w:r>
        <w:rPr>
          <w:rtl/>
        </w:rPr>
        <w:t xml:space="preserve">" (עמ' 1135 ש' 1 לפרוט'). </w:t>
      </w:r>
    </w:p>
    <w:p w14:paraId="26239019" w14:textId="77777777" w:rsidR="00137958" w:rsidRDefault="00137958" w:rsidP="00403B47">
      <w:pPr>
        <w:jc w:val="both"/>
        <w:rPr>
          <w:rtl/>
        </w:rPr>
      </w:pPr>
    </w:p>
    <w:p w14:paraId="3D5BDAD6" w14:textId="77777777" w:rsidR="00137958" w:rsidRDefault="00137958" w:rsidP="00977D4C">
      <w:pPr>
        <w:spacing w:line="360" w:lineRule="auto"/>
        <w:jc w:val="both"/>
        <w:rPr>
          <w:rtl/>
        </w:rPr>
      </w:pPr>
      <w:r>
        <w:rPr>
          <w:rtl/>
        </w:rPr>
        <w:t>רעיית הנאשם, גב' נטלי שלב, סיפרה על ראשית דרכה עם הנאשם ועל החלטתם למסד את הקשר ביניהם ולהינשא והיותם כיום הורים לשני ילדים, כאשר לדבריה מצבה הכלכלי הינו בכי רע, והיא מתקיימת בסיוע של</w:t>
      </w:r>
      <w:r>
        <w:rPr>
          <w:rFonts w:cs="Miriam"/>
          <w:rtl/>
        </w:rPr>
        <w:t xml:space="preserve"> "השלמת הכנסה"</w:t>
      </w:r>
      <w:r>
        <w:rPr>
          <w:rtl/>
        </w:rPr>
        <w:t xml:space="preserve"> מן המוסד לביטוח לאומי. </w:t>
      </w:r>
    </w:p>
    <w:p w14:paraId="07E70FB9" w14:textId="77777777" w:rsidR="00137958" w:rsidRDefault="00137958" w:rsidP="0017693E">
      <w:pPr>
        <w:jc w:val="both"/>
        <w:rPr>
          <w:rtl/>
        </w:rPr>
      </w:pPr>
    </w:p>
    <w:p w14:paraId="4652E6BA" w14:textId="77777777" w:rsidR="00137958" w:rsidRDefault="00137958" w:rsidP="00977D4C">
      <w:pPr>
        <w:spacing w:line="360" w:lineRule="auto"/>
        <w:jc w:val="both"/>
        <w:rPr>
          <w:rtl/>
        </w:rPr>
      </w:pPr>
      <w:r>
        <w:rPr>
          <w:rtl/>
        </w:rPr>
        <w:t xml:space="preserve">גב' שלב דיברה בהתרגשות רבה על חייהם המשותפים, על הנאשם 1 כפי שהכירה אותו לאורך השנים, על הסתבכותו הכלכלית ולאחר מכן הפלילית, וביקשה  את רחמי בית המשפט. </w:t>
      </w:r>
    </w:p>
    <w:p w14:paraId="756A4216" w14:textId="77777777" w:rsidR="00137958" w:rsidRDefault="00137958" w:rsidP="0017693E">
      <w:pPr>
        <w:jc w:val="both"/>
        <w:rPr>
          <w:rtl/>
        </w:rPr>
      </w:pPr>
    </w:p>
    <w:p w14:paraId="08764201" w14:textId="77777777" w:rsidR="00137958" w:rsidRDefault="00137958" w:rsidP="00977D4C">
      <w:pPr>
        <w:spacing w:line="360" w:lineRule="auto"/>
        <w:jc w:val="both"/>
        <w:rPr>
          <w:rtl/>
        </w:rPr>
      </w:pPr>
      <w:r>
        <w:rPr>
          <w:rtl/>
        </w:rPr>
        <w:t>ב"כ הנאשם 2, הגישה אישורים על לימודיו במסגרות שונות במסגרת שירות בית הסוהר (ס/8 ו-ס/9), וכן מסמך המתייחס להריונה של רעייתו ורישום פלילי של המנוח (ס/10).</w:t>
      </w:r>
    </w:p>
    <w:p w14:paraId="3BCEC527" w14:textId="77777777" w:rsidR="00137958" w:rsidRDefault="00137958" w:rsidP="0017693E">
      <w:pPr>
        <w:jc w:val="both"/>
        <w:rPr>
          <w:rtl/>
        </w:rPr>
      </w:pPr>
    </w:p>
    <w:p w14:paraId="066E4A21" w14:textId="77777777" w:rsidR="00137958" w:rsidRDefault="00137958" w:rsidP="0017693E">
      <w:pPr>
        <w:spacing w:line="360" w:lineRule="auto"/>
        <w:jc w:val="both"/>
        <w:rPr>
          <w:rtl/>
        </w:rPr>
      </w:pPr>
      <w:r>
        <w:rPr>
          <w:rtl/>
        </w:rPr>
        <w:t xml:space="preserve">עוד ביקשה ב"כ הנאשם 2 להגיש כובע צמר שנמצא בזירת העבירה ועליו דנ"א של המנוח. תחת זאת הצהירה ב"כ המאשימה על דבר הימצאו של כובע שכזה תוך שהסתייגה בהצהרתה באשר לכל מסקנה נגזרת מעובדת הימצאו של הכובע בזירת העבירה. </w:t>
      </w:r>
    </w:p>
    <w:p w14:paraId="501E891D" w14:textId="77777777" w:rsidR="00137958" w:rsidRDefault="00137958" w:rsidP="00403B47">
      <w:pPr>
        <w:jc w:val="both"/>
        <w:rPr>
          <w:rtl/>
        </w:rPr>
      </w:pPr>
    </w:p>
    <w:p w14:paraId="3E7EEF0F" w14:textId="77777777" w:rsidR="00137958" w:rsidRDefault="00137958" w:rsidP="00977D4C">
      <w:pPr>
        <w:spacing w:line="360" w:lineRule="auto"/>
        <w:jc w:val="both"/>
        <w:rPr>
          <w:rtl/>
        </w:rPr>
      </w:pPr>
      <w:r>
        <w:rPr>
          <w:rtl/>
        </w:rPr>
        <w:t>מטעם הנאשם מס' 2 העיד בן זוגה של אימו, מר אבי אילוק, אשר סיפר בעדותו כי הוא מכיר נאשם זה מגיל 14, לאחר שאביו הביולוגי עזב את הבית במפתיע והשאיר את אימו עם שלושה ילדים קטנים במצב כלכלי קשה ביותר. עוד הגדיר מר אילוק את הנאשם כ"</w:t>
      </w:r>
      <w:r>
        <w:rPr>
          <w:rFonts w:cs="Miriam"/>
          <w:rtl/>
        </w:rPr>
        <w:t>בחור מושפע, בחור נגרר</w:t>
      </w:r>
      <w:r>
        <w:rPr>
          <w:rtl/>
        </w:rPr>
        <w:t xml:space="preserve">" לטוב ולרע, כלשונו. </w:t>
      </w:r>
    </w:p>
    <w:p w14:paraId="26A5DDE7" w14:textId="77777777" w:rsidR="00137958" w:rsidRDefault="00137958" w:rsidP="00403B47">
      <w:pPr>
        <w:jc w:val="both"/>
        <w:rPr>
          <w:rtl/>
        </w:rPr>
      </w:pPr>
    </w:p>
    <w:p w14:paraId="443EBD63" w14:textId="77777777" w:rsidR="00137958" w:rsidRDefault="00137958" w:rsidP="00977D4C">
      <w:pPr>
        <w:spacing w:line="360" w:lineRule="auto"/>
        <w:jc w:val="both"/>
        <w:rPr>
          <w:rtl/>
        </w:rPr>
      </w:pPr>
      <w:r>
        <w:rPr>
          <w:rtl/>
        </w:rPr>
        <w:t>באת כח הנאשם 3, הגישה כתב אישום ופסק דין המתייחס לאביו של הנאשם 3 - (ס/11 - מהם עולה כי האב נהג באלימות רבה כלפי רעייתו וילדיו, בכלל זה הנאשם, מעשים אשר באת כח המאשימה באותו מקרה, הגדירה אותם כ"</w:t>
      </w:r>
      <w:r>
        <w:rPr>
          <w:rFonts w:cs="Miriam"/>
          <w:rtl/>
        </w:rPr>
        <w:t>מעשים מחרידים ומזעזעים</w:t>
      </w:r>
      <w:r>
        <w:rPr>
          <w:rtl/>
        </w:rPr>
        <w:t xml:space="preserve">" אשר נמשכו מספר שנים ואשר בגינם נדון לעונש מאסר בפועל). </w:t>
      </w:r>
    </w:p>
    <w:p w14:paraId="35F449F8" w14:textId="77777777" w:rsidR="00137958" w:rsidRDefault="00137958" w:rsidP="00403B47">
      <w:pPr>
        <w:jc w:val="both"/>
        <w:rPr>
          <w:rtl/>
        </w:rPr>
      </w:pPr>
    </w:p>
    <w:p w14:paraId="77C6821C" w14:textId="77777777" w:rsidR="00137958" w:rsidRDefault="00137958" w:rsidP="00977D4C">
      <w:pPr>
        <w:spacing w:line="360" w:lineRule="auto"/>
        <w:jc w:val="both"/>
        <w:rPr>
          <w:rtl/>
        </w:rPr>
      </w:pPr>
      <w:r>
        <w:rPr>
          <w:rtl/>
        </w:rPr>
        <w:t>כמו כן הוגש מסמך ממשרד הרווחה "</w:t>
      </w:r>
      <w:r>
        <w:rPr>
          <w:rFonts w:cs="Miriam"/>
          <w:rtl/>
        </w:rPr>
        <w:t>רשות חסות הנוער מעון אחווה עכו</w:t>
      </w:r>
      <w:r>
        <w:rPr>
          <w:rtl/>
        </w:rPr>
        <w:t xml:space="preserve">" מיום 27.7.05 (ס/12), המתייחס לנאשם בהיותו כבן 15, מסמך המתייחס לקליטתו במעון ובו פורטו פרטים שונים אודותיו ואודות משפחתו, בכלל זה תנאי חיי המשפחה הסוציו-אקונומיים הקשים, הסתבכויותיו והעבירות שביצע יחד עם אחיו בחבורת נוער מנהריה, אשר: </w:t>
      </w:r>
    </w:p>
    <w:p w14:paraId="157A7645" w14:textId="77777777" w:rsidR="00137958" w:rsidRDefault="00137958" w:rsidP="0017693E">
      <w:pPr>
        <w:ind w:left="746" w:right="1134"/>
        <w:jc w:val="both"/>
        <w:rPr>
          <w:rFonts w:cs="Miriam"/>
          <w:rtl/>
        </w:rPr>
      </w:pPr>
      <w:r>
        <w:rPr>
          <w:rFonts w:cs="Miriam"/>
          <w:rtl/>
        </w:rPr>
        <w:t xml:space="preserve">"חי וגדל באווירה משפחתית מפורקת ומכשילה על רקע הליקוי בתפקוד שני הוריו והפירוד ביניהם. הוא סבל מאלימות ומהזנחה, נשר מלימודיו, רכש דפוסי תגובה אלימים, ביצע עבירות, נעצר והובא למעון". </w:t>
      </w:r>
    </w:p>
    <w:p w14:paraId="1617DF8E" w14:textId="77777777" w:rsidR="00137958" w:rsidRDefault="00137958" w:rsidP="00977D4C">
      <w:pPr>
        <w:spacing w:line="360" w:lineRule="auto"/>
        <w:jc w:val="both"/>
        <w:rPr>
          <w:rtl/>
        </w:rPr>
      </w:pPr>
    </w:p>
    <w:p w14:paraId="2CE7FDB0" w14:textId="77777777" w:rsidR="00137958" w:rsidRDefault="00137958" w:rsidP="00977D4C">
      <w:pPr>
        <w:spacing w:line="360" w:lineRule="auto"/>
        <w:jc w:val="both"/>
        <w:rPr>
          <w:rtl/>
        </w:rPr>
      </w:pPr>
      <w:r>
        <w:rPr>
          <w:rtl/>
        </w:rPr>
        <w:t xml:space="preserve">משכך, הומלץ על צו מעון לגביו. </w:t>
      </w:r>
    </w:p>
    <w:p w14:paraId="5AFC1E21" w14:textId="77777777" w:rsidR="00137958" w:rsidRDefault="00137958" w:rsidP="00403B47">
      <w:pPr>
        <w:jc w:val="both"/>
        <w:rPr>
          <w:rtl/>
        </w:rPr>
      </w:pPr>
    </w:p>
    <w:p w14:paraId="151CC5FC" w14:textId="77777777" w:rsidR="00137958" w:rsidRDefault="00137958" w:rsidP="0017693E">
      <w:pPr>
        <w:spacing w:line="360" w:lineRule="auto"/>
        <w:jc w:val="both"/>
        <w:rPr>
          <w:rtl/>
        </w:rPr>
      </w:pPr>
      <w:r>
        <w:rPr>
          <w:rtl/>
        </w:rPr>
        <w:t>עוד הוגש "</w:t>
      </w:r>
      <w:r>
        <w:rPr>
          <w:rFonts w:cs="Miriam"/>
          <w:rtl/>
        </w:rPr>
        <w:t>דו"ח אירוע</w:t>
      </w:r>
      <w:r>
        <w:rPr>
          <w:rtl/>
        </w:rPr>
        <w:t xml:space="preserve">" מיום 26/03/07 (ס/13) על כך שבהיותו חוסה במעון, נאשם 2 נפגע פגיעה מינית קשה ביותר על ידי אחר. </w:t>
      </w:r>
    </w:p>
    <w:p w14:paraId="0BE420E7" w14:textId="77777777" w:rsidR="00137958" w:rsidRDefault="00137958" w:rsidP="00403B47">
      <w:pPr>
        <w:jc w:val="both"/>
        <w:rPr>
          <w:rtl/>
        </w:rPr>
      </w:pPr>
    </w:p>
    <w:p w14:paraId="49CEF4EA" w14:textId="77777777" w:rsidR="00137958" w:rsidRDefault="00137958" w:rsidP="00977D4C">
      <w:pPr>
        <w:spacing w:line="360" w:lineRule="auto"/>
        <w:jc w:val="both"/>
        <w:rPr>
          <w:rtl/>
        </w:rPr>
      </w:pPr>
      <w:r>
        <w:rPr>
          <w:rtl/>
        </w:rPr>
        <w:t xml:space="preserve">אימו של הנאשם 3, אשר נכחה באולם אך מפאת קשיי שפה, הגישה מכתב מטעמה (ס/14) ובו פירטה בהרחבה על הגעת המשפחה לישראל בעקבות היות בעלה לוחם בצד"ל, וקשיי הקליטה בישראל שהשפיעו בצורה קשה על חייה המשותפים עם בעלה ויותר מכך, השפעה הרסנית על ילדיהם, בכללם הנאשם אשר חווה אלימות קשה מצד אביו. </w:t>
      </w:r>
    </w:p>
    <w:p w14:paraId="23969B49" w14:textId="77777777" w:rsidR="00137958" w:rsidRDefault="00137958" w:rsidP="00403B47">
      <w:pPr>
        <w:jc w:val="both"/>
        <w:rPr>
          <w:rtl/>
        </w:rPr>
      </w:pPr>
    </w:p>
    <w:p w14:paraId="63D01709" w14:textId="77777777" w:rsidR="00137958" w:rsidRDefault="00137958" w:rsidP="00977D4C">
      <w:pPr>
        <w:spacing w:line="360" w:lineRule="auto"/>
        <w:jc w:val="both"/>
        <w:rPr>
          <w:rtl/>
        </w:rPr>
      </w:pPr>
      <w:r>
        <w:rPr>
          <w:rtl/>
        </w:rPr>
        <w:t>האם הגדירה את בנה כ"</w:t>
      </w:r>
      <w:r>
        <w:rPr>
          <w:rFonts w:cs="Miriam"/>
          <w:rtl/>
        </w:rPr>
        <w:t>ילד מסכן, לא היה לו יום אחד של טוב בחיים שלו, רק צרות, אבא שלו היה כמו אוייב בשבילו, ואמא שלו לא יכלה לשמור עליו</w:t>
      </w:r>
      <w:r>
        <w:rPr>
          <w:rtl/>
        </w:rPr>
        <w:t xml:space="preserve">...". </w:t>
      </w:r>
    </w:p>
    <w:p w14:paraId="4110941A" w14:textId="77777777" w:rsidR="00137958" w:rsidRDefault="00137958" w:rsidP="00403B47">
      <w:pPr>
        <w:jc w:val="both"/>
        <w:rPr>
          <w:rtl/>
        </w:rPr>
      </w:pPr>
    </w:p>
    <w:p w14:paraId="340E8F80" w14:textId="77777777" w:rsidR="00137958" w:rsidRDefault="00137958" w:rsidP="00977D4C">
      <w:pPr>
        <w:spacing w:line="360" w:lineRule="auto"/>
        <w:jc w:val="both"/>
        <w:rPr>
          <w:rtl/>
        </w:rPr>
      </w:pPr>
      <w:r>
        <w:rPr>
          <w:rtl/>
        </w:rPr>
        <w:t>ה.</w:t>
      </w:r>
      <w:r>
        <w:rPr>
          <w:rtl/>
        </w:rPr>
        <w:tab/>
      </w:r>
      <w:r>
        <w:rPr>
          <w:b/>
          <w:bCs/>
          <w:u w:val="single"/>
          <w:rtl/>
        </w:rPr>
        <w:t>טיעוני ב"כ הצדדים לעונש</w:t>
      </w:r>
    </w:p>
    <w:p w14:paraId="2DA3E41D" w14:textId="77777777" w:rsidR="00137958" w:rsidRDefault="00137958" w:rsidP="00403B47">
      <w:pPr>
        <w:jc w:val="both"/>
        <w:rPr>
          <w:rtl/>
        </w:rPr>
      </w:pPr>
    </w:p>
    <w:p w14:paraId="0372F25F" w14:textId="77777777" w:rsidR="00137958" w:rsidRDefault="00137958" w:rsidP="00977D4C">
      <w:pPr>
        <w:spacing w:line="360" w:lineRule="auto"/>
        <w:jc w:val="both"/>
        <w:rPr>
          <w:rtl/>
        </w:rPr>
      </w:pPr>
      <w:r>
        <w:rPr>
          <w:rtl/>
        </w:rPr>
        <w:t>בפתח טיעוניה לעונש בעל פה ובכתב (ט/14) ייחדה באת כח המאשימה דברים למנוח ולמשפחתו וציינה כי היה בן 29 במותו "</w:t>
      </w:r>
      <w:r>
        <w:rPr>
          <w:rFonts w:cs="Miriam"/>
          <w:rtl/>
        </w:rPr>
        <w:t>בחור צעיר שחייו נקטלו בדמי ימיו</w:t>
      </w:r>
      <w:r>
        <w:rPr>
          <w:rtl/>
        </w:rPr>
        <w:t xml:space="preserve">" והותיר אחריו בת זוג וילד פעוט בן 4 חודשים שהוא כיום בן שנתיים וחצי, ושבה והתייחסה למכלול פרטים העולים מתסקיר הקרבן ואשר אליהם התייחסנו בסקירה לעיל. </w:t>
      </w:r>
    </w:p>
    <w:p w14:paraId="6BC8E513" w14:textId="77777777" w:rsidR="00137958" w:rsidRDefault="00137958" w:rsidP="00403B47">
      <w:pPr>
        <w:jc w:val="both"/>
        <w:rPr>
          <w:rtl/>
        </w:rPr>
      </w:pPr>
    </w:p>
    <w:p w14:paraId="1508FD72" w14:textId="77777777" w:rsidR="00137958" w:rsidRDefault="00137958" w:rsidP="00977D4C">
      <w:pPr>
        <w:spacing w:line="360" w:lineRule="auto"/>
        <w:jc w:val="both"/>
        <w:rPr>
          <w:rtl/>
        </w:rPr>
      </w:pPr>
      <w:r>
        <w:rPr>
          <w:rtl/>
        </w:rPr>
        <w:t xml:space="preserve">לשיטת באת כח המאשימה, נסיבותיו הספציפיות של תיק זה – על חומרת המעשה, נסיבותיו, מידת אשמתם של הנאשמים, שיקולי הגנה על הציבור, הרתעה אישית והרתעת הרבים – מצדיקות הטלת ענישה מחמירה במיוחד שתהלום את המקרה דנן. </w:t>
      </w:r>
    </w:p>
    <w:p w14:paraId="14EFB57D" w14:textId="77777777" w:rsidR="00137958" w:rsidRDefault="00137958" w:rsidP="00403B47">
      <w:pPr>
        <w:jc w:val="both"/>
        <w:rPr>
          <w:rtl/>
        </w:rPr>
      </w:pPr>
    </w:p>
    <w:p w14:paraId="4B12434B" w14:textId="77777777" w:rsidR="00137958" w:rsidRDefault="00137958" w:rsidP="00977D4C">
      <w:pPr>
        <w:spacing w:line="360" w:lineRule="auto"/>
        <w:jc w:val="both"/>
        <w:rPr>
          <w:rtl/>
        </w:rPr>
      </w:pPr>
      <w:r>
        <w:rPr>
          <w:rtl/>
        </w:rPr>
        <w:t>בהמשך טיעוניה, פירטה את מכלול הנתונים לחומרה אשר לדבריה מביאים אירוע זה ל</w:t>
      </w:r>
      <w:r>
        <w:rPr>
          <w:rFonts w:cs="Miriam"/>
          <w:rtl/>
        </w:rPr>
        <w:t>"צמרת  עבירת ההריגה ובמדרג העליון הקרוב במהותו לעבירת הרצח"</w:t>
      </w:r>
      <w:r>
        <w:rPr>
          <w:rtl/>
        </w:rPr>
        <w:t xml:space="preserve">. לדברי באת כח המאשימה, אין מדובר באירוע ספונטני, רגעי, נקודתי, חולף, בעידנא דריתחא, אלא באירוע מתמשך שנעשה ביישוב הדעת ושקדם לו קשר שקשרו הנאשמים לפגוע במנוח באמצעות ירי. </w:t>
      </w:r>
    </w:p>
    <w:p w14:paraId="16AC67A5" w14:textId="77777777" w:rsidR="00137958" w:rsidRDefault="00137958" w:rsidP="00403B47">
      <w:pPr>
        <w:jc w:val="both"/>
        <w:rPr>
          <w:rtl/>
        </w:rPr>
      </w:pPr>
    </w:p>
    <w:p w14:paraId="6F10DEC9" w14:textId="77777777" w:rsidR="00137958" w:rsidRDefault="00137958" w:rsidP="00977D4C">
      <w:pPr>
        <w:spacing w:line="360" w:lineRule="auto"/>
        <w:jc w:val="both"/>
        <w:rPr>
          <w:rtl/>
        </w:rPr>
      </w:pPr>
      <w:r>
        <w:rPr>
          <w:rtl/>
        </w:rPr>
        <w:t>עוד טענה באת כח המאשימה כי קדמה לאירוע הירי "</w:t>
      </w:r>
      <w:r>
        <w:rPr>
          <w:rFonts w:cs="Miriam"/>
          <w:rtl/>
        </w:rPr>
        <w:t>היערכות מוקדמת ומוקפדת</w:t>
      </w:r>
      <w:r>
        <w:rPr>
          <w:rtl/>
        </w:rPr>
        <w:t xml:space="preserve">", כלשונה, כאשר הנאשמים פועלים כאיש אחד ונעזרים באחרים למימוש הקשר. זאת, לאחר סכסוך קודם שלווה בעימותים אלימים המהווים מניע למעשה ותוך שהנאשמים מצטיידים בלא פחות משני אקדחים אותם החזיקו ונשאו שלא כדין (אשר הוחזקו עד אז בידי גורמים פליליים). </w:t>
      </w:r>
    </w:p>
    <w:p w14:paraId="753FA78C" w14:textId="77777777" w:rsidR="00137958" w:rsidRDefault="00137958" w:rsidP="00977D4C">
      <w:pPr>
        <w:spacing w:line="360" w:lineRule="auto"/>
        <w:jc w:val="both"/>
        <w:rPr>
          <w:rtl/>
        </w:rPr>
      </w:pPr>
      <w:r>
        <w:rPr>
          <w:rtl/>
        </w:rPr>
        <w:t>זאת ועוד, באת כח המאשימה פירטה, אחת לאחת, את פגיעות הירי בגופו של המנוח כאשר אחת מהן בראשו ושבוצעה במרחק של פחות ממטר. זאת, תוך הפגנת נחישות בקטילת חיי המנוח, ואכזריות יוצאת דופן המגבירה את חומרת המעשה ואת אשמתם. לאחר כל זאת אף נמלטו מהזירה מבלי להושיט למנוח עזרה.</w:t>
      </w:r>
    </w:p>
    <w:p w14:paraId="260BA0AB" w14:textId="77777777" w:rsidR="00137958" w:rsidRDefault="00137958" w:rsidP="00403B47">
      <w:pPr>
        <w:jc w:val="both"/>
        <w:rPr>
          <w:rtl/>
        </w:rPr>
      </w:pPr>
    </w:p>
    <w:p w14:paraId="271F8EDF" w14:textId="77777777" w:rsidR="00137958" w:rsidRDefault="00137958" w:rsidP="000B1E98">
      <w:pPr>
        <w:spacing w:line="360" w:lineRule="auto"/>
        <w:jc w:val="both"/>
        <w:rPr>
          <w:rtl/>
        </w:rPr>
      </w:pPr>
      <w:r>
        <w:rPr>
          <w:rtl/>
        </w:rPr>
        <w:t>הנאשמים, כך לשיטת באת כח המאשימה, פעלו בצוותא חדא, על שלבי הביצוע השונים, החל מקשירת הקשר, עובר להיערכות, המשך בירי וכלה לאחריו בבריחה מהמקום. בנוסף לאמור לעיל, הודגשה העובדה כי לנאשמים עבר פלילי במגוון עבירות ולא מדובר במעידה</w:t>
      </w:r>
      <w:r w:rsidR="003636B7">
        <w:rPr>
          <w:rFonts w:hint="cs"/>
          <w:rtl/>
        </w:rPr>
        <w:t xml:space="preserve"> </w:t>
      </w:r>
      <w:r>
        <w:rPr>
          <w:rtl/>
        </w:rPr>
        <w:t>חד-פעמית.</w:t>
      </w:r>
    </w:p>
    <w:p w14:paraId="00B8D72F" w14:textId="77777777" w:rsidR="00137958" w:rsidRDefault="00137958" w:rsidP="00403B47">
      <w:pPr>
        <w:jc w:val="both"/>
        <w:rPr>
          <w:rtl/>
        </w:rPr>
      </w:pPr>
    </w:p>
    <w:p w14:paraId="4E23D534" w14:textId="77777777" w:rsidR="00137958" w:rsidRDefault="00137958" w:rsidP="00977D4C">
      <w:pPr>
        <w:spacing w:line="360" w:lineRule="auto"/>
        <w:jc w:val="both"/>
        <w:rPr>
          <w:rtl/>
        </w:rPr>
      </w:pPr>
      <w:r>
        <w:rPr>
          <w:rtl/>
        </w:rPr>
        <w:t>משכך, ביקשה באת כח המאשימה להטיל על הנאשמים עונש מירבי בגין עבירת ההריגה תוך שהיא מגדירה את המקרה שבפנינו כ"</w:t>
      </w:r>
      <w:r>
        <w:rPr>
          <w:rFonts w:cs="Miriam"/>
          <w:rtl/>
        </w:rPr>
        <w:t>אחד מאותם גילויים חמורים ביותר, הנושק במהותו לעבירת הרצח</w:t>
      </w:r>
      <w:r>
        <w:rPr>
          <w:rtl/>
        </w:rPr>
        <w:t xml:space="preserve">". </w:t>
      </w:r>
    </w:p>
    <w:p w14:paraId="4FB70F65" w14:textId="77777777" w:rsidR="00137958" w:rsidRDefault="00137958" w:rsidP="00403B47">
      <w:pPr>
        <w:spacing w:line="360" w:lineRule="auto"/>
        <w:jc w:val="both"/>
        <w:rPr>
          <w:rtl/>
        </w:rPr>
      </w:pPr>
    </w:p>
    <w:p w14:paraId="3CD68363" w14:textId="77777777" w:rsidR="00137958" w:rsidRDefault="00137958" w:rsidP="00977D4C">
      <w:pPr>
        <w:spacing w:line="360" w:lineRule="auto"/>
        <w:jc w:val="both"/>
        <w:rPr>
          <w:rtl/>
        </w:rPr>
      </w:pPr>
      <w:r>
        <w:rPr>
          <w:rtl/>
        </w:rPr>
        <w:t>כמו כן, טענה כי מדובר במעשים נפרדים שיש להטיל בגינם ענישה נפרדת ומצטברת, מאחר והנאשמים החזיקו ונשאו לפחות שני נשקים בהם הצטיידו מראש "</w:t>
      </w:r>
      <w:r>
        <w:rPr>
          <w:rFonts w:cs="Miriam"/>
          <w:rtl/>
        </w:rPr>
        <w:t>ולא הוסגרו</w:t>
      </w:r>
      <w:r>
        <w:rPr>
          <w:rtl/>
        </w:rPr>
        <w:t>". נשקים אלה  מוחזקים שלא כדין בידי גורמים פליליים. לא מדובר במעשים שנעשו "</w:t>
      </w:r>
      <w:r>
        <w:rPr>
          <w:rFonts w:cs="Miriam"/>
          <w:rtl/>
        </w:rPr>
        <w:t>ברגע, כפרץ אחד של שלהוב הרוחות או באופן ספונטני</w:t>
      </w:r>
      <w:r>
        <w:rPr>
          <w:rtl/>
        </w:rPr>
        <w:t>" כי אם במעשים שבוצעו בשלבים, בנפרד, לאחר קשירת קשר והיערכות מוקדמת ומוקפדת, ו"</w:t>
      </w:r>
      <w:r>
        <w:rPr>
          <w:rFonts w:cs="Miriam"/>
          <w:rtl/>
        </w:rPr>
        <w:t>שימוש מזוויע</w:t>
      </w:r>
      <w:r>
        <w:rPr>
          <w:rtl/>
        </w:rPr>
        <w:t xml:space="preserve">" שעשו בנשק. שיקולים שבטובת האינטרס הציבורי, שיקול גמול והרתעה ומתן ביטוי הולם לסלידה מהמעשים, יש בהם כדי להצדיק הטלת עונש נפרד ומצטבר בגין עבירות נשק, לעונש שייגזר בגין עבירות ההריגה והקשר. </w:t>
      </w:r>
    </w:p>
    <w:p w14:paraId="0C7B43CF" w14:textId="77777777" w:rsidR="00137958" w:rsidRDefault="00137958" w:rsidP="00403B47">
      <w:pPr>
        <w:spacing w:line="360" w:lineRule="auto"/>
        <w:jc w:val="both"/>
        <w:rPr>
          <w:rtl/>
        </w:rPr>
      </w:pPr>
    </w:p>
    <w:p w14:paraId="6FE523AE" w14:textId="77777777" w:rsidR="00137958" w:rsidRDefault="00137958" w:rsidP="003636B7">
      <w:pPr>
        <w:spacing w:line="360" w:lineRule="auto"/>
        <w:jc w:val="both"/>
        <w:rPr>
          <w:rtl/>
        </w:rPr>
      </w:pPr>
      <w:r>
        <w:rPr>
          <w:rtl/>
        </w:rPr>
        <w:t xml:space="preserve">בהתייחס לעונש המאסר על תנאי לתקופה של שנה התלוי ועומד, כאמור, כנגד הנאשם 1 במסגרת </w:t>
      </w:r>
      <w:hyperlink r:id="rId33" w:history="1">
        <w:r w:rsidR="00943CBE" w:rsidRPr="00943CBE">
          <w:rPr>
            <w:color w:val="0000FF"/>
            <w:u w:val="single"/>
            <w:rtl/>
          </w:rPr>
          <w:t>תיק פלילי 1184-08</w:t>
        </w:r>
      </w:hyperlink>
      <w:r>
        <w:rPr>
          <w:rtl/>
        </w:rPr>
        <w:t xml:space="preserve"> (חדרה) </w:t>
      </w:r>
      <w:r w:rsidR="003636B7" w:rsidRPr="003636B7">
        <w:rPr>
          <w:sz w:val="22"/>
          <w:rtl/>
        </w:rPr>
        <w:t xml:space="preserve">[פורסם בנבו] </w:t>
      </w:r>
      <w:r>
        <w:rPr>
          <w:rtl/>
        </w:rPr>
        <w:t>והינו חב הפעלה כיוון שהוארך לתקופה של שנתיים ביום 15/12/10 ב</w:t>
      </w:r>
      <w:hyperlink r:id="rId34" w:history="1">
        <w:r w:rsidR="00943CBE" w:rsidRPr="00943CBE">
          <w:rPr>
            <w:color w:val="0000FF"/>
            <w:u w:val="single"/>
            <w:rtl/>
          </w:rPr>
          <w:t>תיק פלילי 34008-05-10</w:t>
        </w:r>
      </w:hyperlink>
      <w:r>
        <w:rPr>
          <w:rtl/>
        </w:rPr>
        <w:t xml:space="preserve"> (אילת)</w:t>
      </w:r>
      <w:r w:rsidR="003636B7">
        <w:rPr>
          <w:rFonts w:hint="cs"/>
          <w:rtl/>
        </w:rPr>
        <w:t xml:space="preserve">, </w:t>
      </w:r>
      <w:r w:rsidR="003636B7" w:rsidRPr="003636B7">
        <w:rPr>
          <w:sz w:val="22"/>
          <w:rtl/>
        </w:rPr>
        <w:t>[פורסם בנבו]</w:t>
      </w:r>
      <w:r>
        <w:rPr>
          <w:rtl/>
        </w:rPr>
        <w:t xml:space="preserve">, עתרה ב"כ המאשימה להפעיל עונש מצטבר לעונש המאסר בפועל שיושת בטווח הענישה העליון עליו הוסכם, קרי 28 שנים לריצוי בפועל. </w:t>
      </w:r>
    </w:p>
    <w:p w14:paraId="4496AEFD" w14:textId="77777777" w:rsidR="00137958" w:rsidRDefault="00137958" w:rsidP="00403B47">
      <w:pPr>
        <w:spacing w:line="360" w:lineRule="auto"/>
        <w:jc w:val="both"/>
        <w:rPr>
          <w:rtl/>
        </w:rPr>
      </w:pPr>
    </w:p>
    <w:p w14:paraId="63C40596" w14:textId="77777777" w:rsidR="00137958" w:rsidRDefault="00137958" w:rsidP="00977D4C">
      <w:pPr>
        <w:spacing w:line="360" w:lineRule="auto"/>
        <w:jc w:val="both"/>
        <w:rPr>
          <w:rtl/>
        </w:rPr>
      </w:pPr>
      <w:r>
        <w:rPr>
          <w:rtl/>
        </w:rPr>
        <w:t xml:space="preserve">לעניין הפיצוי הכספי, הפנתה באת כח המאשימה להלכה לפיה בפסיקת פיצוי, אין להתחשב במצבו הכלכלי של הנאשם. גם כאשר בית המשפט מעריך שאין סיכוי רב שהנאשם ישלם את הפיצוי, אין בכך כדי למנוע את חיובו בתשלום לאור המישור הערכי, המוסרי ועל פי רוחו של </w:t>
      </w:r>
      <w:hyperlink r:id="rId35" w:history="1">
        <w:r w:rsidR="00943CBE" w:rsidRPr="00943CBE">
          <w:rPr>
            <w:color w:val="0000FF"/>
            <w:u w:val="single"/>
            <w:rtl/>
          </w:rPr>
          <w:t>חוק זכויות נפגעי עבירה</w:t>
        </w:r>
      </w:hyperlink>
      <w:r>
        <w:rPr>
          <w:rtl/>
        </w:rPr>
        <w:t>.</w:t>
      </w:r>
    </w:p>
    <w:p w14:paraId="721737FC" w14:textId="77777777" w:rsidR="00137958" w:rsidRDefault="00137958" w:rsidP="00403B47">
      <w:pPr>
        <w:spacing w:line="360" w:lineRule="auto"/>
        <w:jc w:val="both"/>
        <w:rPr>
          <w:rtl/>
        </w:rPr>
      </w:pPr>
    </w:p>
    <w:p w14:paraId="7FCBBF58" w14:textId="77777777" w:rsidR="00137958" w:rsidRDefault="00137958" w:rsidP="00403B47">
      <w:pPr>
        <w:spacing w:line="360" w:lineRule="auto"/>
        <w:jc w:val="both"/>
        <w:rPr>
          <w:rtl/>
        </w:rPr>
      </w:pPr>
    </w:p>
    <w:p w14:paraId="46789C76" w14:textId="77777777" w:rsidR="00137958" w:rsidRDefault="00137958" w:rsidP="00403B47">
      <w:pPr>
        <w:spacing w:line="360" w:lineRule="auto"/>
        <w:jc w:val="both"/>
        <w:rPr>
          <w:rtl/>
        </w:rPr>
      </w:pPr>
    </w:p>
    <w:p w14:paraId="1C1740B2" w14:textId="77777777" w:rsidR="00137958" w:rsidRDefault="00137958" w:rsidP="00977D4C">
      <w:pPr>
        <w:spacing w:line="360" w:lineRule="auto"/>
        <w:jc w:val="both"/>
        <w:rPr>
          <w:rtl/>
        </w:rPr>
      </w:pPr>
      <w:r>
        <w:rPr>
          <w:rtl/>
        </w:rPr>
        <w:t xml:space="preserve">בסיכומו של דבר, ביקשה באת כח המאשימה לגזור על הנאשמים מאסר בפועל ברף העליון של הסדר הטיעון, שיכלול עונש מירבי בגין עבירת ההריגה ועונש מאסר ממושך והולם, בנפרד, בגין  העבירות בנשק שירוצה במצטבר. ובהתייחס לנאשם 1 להפעיל את עונש המאסר על תנאי התלוי ועומד כנגדו, במצטבר למאסר שיוטל עליו בגין העבירות נשוא התיק שבפנינו וכן מאסר על תנאי ופיצוי מירבי למשפחת הקרבן. </w:t>
      </w:r>
    </w:p>
    <w:p w14:paraId="4319C0BC" w14:textId="77777777" w:rsidR="00137958" w:rsidRDefault="00137958" w:rsidP="00403B47">
      <w:pPr>
        <w:jc w:val="both"/>
        <w:rPr>
          <w:rtl/>
        </w:rPr>
      </w:pPr>
    </w:p>
    <w:p w14:paraId="4E03BE7E" w14:textId="77777777" w:rsidR="00137958" w:rsidRDefault="00137958" w:rsidP="00977D4C">
      <w:pPr>
        <w:spacing w:line="360" w:lineRule="auto"/>
        <w:jc w:val="both"/>
        <w:rPr>
          <w:rtl/>
        </w:rPr>
      </w:pPr>
      <w:r>
        <w:rPr>
          <w:b/>
          <w:bCs/>
          <w:rtl/>
        </w:rPr>
        <w:t xml:space="preserve">מנגד, </w:t>
      </w:r>
      <w:r>
        <w:rPr>
          <w:rtl/>
        </w:rPr>
        <w:t>באי כח הנאשמים טענו כל אשר יכלו דברי זכות למרשיהם תוך שפירטו בהרחבה את הרקע האישי והמשפחתי של כל אחד מהם, והדגשת המצוקה, הדלות והקשיים החברתיים והכלכליים בהם גדלו.</w:t>
      </w:r>
    </w:p>
    <w:p w14:paraId="00AFCB95" w14:textId="77777777" w:rsidR="00137958" w:rsidRDefault="00137958" w:rsidP="00403B47">
      <w:pPr>
        <w:jc w:val="both"/>
        <w:rPr>
          <w:rtl/>
        </w:rPr>
      </w:pPr>
    </w:p>
    <w:p w14:paraId="7321C481" w14:textId="77777777" w:rsidR="00137958" w:rsidRDefault="00137958" w:rsidP="00977D4C">
      <w:pPr>
        <w:spacing w:line="360" w:lineRule="auto"/>
        <w:jc w:val="both"/>
        <w:rPr>
          <w:rtl/>
        </w:rPr>
      </w:pPr>
      <w:r>
        <w:rPr>
          <w:b/>
          <w:bCs/>
          <w:rtl/>
        </w:rPr>
        <w:t>בא כח הנאשם מס' 1,</w:t>
      </w:r>
      <w:r>
        <w:rPr>
          <w:rtl/>
        </w:rPr>
        <w:t xml:space="preserve"> בטיעונים בעל פה ובכתב (ס/15), ציין את עובדת היות מרשו נשוי ואב לשני ילדים בגילאים 2 ו-4. את נסיבות חייו הגדיר כ"</w:t>
      </w:r>
      <w:r>
        <w:rPr>
          <w:rFonts w:cs="Miriam"/>
          <w:rtl/>
        </w:rPr>
        <w:t>בלתי פשוטות, וזאת בלשון המעטה</w:t>
      </w:r>
      <w:r>
        <w:rPr>
          <w:rtl/>
        </w:rPr>
        <w:t>", בציינו את עובדת גירושי הוריו בהיותו בן שנתיים, ניתוק הקשר עם אביו וגידולו על ידי אמו "</w:t>
      </w:r>
      <w:r>
        <w:rPr>
          <w:rFonts w:cs="Miriam"/>
          <w:rtl/>
        </w:rPr>
        <w:t>בדוחק, מחסור ועוני</w:t>
      </w:r>
      <w:r>
        <w:rPr>
          <w:rtl/>
        </w:rPr>
        <w:t xml:space="preserve">", והיותו נעדר צרכים בסיסיים חומריים כמו גם נעדר </w:t>
      </w:r>
      <w:r>
        <w:rPr>
          <w:rFonts w:cs="Miriam"/>
          <w:rtl/>
        </w:rPr>
        <w:t>"חום ומשפחתיות"</w:t>
      </w:r>
      <w:r>
        <w:rPr>
          <w:rtl/>
        </w:rPr>
        <w:t xml:space="preserve"> ותקופת נערותו תוך שהייה בפנימייה ובמקביל, עבודה בעבודות פיזיות קשות כדי לכלכל עצמו. </w:t>
      </w:r>
    </w:p>
    <w:p w14:paraId="717C7D9A" w14:textId="77777777" w:rsidR="00137958" w:rsidRDefault="00137958" w:rsidP="00977D4C">
      <w:pPr>
        <w:spacing w:line="360" w:lineRule="auto"/>
        <w:jc w:val="both"/>
        <w:rPr>
          <w:rtl/>
        </w:rPr>
      </w:pPr>
    </w:p>
    <w:p w14:paraId="4FEB622C" w14:textId="77777777" w:rsidR="00137958" w:rsidRDefault="00137958" w:rsidP="00977D4C">
      <w:pPr>
        <w:spacing w:line="360" w:lineRule="auto"/>
        <w:jc w:val="both"/>
        <w:rPr>
          <w:rtl/>
        </w:rPr>
      </w:pPr>
      <w:r>
        <w:rPr>
          <w:rtl/>
        </w:rPr>
        <w:t>עוד ציין בא כח הנאשם 1, את דבר שירותו הצבאי כלוחם במג"ב, סיום טירונות בהצטיינות ותרומה רבה במהלך שירותו הצבאי והוסיף את יציאתו לקורס במסגרת</w:t>
      </w:r>
      <w:r>
        <w:rPr>
          <w:rFonts w:cs="Miriam"/>
          <w:rtl/>
        </w:rPr>
        <w:t xml:space="preserve"> "סיירת מג"ב באגף לוט"ר"</w:t>
      </w:r>
      <w:r>
        <w:rPr>
          <w:rtl/>
        </w:rPr>
        <w:t xml:space="preserve"> אותו סיים בהצלחה, שירות כמפקד במג"ב בפלוגה לוחמת, קבלת תעודת הצטיינות בפעולה לתפיסתו של פעיל פח"ע. </w:t>
      </w:r>
    </w:p>
    <w:p w14:paraId="14221B1D" w14:textId="77777777" w:rsidR="00137958" w:rsidRDefault="00137958" w:rsidP="00977D4C">
      <w:pPr>
        <w:spacing w:line="360" w:lineRule="auto"/>
        <w:jc w:val="both"/>
        <w:rPr>
          <w:rtl/>
        </w:rPr>
      </w:pPr>
    </w:p>
    <w:p w14:paraId="7B76D4F0" w14:textId="77777777" w:rsidR="00137958" w:rsidRDefault="00137958" w:rsidP="00977D4C">
      <w:pPr>
        <w:spacing w:line="360" w:lineRule="auto"/>
        <w:jc w:val="both"/>
        <w:rPr>
          <w:rtl/>
        </w:rPr>
      </w:pPr>
      <w:r>
        <w:rPr>
          <w:rtl/>
        </w:rPr>
        <w:t xml:space="preserve">בהתייחס לנסיבות ביצוע העבירות על ידי הנאשם 1, ביקש בא כוחו להדגיש, וזאת מבלי להקל ראש בחומרת העבירות אותן ביצע, כי </w:t>
      </w:r>
      <w:r>
        <w:rPr>
          <w:rFonts w:cs="Miriam"/>
          <w:rtl/>
        </w:rPr>
        <w:t>"יש לקשור"</w:t>
      </w:r>
      <w:r>
        <w:rPr>
          <w:rtl/>
        </w:rPr>
        <w:t xml:space="preserve"> אותן באופן ישיר למסכת חייו הכללית,  נישואיו, קשייו הכלכליים ומעבר מקום מגוריו לעיר נהריה במטרה לבסס עסק אשר בדיעבד התברר ככישלון עסקי, ובהמשך, התחברותו ומעברו למגורים בבית הנאשם 2 אשר היווה עבורו תחילה </w:t>
      </w:r>
      <w:r>
        <w:rPr>
          <w:rFonts w:cs="Miriam"/>
          <w:rtl/>
        </w:rPr>
        <w:t>"מעין דמות תומכת"</w:t>
      </w:r>
      <w:r>
        <w:rPr>
          <w:rtl/>
        </w:rPr>
        <w:t xml:space="preserve"> ולאחר מכן התברר לנאשם 1 כי הלה אינו מנהל אורח חיים נורמטיבי.</w:t>
      </w:r>
    </w:p>
    <w:p w14:paraId="18D3FE3D" w14:textId="77777777" w:rsidR="00137958" w:rsidRDefault="00137958" w:rsidP="00977D4C">
      <w:pPr>
        <w:spacing w:line="360" w:lineRule="auto"/>
        <w:jc w:val="both"/>
        <w:rPr>
          <w:rtl/>
        </w:rPr>
      </w:pPr>
    </w:p>
    <w:p w14:paraId="17CD382A" w14:textId="77777777" w:rsidR="00137958" w:rsidRDefault="00137958" w:rsidP="00977D4C">
      <w:pPr>
        <w:spacing w:line="360" w:lineRule="auto"/>
        <w:jc w:val="both"/>
        <w:rPr>
          <w:rtl/>
        </w:rPr>
      </w:pPr>
      <w:r>
        <w:rPr>
          <w:rtl/>
        </w:rPr>
        <w:t>ב"כ הנאשם 1 הדגיש, כי מרשו נוטל אחריות מלאה לביצועה של העבירה בצוותא ומביע חרטה כנה למעשה, אך טען כי יש לאבחן בינו לבין הנאשם 2, אותו הגדיר כ</w:t>
      </w:r>
      <w:r>
        <w:rPr>
          <w:rFonts w:cs="Miriam"/>
          <w:rtl/>
        </w:rPr>
        <w:t>"הרוח החיה מאחורי המקרה"</w:t>
      </w:r>
      <w:r>
        <w:rPr>
          <w:rtl/>
        </w:rPr>
        <w:t xml:space="preserve">, ומשכך ביקש לגזור עליו עונש </w:t>
      </w:r>
      <w:r>
        <w:rPr>
          <w:rFonts w:cs="Miriam"/>
          <w:rtl/>
        </w:rPr>
        <w:t>"קל מזה שיוטל על הנאשם 2"</w:t>
      </w:r>
      <w:r>
        <w:rPr>
          <w:rtl/>
        </w:rPr>
        <w:t xml:space="preserve">. </w:t>
      </w:r>
    </w:p>
    <w:p w14:paraId="36F05A1B" w14:textId="77777777" w:rsidR="00137958" w:rsidRDefault="00137958" w:rsidP="00977D4C">
      <w:pPr>
        <w:spacing w:line="360" w:lineRule="auto"/>
        <w:jc w:val="both"/>
        <w:rPr>
          <w:rtl/>
        </w:rPr>
      </w:pPr>
    </w:p>
    <w:p w14:paraId="3DBD9626" w14:textId="77777777" w:rsidR="00137958" w:rsidRDefault="00137958" w:rsidP="00977D4C">
      <w:pPr>
        <w:spacing w:line="360" w:lineRule="auto"/>
        <w:jc w:val="both"/>
        <w:rPr>
          <w:rtl/>
        </w:rPr>
      </w:pPr>
      <w:r>
        <w:rPr>
          <w:rtl/>
        </w:rPr>
        <w:t xml:space="preserve">בנוסף לכך, הדגיש בא כח הנאשם 1 היבטים נוספים לקולא, בציינו את הסדר הטיעון אליו הגיעו באי כח הצדדים, חיסכון זמן שיפוטי, אורחות חייו של הנאשם עובר להסתבכותו בפלילים ורצונו להשתלב בכל תכנית שיקומית אשר תוצע לו במסגרת שירות בית הסוהר. </w:t>
      </w:r>
    </w:p>
    <w:p w14:paraId="2D360F91" w14:textId="77777777" w:rsidR="00137958" w:rsidRDefault="00137958" w:rsidP="00977D4C">
      <w:pPr>
        <w:spacing w:line="360" w:lineRule="auto"/>
        <w:jc w:val="both"/>
        <w:rPr>
          <w:rtl/>
        </w:rPr>
      </w:pPr>
      <w:r>
        <w:rPr>
          <w:rtl/>
        </w:rPr>
        <w:t xml:space="preserve">בסיכום טיעוניו ביקש בא כח הנאשם 1 לכבד את הסדר הטיעון באופן שייגזר על הנאשם עונש מאסר בפועל, ברף התחתון עליו הוסכם ולהפעיל את עונש המאסר המותנה התלוי ועומד נגדו בחופף לעונש זה. באשר לרכיב העונש הכספי, ביקש להימנע מהטלת סכומי קנס ופיצוי בשל מצבו הכספי הדחוק. </w:t>
      </w:r>
    </w:p>
    <w:p w14:paraId="0DFFE666" w14:textId="77777777" w:rsidR="00137958" w:rsidRDefault="00137958" w:rsidP="00977D4C">
      <w:pPr>
        <w:spacing w:line="360" w:lineRule="auto"/>
        <w:jc w:val="both"/>
        <w:rPr>
          <w:rtl/>
        </w:rPr>
      </w:pPr>
    </w:p>
    <w:p w14:paraId="2D369DCA" w14:textId="77777777" w:rsidR="00137958" w:rsidRDefault="00137958" w:rsidP="00977D4C">
      <w:pPr>
        <w:spacing w:line="360" w:lineRule="auto"/>
        <w:jc w:val="both"/>
        <w:rPr>
          <w:rtl/>
        </w:rPr>
      </w:pPr>
      <w:r>
        <w:rPr>
          <w:rtl/>
        </w:rPr>
        <w:t xml:space="preserve">בפתח טיעוניה לעונש התייחסה </w:t>
      </w:r>
      <w:r>
        <w:rPr>
          <w:b/>
          <w:bCs/>
          <w:rtl/>
        </w:rPr>
        <w:t>באת כח הנאשם מס' 2</w:t>
      </w:r>
      <w:r>
        <w:rPr>
          <w:rtl/>
        </w:rPr>
        <w:t>, לאמור בתסקיר הקרבן והביעה צער על אובדן משפחת הקרבן והבינה לכאבם, תוך שציינה כי זו אף עמדת הנאשם אותו היא מייצגת.</w:t>
      </w:r>
    </w:p>
    <w:p w14:paraId="235013D8" w14:textId="77777777" w:rsidR="00137958" w:rsidRDefault="00137958" w:rsidP="00977D4C">
      <w:pPr>
        <w:spacing w:line="360" w:lineRule="auto"/>
        <w:jc w:val="both"/>
        <w:rPr>
          <w:rtl/>
        </w:rPr>
      </w:pPr>
    </w:p>
    <w:p w14:paraId="5216078E" w14:textId="77777777" w:rsidR="00137958" w:rsidRDefault="00137958" w:rsidP="00977D4C">
      <w:pPr>
        <w:spacing w:line="360" w:lineRule="auto"/>
        <w:jc w:val="both"/>
        <w:rPr>
          <w:rtl/>
        </w:rPr>
      </w:pPr>
      <w:r>
        <w:rPr>
          <w:rtl/>
        </w:rPr>
        <w:t xml:space="preserve">אף באת כח הנאשם 2 ייחדה דברים לרקע האישי והמשפחתי של מרשה, תוך שציינה את התנאים הקשים בהם גדל. לדבריה </w:t>
      </w:r>
      <w:r>
        <w:rPr>
          <w:rFonts w:cs="Miriam"/>
          <w:rtl/>
        </w:rPr>
        <w:t>"לא הייתה לו אפילו הזדמנות אחת במהלך חייו עד למעצרו בכדי לנהל אורח חיים נורמטיבי"</w:t>
      </w:r>
      <w:r>
        <w:rPr>
          <w:rtl/>
        </w:rPr>
        <w:t xml:space="preserve">, וכבר בהיותו ילד צעיר, על סף גיל ההתבגרות,נקלע לסיטואציה </w:t>
      </w:r>
      <w:r>
        <w:rPr>
          <w:rFonts w:cs="Miriam"/>
          <w:rtl/>
        </w:rPr>
        <w:t>"בלתי אפשרית"</w:t>
      </w:r>
      <w:r>
        <w:rPr>
          <w:rtl/>
        </w:rPr>
        <w:t xml:space="preserve"> כהגדרתה, מבחינה  אישית, משפחתית וכלכלית, בסביבה שבה גדל. </w:t>
      </w:r>
    </w:p>
    <w:p w14:paraId="322CB45E" w14:textId="77777777" w:rsidR="00137958" w:rsidRDefault="00137958" w:rsidP="00173AE3">
      <w:pPr>
        <w:jc w:val="both"/>
        <w:rPr>
          <w:rtl/>
        </w:rPr>
      </w:pPr>
    </w:p>
    <w:p w14:paraId="7810558F" w14:textId="77777777" w:rsidR="00137958" w:rsidRDefault="00137958" w:rsidP="00977D4C">
      <w:pPr>
        <w:spacing w:line="360" w:lineRule="auto"/>
        <w:jc w:val="both"/>
        <w:rPr>
          <w:rtl/>
        </w:rPr>
      </w:pPr>
      <w:r>
        <w:rPr>
          <w:rtl/>
        </w:rPr>
        <w:t xml:space="preserve">עוד ציינה כי מעצרו כיום היווה עבורו </w:t>
      </w:r>
      <w:r>
        <w:rPr>
          <w:rFonts w:cs="Miriam"/>
          <w:rtl/>
        </w:rPr>
        <w:t>"הזדמנות בפעם הראשונה"</w:t>
      </w:r>
      <w:r>
        <w:rPr>
          <w:rtl/>
        </w:rPr>
        <w:t xml:space="preserve"> לנסות ולשקם חייו במסגרת שירות בית הסוהר תוך שהוא משתתף בחוגים, מנסה להשלים תעודת בגרות ואף מביע רצון ללמוד באוניברסיטה הפתוחה ובכך לשנות את אורח חייו. </w:t>
      </w:r>
    </w:p>
    <w:p w14:paraId="25AF3FDE" w14:textId="77777777" w:rsidR="00137958" w:rsidRDefault="00137958" w:rsidP="00173AE3">
      <w:pPr>
        <w:jc w:val="both"/>
        <w:rPr>
          <w:rtl/>
        </w:rPr>
      </w:pPr>
    </w:p>
    <w:p w14:paraId="4F31F74C" w14:textId="77777777" w:rsidR="00137958" w:rsidRDefault="00137958" w:rsidP="00977D4C">
      <w:pPr>
        <w:spacing w:line="360" w:lineRule="auto"/>
        <w:jc w:val="both"/>
        <w:rPr>
          <w:rtl/>
        </w:rPr>
      </w:pPr>
      <w:r>
        <w:rPr>
          <w:rtl/>
        </w:rPr>
        <w:t xml:space="preserve">זאת ועוד, באת כח הנאשם 2 טענה כי בין זה האחרון לבין המנוח היו </w:t>
      </w:r>
      <w:r>
        <w:rPr>
          <w:rFonts w:cs="Miriam"/>
          <w:rtl/>
        </w:rPr>
        <w:t>"יחסי חברות"</w:t>
      </w:r>
      <w:r>
        <w:rPr>
          <w:rtl/>
        </w:rPr>
        <w:t xml:space="preserve"> אשר השתבשו והתגלע סכסוך בינו לבין המנוח ומשפחתו, שהיה אלים ולווה בעימותים. </w:t>
      </w:r>
    </w:p>
    <w:p w14:paraId="4AE8FBAC" w14:textId="77777777" w:rsidR="00137958" w:rsidRDefault="00137958" w:rsidP="00173AE3">
      <w:pPr>
        <w:jc w:val="both"/>
        <w:rPr>
          <w:rtl/>
        </w:rPr>
      </w:pPr>
    </w:p>
    <w:p w14:paraId="670BBFE3" w14:textId="77777777" w:rsidR="00137958" w:rsidRDefault="00137958" w:rsidP="00977D4C">
      <w:pPr>
        <w:spacing w:line="360" w:lineRule="auto"/>
        <w:jc w:val="both"/>
        <w:rPr>
          <w:rtl/>
        </w:rPr>
      </w:pPr>
      <w:r>
        <w:rPr>
          <w:rtl/>
        </w:rPr>
        <w:t xml:space="preserve">באשר למערכת יחסיו של הנאשם 2 עם חבריו בכלל, ועם חבריו לכתב האישום בפרט, טענה כי אופיינה בקשר הקרבה עד כי הוא היה זה שנתן לנאשם 3, אשר לא היתה לו קורת גג, ללון בביתו וכך גם היה בעניינו של הנאשם מס' 1 אשר נקלע לחובות ואף אותו ואת משפחתו "אסף" לביתו. </w:t>
      </w:r>
    </w:p>
    <w:p w14:paraId="48CD4F77" w14:textId="77777777" w:rsidR="00137958" w:rsidRDefault="00137958" w:rsidP="00977D4C">
      <w:pPr>
        <w:spacing w:line="360" w:lineRule="auto"/>
        <w:jc w:val="both"/>
        <w:rPr>
          <w:rtl/>
        </w:rPr>
      </w:pPr>
    </w:p>
    <w:p w14:paraId="076E6692" w14:textId="77777777" w:rsidR="00137958" w:rsidRDefault="00137958" w:rsidP="00977D4C">
      <w:pPr>
        <w:spacing w:line="360" w:lineRule="auto"/>
        <w:jc w:val="both"/>
        <w:rPr>
          <w:rtl/>
        </w:rPr>
      </w:pPr>
      <w:r>
        <w:rPr>
          <w:rtl/>
        </w:rPr>
        <w:t xml:space="preserve">לעניין מצבו דהיום של הנאשם 2, טענה באת כוחו, כי הינו נשוי וכי רעייתו נמצאת בשלבי </w:t>
      </w:r>
      <w:r>
        <w:rPr>
          <w:rFonts w:cs="Miriam"/>
          <w:rtl/>
        </w:rPr>
        <w:t>הריון קריטיים</w:t>
      </w:r>
      <w:r>
        <w:rPr>
          <w:rtl/>
        </w:rPr>
        <w:t xml:space="preserve"> ומאושפזת בבית חולים מחשש לרעלת הריון. </w:t>
      </w:r>
    </w:p>
    <w:p w14:paraId="31619674" w14:textId="77777777" w:rsidR="00137958" w:rsidRDefault="00137958" w:rsidP="00977D4C">
      <w:pPr>
        <w:spacing w:line="360" w:lineRule="auto"/>
        <w:jc w:val="both"/>
        <w:rPr>
          <w:rtl/>
        </w:rPr>
      </w:pPr>
    </w:p>
    <w:p w14:paraId="07D5A873" w14:textId="77777777" w:rsidR="00137958" w:rsidRDefault="00137958" w:rsidP="000B1E98">
      <w:pPr>
        <w:spacing w:line="360" w:lineRule="auto"/>
        <w:jc w:val="both"/>
        <w:rPr>
          <w:rtl/>
        </w:rPr>
      </w:pPr>
      <w:r>
        <w:rPr>
          <w:rtl/>
        </w:rPr>
        <w:t xml:space="preserve">בנוסף לאמור לעיל, ומבלי להתנער מהאמור בכתב האישום ומטיעוני באת כח המאשימה באשר להכנה, תכנון ושאר העובדות בהן הודה מרשה, ביקשה ליתן משקל לעובדת הימצאו של המנוח יחד עם אחר, בסמוך לשעה 01:00, מצויידים בסכין, את קיומו של סכסוך קודם שלווה, כאמור, בעימותים אלימים, שהתנהל בסמוך לאירוע נשוא כתב האישום, ואת הימצאו של כובע גרב ועליו ממצאי פרופיל דנ"א של המנוח. </w:t>
      </w:r>
    </w:p>
    <w:p w14:paraId="2AAC021F" w14:textId="77777777" w:rsidR="00137958" w:rsidRDefault="00137958" w:rsidP="00977D4C">
      <w:pPr>
        <w:spacing w:line="360" w:lineRule="auto"/>
        <w:jc w:val="both"/>
        <w:rPr>
          <w:rtl/>
        </w:rPr>
      </w:pPr>
    </w:p>
    <w:p w14:paraId="23DA1789" w14:textId="77777777" w:rsidR="00137958" w:rsidRDefault="00137958" w:rsidP="00977D4C">
      <w:pPr>
        <w:spacing w:line="360" w:lineRule="auto"/>
        <w:jc w:val="both"/>
        <w:rPr>
          <w:rtl/>
        </w:rPr>
      </w:pPr>
      <w:r>
        <w:rPr>
          <w:rtl/>
        </w:rPr>
        <w:t>אף באת כח נאשם זה ציינה היבטים לקולא בעניינו של מרשה, בכלל זה</w:t>
      </w:r>
      <w:r w:rsidR="003636B7">
        <w:rPr>
          <w:rFonts w:hint="cs"/>
          <w:rtl/>
        </w:rPr>
        <w:t xml:space="preserve"> </w:t>
      </w:r>
      <w:r>
        <w:rPr>
          <w:rtl/>
        </w:rPr>
        <w:t xml:space="preserve">הודייתו, חיסכון הזמן השיפוטי, הבעת הצער והחרטה והשינוי אותו הוא מבקש לערוך באורחות חייו. </w:t>
      </w:r>
    </w:p>
    <w:p w14:paraId="00C5A60F" w14:textId="77777777" w:rsidR="00137958" w:rsidRDefault="00137958" w:rsidP="00977D4C">
      <w:pPr>
        <w:spacing w:line="360" w:lineRule="auto"/>
        <w:jc w:val="both"/>
        <w:rPr>
          <w:rtl/>
        </w:rPr>
      </w:pPr>
    </w:p>
    <w:p w14:paraId="39804546" w14:textId="77777777" w:rsidR="00137958" w:rsidRDefault="00137958" w:rsidP="00977D4C">
      <w:pPr>
        <w:spacing w:line="360" w:lineRule="auto"/>
        <w:jc w:val="both"/>
        <w:rPr>
          <w:rFonts w:cs="Miriam"/>
          <w:rtl/>
        </w:rPr>
      </w:pPr>
      <w:r>
        <w:rPr>
          <w:rtl/>
        </w:rPr>
        <w:t xml:space="preserve">באת כח הנאשם 2 ביקשה כי בית המשפט יתייחס למכלול כאירוע אחד ויגזור עונש כולל לכל העבירות שבאותו אירוע, אותו הגדירה כאירוע מתמשך. זהות המעורבים מוגדרת ולוח הזמנים, כלשונה, </w:t>
      </w:r>
      <w:r>
        <w:rPr>
          <w:rFonts w:cs="Miriam"/>
          <w:rtl/>
        </w:rPr>
        <w:t xml:space="preserve">"...מצומצם על פני תקופה מוגבלת, העבירות קשורות אחת בשנייה ומשלימות אחת את השנייה ואין לראות באירוע שורה של עבירות נפרדות". </w:t>
      </w:r>
    </w:p>
    <w:p w14:paraId="08EE4E46" w14:textId="77777777" w:rsidR="00137958" w:rsidRDefault="00137958" w:rsidP="00977D4C">
      <w:pPr>
        <w:spacing w:line="360" w:lineRule="auto"/>
        <w:jc w:val="both"/>
        <w:rPr>
          <w:rtl/>
        </w:rPr>
      </w:pPr>
    </w:p>
    <w:p w14:paraId="393D8914" w14:textId="77777777" w:rsidR="00137958" w:rsidRDefault="00137958" w:rsidP="00977D4C">
      <w:pPr>
        <w:spacing w:line="360" w:lineRule="auto"/>
        <w:jc w:val="both"/>
        <w:rPr>
          <w:rtl/>
        </w:rPr>
      </w:pPr>
      <w:r>
        <w:rPr>
          <w:rtl/>
        </w:rPr>
        <w:t xml:space="preserve">סיכומו של דבר, ביקשה הסניגורית לגזור על הנאשם 2 את הרף התחתון בהסדר וכן להימנע מהטלת פיצוי כספי. </w:t>
      </w:r>
    </w:p>
    <w:p w14:paraId="08C0A035" w14:textId="77777777" w:rsidR="00137958" w:rsidRDefault="00137958" w:rsidP="00977D4C">
      <w:pPr>
        <w:spacing w:line="360" w:lineRule="auto"/>
        <w:jc w:val="both"/>
        <w:rPr>
          <w:rtl/>
        </w:rPr>
      </w:pPr>
    </w:p>
    <w:p w14:paraId="60CEBFDC" w14:textId="77777777" w:rsidR="00137958" w:rsidRDefault="00137958" w:rsidP="00977D4C">
      <w:pPr>
        <w:spacing w:line="360" w:lineRule="auto"/>
        <w:jc w:val="both"/>
        <w:rPr>
          <w:rtl/>
        </w:rPr>
      </w:pPr>
      <w:r>
        <w:rPr>
          <w:b/>
          <w:bCs/>
          <w:rtl/>
        </w:rPr>
        <w:t xml:space="preserve">באת כח הנאשם מס' 3 </w:t>
      </w:r>
      <w:r>
        <w:rPr>
          <w:rtl/>
        </w:rPr>
        <w:t xml:space="preserve">עמדה בטיעוניה לעונש על מכלול הפרקים ברקע האישי והמשפחתי של הנאשם, כפי שבאו לידי ביטוי בראיות לעונש מטעמו, תוך שציינה את גילו הצעיר (כיום בן 21 </w:t>
      </w:r>
      <w:r>
        <w:rPr>
          <w:rtl/>
        </w:rPr>
        <w:br/>
        <w:t>ו-3.5 חודשים), היותו בן למשפחה לבנונית מדרום לבנון, שעם יציאת צה"ל מלבנון, הורשתה לעבור לישראל, בהיות אבי המשפחה חייל צד"ל ובהיות הנאשם בן 5 בלבד.</w:t>
      </w:r>
    </w:p>
    <w:p w14:paraId="76A33402" w14:textId="77777777" w:rsidR="00137958" w:rsidRDefault="00137958" w:rsidP="00977D4C">
      <w:pPr>
        <w:spacing w:line="360" w:lineRule="auto"/>
        <w:jc w:val="both"/>
        <w:rPr>
          <w:rtl/>
        </w:rPr>
      </w:pPr>
    </w:p>
    <w:p w14:paraId="6E0F2FCD" w14:textId="77777777" w:rsidR="00137958" w:rsidRDefault="00137958" w:rsidP="00977D4C">
      <w:pPr>
        <w:spacing w:line="360" w:lineRule="auto"/>
        <w:jc w:val="both"/>
        <w:rPr>
          <w:rtl/>
        </w:rPr>
      </w:pPr>
      <w:r>
        <w:rPr>
          <w:rtl/>
        </w:rPr>
        <w:t xml:space="preserve">מבלי לשוב ולפרט את מכלול הפרטים שאף צויינו לעיל, נטען כי אבי המשפחה היה אדם נוקשה ואלים אשר הפעיל אלימות קשה כלפי בני משפחתו, בכללם הנאשם, ואף נכלא בעקבות כך. </w:t>
      </w:r>
    </w:p>
    <w:p w14:paraId="57A9CE12" w14:textId="77777777" w:rsidR="00137958" w:rsidRDefault="00137958" w:rsidP="00977D4C">
      <w:pPr>
        <w:spacing w:line="360" w:lineRule="auto"/>
        <w:jc w:val="both"/>
        <w:rPr>
          <w:rtl/>
        </w:rPr>
      </w:pPr>
    </w:p>
    <w:p w14:paraId="28537975" w14:textId="77777777" w:rsidR="00137958" w:rsidRDefault="00137958" w:rsidP="00977D4C">
      <w:pPr>
        <w:spacing w:line="360" w:lineRule="auto"/>
        <w:jc w:val="both"/>
        <w:rPr>
          <w:rtl/>
        </w:rPr>
      </w:pPr>
      <w:r>
        <w:rPr>
          <w:rtl/>
        </w:rPr>
        <w:t xml:space="preserve">עוד ציינה באת כח הנאשם 3 את דבר התחברותו לחבורת נערי רחוב, הסתבכותו בעבירות רכוש, הוצאתו מהבית והכנסתו למעון נעול, שם נפל קרבן לעבירה שבוצעה בו, המשך חייו בנערותו ובבחרותו, סילוקו מהבית והיותו </w:t>
      </w:r>
      <w:r>
        <w:rPr>
          <w:rFonts w:cs="Miriam"/>
          <w:rtl/>
        </w:rPr>
        <w:t>"הומלס"</w:t>
      </w:r>
      <w:r>
        <w:rPr>
          <w:rtl/>
        </w:rPr>
        <w:t xml:space="preserve"> הישן בגנים ציבוריים אשר נאסף על ידי הנאשם 2 לביתו מהרחוב, שם התגורר מספר חודשים. </w:t>
      </w:r>
    </w:p>
    <w:p w14:paraId="25674D14" w14:textId="77777777" w:rsidR="00137958" w:rsidRDefault="00137958" w:rsidP="00977D4C">
      <w:pPr>
        <w:spacing w:line="360" w:lineRule="auto"/>
        <w:jc w:val="both"/>
        <w:rPr>
          <w:rtl/>
        </w:rPr>
      </w:pPr>
    </w:p>
    <w:p w14:paraId="0704CE5D" w14:textId="77777777" w:rsidR="00137958" w:rsidRDefault="00137958" w:rsidP="00977D4C">
      <w:pPr>
        <w:spacing w:line="360" w:lineRule="auto"/>
        <w:jc w:val="both"/>
        <w:rPr>
          <w:rtl/>
        </w:rPr>
      </w:pPr>
      <w:r>
        <w:rPr>
          <w:rtl/>
        </w:rPr>
        <w:t xml:space="preserve">אף באת כוחו של נאשם זה טענה כי המנוח היה זה שהגיע בסמוך לבית הנאשם 2 באישון לילה, בלוויית אדם נוסף, ציינה את הימצאותו של סכין במקום וטענה למשתמע מכך, וכלשונה </w:t>
      </w:r>
      <w:r>
        <w:rPr>
          <w:rFonts w:cs="Miriam"/>
          <w:rtl/>
        </w:rPr>
        <w:t>"המסקנה ההגיונית היחידה שניתן להסיק מכך, היא שבואם של השניים לא היה למטרות חברתיות כשרות גרידא"</w:t>
      </w:r>
      <w:r>
        <w:rPr>
          <w:rtl/>
        </w:rPr>
        <w:t xml:space="preserve">. </w:t>
      </w:r>
    </w:p>
    <w:p w14:paraId="5E6D6DF2" w14:textId="77777777" w:rsidR="00137958" w:rsidRDefault="00137958" w:rsidP="00977D4C">
      <w:pPr>
        <w:spacing w:line="360" w:lineRule="auto"/>
        <w:jc w:val="both"/>
        <w:rPr>
          <w:rtl/>
        </w:rPr>
      </w:pPr>
    </w:p>
    <w:p w14:paraId="271FC48B" w14:textId="77777777" w:rsidR="00137958" w:rsidRDefault="00137958" w:rsidP="00977D4C">
      <w:pPr>
        <w:spacing w:line="360" w:lineRule="auto"/>
        <w:jc w:val="both"/>
        <w:rPr>
          <w:rtl/>
        </w:rPr>
      </w:pPr>
      <w:r>
        <w:rPr>
          <w:rtl/>
        </w:rPr>
        <w:t xml:space="preserve">לשיטת באת כח הנאשם 3, יש לראות את שלוש העבירות בהן הורשע הנאשם כעבירות המהווה אירוע אחד אשר יש לקבוע לגביו מתחם ענישה אחד ולקבוע לו עונש אחד ברף התחתון של מתחם הענישה שהוסכם עליו, קרי 18 שנות מאסר בפועל, אשר אף אותו הגדירה כעונש כבד מאוד. לנוכח גילו הצעיר, נתוניו האישיים, נסיבות חייו, ביקשה להימנע מקנס כספי. </w:t>
      </w:r>
    </w:p>
    <w:p w14:paraId="08C3C3FE" w14:textId="77777777" w:rsidR="00137958" w:rsidRDefault="00137958" w:rsidP="00173AE3">
      <w:pPr>
        <w:jc w:val="both"/>
        <w:rPr>
          <w:rtl/>
        </w:rPr>
      </w:pPr>
      <w:r>
        <w:rPr>
          <w:rtl/>
        </w:rPr>
        <w:t xml:space="preserve">הנאשמים, בדברם האחרון לבית המשפט, ציינו כל אחד בתורו כדלקמן: </w:t>
      </w:r>
    </w:p>
    <w:p w14:paraId="5942A34A" w14:textId="77777777" w:rsidR="00137958" w:rsidRDefault="00137958" w:rsidP="00173AE3">
      <w:pPr>
        <w:jc w:val="both"/>
        <w:rPr>
          <w:rtl/>
        </w:rPr>
      </w:pPr>
    </w:p>
    <w:p w14:paraId="6C7F3AAD" w14:textId="77777777" w:rsidR="00137958" w:rsidRDefault="00137958" w:rsidP="00977D4C">
      <w:pPr>
        <w:spacing w:line="360" w:lineRule="auto"/>
        <w:jc w:val="both"/>
        <w:rPr>
          <w:rtl/>
        </w:rPr>
      </w:pPr>
      <w:r>
        <w:rPr>
          <w:b/>
          <w:bCs/>
          <w:rtl/>
        </w:rPr>
        <w:t xml:space="preserve">הנאשם 1 </w:t>
      </w:r>
      <w:r>
        <w:rPr>
          <w:rtl/>
        </w:rPr>
        <w:t xml:space="preserve">ציין כי הוא מבקש לנצל את ההזדמנות להביע חרטה ולבקש מחילה בפני משפחת המנוח וטען כי הוא מצטער </w:t>
      </w:r>
      <w:r>
        <w:rPr>
          <w:rFonts w:cs="Miriam"/>
          <w:rtl/>
        </w:rPr>
        <w:t>"על המקרה שקרה, הלוואי והייתי יכול להחזיר את הגלגל לאחור"</w:t>
      </w:r>
      <w:r>
        <w:rPr>
          <w:rtl/>
        </w:rPr>
        <w:t>.</w:t>
      </w:r>
    </w:p>
    <w:p w14:paraId="67FAF528" w14:textId="77777777" w:rsidR="00137958" w:rsidRDefault="00137958" w:rsidP="00173AE3">
      <w:pPr>
        <w:jc w:val="both"/>
        <w:rPr>
          <w:rtl/>
        </w:rPr>
      </w:pPr>
    </w:p>
    <w:p w14:paraId="219BF88B" w14:textId="77777777" w:rsidR="00137958" w:rsidRDefault="00137958" w:rsidP="00977D4C">
      <w:pPr>
        <w:spacing w:line="360" w:lineRule="auto"/>
        <w:jc w:val="both"/>
        <w:rPr>
          <w:rtl/>
        </w:rPr>
      </w:pPr>
      <w:r>
        <w:rPr>
          <w:rtl/>
        </w:rPr>
        <w:t xml:space="preserve">עוד טען נאשם זה כי כל חייו שאף לחיים נורמטיביים למרות הקשיים של מציאות חייו, שאיפתו להיכנס למסגרת שיקומית במהלך שהייתו במאסר על מנת להיות ראוי לחזור למשפחתו, להוות אדם ומודל לחיקוי חיובי בעיני ילדיו ורעייתו. </w:t>
      </w:r>
    </w:p>
    <w:p w14:paraId="779AAD62" w14:textId="77777777" w:rsidR="00137958" w:rsidRDefault="00137958" w:rsidP="00173AE3">
      <w:pPr>
        <w:jc w:val="both"/>
        <w:rPr>
          <w:rtl/>
        </w:rPr>
      </w:pPr>
    </w:p>
    <w:p w14:paraId="03FA6DFC" w14:textId="77777777" w:rsidR="00137958" w:rsidRDefault="00137958" w:rsidP="000B1E98">
      <w:pPr>
        <w:spacing w:line="360" w:lineRule="auto"/>
        <w:jc w:val="both"/>
        <w:rPr>
          <w:rtl/>
        </w:rPr>
      </w:pPr>
      <w:r>
        <w:rPr>
          <w:b/>
          <w:bCs/>
          <w:rtl/>
        </w:rPr>
        <w:t xml:space="preserve">הנאשם 2 </w:t>
      </w:r>
      <w:r>
        <w:rPr>
          <w:rtl/>
        </w:rPr>
        <w:t xml:space="preserve">פנהאף הוא למשפחת המנוח, התנצל בפניהם, ביקש סליחתם, הביע חרטה וטען כי </w:t>
      </w:r>
      <w:r>
        <w:rPr>
          <w:rFonts w:cs="Miriam"/>
          <w:rtl/>
        </w:rPr>
        <w:t>"בסופו של דבר המנוח היה חבר שלי"</w:t>
      </w:r>
      <w:r>
        <w:rPr>
          <w:rtl/>
        </w:rPr>
        <w:t xml:space="preserve">, הזכיר את דבר קיומו של סכסוך עם המנוח ומשפחתו ובואו בשעת לילה מאוחרת בסמוך לביתו. </w:t>
      </w:r>
    </w:p>
    <w:p w14:paraId="395A06E2" w14:textId="77777777" w:rsidR="00137958" w:rsidRDefault="00137958" w:rsidP="00173AE3">
      <w:pPr>
        <w:jc w:val="both"/>
        <w:rPr>
          <w:rtl/>
        </w:rPr>
      </w:pPr>
    </w:p>
    <w:p w14:paraId="4DC6D7A1" w14:textId="77777777" w:rsidR="00137958" w:rsidRDefault="00137958" w:rsidP="00977D4C">
      <w:pPr>
        <w:spacing w:line="360" w:lineRule="auto"/>
        <w:jc w:val="both"/>
        <w:rPr>
          <w:rtl/>
        </w:rPr>
      </w:pPr>
      <w:r>
        <w:rPr>
          <w:rtl/>
        </w:rPr>
        <w:t xml:space="preserve">אף נאשם זה ביקש ליתן לו הזדמנות לשקם עצמו בהדגישו את דבר נישואיו והריונה של רעייתו. </w:t>
      </w:r>
    </w:p>
    <w:p w14:paraId="604B18EC" w14:textId="77777777" w:rsidR="00137958" w:rsidRDefault="00137958" w:rsidP="000B1E98">
      <w:pPr>
        <w:jc w:val="both"/>
        <w:rPr>
          <w:rtl/>
        </w:rPr>
      </w:pPr>
    </w:p>
    <w:p w14:paraId="3C0802FB" w14:textId="77777777" w:rsidR="00137958" w:rsidRDefault="00137958" w:rsidP="00977D4C">
      <w:pPr>
        <w:spacing w:line="360" w:lineRule="auto"/>
        <w:jc w:val="both"/>
        <w:rPr>
          <w:rtl/>
        </w:rPr>
      </w:pPr>
      <w:r>
        <w:rPr>
          <w:b/>
          <w:bCs/>
          <w:rtl/>
        </w:rPr>
        <w:t xml:space="preserve">הנאשם 3 </w:t>
      </w:r>
      <w:r>
        <w:rPr>
          <w:rtl/>
        </w:rPr>
        <w:t>בדבריו הדגיש את ילדותו הקשה, הסתבכותו בפלילים וטען כי לא היה מי שידריך אותו ויפנה אותו לדרך היישר. הנאשם 3, כשני חבריו, הביע חרטה, התנצל בפני משפחת המנוח וביקש ליתן לו אפשרות לשקם עצמו, להפנותו לבית סוהר שיקומי ובלשונו "</w:t>
      </w:r>
      <w:r>
        <w:rPr>
          <w:rFonts w:cs="Miriam"/>
          <w:rtl/>
        </w:rPr>
        <w:t>יש לי עוד דרך ארוכה, ולא ראיתי כלום מהחיים שלי</w:t>
      </w:r>
      <w:r>
        <w:rPr>
          <w:rtl/>
        </w:rPr>
        <w:t xml:space="preserve">". </w:t>
      </w:r>
    </w:p>
    <w:p w14:paraId="1A672A95" w14:textId="77777777" w:rsidR="00137958" w:rsidRDefault="00137958" w:rsidP="00173AE3">
      <w:pPr>
        <w:jc w:val="both"/>
        <w:rPr>
          <w:rtl/>
        </w:rPr>
      </w:pPr>
    </w:p>
    <w:p w14:paraId="02D94FFA" w14:textId="77777777" w:rsidR="00137958" w:rsidRDefault="00137958" w:rsidP="00173AE3">
      <w:pPr>
        <w:jc w:val="both"/>
        <w:rPr>
          <w:rtl/>
        </w:rPr>
      </w:pPr>
      <w:r>
        <w:rPr>
          <w:rtl/>
        </w:rPr>
        <w:t>ו.</w:t>
      </w:r>
      <w:r>
        <w:rPr>
          <w:rtl/>
        </w:rPr>
        <w:tab/>
      </w:r>
      <w:r>
        <w:rPr>
          <w:b/>
          <w:bCs/>
          <w:u w:val="single"/>
          <w:rtl/>
        </w:rPr>
        <w:t>דיון והכרעה</w:t>
      </w:r>
    </w:p>
    <w:p w14:paraId="65DDE5FC" w14:textId="77777777" w:rsidR="00137958" w:rsidRDefault="00137958" w:rsidP="00173AE3">
      <w:pPr>
        <w:jc w:val="both"/>
        <w:rPr>
          <w:rtl/>
        </w:rPr>
      </w:pPr>
    </w:p>
    <w:p w14:paraId="0CCCEF49" w14:textId="77777777" w:rsidR="00137958" w:rsidRDefault="00137958" w:rsidP="00977D4C">
      <w:pPr>
        <w:spacing w:line="360" w:lineRule="auto"/>
        <w:jc w:val="both"/>
        <w:rPr>
          <w:rtl/>
        </w:rPr>
      </w:pPr>
      <w:r>
        <w:rPr>
          <w:rtl/>
        </w:rPr>
        <w:t>שמענו בהרחבה את טיעוני ב"כ הצדדים. ב"כ המאשימה הפנתה למכלול שיקולים לחומרה וביקשה לגזור על הנאשמים את הרף העליון שבטווח הענישה עליו הוסכם במסגרת הסדר הטיעון; ומנגד, ב"כ הנאשמים הפנו לנימוקים לקולא ומתוך כך, ביקשו לגזור על הנאשמים את הרף התחתון שנקבע במסגרת הסדר הטיעון.</w:t>
      </w:r>
    </w:p>
    <w:p w14:paraId="2D047BDE" w14:textId="77777777" w:rsidR="00137958" w:rsidRDefault="00137958" w:rsidP="00977D4C">
      <w:pPr>
        <w:spacing w:line="360" w:lineRule="auto"/>
        <w:jc w:val="both"/>
        <w:rPr>
          <w:rtl/>
        </w:rPr>
      </w:pPr>
    </w:p>
    <w:p w14:paraId="2010BDE8" w14:textId="77777777" w:rsidR="00137958" w:rsidRDefault="00137958" w:rsidP="00977D4C">
      <w:pPr>
        <w:spacing w:line="360" w:lineRule="auto"/>
        <w:jc w:val="both"/>
        <w:rPr>
          <w:rtl/>
        </w:rPr>
      </w:pPr>
      <w:r>
        <w:rPr>
          <w:rtl/>
        </w:rPr>
        <w:t xml:space="preserve">עוד ייאמר, כי בפתח טיעוניה לעונש נימקה בפנינו באת כח המאשימה את הנימוקים שבבסיס ההגעה להסדר הטיעון, תוך שציינה כי ההסדר נערך לאחר שנשקלו בכובד ראש הראיות הלכאוריות אשר בידי המאשימה וכי הסדר זה, נעשה על דעת משפחת המנוח. </w:t>
      </w:r>
    </w:p>
    <w:p w14:paraId="3D5220FB" w14:textId="77777777" w:rsidR="00137958" w:rsidRDefault="00137958" w:rsidP="00173AE3">
      <w:pPr>
        <w:jc w:val="both"/>
        <w:rPr>
          <w:rtl/>
        </w:rPr>
      </w:pPr>
    </w:p>
    <w:p w14:paraId="12C823C3" w14:textId="77777777" w:rsidR="00137958" w:rsidRDefault="00137958" w:rsidP="00977D4C">
      <w:pPr>
        <w:spacing w:line="360" w:lineRule="auto"/>
        <w:jc w:val="both"/>
        <w:rPr>
          <w:rtl/>
        </w:rPr>
      </w:pPr>
      <w:r>
        <w:rPr>
          <w:rtl/>
        </w:rPr>
        <w:t>זאת ועוד, הדגישה באת כח המאשימה, כי ההסדר נערך מטעמים ראייתיים ובכללם שאלת זהות היורה במנוח, וזאת על-פי החומר הראייתי אשר היה מצוי בידה עם תחילת משפטם של הנאשמים, ואף בהמשך לנוכח גרסאותיהם המאוחרות (במהלך המשפט) של הנאשמים 2 ו- 3, ובמיוחד גרסתו המאוחרת של נאשם 2 אשר לאור תוכנה, מבחניה הפנימיים והחיצוניים, עיתויה וגרסאותיו המוקדמות והמאוחרות לה, לרבות במהלך החקירה, לא היה בה כדי לשנות מהשיקולים שהצדיקו את עריכת ההסדר.</w:t>
      </w:r>
    </w:p>
    <w:p w14:paraId="2310BCDE" w14:textId="77777777" w:rsidR="00137958" w:rsidRDefault="00137958" w:rsidP="00977D4C">
      <w:pPr>
        <w:spacing w:line="360" w:lineRule="auto"/>
        <w:jc w:val="both"/>
        <w:rPr>
          <w:rtl/>
        </w:rPr>
      </w:pPr>
      <w:r>
        <w:rPr>
          <w:rtl/>
        </w:rPr>
        <w:t>חומרת מעשי הנאשמים עולה בבירור מהמסכת העובדתית שבכתב האישום כפי שפורטה על ידינו בהרחבה.</w:t>
      </w:r>
    </w:p>
    <w:p w14:paraId="542A5FFF" w14:textId="77777777" w:rsidR="00137958" w:rsidRDefault="00137958" w:rsidP="00977D4C">
      <w:pPr>
        <w:spacing w:line="360" w:lineRule="auto"/>
        <w:jc w:val="both"/>
        <w:rPr>
          <w:rtl/>
        </w:rPr>
      </w:pPr>
    </w:p>
    <w:p w14:paraId="78B1A12F" w14:textId="77777777" w:rsidR="00137958" w:rsidRDefault="00137958" w:rsidP="00977D4C">
      <w:pPr>
        <w:spacing w:line="360" w:lineRule="auto"/>
        <w:jc w:val="both"/>
        <w:rPr>
          <w:rtl/>
        </w:rPr>
      </w:pPr>
      <w:r>
        <w:rPr>
          <w:rtl/>
        </w:rPr>
        <w:t xml:space="preserve">על כך יש להוסיף, כי ההגעה להסדר הייתה לאחר שמיעת מרבית פרשת ראיות המאשימה ומשכך, נחשפנו לראיות אשר יש בהן כדי לבטא את החומרה הרבה שבמעשי הנאשמים, התארגנותם כחבורה תוך הצטיידות בנשק חם, אחזקתו שלא כדין ועשיית שימוש בו בליל האירוע, נשוא כתב האישום, לשם קטילת המנוח. </w:t>
      </w:r>
    </w:p>
    <w:p w14:paraId="51818953" w14:textId="77777777" w:rsidR="00137958" w:rsidRDefault="00137958" w:rsidP="004D1DFC">
      <w:pPr>
        <w:jc w:val="both"/>
        <w:rPr>
          <w:rtl/>
        </w:rPr>
      </w:pPr>
    </w:p>
    <w:p w14:paraId="717E1BBA" w14:textId="77777777" w:rsidR="00137958" w:rsidRDefault="00137958" w:rsidP="00977D4C">
      <w:pPr>
        <w:spacing w:line="360" w:lineRule="auto"/>
        <w:jc w:val="both"/>
        <w:rPr>
          <w:rtl/>
        </w:rPr>
      </w:pPr>
      <w:r>
        <w:rPr>
          <w:rtl/>
        </w:rPr>
        <w:t>אמנם, כאמור, הניחו בפנינו הצדדים הסדר טיעון, ואולם, אין בכך כדי לפטור אותנו מלבחון את עניינם של הנאשמים על פי האמור בתיקון 113 ל</w:t>
      </w:r>
      <w:hyperlink r:id="rId36" w:history="1">
        <w:r w:rsidR="00943CBE" w:rsidRPr="00943CBE">
          <w:rPr>
            <w:color w:val="0000FF"/>
            <w:u w:val="single"/>
            <w:rtl/>
          </w:rPr>
          <w:t>חוק העונשין</w:t>
        </w:r>
      </w:hyperlink>
      <w:r>
        <w:rPr>
          <w:rtl/>
        </w:rPr>
        <w:t xml:space="preserve">, שעניינו </w:t>
      </w:r>
      <w:r>
        <w:rPr>
          <w:rFonts w:cs="Miriam"/>
          <w:rtl/>
        </w:rPr>
        <w:t>הסדרת הבניית שיקול הדעת השיפוטי בענישה</w:t>
      </w:r>
      <w:r>
        <w:rPr>
          <w:rtl/>
        </w:rPr>
        <w:t xml:space="preserve">. </w:t>
      </w:r>
    </w:p>
    <w:p w14:paraId="0DFAA1F7" w14:textId="77777777" w:rsidR="00137958" w:rsidRDefault="00137958" w:rsidP="004D1DFC">
      <w:pPr>
        <w:jc w:val="both"/>
        <w:rPr>
          <w:rtl/>
        </w:rPr>
      </w:pPr>
    </w:p>
    <w:p w14:paraId="632429B7" w14:textId="77777777" w:rsidR="00137958" w:rsidRDefault="00137958" w:rsidP="00977D4C">
      <w:pPr>
        <w:spacing w:line="360" w:lineRule="auto"/>
        <w:jc w:val="both"/>
        <w:rPr>
          <w:rtl/>
        </w:rPr>
      </w:pPr>
      <w:r>
        <w:rPr>
          <w:rtl/>
        </w:rPr>
        <w:t>הלכה היא, כי קיומו של הסדר טיעון המתייחס לעונשו של הנאשם, בין אם קובע טווח ענישה ובין אם עונש קונקרטי, אינו מבטל את תחולת ההוראות שנקבעו במסגרת תיקון 113. אין בהסכמת הצדדים לעניין העונש הראוי כדי למנוע מבית המשפט לבחון את העונש המוסכם על פי המבחנים הקבועים בחוק, תוך יישום הוראותיו (</w:t>
      </w:r>
      <w:hyperlink r:id="rId37" w:history="1">
        <w:r w:rsidR="00943CBE" w:rsidRPr="00943CBE">
          <w:rPr>
            <w:color w:val="0000FF"/>
            <w:u w:val="single"/>
            <w:rtl/>
          </w:rPr>
          <w:t>ע"פ 512/13</w:t>
        </w:r>
      </w:hyperlink>
      <w:r>
        <w:rPr>
          <w:rtl/>
        </w:rPr>
        <w:t xml:space="preserve"> </w:t>
      </w:r>
      <w:r>
        <w:rPr>
          <w:b/>
          <w:bCs/>
          <w:rtl/>
        </w:rPr>
        <w:t>פלוני נ' מדינת ישראל</w:t>
      </w:r>
      <w:r>
        <w:rPr>
          <w:rtl/>
        </w:rPr>
        <w:t xml:space="preserve"> </w:t>
      </w:r>
      <w:r w:rsidR="003636B7" w:rsidRPr="003636B7">
        <w:rPr>
          <w:sz w:val="22"/>
          <w:rtl/>
        </w:rPr>
        <w:t xml:space="preserve">[פורסם בנבו] </w:t>
      </w:r>
      <w:r>
        <w:rPr>
          <w:rtl/>
        </w:rPr>
        <w:t>(04/12/13).</w:t>
      </w:r>
    </w:p>
    <w:p w14:paraId="7D613907" w14:textId="77777777" w:rsidR="00137958" w:rsidRDefault="00137958" w:rsidP="004D1DFC">
      <w:pPr>
        <w:jc w:val="both"/>
        <w:rPr>
          <w:rtl/>
        </w:rPr>
      </w:pPr>
      <w:r>
        <w:rPr>
          <w:rtl/>
        </w:rPr>
        <w:t>לעניין הנ"ל, נפנה לאמור ב</w:t>
      </w:r>
      <w:hyperlink r:id="rId38" w:history="1">
        <w:r w:rsidR="00943CBE" w:rsidRPr="00943CBE">
          <w:rPr>
            <w:color w:val="0000FF"/>
            <w:u w:val="single"/>
            <w:rtl/>
          </w:rPr>
          <w:t>ע"פ 512/13</w:t>
        </w:r>
      </w:hyperlink>
      <w:r>
        <w:rPr>
          <w:rtl/>
        </w:rPr>
        <w:t>:</w:t>
      </w:r>
    </w:p>
    <w:p w14:paraId="15D5C2CC" w14:textId="77777777" w:rsidR="00137958" w:rsidRDefault="00137958" w:rsidP="004D1DFC">
      <w:pPr>
        <w:jc w:val="both"/>
        <w:rPr>
          <w:rtl/>
        </w:rPr>
      </w:pPr>
    </w:p>
    <w:p w14:paraId="449ECC53" w14:textId="77777777" w:rsidR="00137958" w:rsidRDefault="00137958" w:rsidP="003636B7">
      <w:pPr>
        <w:ind w:left="926" w:right="720"/>
        <w:jc w:val="both"/>
        <w:rPr>
          <w:rtl/>
        </w:rPr>
      </w:pPr>
      <w:r>
        <w:rPr>
          <w:rFonts w:cs="Miriam"/>
          <w:rtl/>
        </w:rPr>
        <w:t xml:space="preserve">"(א) ההבחנה המהותית בין מתחם ענישה לבין טווח ענישה מוסכם במסגרת הסדר טיעון – איננה חד משמעית בכל המקרים. מרבית השיקולים הקובעים את מתחם הענישה משפיעים, כמובן, גם על טווח העונש המושג בהסדר טיעון. על כן בחלק מהמקרים תהיה חפיפה מסויימת בין השיקולים הנשקלים בעת קביעת מתחם הענישה, לבין אלה המובאים בחשבון בקביעת טווח ענישה מוסכם בהסדר טיעון..." </w:t>
      </w:r>
      <w:r>
        <w:rPr>
          <w:rtl/>
        </w:rPr>
        <w:t>(</w:t>
      </w:r>
      <w:r>
        <w:rPr>
          <w:b/>
          <w:bCs/>
          <w:rtl/>
        </w:rPr>
        <w:t>פלוני נ' מדינת ישראל</w:t>
      </w:r>
      <w:r>
        <w:rPr>
          <w:rtl/>
        </w:rPr>
        <w:t xml:space="preserve"> (לא פורסם</w:t>
      </w:r>
      <w:r w:rsidR="003636B7">
        <w:rPr>
          <w:rFonts w:hint="cs"/>
          <w:rtl/>
        </w:rPr>
        <w:t xml:space="preserve">, </w:t>
      </w:r>
      <w:r w:rsidR="003636B7" w:rsidRPr="003636B7">
        <w:rPr>
          <w:sz w:val="22"/>
          <w:rtl/>
        </w:rPr>
        <w:t>[פורסם בנבו]</w:t>
      </w:r>
      <w:r>
        <w:rPr>
          <w:rtl/>
        </w:rPr>
        <w:t xml:space="preserve">, 04/12/13) בעמ' 12). </w:t>
      </w:r>
    </w:p>
    <w:p w14:paraId="1B11592E" w14:textId="77777777" w:rsidR="00137958" w:rsidRDefault="00137958" w:rsidP="00977D4C">
      <w:pPr>
        <w:spacing w:line="360" w:lineRule="auto"/>
        <w:jc w:val="both"/>
        <w:rPr>
          <w:rtl/>
        </w:rPr>
      </w:pPr>
    </w:p>
    <w:p w14:paraId="03970910" w14:textId="77777777" w:rsidR="00137958" w:rsidRDefault="00137958" w:rsidP="00977D4C">
      <w:pPr>
        <w:spacing w:line="360" w:lineRule="auto"/>
        <w:jc w:val="both"/>
        <w:rPr>
          <w:u w:val="single"/>
          <w:rtl/>
        </w:rPr>
      </w:pPr>
      <w:r>
        <w:rPr>
          <w:u w:val="single"/>
          <w:rtl/>
        </w:rPr>
        <w:t>המנגנון הקבוע בתיקון 113 לגזירת העונש – מסגרת נורמטיבית</w:t>
      </w:r>
    </w:p>
    <w:p w14:paraId="54436C00" w14:textId="77777777" w:rsidR="00137958" w:rsidRDefault="00137958" w:rsidP="00977D4C">
      <w:pPr>
        <w:spacing w:line="360" w:lineRule="auto"/>
        <w:jc w:val="both"/>
        <w:rPr>
          <w:rtl/>
        </w:rPr>
      </w:pPr>
    </w:p>
    <w:p w14:paraId="399316E4" w14:textId="77777777" w:rsidR="00137958" w:rsidRDefault="00137958" w:rsidP="00977D4C">
      <w:pPr>
        <w:spacing w:line="360" w:lineRule="auto"/>
        <w:jc w:val="both"/>
        <w:rPr>
          <w:rtl/>
        </w:rPr>
      </w:pPr>
      <w:r>
        <w:rPr>
          <w:rtl/>
        </w:rPr>
        <w:t xml:space="preserve">העיקרון המנחה בענישה – </w:t>
      </w:r>
      <w:r>
        <w:rPr>
          <w:rFonts w:cs="Miriam"/>
          <w:rtl/>
        </w:rPr>
        <w:t>עיקרון ההלימה</w:t>
      </w:r>
      <w:r>
        <w:rPr>
          <w:rtl/>
        </w:rPr>
        <w:t xml:space="preserve"> – מבטא קיומו של יחס הולם בין חומרת מעשה העבירה בנסיבותיו ומידת אשמו של הנאשם, ובין סוג ומידת העונש המוטל עליו (</w:t>
      </w:r>
      <w:hyperlink r:id="rId39" w:history="1">
        <w:r w:rsidR="00BE5882" w:rsidRPr="00BE5882">
          <w:rPr>
            <w:color w:val="0000FF"/>
            <w:u w:val="single"/>
            <w:rtl/>
          </w:rPr>
          <w:t>סעיף 40ב</w:t>
        </w:r>
      </w:hyperlink>
      <w:r>
        <w:rPr>
          <w:rtl/>
        </w:rPr>
        <w:t xml:space="preserve"> ל</w:t>
      </w:r>
      <w:hyperlink r:id="rId40" w:history="1">
        <w:r w:rsidR="00943CBE" w:rsidRPr="00943CBE">
          <w:rPr>
            <w:color w:val="0000FF"/>
            <w:u w:val="single"/>
            <w:rtl/>
          </w:rPr>
          <w:t>חוק העונשין</w:t>
        </w:r>
      </w:hyperlink>
      <w:r>
        <w:rPr>
          <w:rtl/>
        </w:rPr>
        <w:t>).</w:t>
      </w:r>
    </w:p>
    <w:p w14:paraId="5AE1E8F7" w14:textId="77777777" w:rsidR="00137958" w:rsidRDefault="00137958" w:rsidP="004D1DFC">
      <w:pPr>
        <w:jc w:val="both"/>
        <w:rPr>
          <w:rtl/>
        </w:rPr>
      </w:pPr>
    </w:p>
    <w:p w14:paraId="27B33827" w14:textId="77777777" w:rsidR="00137958" w:rsidRDefault="00BE5882" w:rsidP="004D1DFC">
      <w:pPr>
        <w:jc w:val="both"/>
        <w:rPr>
          <w:rtl/>
        </w:rPr>
      </w:pPr>
      <w:hyperlink r:id="rId41" w:history="1">
        <w:r w:rsidRPr="00BE5882">
          <w:rPr>
            <w:color w:val="0000FF"/>
            <w:u w:val="single"/>
            <w:rtl/>
          </w:rPr>
          <w:t>סעיף 40יג</w:t>
        </w:r>
      </w:hyperlink>
      <w:r w:rsidR="00137958">
        <w:rPr>
          <w:rtl/>
        </w:rPr>
        <w:t xml:space="preserve"> ל</w:t>
      </w:r>
      <w:hyperlink r:id="rId42" w:history="1">
        <w:r w:rsidR="00943CBE" w:rsidRPr="00943CBE">
          <w:rPr>
            <w:color w:val="0000FF"/>
            <w:u w:val="single"/>
            <w:rtl/>
          </w:rPr>
          <w:t>חוק העונשין</w:t>
        </w:r>
      </w:hyperlink>
      <w:r w:rsidR="00137958">
        <w:rPr>
          <w:rtl/>
        </w:rPr>
        <w:t xml:space="preserve"> קובע, כדלקמן: </w:t>
      </w:r>
    </w:p>
    <w:p w14:paraId="217E03A4" w14:textId="77777777" w:rsidR="00137958" w:rsidRDefault="00137958" w:rsidP="00977D4C">
      <w:pPr>
        <w:spacing w:line="360" w:lineRule="auto"/>
        <w:jc w:val="both"/>
        <w:rPr>
          <w:rtl/>
        </w:rPr>
      </w:pPr>
    </w:p>
    <w:p w14:paraId="7A5E6B63" w14:textId="77777777" w:rsidR="00137958" w:rsidRDefault="00137958" w:rsidP="004D1DFC">
      <w:pPr>
        <w:ind w:left="746" w:right="1134"/>
        <w:jc w:val="both"/>
        <w:rPr>
          <w:rFonts w:cs="Miriam"/>
          <w:rtl/>
        </w:rPr>
      </w:pPr>
      <w:r>
        <w:rPr>
          <w:rFonts w:cs="Miriam"/>
          <w:rtl/>
        </w:rPr>
        <w:t xml:space="preserve">"(א). הרשיע בית המשפט נאשם בכמה עבירות המהוות אירוע אחד, יקבע מתחם עונש הולם כאמור בסעיף 40ג(א) לאירוע כולו, ויגזור עונש כולל לכל העבירות בשל אותו אירוע. </w:t>
      </w:r>
    </w:p>
    <w:p w14:paraId="134AB9BE" w14:textId="77777777" w:rsidR="00137958" w:rsidRDefault="00137958" w:rsidP="004D1DFC">
      <w:pPr>
        <w:ind w:left="746" w:right="1134"/>
        <w:jc w:val="both"/>
        <w:rPr>
          <w:rFonts w:cs="Miriam"/>
          <w:rtl/>
        </w:rPr>
      </w:pPr>
    </w:p>
    <w:p w14:paraId="34C45C68" w14:textId="77777777" w:rsidR="00137958" w:rsidRDefault="00137958" w:rsidP="004D1DFC">
      <w:pPr>
        <w:ind w:left="746" w:right="1134"/>
        <w:jc w:val="both"/>
        <w:rPr>
          <w:rFonts w:cs="Miriam"/>
          <w:rtl/>
        </w:rPr>
      </w:pPr>
      <w:r>
        <w:rPr>
          <w:rFonts w:cs="Miriam"/>
          <w:rtl/>
        </w:rPr>
        <w:t xml:space="preserve">(ב). הרשיע בית המשפט נאשם בכמה עבירות המהוות כמה אירועים, יקבע מתחם עונש הולם כאמור בסעיף 40ג(א) לכל אירוע בנפרד, ולאחר מכן רשאי הוא לגזור עונש נפרד לכל אירוע או עונש כולל לכל האירועים; גזר בית המשפט עונש נפרד לכל אירוע, יקבע את מידת החפיפה בין העונשים או הצטברותם". </w:t>
      </w:r>
    </w:p>
    <w:p w14:paraId="6C19C5F7" w14:textId="77777777" w:rsidR="00137958" w:rsidRDefault="00137958" w:rsidP="00977D4C">
      <w:pPr>
        <w:spacing w:line="360" w:lineRule="auto"/>
        <w:jc w:val="both"/>
        <w:rPr>
          <w:rtl/>
        </w:rPr>
      </w:pPr>
    </w:p>
    <w:p w14:paraId="33CC79CF" w14:textId="77777777" w:rsidR="00137958" w:rsidRDefault="00137958" w:rsidP="00977D4C">
      <w:pPr>
        <w:spacing w:line="360" w:lineRule="auto"/>
        <w:jc w:val="both"/>
        <w:rPr>
          <w:rtl/>
        </w:rPr>
      </w:pPr>
      <w:r>
        <w:rPr>
          <w:rtl/>
        </w:rPr>
        <w:t>כלומר, לעניין גזירת העונש, מבחין תיקון 133 ל</w:t>
      </w:r>
      <w:hyperlink r:id="rId43" w:history="1">
        <w:r w:rsidR="00943CBE" w:rsidRPr="00943CBE">
          <w:rPr>
            <w:color w:val="0000FF"/>
            <w:u w:val="single"/>
            <w:rtl/>
          </w:rPr>
          <w:t>חוק העונשין</w:t>
        </w:r>
      </w:hyperlink>
      <w:r>
        <w:rPr>
          <w:rtl/>
        </w:rPr>
        <w:t xml:space="preserve"> בין שני מצבים, כדלקמן: </w:t>
      </w:r>
    </w:p>
    <w:p w14:paraId="4669D563" w14:textId="77777777" w:rsidR="00137958" w:rsidRDefault="00137958" w:rsidP="00977D4C">
      <w:pPr>
        <w:spacing w:line="360" w:lineRule="auto"/>
        <w:jc w:val="both"/>
        <w:rPr>
          <w:rtl/>
        </w:rPr>
      </w:pPr>
    </w:p>
    <w:p w14:paraId="652C12FA" w14:textId="77777777" w:rsidR="00137958" w:rsidRDefault="00137958" w:rsidP="00977D4C">
      <w:pPr>
        <w:spacing w:line="360" w:lineRule="auto"/>
        <w:jc w:val="both"/>
        <w:rPr>
          <w:rtl/>
        </w:rPr>
      </w:pPr>
      <w:r>
        <w:rPr>
          <w:b/>
          <w:bCs/>
          <w:rtl/>
        </w:rPr>
        <w:t>האחד</w:t>
      </w:r>
      <w:r>
        <w:rPr>
          <w:rtl/>
        </w:rPr>
        <w:t xml:space="preserve">, כאשר בית המשפט הרשיע נאשם במספר עבירות המהוות </w:t>
      </w:r>
      <w:r>
        <w:rPr>
          <w:rFonts w:cs="Miriam"/>
          <w:rtl/>
        </w:rPr>
        <w:t>אירוע אחד</w:t>
      </w:r>
      <w:r>
        <w:rPr>
          <w:rtl/>
        </w:rPr>
        <w:t xml:space="preserve"> – שאז, יקבע בית המשפט מתחם עונש הולם לאירוע כולו, ויגזור עונש כולל לכל העבירות בשל אותו אירוע (</w:t>
      </w:r>
      <w:hyperlink r:id="rId44" w:history="1">
        <w:r w:rsidR="00BE5882" w:rsidRPr="00BE5882">
          <w:rPr>
            <w:color w:val="0000FF"/>
            <w:u w:val="single"/>
            <w:rtl/>
          </w:rPr>
          <w:t>סעיף 40יג(א)</w:t>
        </w:r>
      </w:hyperlink>
      <w:r>
        <w:rPr>
          <w:rtl/>
        </w:rPr>
        <w:t xml:space="preserve"> ל</w:t>
      </w:r>
      <w:hyperlink r:id="rId45" w:history="1">
        <w:r w:rsidR="00943CBE" w:rsidRPr="00943CBE">
          <w:rPr>
            <w:color w:val="0000FF"/>
            <w:u w:val="single"/>
            <w:rtl/>
          </w:rPr>
          <w:t>חוק העונשין</w:t>
        </w:r>
      </w:hyperlink>
      <w:r>
        <w:rPr>
          <w:rtl/>
        </w:rPr>
        <w:t>);</w:t>
      </w:r>
    </w:p>
    <w:p w14:paraId="66E0DCC1" w14:textId="77777777" w:rsidR="00137958" w:rsidRDefault="00137958" w:rsidP="00977D4C">
      <w:pPr>
        <w:spacing w:line="360" w:lineRule="auto"/>
        <w:jc w:val="both"/>
        <w:rPr>
          <w:rtl/>
        </w:rPr>
      </w:pPr>
    </w:p>
    <w:p w14:paraId="5B81D372" w14:textId="77777777" w:rsidR="00137958" w:rsidRDefault="00137958" w:rsidP="00977D4C">
      <w:pPr>
        <w:spacing w:line="360" w:lineRule="auto"/>
        <w:jc w:val="both"/>
        <w:rPr>
          <w:rtl/>
        </w:rPr>
      </w:pPr>
      <w:r>
        <w:rPr>
          <w:b/>
          <w:bCs/>
          <w:rtl/>
        </w:rPr>
        <w:t>השני</w:t>
      </w:r>
      <w:r>
        <w:rPr>
          <w:rtl/>
        </w:rPr>
        <w:t xml:space="preserve">, כאשר בית המשפט הרשיע נאשם במספר עבירות המהוות </w:t>
      </w:r>
      <w:r>
        <w:rPr>
          <w:rFonts w:cs="Miriam"/>
          <w:rtl/>
        </w:rPr>
        <w:t>מספר אירועים</w:t>
      </w:r>
      <w:r>
        <w:rPr>
          <w:rtl/>
        </w:rPr>
        <w:t xml:space="preserve"> – שאז, יקבע בית המשפט מתחם עונש הולם לכל אירוע בנפרד, ולאחר מכן </w:t>
      </w:r>
      <w:r>
        <w:rPr>
          <w:rFonts w:cs="Miriam"/>
          <w:rtl/>
        </w:rPr>
        <w:t>רשאי</w:t>
      </w:r>
      <w:r>
        <w:rPr>
          <w:rtl/>
        </w:rPr>
        <w:t xml:space="preserve"> בית המשפט לגזור עונש נפרד לכל אירוע, או עונש כולל לכל האירועים. ובמקום בו הטיל בית המשפט עונש נפרד לכל אירוע, עליו לקבוע האם העונשים יוטלו באופן חופף או במצטבר (</w:t>
      </w:r>
      <w:hyperlink r:id="rId46" w:history="1">
        <w:r w:rsidR="00BE5882" w:rsidRPr="00BE5882">
          <w:rPr>
            <w:color w:val="0000FF"/>
            <w:u w:val="single"/>
            <w:rtl/>
          </w:rPr>
          <w:t>סעיף 40יג(ב)</w:t>
        </w:r>
      </w:hyperlink>
      <w:r>
        <w:rPr>
          <w:rtl/>
        </w:rPr>
        <w:t xml:space="preserve"> ל</w:t>
      </w:r>
      <w:hyperlink r:id="rId47" w:history="1">
        <w:r w:rsidR="00943CBE" w:rsidRPr="00943CBE">
          <w:rPr>
            <w:color w:val="0000FF"/>
            <w:u w:val="single"/>
            <w:rtl/>
          </w:rPr>
          <w:t>חוק העונשין</w:t>
        </w:r>
      </w:hyperlink>
      <w:r>
        <w:rPr>
          <w:rtl/>
        </w:rPr>
        <w:t xml:space="preserve">). גם כשבית המשפט מטיל עונש כולל אחד בגין מספר אירועים, עליו להתחשב בכך שמדובר בריבוי אירועים ועבירות. </w:t>
      </w:r>
    </w:p>
    <w:p w14:paraId="1E999582" w14:textId="77777777" w:rsidR="00137958" w:rsidRDefault="00137958" w:rsidP="00977D4C">
      <w:pPr>
        <w:spacing w:line="360" w:lineRule="auto"/>
        <w:jc w:val="both"/>
        <w:rPr>
          <w:rtl/>
        </w:rPr>
      </w:pPr>
    </w:p>
    <w:p w14:paraId="05094E95" w14:textId="77777777" w:rsidR="00137958" w:rsidRDefault="00137958" w:rsidP="00977D4C">
      <w:pPr>
        <w:spacing w:line="360" w:lineRule="auto"/>
        <w:jc w:val="both"/>
        <w:rPr>
          <w:rtl/>
        </w:rPr>
      </w:pPr>
      <w:r>
        <w:rPr>
          <w:rtl/>
        </w:rPr>
        <w:t xml:space="preserve">ייאמר כבר עתה, כפי שיפורט עוד להלן, כי ענייננו נופל לגדר החלופה </w:t>
      </w:r>
      <w:r>
        <w:rPr>
          <w:b/>
          <w:bCs/>
          <w:rtl/>
        </w:rPr>
        <w:t>הראשונה</w:t>
      </w:r>
      <w:r>
        <w:rPr>
          <w:rtl/>
        </w:rPr>
        <w:t xml:space="preserve">. קרי, עסקינן במספר עבירות המהוות </w:t>
      </w:r>
      <w:r>
        <w:rPr>
          <w:rFonts w:cs="Miriam"/>
          <w:rtl/>
        </w:rPr>
        <w:t>אירוע אחד</w:t>
      </w:r>
      <w:r>
        <w:rPr>
          <w:rtl/>
        </w:rPr>
        <w:t>, ומשכך יש לקבוע מתחם עונש הולם לאירוע כולו, ולגזור עונש כולל לכל העבירות בשל אותו אירוע.</w:t>
      </w:r>
    </w:p>
    <w:p w14:paraId="51186000" w14:textId="77777777" w:rsidR="00137958" w:rsidRDefault="00137958" w:rsidP="00977D4C">
      <w:pPr>
        <w:spacing w:line="360" w:lineRule="auto"/>
        <w:jc w:val="both"/>
        <w:rPr>
          <w:rtl/>
        </w:rPr>
      </w:pPr>
    </w:p>
    <w:p w14:paraId="2F27D0D8" w14:textId="77777777" w:rsidR="00137958" w:rsidRDefault="00137958" w:rsidP="00977D4C">
      <w:pPr>
        <w:spacing w:line="360" w:lineRule="auto"/>
        <w:jc w:val="both"/>
        <w:rPr>
          <w:rtl/>
        </w:rPr>
      </w:pPr>
      <w:r>
        <w:rPr>
          <w:rtl/>
        </w:rPr>
        <w:t>בהתאם לתיקון 113 ל</w:t>
      </w:r>
      <w:hyperlink r:id="rId48" w:history="1">
        <w:r w:rsidR="00943CBE" w:rsidRPr="00943CBE">
          <w:rPr>
            <w:color w:val="0000FF"/>
            <w:u w:val="single"/>
            <w:rtl/>
          </w:rPr>
          <w:t>חוק העונשין</w:t>
        </w:r>
      </w:hyperlink>
      <w:r>
        <w:rPr>
          <w:rFonts w:cs="Miriam"/>
          <w:rtl/>
        </w:rPr>
        <w:t>,</w:t>
      </w:r>
      <w:r>
        <w:rPr>
          <w:rtl/>
        </w:rPr>
        <w:t xml:space="preserve"> כאשר מדובר במספר עבירות המהוות </w:t>
      </w:r>
      <w:r>
        <w:rPr>
          <w:rFonts w:cs="Miriam"/>
          <w:rtl/>
        </w:rPr>
        <w:t>אירוע אחד</w:t>
      </w:r>
      <w:r>
        <w:rPr>
          <w:rtl/>
        </w:rPr>
        <w:t xml:space="preserve">, הליך גזירת העונש ההולם נקבע על ידי בית המשפט, באמצעות מנגנון דו-שלבי, כדלקמן: </w:t>
      </w:r>
    </w:p>
    <w:p w14:paraId="2583B714" w14:textId="77777777" w:rsidR="00137958" w:rsidRDefault="00137958" w:rsidP="00977D4C">
      <w:pPr>
        <w:spacing w:line="360" w:lineRule="auto"/>
        <w:jc w:val="both"/>
        <w:rPr>
          <w:rtl/>
        </w:rPr>
      </w:pPr>
    </w:p>
    <w:p w14:paraId="49132E1E" w14:textId="77777777" w:rsidR="00137958" w:rsidRDefault="00137958" w:rsidP="00977D4C">
      <w:pPr>
        <w:spacing w:line="360" w:lineRule="auto"/>
        <w:jc w:val="both"/>
        <w:rPr>
          <w:rtl/>
        </w:rPr>
      </w:pPr>
      <w:r>
        <w:rPr>
          <w:b/>
          <w:bCs/>
          <w:rtl/>
        </w:rPr>
        <w:t>בשלב הראשון</w:t>
      </w:r>
      <w:r>
        <w:rPr>
          <w:rtl/>
        </w:rPr>
        <w:t xml:space="preserve">, בהתאם </w:t>
      </w:r>
      <w:hyperlink r:id="rId49" w:history="1">
        <w:r w:rsidR="00BE5882" w:rsidRPr="00BE5882">
          <w:rPr>
            <w:color w:val="0000FF"/>
            <w:u w:val="single"/>
            <w:rtl/>
          </w:rPr>
          <w:t>לסעיף 40ג(א)</w:t>
        </w:r>
      </w:hyperlink>
      <w:r>
        <w:rPr>
          <w:rtl/>
        </w:rPr>
        <w:t xml:space="preserve">, על בית המשפט לקבוע את מתחם העונש ההולם למעשה העבירה שביצע הנאשם, בהתחשב בערך החברתי שנפגע מביצוע העבירה ובמידת הפגיעה בו; במדיניות הענישה הנהוגה ובנסיבות הקשורות בביצוע העבירה (המנויות </w:t>
      </w:r>
      <w:hyperlink r:id="rId50" w:history="1">
        <w:r w:rsidR="00BE5882" w:rsidRPr="00BE5882">
          <w:rPr>
            <w:color w:val="0000FF"/>
            <w:u w:val="single"/>
            <w:rtl/>
          </w:rPr>
          <w:t>בסעיף 40ט).</w:t>
        </w:r>
      </w:hyperlink>
      <w:r>
        <w:rPr>
          <w:rtl/>
        </w:rPr>
        <w:t xml:space="preserve"> </w:t>
      </w:r>
    </w:p>
    <w:p w14:paraId="7FDD030C" w14:textId="77777777" w:rsidR="00137958" w:rsidRDefault="00137958" w:rsidP="00977D4C">
      <w:pPr>
        <w:spacing w:line="360" w:lineRule="auto"/>
        <w:jc w:val="both"/>
        <w:rPr>
          <w:rtl/>
        </w:rPr>
      </w:pPr>
    </w:p>
    <w:p w14:paraId="5CCACE81" w14:textId="77777777" w:rsidR="00137958" w:rsidRDefault="00137958" w:rsidP="00977D4C">
      <w:pPr>
        <w:spacing w:line="360" w:lineRule="auto"/>
        <w:jc w:val="both"/>
        <w:rPr>
          <w:rtl/>
        </w:rPr>
      </w:pPr>
      <w:r>
        <w:rPr>
          <w:b/>
          <w:bCs/>
          <w:rtl/>
        </w:rPr>
        <w:t>בשלב השני</w:t>
      </w:r>
      <w:r>
        <w:rPr>
          <w:rtl/>
        </w:rPr>
        <w:t xml:space="preserve">, בהתאם </w:t>
      </w:r>
      <w:hyperlink r:id="rId51" w:history="1">
        <w:r w:rsidR="00BE5882" w:rsidRPr="00BE5882">
          <w:rPr>
            <w:color w:val="0000FF"/>
            <w:u w:val="single"/>
            <w:rtl/>
          </w:rPr>
          <w:t>לסעיף 40ג(ב)</w:t>
        </w:r>
      </w:hyperlink>
      <w:r>
        <w:rPr>
          <w:rtl/>
        </w:rPr>
        <w:t>, על בית המשפט לגזור את "העונש המתאים" המצוי במתחם הענישה שנקבע, בהתחשב בנסיבות שאינן קשורות בביצוע העבירה (אלא בהתקיים חריגים הקבועים בחוק, שאינם מתקיימים בענייננו).</w:t>
      </w:r>
    </w:p>
    <w:p w14:paraId="6B612179" w14:textId="77777777" w:rsidR="00137958" w:rsidRDefault="00137958" w:rsidP="00977D4C">
      <w:pPr>
        <w:spacing w:line="360" w:lineRule="auto"/>
        <w:jc w:val="both"/>
        <w:rPr>
          <w:rtl/>
        </w:rPr>
      </w:pPr>
    </w:p>
    <w:p w14:paraId="084E0D68" w14:textId="77777777" w:rsidR="00137958" w:rsidRDefault="00137958" w:rsidP="003636B7">
      <w:pPr>
        <w:spacing w:line="360" w:lineRule="auto"/>
        <w:jc w:val="both"/>
        <w:rPr>
          <w:rFonts w:hint="cs"/>
          <w:rtl/>
        </w:rPr>
      </w:pPr>
      <w:r>
        <w:rPr>
          <w:rtl/>
        </w:rPr>
        <w:t>לפני שנפנה לקביעת מתחם הענישה ההולם הצריך לענייננו, נציין כי בהתאם לעיקרון ההלימה, אין להתחשב רק בסוג העבירות שבוצעו, אלא גם בחומרת מעשה העבירה בנסיבותיו ומידת אשמו של הנאשם. מכאן, כי לא מן הנמנע שלאותן עבירות יהיו כמה מתחמי ענישה שונים הנגזרים מן הנסיבות הספציפיות שבהן נעברו (</w:t>
      </w:r>
      <w:hyperlink r:id="rId52" w:history="1">
        <w:r w:rsidR="00943CBE" w:rsidRPr="00943CBE">
          <w:rPr>
            <w:color w:val="0000FF"/>
            <w:u w:val="single"/>
            <w:rtl/>
          </w:rPr>
          <w:t>ע"פ 8641/12</w:t>
        </w:r>
      </w:hyperlink>
      <w:r>
        <w:rPr>
          <w:rtl/>
        </w:rPr>
        <w:t xml:space="preserve"> </w:t>
      </w:r>
      <w:r>
        <w:rPr>
          <w:b/>
          <w:bCs/>
          <w:rtl/>
        </w:rPr>
        <w:t>מוחמד סעד נ' מדינת ישראל</w:t>
      </w:r>
      <w:r>
        <w:rPr>
          <w:rtl/>
        </w:rPr>
        <w:t xml:space="preserve"> (לא פורסם</w:t>
      </w:r>
      <w:r w:rsidR="003636B7">
        <w:rPr>
          <w:rFonts w:hint="cs"/>
          <w:rtl/>
        </w:rPr>
        <w:t xml:space="preserve">, </w:t>
      </w:r>
      <w:r w:rsidR="003636B7" w:rsidRPr="003636B7">
        <w:rPr>
          <w:sz w:val="22"/>
          <w:rtl/>
        </w:rPr>
        <w:t>[פורסם בנבו]</w:t>
      </w:r>
      <w:r w:rsidR="003636B7">
        <w:rPr>
          <w:rtl/>
        </w:rPr>
        <w:t xml:space="preserve">, 05/08/13), בעמ' 16). </w:t>
      </w:r>
    </w:p>
    <w:p w14:paraId="3564F85E" w14:textId="77777777" w:rsidR="00137958" w:rsidRDefault="00137958" w:rsidP="00977D4C">
      <w:pPr>
        <w:spacing w:line="360" w:lineRule="auto"/>
        <w:jc w:val="both"/>
        <w:rPr>
          <w:rtl/>
        </w:rPr>
      </w:pPr>
    </w:p>
    <w:p w14:paraId="7D9900B7" w14:textId="77777777" w:rsidR="00137958" w:rsidRDefault="00137958" w:rsidP="00977D4C">
      <w:pPr>
        <w:spacing w:line="360" w:lineRule="auto"/>
        <w:jc w:val="both"/>
        <w:rPr>
          <w:u w:val="single"/>
          <w:rtl/>
        </w:rPr>
      </w:pPr>
      <w:r>
        <w:rPr>
          <w:u w:val="single"/>
          <w:rtl/>
        </w:rPr>
        <w:t>מתחם העונש ההולם בנסיבות העניין</w:t>
      </w:r>
    </w:p>
    <w:p w14:paraId="71BD7320" w14:textId="77777777" w:rsidR="00137958" w:rsidRDefault="00137958" w:rsidP="00977D4C">
      <w:pPr>
        <w:spacing w:line="360" w:lineRule="auto"/>
        <w:jc w:val="both"/>
        <w:rPr>
          <w:rtl/>
        </w:rPr>
      </w:pPr>
    </w:p>
    <w:p w14:paraId="0BF67C34" w14:textId="77777777" w:rsidR="00137958" w:rsidRDefault="00137958" w:rsidP="00977D4C">
      <w:pPr>
        <w:spacing w:line="360" w:lineRule="auto"/>
        <w:jc w:val="both"/>
        <w:rPr>
          <w:rtl/>
        </w:rPr>
      </w:pPr>
      <w:r>
        <w:rPr>
          <w:rtl/>
        </w:rPr>
        <w:t xml:space="preserve">משבאנו לכלל מסקנה לפיה יש לקבוע מתחם עונש הולם לאירוע כולו, ולגזור עונש כולל לכל העבירות בשל אותו אירוע, נבחן להלן את הערכים החברתיים שנפגעו מביצוע העבירות (ובמידת הפגיעה בהם); מדיניות הענישה הנהוגה וכן נסיבות הקשורות בביצוע העבירות. </w:t>
      </w:r>
    </w:p>
    <w:p w14:paraId="0A0787D3" w14:textId="77777777" w:rsidR="00137958" w:rsidRDefault="00137958" w:rsidP="00977D4C">
      <w:pPr>
        <w:spacing w:line="360" w:lineRule="auto"/>
        <w:jc w:val="both"/>
        <w:rPr>
          <w:highlight w:val="yellow"/>
          <w:rtl/>
        </w:rPr>
      </w:pPr>
    </w:p>
    <w:p w14:paraId="5DF24E37" w14:textId="77777777" w:rsidR="00137958" w:rsidRDefault="00137958" w:rsidP="00977D4C">
      <w:pPr>
        <w:spacing w:line="360" w:lineRule="auto"/>
        <w:jc w:val="both"/>
        <w:rPr>
          <w:rtl/>
        </w:rPr>
      </w:pPr>
      <w:r>
        <w:rPr>
          <w:rFonts w:cs="Miriam"/>
          <w:rtl/>
        </w:rPr>
        <w:t>הערכים החברתיים שנפגעו מביצוע העבירות</w:t>
      </w:r>
      <w:r>
        <w:rPr>
          <w:rtl/>
        </w:rPr>
        <w:t xml:space="preserve"> – מצויים ברף העליון של הערכים המוגנים, וברף העליון של עבירות האלימות – גרימה למותו של אדם באמצעות נשק חם (אקדח). </w:t>
      </w:r>
      <w:r>
        <w:rPr>
          <w:rFonts w:ascii="Arial" w:hAnsi="Arial"/>
          <w:rtl/>
        </w:rPr>
        <w:t>הערך המוגן בו פגעו הנאשמים – חיי אדם – הוא ערך עליון שאין בלתו. במעשיהם הנלוזים והנפשעים, רמסו הנאשמים ברגל גסה את עקרון קדושת החיים והפכוהו עפר.</w:t>
      </w:r>
      <w:r>
        <w:rPr>
          <w:rtl/>
        </w:rPr>
        <w:t xml:space="preserve"> אין צורך להכביר מילים, כי גדיעת חיי אדם והערך של חיי אדם, צריך להיות הערך המוגן ביותר בכל חברה מתוקנת.</w:t>
      </w:r>
    </w:p>
    <w:p w14:paraId="33AF8666" w14:textId="77777777" w:rsidR="00137958" w:rsidRDefault="00137958" w:rsidP="00977D4C">
      <w:pPr>
        <w:spacing w:line="360" w:lineRule="auto"/>
        <w:jc w:val="both"/>
        <w:rPr>
          <w:rtl/>
        </w:rPr>
      </w:pPr>
    </w:p>
    <w:p w14:paraId="6FC3B88A" w14:textId="77777777" w:rsidR="00137958" w:rsidRDefault="00137958" w:rsidP="00977D4C">
      <w:pPr>
        <w:spacing w:line="360" w:lineRule="auto"/>
        <w:jc w:val="both"/>
        <w:rPr>
          <w:rtl/>
        </w:rPr>
      </w:pPr>
      <w:r>
        <w:rPr>
          <w:rtl/>
        </w:rPr>
        <w:t>על חשיבותו של ערך קדושת החיים, עמדה כב' השופטת שטרסברג-כהן ב</w:t>
      </w:r>
      <w:hyperlink r:id="rId53" w:history="1">
        <w:r w:rsidR="00943CBE" w:rsidRPr="00943CBE">
          <w:rPr>
            <w:color w:val="0000FF"/>
            <w:u w:val="single"/>
            <w:rtl/>
          </w:rPr>
          <w:t>ע"פ 7147/96</w:t>
        </w:r>
      </w:hyperlink>
      <w:r>
        <w:rPr>
          <w:rtl/>
        </w:rPr>
        <w:t>:</w:t>
      </w:r>
    </w:p>
    <w:p w14:paraId="428B7CE5" w14:textId="77777777" w:rsidR="00137958" w:rsidRDefault="00137958" w:rsidP="00E42C24">
      <w:pPr>
        <w:jc w:val="both"/>
        <w:rPr>
          <w:rtl/>
        </w:rPr>
      </w:pPr>
    </w:p>
    <w:p w14:paraId="7C433348" w14:textId="77777777" w:rsidR="00137958" w:rsidRDefault="00137958" w:rsidP="00E42C24">
      <w:pPr>
        <w:ind w:left="746" w:right="1134"/>
        <w:jc w:val="both"/>
        <w:rPr>
          <w:rFonts w:cs="Miriam"/>
          <w:rtl/>
        </w:rPr>
      </w:pPr>
      <w:r>
        <w:rPr>
          <w:rFonts w:cs="Miriam"/>
          <w:rtl/>
        </w:rPr>
        <w:t xml:space="preserve">"[...] ידע הציבור, ידעו עבריינים פוטנציאליים וידע המערער כי נטילת חיי אדם היא החמורה שבעבירות וכי בנסיבות כפי שתוארו על-ידי בית משפט קמא, יש למצות את הדין עם הנאשם באופן שיבטא את הערכת החברה לחיי אדם כערך עליון, את סלידתה ושאט נפשה ממעשיו..." </w:t>
      </w:r>
      <w:r>
        <w:rPr>
          <w:rtl/>
        </w:rPr>
        <w:t>(</w:t>
      </w:r>
      <w:r>
        <w:rPr>
          <w:b/>
          <w:bCs/>
          <w:rtl/>
        </w:rPr>
        <w:t>אזואלוס נ' מדינת ישראל</w:t>
      </w:r>
      <w:r>
        <w:rPr>
          <w:rtl/>
        </w:rPr>
        <w:t xml:space="preserve">, פ"ד(2) 412, 417-418 </w:t>
      </w:r>
      <w:r w:rsidR="003636B7" w:rsidRPr="003636B7">
        <w:rPr>
          <w:sz w:val="22"/>
          <w:rtl/>
        </w:rPr>
        <w:t xml:space="preserve">[פורסם בנבו] </w:t>
      </w:r>
      <w:r>
        <w:rPr>
          <w:rtl/>
        </w:rPr>
        <w:t xml:space="preserve">(להלן: </w:t>
      </w:r>
      <w:r>
        <w:rPr>
          <w:rFonts w:cs="Miriam"/>
          <w:rtl/>
        </w:rPr>
        <w:t>"עניין אזואלוס</w:t>
      </w:r>
      <w:r>
        <w:rPr>
          <w:rtl/>
        </w:rPr>
        <w:t>")).</w:t>
      </w:r>
    </w:p>
    <w:p w14:paraId="3913460C" w14:textId="77777777" w:rsidR="00137958" w:rsidRDefault="00137958" w:rsidP="00977D4C">
      <w:pPr>
        <w:spacing w:line="360" w:lineRule="auto"/>
        <w:jc w:val="both"/>
        <w:rPr>
          <w:rtl/>
        </w:rPr>
      </w:pPr>
    </w:p>
    <w:p w14:paraId="3372FB9F" w14:textId="77777777" w:rsidR="00137958" w:rsidRDefault="00137958" w:rsidP="003636B7">
      <w:pPr>
        <w:jc w:val="both"/>
        <w:rPr>
          <w:rtl/>
        </w:rPr>
      </w:pPr>
      <w:r>
        <w:rPr>
          <w:rtl/>
        </w:rPr>
        <w:t>יפים לענייננו דברים שנאמרו ב</w:t>
      </w:r>
      <w:hyperlink r:id="rId54" w:history="1">
        <w:r w:rsidR="00943CBE" w:rsidRPr="00943CBE">
          <w:rPr>
            <w:rFonts w:ascii="David" w:hAnsi="David"/>
            <w:color w:val="0000FF"/>
            <w:u w:val="single"/>
            <w:rtl/>
          </w:rPr>
          <w:t>ע"פ 9422/11</w:t>
        </w:r>
      </w:hyperlink>
      <w:r w:rsidR="003636B7">
        <w:rPr>
          <w:rFonts w:hint="cs"/>
          <w:rtl/>
        </w:rPr>
        <w:t xml:space="preserve"> </w:t>
      </w:r>
      <w:r w:rsidR="003636B7" w:rsidRPr="003636B7">
        <w:rPr>
          <w:sz w:val="22"/>
          <w:rtl/>
        </w:rPr>
        <w:t>[פורסם בנבו]</w:t>
      </w:r>
      <w:r>
        <w:rPr>
          <w:rtl/>
        </w:rPr>
        <w:t>:</w:t>
      </w:r>
    </w:p>
    <w:p w14:paraId="5D2BE49E" w14:textId="77777777" w:rsidR="00137958" w:rsidRDefault="00137958" w:rsidP="00977D4C">
      <w:pPr>
        <w:spacing w:line="360" w:lineRule="auto"/>
        <w:jc w:val="both"/>
        <w:rPr>
          <w:rtl/>
        </w:rPr>
      </w:pPr>
    </w:p>
    <w:p w14:paraId="77EE63C7" w14:textId="77777777" w:rsidR="00137958" w:rsidRDefault="00137958" w:rsidP="003636B7">
      <w:pPr>
        <w:ind w:left="746" w:right="1134"/>
        <w:jc w:val="both"/>
        <w:rPr>
          <w:rFonts w:cs="Miriam"/>
          <w:rtl/>
        </w:rPr>
      </w:pPr>
      <w:r>
        <w:rPr>
          <w:rFonts w:cs="Miriam"/>
          <w:rtl/>
        </w:rPr>
        <w:t xml:space="preserve">"[...] לעיתים נדמה שחל פיחות בלתי נסלח ובלתי נסבל בערכם של חיי אדם. בראש ובראשונה עלינו לשוות לנגד עיננו את המנוח שחייו קופדו בנסיבות שאין להשלים עימן, ולהגנה על ערך החיים וקדושתם שמור משקל משמעותי ביותר במלאכת הענישה [...] </w:t>
      </w:r>
      <w:r>
        <w:rPr>
          <w:rtl/>
        </w:rPr>
        <w:t>(</w:t>
      </w:r>
      <w:r>
        <w:rPr>
          <w:rFonts w:ascii="David" w:hAnsi="David" w:hint="eastAsia"/>
          <w:b/>
          <w:bCs/>
          <w:color w:val="000000"/>
          <w:rtl/>
        </w:rPr>
        <w:t>איתמר</w:t>
      </w:r>
      <w:r>
        <w:rPr>
          <w:rFonts w:ascii="David" w:hAnsi="David"/>
          <w:b/>
          <w:bCs/>
          <w:color w:val="000000"/>
          <w:rtl/>
        </w:rPr>
        <w:t xml:space="preserve"> דהן נ' מדינת ישראל</w:t>
      </w:r>
      <w:r>
        <w:rPr>
          <w:rtl/>
        </w:rPr>
        <w:t xml:space="preserve"> (לא פורסם</w:t>
      </w:r>
      <w:r w:rsidR="003636B7">
        <w:rPr>
          <w:rFonts w:hint="cs"/>
          <w:rtl/>
        </w:rPr>
        <w:t xml:space="preserve">, </w:t>
      </w:r>
      <w:r w:rsidR="003636B7" w:rsidRPr="003636B7">
        <w:rPr>
          <w:sz w:val="22"/>
          <w:rtl/>
        </w:rPr>
        <w:t>[פורסם בנבו]</w:t>
      </w:r>
      <w:r>
        <w:rPr>
          <w:rtl/>
        </w:rPr>
        <w:t xml:space="preserve">, 03/07/13), בעמ' 6). </w:t>
      </w:r>
    </w:p>
    <w:p w14:paraId="0F76B618" w14:textId="77777777" w:rsidR="00137958" w:rsidRDefault="00137958" w:rsidP="00977D4C">
      <w:pPr>
        <w:spacing w:line="360" w:lineRule="auto"/>
        <w:jc w:val="both"/>
        <w:rPr>
          <w:rtl/>
        </w:rPr>
      </w:pPr>
    </w:p>
    <w:p w14:paraId="5834604E" w14:textId="77777777" w:rsidR="00137958" w:rsidRDefault="00137958" w:rsidP="00977D4C">
      <w:pPr>
        <w:spacing w:line="360" w:lineRule="auto"/>
        <w:jc w:val="both"/>
        <w:rPr>
          <w:rtl/>
        </w:rPr>
      </w:pPr>
      <w:r>
        <w:rPr>
          <w:rtl/>
        </w:rPr>
        <w:t xml:space="preserve">אין צורך לומר, כי החזקת נשק שלא כדין פוגעת בשלום הציבור ובריאותו ויש בה כדי לזרוע אימה ופחד בקרב הציבור. הסכנה הנשקפת מביצוע עבירות בנשק רבה ומסוכנת היא. </w:t>
      </w:r>
    </w:p>
    <w:p w14:paraId="6C5F62E8" w14:textId="77777777" w:rsidR="00137958" w:rsidRDefault="00137958" w:rsidP="00977D4C">
      <w:pPr>
        <w:spacing w:line="360" w:lineRule="auto"/>
        <w:jc w:val="both"/>
        <w:rPr>
          <w:rtl/>
        </w:rPr>
      </w:pPr>
    </w:p>
    <w:p w14:paraId="22623E91" w14:textId="77777777" w:rsidR="00137958" w:rsidRDefault="00137958" w:rsidP="00173AE3">
      <w:pPr>
        <w:jc w:val="both"/>
        <w:rPr>
          <w:rtl/>
        </w:rPr>
      </w:pPr>
      <w:r>
        <w:rPr>
          <w:u w:val="single"/>
          <w:rtl/>
        </w:rPr>
        <w:t>מדיניות הענישה הנוהגת</w:t>
      </w:r>
    </w:p>
    <w:p w14:paraId="2E0703E3" w14:textId="77777777" w:rsidR="00137958" w:rsidRDefault="00137958" w:rsidP="00977D4C">
      <w:pPr>
        <w:spacing w:line="360" w:lineRule="auto"/>
        <w:jc w:val="both"/>
        <w:rPr>
          <w:rtl/>
        </w:rPr>
      </w:pPr>
    </w:p>
    <w:p w14:paraId="5E2CF2AE" w14:textId="77777777" w:rsidR="00137958" w:rsidRDefault="00137958" w:rsidP="00977D4C">
      <w:pPr>
        <w:spacing w:line="360" w:lineRule="auto"/>
        <w:jc w:val="both"/>
        <w:rPr>
          <w:rtl/>
        </w:rPr>
      </w:pPr>
      <w:r>
        <w:rPr>
          <w:rtl/>
        </w:rPr>
        <w:t>העונש המרבי הקבוע ב</w:t>
      </w:r>
      <w:hyperlink r:id="rId55" w:history="1">
        <w:r w:rsidR="00943CBE" w:rsidRPr="00943CBE">
          <w:rPr>
            <w:color w:val="0000FF"/>
            <w:u w:val="single"/>
            <w:rtl/>
          </w:rPr>
          <w:t>חוק העונשין</w:t>
        </w:r>
      </w:hyperlink>
      <w:r>
        <w:rPr>
          <w:rtl/>
        </w:rPr>
        <w:t xml:space="preserve"> בצידה של עבירת ההריגה, הינו עשרים שנות מאסר (</w:t>
      </w:r>
      <w:hyperlink r:id="rId56" w:history="1">
        <w:r w:rsidR="00BE5882" w:rsidRPr="00BE5882">
          <w:rPr>
            <w:color w:val="0000FF"/>
            <w:u w:val="single"/>
            <w:rtl/>
          </w:rPr>
          <w:t>סעיף 298</w:t>
        </w:r>
      </w:hyperlink>
      <w:r>
        <w:rPr>
          <w:rtl/>
        </w:rPr>
        <w:t xml:space="preserve"> לחוק העונשין). עונש זה, משקף את חשיבותו של הערך המוגן ביסוד העבירה ואת החומרה המיוחסת לקיפוח חיי אדם מתוך כוונה פלילית.</w:t>
      </w:r>
    </w:p>
    <w:p w14:paraId="7D66E788" w14:textId="77777777" w:rsidR="00137958" w:rsidRDefault="00137958" w:rsidP="00173AE3">
      <w:pPr>
        <w:jc w:val="both"/>
        <w:rPr>
          <w:rtl/>
        </w:rPr>
      </w:pPr>
    </w:p>
    <w:p w14:paraId="6FCD42F1" w14:textId="77777777" w:rsidR="00137958" w:rsidRDefault="00137958" w:rsidP="003636B7">
      <w:pPr>
        <w:spacing w:line="360" w:lineRule="auto"/>
        <w:jc w:val="both"/>
        <w:rPr>
          <w:rtl/>
        </w:rPr>
      </w:pPr>
      <w:r>
        <w:rPr>
          <w:rtl/>
        </w:rPr>
        <w:t>בפסיקה נקבע, שכאשר עסקינן בעבירת הריגה "</w:t>
      </w:r>
      <w:r>
        <w:rPr>
          <w:rFonts w:cs="Miriam"/>
          <w:rtl/>
        </w:rPr>
        <w:t>הנמצאת על סיפה של עבירת הרצח</w:t>
      </w:r>
      <w:r>
        <w:rPr>
          <w:rtl/>
        </w:rPr>
        <w:t xml:space="preserve">", קרי, כאשר נסיבותיו של מעשה ההמתה מתאפיינות בחומרה קשה במיוחד – כפי בענייננו – ניתן להשית את העונש המירבי הקבוע בצידה של העבירה, או עונש הנושק לעונש המרבי האמור (ראו, למשל, </w:t>
      </w:r>
      <w:hyperlink r:id="rId57" w:history="1">
        <w:r w:rsidR="00943CBE" w:rsidRPr="00943CBE">
          <w:rPr>
            <w:color w:val="0000FF"/>
            <w:u w:val="single"/>
            <w:rtl/>
          </w:rPr>
          <w:t>ע"פ 2196/10</w:t>
        </w:r>
      </w:hyperlink>
      <w:r>
        <w:rPr>
          <w:rtl/>
        </w:rPr>
        <w:t xml:space="preserve"> </w:t>
      </w:r>
      <w:r>
        <w:rPr>
          <w:b/>
          <w:bCs/>
          <w:rtl/>
        </w:rPr>
        <w:t>אגבריה נ' מדינת ישראל</w:t>
      </w:r>
      <w:r>
        <w:rPr>
          <w:rtl/>
        </w:rPr>
        <w:t xml:space="preserve"> (לא פורסם</w:t>
      </w:r>
      <w:r w:rsidR="003636B7">
        <w:rPr>
          <w:rFonts w:hint="cs"/>
          <w:rtl/>
        </w:rPr>
        <w:t xml:space="preserve">, </w:t>
      </w:r>
      <w:r w:rsidR="003636B7" w:rsidRPr="003636B7">
        <w:rPr>
          <w:sz w:val="22"/>
          <w:rtl/>
        </w:rPr>
        <w:t>[פורסם בנבו]</w:t>
      </w:r>
      <w:r>
        <w:rPr>
          <w:rtl/>
        </w:rPr>
        <w:t>, 08/03/12) (להלן: "</w:t>
      </w:r>
      <w:r>
        <w:rPr>
          <w:rFonts w:cs="Miriam"/>
          <w:rtl/>
        </w:rPr>
        <w:t>עניין אגבריה</w:t>
      </w:r>
      <w:r>
        <w:rPr>
          <w:rtl/>
        </w:rPr>
        <w:t xml:space="preserve">"); </w:t>
      </w:r>
      <w:hyperlink r:id="rId58" w:history="1">
        <w:r w:rsidR="00943CBE" w:rsidRPr="00943CBE">
          <w:rPr>
            <w:color w:val="0000FF"/>
            <w:u w:val="single"/>
            <w:rtl/>
          </w:rPr>
          <w:t>ע"פ 2562/10</w:t>
        </w:r>
      </w:hyperlink>
      <w:r>
        <w:rPr>
          <w:rtl/>
        </w:rPr>
        <w:t xml:space="preserve"> </w:t>
      </w:r>
      <w:r>
        <w:rPr>
          <w:b/>
          <w:bCs/>
          <w:rtl/>
        </w:rPr>
        <w:t>באדיר נ' מדינת ישראל</w:t>
      </w:r>
      <w:r>
        <w:rPr>
          <w:rtl/>
        </w:rPr>
        <w:t xml:space="preserve"> (לא פורסם</w:t>
      </w:r>
      <w:r w:rsidR="003636B7">
        <w:rPr>
          <w:rFonts w:hint="cs"/>
          <w:rtl/>
        </w:rPr>
        <w:t xml:space="preserve">, </w:t>
      </w:r>
      <w:r w:rsidR="003636B7" w:rsidRPr="003636B7">
        <w:rPr>
          <w:sz w:val="22"/>
          <w:rtl/>
        </w:rPr>
        <w:t>[פורסם בנבו]</w:t>
      </w:r>
      <w:r>
        <w:rPr>
          <w:rtl/>
        </w:rPr>
        <w:t xml:space="preserve">, 02/04/12)). </w:t>
      </w:r>
    </w:p>
    <w:p w14:paraId="308DFF2E" w14:textId="77777777" w:rsidR="00137958" w:rsidRDefault="00137958" w:rsidP="00173AE3">
      <w:pPr>
        <w:jc w:val="both"/>
        <w:rPr>
          <w:rtl/>
        </w:rPr>
      </w:pPr>
    </w:p>
    <w:p w14:paraId="52834347" w14:textId="77777777" w:rsidR="00137958" w:rsidRDefault="00137958" w:rsidP="003636B7">
      <w:pPr>
        <w:spacing w:line="360" w:lineRule="auto"/>
        <w:jc w:val="both"/>
        <w:rPr>
          <w:rtl/>
        </w:rPr>
      </w:pPr>
      <w:r>
        <w:rPr>
          <w:rtl/>
        </w:rPr>
        <w:t>לעניין זה נפנה לדבריו של כב' השופט טירקל ב</w:t>
      </w:r>
      <w:hyperlink r:id="rId59" w:history="1">
        <w:r w:rsidR="00943CBE" w:rsidRPr="00943CBE">
          <w:rPr>
            <w:color w:val="0000FF"/>
            <w:u w:val="single"/>
            <w:rtl/>
          </w:rPr>
          <w:t>ע"פ 1456/01</w:t>
        </w:r>
      </w:hyperlink>
      <w:r w:rsidR="003636B7">
        <w:rPr>
          <w:rFonts w:hint="cs"/>
          <w:rtl/>
        </w:rPr>
        <w:t xml:space="preserve"> </w:t>
      </w:r>
      <w:r w:rsidR="003636B7" w:rsidRPr="003636B7">
        <w:rPr>
          <w:sz w:val="22"/>
          <w:rtl/>
        </w:rPr>
        <w:t>[פורסם בנבו]</w:t>
      </w:r>
      <w:r>
        <w:rPr>
          <w:rtl/>
        </w:rPr>
        <w:t xml:space="preserve">: </w:t>
      </w:r>
    </w:p>
    <w:p w14:paraId="10B8E425" w14:textId="77777777" w:rsidR="00137958" w:rsidRDefault="00137958" w:rsidP="00E42C24">
      <w:pPr>
        <w:jc w:val="both"/>
        <w:rPr>
          <w:rtl/>
        </w:rPr>
      </w:pPr>
    </w:p>
    <w:p w14:paraId="201521C1" w14:textId="77777777" w:rsidR="00137958" w:rsidRDefault="00137958" w:rsidP="00E42C24">
      <w:pPr>
        <w:ind w:left="746" w:right="1134"/>
        <w:jc w:val="both"/>
        <w:rPr>
          <w:rFonts w:cs="Miriam"/>
          <w:rtl/>
        </w:rPr>
      </w:pPr>
      <w:r>
        <w:rPr>
          <w:rFonts w:cs="Miriam"/>
          <w:rtl/>
        </w:rPr>
        <w:t xml:space="preserve">"אכן, העונש שנגזר על המערער הוא העונש המרבי הקבוע לעבירה בחוק, אולם יש לזכור כי במדרג המעשים הגורמים למותו של אדם עומד מעשהו של המערער [...] בדרגה החמורה ביותר, זו המתקרבת לרצח, ורק כפסע היה בין המערער לבין הרשעתו ברצח" </w:t>
      </w:r>
      <w:r>
        <w:rPr>
          <w:rtl/>
        </w:rPr>
        <w:t>(</w:t>
      </w:r>
      <w:hyperlink r:id="rId60" w:history="1">
        <w:r w:rsidR="003636B7" w:rsidRPr="003636B7">
          <w:rPr>
            <w:b/>
            <w:bCs/>
            <w:color w:val="0000FF"/>
            <w:u w:val="single"/>
            <w:rtl/>
          </w:rPr>
          <w:t>חדד נ' מדינת ישראל, פ"ד נו</w:t>
        </w:r>
      </w:hyperlink>
      <w:r>
        <w:rPr>
          <w:rtl/>
        </w:rPr>
        <w:t>(1) 609, 614 (להלן: "</w:t>
      </w:r>
      <w:r>
        <w:rPr>
          <w:rFonts w:cs="Miriam"/>
          <w:rtl/>
        </w:rPr>
        <w:t>עניין חדד</w:t>
      </w:r>
      <w:r>
        <w:rPr>
          <w:rtl/>
        </w:rPr>
        <w:t>"))</w:t>
      </w:r>
      <w:r>
        <w:rPr>
          <w:rFonts w:cs="Miriam"/>
          <w:rtl/>
        </w:rPr>
        <w:t xml:space="preserve">. </w:t>
      </w:r>
    </w:p>
    <w:p w14:paraId="65BCB96F" w14:textId="77777777" w:rsidR="00137958" w:rsidRDefault="00137958" w:rsidP="00E42C24">
      <w:pPr>
        <w:jc w:val="both"/>
        <w:rPr>
          <w:rtl/>
        </w:rPr>
      </w:pPr>
    </w:p>
    <w:p w14:paraId="1422CCBD" w14:textId="77777777" w:rsidR="00137958" w:rsidRDefault="00137958" w:rsidP="00E42C24">
      <w:pPr>
        <w:jc w:val="both"/>
        <w:rPr>
          <w:rtl/>
        </w:rPr>
      </w:pPr>
      <w:r>
        <w:rPr>
          <w:rtl/>
        </w:rPr>
        <w:t>נפנה גם לדברים שנאמרו בעניין "</w:t>
      </w:r>
      <w:r>
        <w:rPr>
          <w:b/>
          <w:bCs/>
          <w:rtl/>
        </w:rPr>
        <w:t>אזואלוס</w:t>
      </w:r>
      <w:r>
        <w:rPr>
          <w:rtl/>
        </w:rPr>
        <w:t xml:space="preserve">" הנ"ל:  </w:t>
      </w:r>
    </w:p>
    <w:p w14:paraId="16153A57" w14:textId="77777777" w:rsidR="00137958" w:rsidRDefault="00137958" w:rsidP="00977D4C">
      <w:pPr>
        <w:spacing w:line="360" w:lineRule="auto"/>
        <w:jc w:val="both"/>
        <w:rPr>
          <w:rtl/>
        </w:rPr>
      </w:pPr>
    </w:p>
    <w:p w14:paraId="476BE09D" w14:textId="77777777" w:rsidR="00137958" w:rsidRDefault="00137958" w:rsidP="00E42C24">
      <w:pPr>
        <w:ind w:left="746" w:right="1134"/>
        <w:jc w:val="both"/>
        <w:rPr>
          <w:rFonts w:cs="Miriam"/>
          <w:rtl/>
        </w:rPr>
      </w:pPr>
      <w:r>
        <w:rPr>
          <w:rFonts w:cs="Miriam"/>
          <w:rtl/>
        </w:rPr>
        <w:t xml:space="preserve">"העונש המרבי הקבוע לצדה של עבירת הריגה הוא 20 שנה. בענייננו, כפי שעולה מכל הנסיבות שפורטו פרט היטב על-ידי בית-המשפט המחוזי, כפסע היה בין עבירות הרצח לעבירות ההריגה שבהן הורשע המערער, ועל כן מן הראוי היה שעונשו של המערער יתקרב לעונש המרבי" </w:t>
      </w:r>
      <w:r>
        <w:rPr>
          <w:rtl/>
        </w:rPr>
        <w:t>(</w:t>
      </w:r>
      <w:hyperlink r:id="rId61" w:history="1">
        <w:r w:rsidR="000C34CB" w:rsidRPr="000C34CB">
          <w:rPr>
            <w:b/>
            <w:bCs/>
            <w:color w:val="0000FF"/>
            <w:u w:val="single"/>
            <w:rtl/>
          </w:rPr>
          <w:t>אזואלוס נ' מדינת ישראל, פ"ד נב</w:t>
        </w:r>
      </w:hyperlink>
      <w:r>
        <w:rPr>
          <w:rtl/>
        </w:rPr>
        <w:t>(2) 412).</w:t>
      </w:r>
    </w:p>
    <w:p w14:paraId="1094CC0B" w14:textId="77777777" w:rsidR="00137958" w:rsidRDefault="00137958" w:rsidP="00977D4C">
      <w:pPr>
        <w:spacing w:line="360" w:lineRule="auto"/>
        <w:jc w:val="both"/>
        <w:rPr>
          <w:rtl/>
        </w:rPr>
      </w:pPr>
    </w:p>
    <w:p w14:paraId="37646FC7" w14:textId="77777777" w:rsidR="00137958" w:rsidRDefault="00137958" w:rsidP="00977D4C">
      <w:pPr>
        <w:spacing w:line="360" w:lineRule="auto"/>
        <w:jc w:val="both"/>
        <w:rPr>
          <w:rtl/>
        </w:rPr>
      </w:pPr>
      <w:r>
        <w:rPr>
          <w:rtl/>
        </w:rPr>
        <w:t>עוד נקבע בפסיקה, כי יש לנקוט ברמת ענישה מחמירה, עת מדובר בעבירות של "</w:t>
      </w:r>
      <w:r>
        <w:rPr>
          <w:rFonts w:cs="Miriam"/>
          <w:rtl/>
        </w:rPr>
        <w:t>שפיכות דמים</w:t>
      </w:r>
      <w:r>
        <w:rPr>
          <w:rtl/>
        </w:rPr>
        <w:t>". לעניין זה, נפנה לדבריו של כב' השופט טירקל בעניין "</w:t>
      </w:r>
      <w:r>
        <w:rPr>
          <w:b/>
          <w:bCs/>
          <w:rtl/>
        </w:rPr>
        <w:t>חדד</w:t>
      </w:r>
      <w:r>
        <w:rPr>
          <w:rtl/>
        </w:rPr>
        <w:t xml:space="preserve">" הנ"ל:  </w:t>
      </w:r>
    </w:p>
    <w:p w14:paraId="2320FE76" w14:textId="77777777" w:rsidR="00137958" w:rsidRDefault="00137958" w:rsidP="00173AE3">
      <w:pPr>
        <w:jc w:val="both"/>
        <w:rPr>
          <w:rtl/>
        </w:rPr>
      </w:pPr>
    </w:p>
    <w:p w14:paraId="43CEAE30" w14:textId="77777777" w:rsidR="00137958" w:rsidRDefault="00137958" w:rsidP="00E42C24">
      <w:pPr>
        <w:ind w:left="746" w:right="1134"/>
        <w:jc w:val="both"/>
        <w:rPr>
          <w:rFonts w:cs="Miriam"/>
          <w:rtl/>
        </w:rPr>
      </w:pPr>
      <w:r>
        <w:rPr>
          <w:rFonts w:cs="Miriam"/>
          <w:rtl/>
        </w:rPr>
        <w:t>"רבו העבריינים, נגע האלימות פשה בבתינו וברחובותינו... העבירה של שפיכות דמים - שהיא משבע מצוות בני נח ומשלוש העבירות שעליהן "ייהרג ולא יעבור" - היתה כמעט לדבר יום ביומו... אין אנו פטורים עוד מלהתוות קוים לרמת הענישה הראויה שבגדרם יש לנקוט בגישה המחמירה, לאמור בגישה הרואה בעונש המרבי את נקודת המוצא</w:t>
      </w:r>
      <w:r>
        <w:rPr>
          <w:rFonts w:cs="Miriam"/>
        </w:rPr>
        <w:t>;</w:t>
      </w:r>
      <w:r>
        <w:rPr>
          <w:rFonts w:cs="Miriam"/>
          <w:rtl/>
        </w:rPr>
        <w:t xml:space="preserve"> שממנו מפחיתים לפי נסיבות המקרה, נסיבותיו האישיות של העבריין, תדירותה או נדירותה של העבירה, הרתעת עבריינים בכוח ועצמת הסלידה ושאט הנפש של החברה" </w:t>
      </w:r>
      <w:r>
        <w:rPr>
          <w:rtl/>
        </w:rPr>
        <w:t>(</w:t>
      </w:r>
      <w:hyperlink r:id="rId62" w:history="1">
        <w:r w:rsidR="000C34CB" w:rsidRPr="000C34CB">
          <w:rPr>
            <w:b/>
            <w:bCs/>
            <w:color w:val="0000FF"/>
            <w:u w:val="single"/>
            <w:rtl/>
          </w:rPr>
          <w:t>חדד נ' מדינת ישראל, פ"ד נו</w:t>
        </w:r>
      </w:hyperlink>
      <w:r>
        <w:rPr>
          <w:rtl/>
        </w:rPr>
        <w:t xml:space="preserve">(1) 609, 613-614). </w:t>
      </w:r>
    </w:p>
    <w:p w14:paraId="6AFD3F8D" w14:textId="77777777" w:rsidR="00137958" w:rsidRDefault="00137958" w:rsidP="00977D4C">
      <w:pPr>
        <w:spacing w:line="360" w:lineRule="auto"/>
        <w:jc w:val="both"/>
        <w:rPr>
          <w:rtl/>
        </w:rPr>
      </w:pPr>
    </w:p>
    <w:p w14:paraId="107BF571" w14:textId="77777777" w:rsidR="00137958" w:rsidRDefault="00137958" w:rsidP="00977D4C">
      <w:pPr>
        <w:spacing w:line="360" w:lineRule="auto"/>
        <w:jc w:val="both"/>
        <w:rPr>
          <w:rtl/>
        </w:rPr>
      </w:pPr>
      <w:r>
        <w:rPr>
          <w:rtl/>
        </w:rPr>
        <w:t>זאת עוד, נקבע, כי ירי של כדורים רבים למקום בו מצויים אנשים, בשים לב לפוטנציאל הקטלני הגלום בכך, מצדיק השתת עונשי מאסר ממושכים הניצבים ברף הגבוה של הענישה הנוהגת בעבירות ההריגה. יפים לעניין זה, דבריו של כב' השופט רובינשטיין בעניין "</w:t>
      </w:r>
      <w:r>
        <w:rPr>
          <w:b/>
          <w:bCs/>
          <w:rtl/>
        </w:rPr>
        <w:t>אגבריה</w:t>
      </w:r>
      <w:r>
        <w:rPr>
          <w:rtl/>
        </w:rPr>
        <w:t>" הנ"ל:</w:t>
      </w:r>
    </w:p>
    <w:p w14:paraId="7E83B535" w14:textId="77777777" w:rsidR="00137958" w:rsidRDefault="00137958" w:rsidP="00E42C24">
      <w:pPr>
        <w:jc w:val="both"/>
        <w:rPr>
          <w:rtl/>
        </w:rPr>
      </w:pPr>
    </w:p>
    <w:p w14:paraId="1DCBA532" w14:textId="77777777" w:rsidR="00137958" w:rsidRDefault="00137958" w:rsidP="00E42C24">
      <w:pPr>
        <w:ind w:left="746" w:right="1134"/>
        <w:jc w:val="both"/>
        <w:rPr>
          <w:rFonts w:cs="Miriam"/>
          <w:rtl/>
        </w:rPr>
      </w:pPr>
      <w:r>
        <w:rPr>
          <w:rFonts w:cs="Miriam"/>
          <w:rtl/>
        </w:rPr>
        <w:t xml:space="preserve">"אשר לעונשי המאסר, לאחר ששקלנו בדבר הגענו לכלל מסקנה כי אין מקום להתערבותנו בהם, אף אם נמצאים הם ברף הגבוה של הענישה בעבירות הריגה [...] עמדתנו יסודה בנסיבות החמורות במיוחד, של ירי רב כדורים למקום בו מצויים אנשים, תוך שהסיכוי לפגיעה - ופגיעה קטלנית - גבוה ביותר </w:t>
      </w:r>
      <w:r>
        <w:rPr>
          <w:rtl/>
        </w:rPr>
        <w:t>(עניין אגבריה, פסקה כ"ג לפסק דינו של כב' השופט רובינשטיין).</w:t>
      </w:r>
    </w:p>
    <w:p w14:paraId="288D3B38" w14:textId="77777777" w:rsidR="00137958" w:rsidRDefault="00137958" w:rsidP="00977D4C">
      <w:pPr>
        <w:spacing w:line="360" w:lineRule="auto"/>
        <w:jc w:val="both"/>
        <w:rPr>
          <w:rtl/>
        </w:rPr>
      </w:pPr>
    </w:p>
    <w:p w14:paraId="4D2594D5" w14:textId="77777777" w:rsidR="00137958" w:rsidRDefault="00137958" w:rsidP="000C34CB">
      <w:pPr>
        <w:spacing w:line="360" w:lineRule="auto"/>
        <w:jc w:val="both"/>
        <w:rPr>
          <w:rtl/>
        </w:rPr>
      </w:pPr>
      <w:r>
        <w:rPr>
          <w:rtl/>
        </w:rPr>
        <w:t xml:space="preserve">יצויין, כי בשנים האחרונות נוטה הפסיקה להחמיר בענישה המוטלת בגין ביצוע </w:t>
      </w:r>
      <w:r>
        <w:rPr>
          <w:rFonts w:cs="Miriam"/>
          <w:rtl/>
        </w:rPr>
        <w:t>עבירות בנשק</w:t>
      </w:r>
      <w:r>
        <w:rPr>
          <w:rtl/>
        </w:rPr>
        <w:t xml:space="preserve"> (ראו, למשל, </w:t>
      </w:r>
      <w:hyperlink r:id="rId63" w:history="1">
        <w:r w:rsidR="00943CBE" w:rsidRPr="00943CBE">
          <w:rPr>
            <w:color w:val="0000FF"/>
            <w:u w:val="single"/>
            <w:rtl/>
          </w:rPr>
          <w:t>ע"פ 2251/11</w:t>
        </w:r>
      </w:hyperlink>
      <w:r>
        <w:rPr>
          <w:rtl/>
        </w:rPr>
        <w:t xml:space="preserve"> </w:t>
      </w:r>
      <w:r>
        <w:rPr>
          <w:b/>
          <w:bCs/>
          <w:rtl/>
        </w:rPr>
        <w:t>נפאע נ' מדינת ישראל</w:t>
      </w:r>
      <w:r>
        <w:rPr>
          <w:rtl/>
        </w:rPr>
        <w:t xml:space="preserve"> (לא פורסם</w:t>
      </w:r>
      <w:r w:rsidR="000C34CB">
        <w:rPr>
          <w:rFonts w:hint="cs"/>
          <w:rtl/>
        </w:rPr>
        <w:t xml:space="preserve">, </w:t>
      </w:r>
      <w:r w:rsidR="000C34CB" w:rsidRPr="000C34CB">
        <w:rPr>
          <w:sz w:val="22"/>
          <w:rtl/>
        </w:rPr>
        <w:t>[פורסם בנבו]</w:t>
      </w:r>
      <w:r>
        <w:rPr>
          <w:rtl/>
        </w:rPr>
        <w:t xml:space="preserve">, 04/12/11); </w:t>
      </w:r>
      <w:hyperlink r:id="rId64" w:history="1">
        <w:r w:rsidR="00943CBE" w:rsidRPr="00943CBE">
          <w:rPr>
            <w:color w:val="0000FF"/>
            <w:u w:val="single"/>
            <w:rtl/>
          </w:rPr>
          <w:t>ע"פ 4450/11</w:t>
        </w:r>
      </w:hyperlink>
      <w:r>
        <w:rPr>
          <w:rtl/>
        </w:rPr>
        <w:t xml:space="preserve"> </w:t>
      </w:r>
      <w:r>
        <w:rPr>
          <w:b/>
          <w:bCs/>
          <w:rtl/>
        </w:rPr>
        <w:t>עספור נ' מדינת ישראל</w:t>
      </w:r>
      <w:r>
        <w:rPr>
          <w:rtl/>
        </w:rPr>
        <w:t xml:space="preserve"> (לא פורסם</w:t>
      </w:r>
      <w:r w:rsidR="000C34CB">
        <w:rPr>
          <w:rFonts w:hint="cs"/>
          <w:rtl/>
        </w:rPr>
        <w:t xml:space="preserve">, </w:t>
      </w:r>
      <w:r w:rsidR="000C34CB" w:rsidRPr="000C34CB">
        <w:rPr>
          <w:sz w:val="22"/>
          <w:rtl/>
        </w:rPr>
        <w:t>[פורסם בנבו]</w:t>
      </w:r>
      <w:r>
        <w:rPr>
          <w:rtl/>
        </w:rPr>
        <w:t xml:space="preserve">, 08/02/12); </w:t>
      </w:r>
      <w:hyperlink r:id="rId65" w:history="1">
        <w:r w:rsidR="00943CBE" w:rsidRPr="00943CBE">
          <w:rPr>
            <w:color w:val="0000FF"/>
            <w:u w:val="single"/>
            <w:rtl/>
          </w:rPr>
          <w:t>ע"פ 3156/11</w:t>
        </w:r>
      </w:hyperlink>
      <w:r>
        <w:rPr>
          <w:rtl/>
        </w:rPr>
        <w:t xml:space="preserve"> </w:t>
      </w:r>
      <w:r>
        <w:rPr>
          <w:b/>
          <w:bCs/>
          <w:rtl/>
        </w:rPr>
        <w:t>זראיעה נ' מדינת ישראל</w:t>
      </w:r>
      <w:r>
        <w:rPr>
          <w:rtl/>
        </w:rPr>
        <w:t xml:space="preserve"> (לא פורסם</w:t>
      </w:r>
      <w:r w:rsidR="000C34CB">
        <w:rPr>
          <w:rFonts w:hint="cs"/>
          <w:rtl/>
        </w:rPr>
        <w:t xml:space="preserve">, </w:t>
      </w:r>
      <w:r w:rsidR="000C34CB" w:rsidRPr="000C34CB">
        <w:rPr>
          <w:sz w:val="22"/>
          <w:rtl/>
        </w:rPr>
        <w:t>[פורסם בנבו]</w:t>
      </w:r>
      <w:r>
        <w:rPr>
          <w:rtl/>
        </w:rPr>
        <w:t xml:space="preserve">, 21/02/12); </w:t>
      </w:r>
      <w:hyperlink r:id="rId66" w:history="1">
        <w:r w:rsidR="00943CBE" w:rsidRPr="00943CBE">
          <w:rPr>
            <w:color w:val="0000FF"/>
            <w:u w:val="single"/>
            <w:rtl/>
          </w:rPr>
          <w:t>ע"פ 2044/11</w:t>
        </w:r>
      </w:hyperlink>
      <w:r>
        <w:rPr>
          <w:rtl/>
        </w:rPr>
        <w:t xml:space="preserve"> </w:t>
      </w:r>
      <w:r>
        <w:rPr>
          <w:b/>
          <w:bCs/>
          <w:rtl/>
        </w:rPr>
        <w:t>מדינת ישראל נ' בלוצרקובסקי</w:t>
      </w:r>
      <w:r>
        <w:rPr>
          <w:rtl/>
        </w:rPr>
        <w:t xml:space="preserve"> (לא פורסם</w:t>
      </w:r>
      <w:r w:rsidR="000C34CB">
        <w:rPr>
          <w:rFonts w:hint="cs"/>
          <w:rtl/>
        </w:rPr>
        <w:t xml:space="preserve">, </w:t>
      </w:r>
      <w:r w:rsidR="000C34CB" w:rsidRPr="000C34CB">
        <w:rPr>
          <w:sz w:val="22"/>
          <w:rtl/>
        </w:rPr>
        <w:t>[פורסם בנבו]</w:t>
      </w:r>
      <w:r>
        <w:rPr>
          <w:rtl/>
        </w:rPr>
        <w:t xml:space="preserve">, 08/02/12)). </w:t>
      </w:r>
    </w:p>
    <w:p w14:paraId="35CB7FC7" w14:textId="77777777" w:rsidR="00137958" w:rsidRDefault="00137958" w:rsidP="00977D4C">
      <w:pPr>
        <w:spacing w:line="360" w:lineRule="auto"/>
        <w:jc w:val="both"/>
        <w:rPr>
          <w:rtl/>
        </w:rPr>
      </w:pPr>
    </w:p>
    <w:p w14:paraId="5AF1CB4F" w14:textId="77777777" w:rsidR="00137958" w:rsidRDefault="00137958" w:rsidP="00E42C24">
      <w:pPr>
        <w:jc w:val="both"/>
        <w:rPr>
          <w:rtl/>
        </w:rPr>
      </w:pPr>
      <w:r>
        <w:rPr>
          <w:rtl/>
        </w:rPr>
        <w:t>יפים לעניין זה דברים שנאמרו ב</w:t>
      </w:r>
      <w:hyperlink r:id="rId67" w:history="1">
        <w:r w:rsidR="00943CBE" w:rsidRPr="00943CBE">
          <w:rPr>
            <w:color w:val="0000FF"/>
            <w:u w:val="single"/>
            <w:rtl/>
          </w:rPr>
          <w:t>ע"פ 1323/13</w:t>
        </w:r>
      </w:hyperlink>
      <w:r>
        <w:rPr>
          <w:rtl/>
        </w:rPr>
        <w:t xml:space="preserve">: </w:t>
      </w:r>
    </w:p>
    <w:p w14:paraId="0911839F" w14:textId="77777777" w:rsidR="00137958" w:rsidRDefault="00137958" w:rsidP="00E42C24">
      <w:pPr>
        <w:jc w:val="both"/>
        <w:rPr>
          <w:rtl/>
        </w:rPr>
      </w:pPr>
    </w:p>
    <w:p w14:paraId="7FF33024" w14:textId="77777777" w:rsidR="00137958" w:rsidRDefault="00137958" w:rsidP="00E42C24">
      <w:pPr>
        <w:ind w:left="746" w:right="1134"/>
        <w:jc w:val="both"/>
        <w:rPr>
          <w:rFonts w:cs="Miriam"/>
          <w:rtl/>
        </w:rPr>
      </w:pPr>
      <w:r>
        <w:rPr>
          <w:rFonts w:cs="Miriam"/>
          <w:rtl/>
        </w:rPr>
        <w:t xml:space="preserve">"[...] נוכח היקפן המתרחב של עבירות המבוצעות בנשק [...] וזמינותו המדאיגה של נשק בלתי חוקי במחוזותינו, התעורר הצורך להחמיר בעונשי המאסר המוטלים בעבירות אלה ]...]" </w:t>
      </w:r>
      <w:r>
        <w:rPr>
          <w:rtl/>
        </w:rPr>
        <w:t>(</w:t>
      </w:r>
      <w:r>
        <w:rPr>
          <w:b/>
          <w:bCs/>
          <w:rtl/>
        </w:rPr>
        <w:t>רך חסן נ' מדינת ישראל</w:t>
      </w:r>
      <w:r>
        <w:rPr>
          <w:rtl/>
        </w:rPr>
        <w:t xml:space="preserve"> (לא פורסם, 05/06/13), בעמ' 10).  </w:t>
      </w:r>
    </w:p>
    <w:p w14:paraId="2F8ADCED" w14:textId="77777777" w:rsidR="00137958" w:rsidRDefault="00137958" w:rsidP="00173AE3">
      <w:pPr>
        <w:spacing w:line="360" w:lineRule="auto"/>
        <w:ind w:left="746" w:right="1134"/>
        <w:jc w:val="both"/>
        <w:rPr>
          <w:rFonts w:cs="Miriam"/>
          <w:rtl/>
        </w:rPr>
      </w:pPr>
    </w:p>
    <w:p w14:paraId="7D4A2FB5" w14:textId="77777777" w:rsidR="00137958" w:rsidRDefault="00137958" w:rsidP="000C34CB">
      <w:pPr>
        <w:jc w:val="both"/>
        <w:rPr>
          <w:rtl/>
        </w:rPr>
      </w:pPr>
      <w:r>
        <w:rPr>
          <w:rtl/>
        </w:rPr>
        <w:t>על הסיכון הטמון בעבירות המבוצעות בנשק, עמד בית המשפט העליון ב</w:t>
      </w:r>
      <w:hyperlink r:id="rId68" w:history="1">
        <w:r w:rsidR="00943CBE" w:rsidRPr="00943CBE">
          <w:rPr>
            <w:color w:val="0000FF"/>
            <w:u w:val="single"/>
            <w:rtl/>
          </w:rPr>
          <w:t>ע"פ 4945/13</w:t>
        </w:r>
      </w:hyperlink>
      <w:r w:rsidR="000C34CB">
        <w:rPr>
          <w:rFonts w:hint="cs"/>
          <w:rtl/>
        </w:rPr>
        <w:t xml:space="preserve"> </w:t>
      </w:r>
      <w:r w:rsidR="000C34CB" w:rsidRPr="000C34CB">
        <w:rPr>
          <w:sz w:val="22"/>
          <w:rtl/>
        </w:rPr>
        <w:t>[פורסם בנבו]</w:t>
      </w:r>
      <w:r>
        <w:rPr>
          <w:rtl/>
        </w:rPr>
        <w:t xml:space="preserve">: </w:t>
      </w:r>
    </w:p>
    <w:p w14:paraId="22153B20" w14:textId="77777777" w:rsidR="00137958" w:rsidRDefault="00137958" w:rsidP="00E42C24">
      <w:pPr>
        <w:jc w:val="both"/>
        <w:rPr>
          <w:rtl/>
        </w:rPr>
      </w:pPr>
    </w:p>
    <w:p w14:paraId="238A0495" w14:textId="77777777" w:rsidR="00137958" w:rsidRDefault="00137958" w:rsidP="000C34CB">
      <w:pPr>
        <w:ind w:left="746" w:right="1134"/>
        <w:jc w:val="both"/>
        <w:rPr>
          <w:rFonts w:cs="Miriam"/>
          <w:rtl/>
        </w:rPr>
      </w:pPr>
      <w:r>
        <w:rPr>
          <w:rFonts w:cs="Miriam"/>
          <w:rtl/>
        </w:rPr>
        <w:t xml:space="preserve">"עבירות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 עצם החזקת נשק בעל פוטנציאל קטילה מבלי שיש עליו ועל בעליו פיקוח מוסדר של הרשויות טומן בחובו סיכון [...]" </w:t>
      </w:r>
      <w:r>
        <w:rPr>
          <w:rtl/>
        </w:rPr>
        <w:t>(</w:t>
      </w:r>
      <w:r>
        <w:rPr>
          <w:b/>
          <w:bCs/>
          <w:rtl/>
        </w:rPr>
        <w:t>מדינת ישראל נ' עבד אלכרים סלימא</w:t>
      </w:r>
      <w:r>
        <w:rPr>
          <w:rtl/>
        </w:rPr>
        <w:t>ן (לא פורסם</w:t>
      </w:r>
      <w:r w:rsidR="000C34CB">
        <w:rPr>
          <w:rFonts w:hint="cs"/>
          <w:rtl/>
        </w:rPr>
        <w:t xml:space="preserve">, </w:t>
      </w:r>
      <w:r w:rsidR="000C34CB" w:rsidRPr="000C34CB">
        <w:rPr>
          <w:sz w:val="22"/>
          <w:rtl/>
        </w:rPr>
        <w:t>[פורסם בנבו]</w:t>
      </w:r>
      <w:r>
        <w:rPr>
          <w:rtl/>
        </w:rPr>
        <w:t>, 19/01/14), בעמ' 6) (להלן: "</w:t>
      </w:r>
      <w:r>
        <w:rPr>
          <w:rFonts w:cs="Miriam"/>
          <w:rtl/>
        </w:rPr>
        <w:t>עניין סלימאן</w:t>
      </w:r>
      <w:r>
        <w:rPr>
          <w:rtl/>
        </w:rPr>
        <w:t xml:space="preserve">"). </w:t>
      </w:r>
    </w:p>
    <w:p w14:paraId="00DE8653" w14:textId="77777777" w:rsidR="00137958" w:rsidRDefault="00137958" w:rsidP="00977D4C">
      <w:pPr>
        <w:spacing w:line="360" w:lineRule="auto"/>
        <w:jc w:val="both"/>
        <w:rPr>
          <w:rtl/>
        </w:rPr>
      </w:pPr>
    </w:p>
    <w:p w14:paraId="73D3C87C" w14:textId="77777777" w:rsidR="00137958" w:rsidRDefault="00137958" w:rsidP="00977D4C">
      <w:pPr>
        <w:spacing w:line="360" w:lineRule="auto"/>
        <w:jc w:val="both"/>
        <w:rPr>
          <w:rtl/>
        </w:rPr>
      </w:pPr>
      <w:r>
        <w:rPr>
          <w:rtl/>
        </w:rPr>
        <w:t xml:space="preserve">עמדת הפסיקה מחמירה אף יותר – באשר לענישה המוטלת בגין ביצוע עבירות בנשק – שעה ששימש הנשק, הלכה למעשה, לשם ביצוע קטילת חייו של אדם. </w:t>
      </w:r>
    </w:p>
    <w:p w14:paraId="1EBF2EF1" w14:textId="77777777" w:rsidR="00137958" w:rsidRDefault="00137958" w:rsidP="00977D4C">
      <w:pPr>
        <w:spacing w:line="360" w:lineRule="auto"/>
        <w:jc w:val="both"/>
        <w:rPr>
          <w:rtl/>
        </w:rPr>
      </w:pPr>
    </w:p>
    <w:p w14:paraId="2778962A" w14:textId="77777777" w:rsidR="00137958" w:rsidRDefault="00137958" w:rsidP="00977D4C">
      <w:pPr>
        <w:spacing w:line="360" w:lineRule="auto"/>
        <w:jc w:val="both"/>
        <w:rPr>
          <w:rtl/>
        </w:rPr>
      </w:pPr>
      <w:r>
        <w:rPr>
          <w:rtl/>
        </w:rPr>
        <w:t xml:space="preserve">עיון במקרים דומים בפסיקה בהם בוצעו עבירות בנשק, העלה מספר מקרים רלוונטיים לענייננו, אשר בכולם נגזרו עונשי מאסר בפועל, בטווח הנע בין 3 ל- 7 שנות מאסר בפועל. </w:t>
      </w:r>
    </w:p>
    <w:p w14:paraId="58258F17" w14:textId="77777777" w:rsidR="00137958" w:rsidRDefault="00137958" w:rsidP="00977D4C">
      <w:pPr>
        <w:spacing w:line="360" w:lineRule="auto"/>
        <w:jc w:val="both"/>
        <w:rPr>
          <w:rtl/>
        </w:rPr>
      </w:pPr>
    </w:p>
    <w:p w14:paraId="33EF4A49" w14:textId="77777777" w:rsidR="00137958" w:rsidRDefault="00137958" w:rsidP="00977D4C">
      <w:pPr>
        <w:spacing w:line="360" w:lineRule="auto"/>
        <w:jc w:val="both"/>
        <w:rPr>
          <w:rtl/>
        </w:rPr>
      </w:pPr>
      <w:r>
        <w:rPr>
          <w:rtl/>
        </w:rPr>
        <w:t xml:space="preserve">באשר לעבירת קשירת הקשר בה הורשעו הנאשמים, נראה כי עבירה זו נבלעת בעבירה העיקרית שבה הורשעו הנאשמים, קרי עבירת ההריגה. </w:t>
      </w:r>
    </w:p>
    <w:p w14:paraId="7E019FB1" w14:textId="77777777" w:rsidR="00137958" w:rsidRDefault="00137958" w:rsidP="00977D4C">
      <w:pPr>
        <w:spacing w:line="360" w:lineRule="auto"/>
        <w:jc w:val="both"/>
        <w:rPr>
          <w:u w:val="single"/>
          <w:rtl/>
        </w:rPr>
      </w:pPr>
      <w:r>
        <w:rPr>
          <w:u w:val="single"/>
          <w:rtl/>
        </w:rPr>
        <w:t xml:space="preserve">נסיבות הקשורות בביצוע העבירה </w:t>
      </w:r>
    </w:p>
    <w:p w14:paraId="1F584CF4" w14:textId="77777777" w:rsidR="00137958" w:rsidRDefault="00137958" w:rsidP="00E42C24">
      <w:pPr>
        <w:jc w:val="both"/>
        <w:rPr>
          <w:rtl/>
        </w:rPr>
      </w:pPr>
    </w:p>
    <w:p w14:paraId="198CE5AA" w14:textId="77777777" w:rsidR="00137958" w:rsidRDefault="00137958" w:rsidP="00977D4C">
      <w:pPr>
        <w:spacing w:line="360" w:lineRule="auto"/>
        <w:jc w:val="both"/>
        <w:rPr>
          <w:rtl/>
        </w:rPr>
      </w:pPr>
      <w:r>
        <w:rPr>
          <w:rtl/>
        </w:rPr>
        <w:t xml:space="preserve">לירי שביצעו הנאשמים קדם </w:t>
      </w:r>
      <w:r>
        <w:rPr>
          <w:rFonts w:cs="Miriam"/>
          <w:rtl/>
        </w:rPr>
        <w:t>תכנון מפורט ומחשבה</w:t>
      </w:r>
      <w:r>
        <w:rPr>
          <w:rtl/>
        </w:rPr>
        <w:t xml:space="preserve">: כאמור, הנאשמים הגיעו לאזור מגורי משפחת המנוח ותצפתו על בני משפחתו, הצטיידו בשני אקדחים ובתחמושת והמתינו למנוח בסלון הבית, בעוד הנאשם 3 התקשר לאנשי מחשבים ומצלמות וקיבל מהם, לבקשתו, הנחיות מפורטות כיצד להפסיק את ההקלטה של המצלמות בבית, כדי למנוע תיעוד. </w:t>
      </w:r>
    </w:p>
    <w:p w14:paraId="4D536700" w14:textId="77777777" w:rsidR="00137958" w:rsidRDefault="00137958" w:rsidP="00E42C24">
      <w:pPr>
        <w:jc w:val="both"/>
        <w:rPr>
          <w:rtl/>
        </w:rPr>
      </w:pPr>
    </w:p>
    <w:p w14:paraId="13A34657" w14:textId="77777777" w:rsidR="00137958" w:rsidRDefault="00137958" w:rsidP="00977D4C">
      <w:pPr>
        <w:spacing w:line="360" w:lineRule="auto"/>
        <w:jc w:val="both"/>
        <w:rPr>
          <w:rFonts w:cs="Miriam"/>
          <w:rtl/>
        </w:rPr>
      </w:pPr>
      <w:r>
        <w:rPr>
          <w:rtl/>
        </w:rPr>
        <w:t xml:space="preserve">כאמור, הנאשם 1 הזמין מונית לבית וכשזו הגיעה, התקשר לנהג וביקש ממנו שימתין באזור ויחזור עוד מעט, כל זאת על מנת להיעזר במונית כרכב מילוט. ולאחר מכן, התקשר שוב הנאשם 1 לנהג המונית וביקש ממנו לבדוק האם יש משטרה באזור. כמו כן, הנאשמים ניתקו את חיבור הממיר מהמצלמות, על מנת למנוע תיעוד. </w:t>
      </w:r>
    </w:p>
    <w:p w14:paraId="79CE3B30" w14:textId="77777777" w:rsidR="00137958" w:rsidRDefault="00137958" w:rsidP="00E42C24">
      <w:pPr>
        <w:jc w:val="both"/>
        <w:rPr>
          <w:rFonts w:cs="Miriam"/>
          <w:rtl/>
        </w:rPr>
      </w:pPr>
    </w:p>
    <w:p w14:paraId="77C19A7E" w14:textId="77777777" w:rsidR="00137958" w:rsidRDefault="00137958" w:rsidP="00977D4C">
      <w:pPr>
        <w:spacing w:line="360" w:lineRule="auto"/>
        <w:jc w:val="both"/>
        <w:rPr>
          <w:rtl/>
        </w:rPr>
      </w:pPr>
      <w:r>
        <w:rPr>
          <w:rFonts w:cs="Miriam"/>
          <w:rtl/>
        </w:rPr>
        <w:t>שלושת הנאשמים נטלו חלק בביצוע העבירות בהן הורשעו</w:t>
      </w:r>
      <w:r>
        <w:rPr>
          <w:rtl/>
        </w:rPr>
        <w:t>, וירו בצוותא חדא מספר רב של יריות לעבר המנוח והאדם הנוסף</w:t>
      </w:r>
      <w:r>
        <w:rPr>
          <w:rFonts w:cs="Miriam"/>
          <w:rtl/>
        </w:rPr>
        <w:t>.</w:t>
      </w:r>
    </w:p>
    <w:p w14:paraId="5950CFEE" w14:textId="77777777" w:rsidR="00137958" w:rsidRDefault="00137958" w:rsidP="00E42C24">
      <w:pPr>
        <w:jc w:val="both"/>
        <w:rPr>
          <w:rtl/>
        </w:rPr>
      </w:pPr>
    </w:p>
    <w:p w14:paraId="0C45B68E" w14:textId="77777777" w:rsidR="00137958" w:rsidRDefault="00137958" w:rsidP="00977D4C">
      <w:pPr>
        <w:spacing w:line="360" w:lineRule="auto"/>
        <w:jc w:val="both"/>
        <w:rPr>
          <w:rFonts w:cs="Miriam"/>
          <w:rtl/>
        </w:rPr>
      </w:pPr>
      <w:r>
        <w:rPr>
          <w:rFonts w:cs="Miriam"/>
          <w:rtl/>
        </w:rPr>
        <w:t>הנזק שצפוי היה להיגרם</w:t>
      </w:r>
      <w:r>
        <w:rPr>
          <w:rtl/>
        </w:rPr>
        <w:t xml:space="preserve"> לאדם הנוסף ועוברי אורח כתוצאה מן הירי שבוצע הוא כבד למדי. לעניין זה יש לציין כי יש ב</w:t>
      </w:r>
      <w:r>
        <w:rPr>
          <w:rFonts w:cs="Miriam"/>
          <w:rtl/>
        </w:rPr>
        <w:t>סוג הנשק</w:t>
      </w:r>
      <w:r>
        <w:rPr>
          <w:rtl/>
        </w:rPr>
        <w:t xml:space="preserve"> – כנסיבה הקשורה בביצוע העבירה – כדי לקבוע את פוטנציאל הנזק הכרוך במעשה העבירה. כמו כן,</w:t>
      </w:r>
      <w:r>
        <w:rPr>
          <w:rFonts w:cs="Miriam"/>
          <w:rtl/>
        </w:rPr>
        <w:t xml:space="preserve"> הנזק שנגרם בפועל מן הירי </w:t>
      </w:r>
      <w:r>
        <w:rPr>
          <w:rtl/>
        </w:rPr>
        <w:t xml:space="preserve">שביצעו הנאשמים – בעטיו מצא המנוח את מותו – הוא קטלני ובלתי הפיך. </w:t>
      </w:r>
    </w:p>
    <w:p w14:paraId="697917F0" w14:textId="77777777" w:rsidR="00137958" w:rsidRDefault="00137958" w:rsidP="00977D4C">
      <w:pPr>
        <w:spacing w:line="360" w:lineRule="auto"/>
        <w:jc w:val="both"/>
        <w:rPr>
          <w:rFonts w:cs="Miriam"/>
          <w:rtl/>
        </w:rPr>
      </w:pPr>
    </w:p>
    <w:p w14:paraId="65982E6C" w14:textId="77777777" w:rsidR="00137958" w:rsidRDefault="00137958" w:rsidP="00977D4C">
      <w:pPr>
        <w:spacing w:line="360" w:lineRule="auto"/>
        <w:jc w:val="both"/>
        <w:rPr>
          <w:rtl/>
        </w:rPr>
      </w:pPr>
      <w:r>
        <w:rPr>
          <w:rFonts w:cs="Miriam"/>
          <w:rtl/>
        </w:rPr>
        <w:t>הנסיבות שהביאו את הנאשמים לבצע את העבירות</w:t>
      </w:r>
      <w:r>
        <w:rPr>
          <w:rtl/>
        </w:rPr>
        <w:t xml:space="preserve"> אף הן עומדות להם לרועץ. המדובר, כאמור, בסכסוך כספי לכאורי, שלווה במספר עימותים הדדיים בעלי אופי אלים בין הצדדים, ועל רקע סכסוך זה גמלה בלבם של הנאשמים ההחלטה להמית את המנוח באמצעות ביצוע ירי.</w:t>
      </w:r>
    </w:p>
    <w:p w14:paraId="1A39D614" w14:textId="77777777" w:rsidR="00137958" w:rsidRDefault="00137958" w:rsidP="00977D4C">
      <w:pPr>
        <w:spacing w:line="360" w:lineRule="auto"/>
        <w:jc w:val="both"/>
        <w:rPr>
          <w:u w:val="single"/>
          <w:rtl/>
        </w:rPr>
      </w:pPr>
    </w:p>
    <w:p w14:paraId="37D685DF" w14:textId="77777777" w:rsidR="00137958" w:rsidRDefault="00137958" w:rsidP="00977D4C">
      <w:pPr>
        <w:spacing w:line="360" w:lineRule="auto"/>
        <w:jc w:val="both"/>
        <w:rPr>
          <w:rtl/>
        </w:rPr>
      </w:pPr>
      <w:r>
        <w:rPr>
          <w:rtl/>
        </w:rPr>
        <w:t xml:space="preserve">לאחר שקלול אמות המידה כמפורט לעיל, אנו קובעים כי מתחם הענישה ההולם את מעשי העבירות שביצעו הנאשמים – קשירת קשר, הריגה בדם קר, שקדם לה תכנון מקדים ומדוקדק באמצעות נשק חם שהחזיקו שלא כדין – נע בין 20 שנים ברף התחתון, לבין 27 שנים ברף העליון. </w:t>
      </w:r>
    </w:p>
    <w:p w14:paraId="3BDA963A" w14:textId="77777777" w:rsidR="00137958" w:rsidRDefault="00137958" w:rsidP="00977D4C">
      <w:pPr>
        <w:spacing w:line="360" w:lineRule="auto"/>
        <w:jc w:val="both"/>
        <w:rPr>
          <w:rtl/>
        </w:rPr>
      </w:pPr>
    </w:p>
    <w:p w14:paraId="4BC1FD38" w14:textId="77777777" w:rsidR="00137958" w:rsidRDefault="00137958" w:rsidP="00977D4C">
      <w:pPr>
        <w:spacing w:line="360" w:lineRule="auto"/>
        <w:jc w:val="both"/>
        <w:rPr>
          <w:rtl/>
        </w:rPr>
      </w:pPr>
      <w:r>
        <w:rPr>
          <w:rFonts w:cs="Miriam"/>
          <w:rtl/>
        </w:rPr>
        <w:t>הגבול העליון</w:t>
      </w:r>
      <w:r>
        <w:rPr>
          <w:rtl/>
        </w:rPr>
        <w:t xml:space="preserve"> של מתחם העונש ההולם, קרי: </w:t>
      </w:r>
      <w:r>
        <w:t>27</w:t>
      </w:r>
      <w:r>
        <w:rPr>
          <w:rtl/>
        </w:rPr>
        <w:t xml:space="preserve"> שנות מאסר בפועל.</w:t>
      </w:r>
    </w:p>
    <w:p w14:paraId="6C1C387D" w14:textId="77777777" w:rsidR="00137958" w:rsidRDefault="00137958" w:rsidP="00977D4C">
      <w:pPr>
        <w:spacing w:line="360" w:lineRule="auto"/>
        <w:jc w:val="both"/>
        <w:rPr>
          <w:rtl/>
        </w:rPr>
      </w:pPr>
    </w:p>
    <w:p w14:paraId="11B009E0" w14:textId="77777777" w:rsidR="00137958" w:rsidRDefault="00137958" w:rsidP="00977D4C">
      <w:pPr>
        <w:spacing w:line="360" w:lineRule="auto"/>
        <w:jc w:val="both"/>
        <w:rPr>
          <w:rtl/>
        </w:rPr>
      </w:pPr>
      <w:r>
        <w:rPr>
          <w:rFonts w:cs="Miriam"/>
          <w:rtl/>
        </w:rPr>
        <w:t>הגבול התחתון</w:t>
      </w:r>
      <w:r>
        <w:rPr>
          <w:rtl/>
        </w:rPr>
        <w:t xml:space="preserve"> של מתחם העונש ההולם, קרי: 20 שנות מאסר בפועל, משקף לדעתנו את הסף התחתון של התיק שבפנינו, בהתחשב בנסיבותיו החמורות. </w:t>
      </w:r>
    </w:p>
    <w:p w14:paraId="29779099" w14:textId="77777777" w:rsidR="00137958" w:rsidRDefault="00137958" w:rsidP="00977D4C">
      <w:pPr>
        <w:spacing w:line="360" w:lineRule="auto"/>
        <w:jc w:val="both"/>
        <w:rPr>
          <w:rtl/>
        </w:rPr>
      </w:pPr>
    </w:p>
    <w:p w14:paraId="6AF2F63A" w14:textId="77777777" w:rsidR="00137958" w:rsidRDefault="00137958" w:rsidP="00977D4C">
      <w:pPr>
        <w:spacing w:line="360" w:lineRule="auto"/>
        <w:jc w:val="both"/>
        <w:rPr>
          <w:rtl/>
        </w:rPr>
      </w:pPr>
      <w:r>
        <w:rPr>
          <w:rtl/>
        </w:rPr>
        <w:t xml:space="preserve">יחד עם זאת, אין להתעלם מן הרף התחתון של 18 שנים שנקבע בין הצדדים בהסדר הטיעון. דהיינו, בסופו של דבר, </w:t>
      </w:r>
      <w:r>
        <w:rPr>
          <w:u w:val="single"/>
          <w:rtl/>
        </w:rPr>
        <w:t>במקרה זה</w:t>
      </w:r>
      <w:r>
        <w:rPr>
          <w:rtl/>
        </w:rPr>
        <w:t xml:space="preserve">, מתחם העונש ההולם זהה לטווח הענישה שסוכם בהסדר הטיעון. </w:t>
      </w:r>
    </w:p>
    <w:p w14:paraId="05DCF534" w14:textId="77777777" w:rsidR="00137958" w:rsidRDefault="00137958" w:rsidP="00977D4C">
      <w:pPr>
        <w:spacing w:line="360" w:lineRule="auto"/>
        <w:jc w:val="both"/>
        <w:rPr>
          <w:u w:val="single"/>
          <w:rtl/>
        </w:rPr>
      </w:pPr>
      <w:r>
        <w:rPr>
          <w:u w:val="single"/>
          <w:rtl/>
        </w:rPr>
        <w:t xml:space="preserve">נסיבות נוספות – לקולה ולחומרה </w:t>
      </w:r>
    </w:p>
    <w:p w14:paraId="08B76F30" w14:textId="77777777" w:rsidR="00137958" w:rsidRDefault="00137958" w:rsidP="00977D4C">
      <w:pPr>
        <w:spacing w:line="360" w:lineRule="auto"/>
        <w:jc w:val="both"/>
        <w:rPr>
          <w:rtl/>
        </w:rPr>
      </w:pPr>
    </w:p>
    <w:p w14:paraId="003126C2" w14:textId="77777777" w:rsidR="00137958" w:rsidRDefault="00137958" w:rsidP="00977D4C">
      <w:pPr>
        <w:spacing w:line="360" w:lineRule="auto"/>
        <w:jc w:val="both"/>
        <w:rPr>
          <w:rtl/>
        </w:rPr>
      </w:pPr>
      <w:r>
        <w:rPr>
          <w:rtl/>
        </w:rPr>
        <w:t xml:space="preserve">בהתאם </w:t>
      </w:r>
      <w:hyperlink r:id="rId69" w:history="1">
        <w:r w:rsidR="00BE5882" w:rsidRPr="00BE5882">
          <w:rPr>
            <w:color w:val="0000FF"/>
            <w:u w:val="single"/>
            <w:rtl/>
          </w:rPr>
          <w:t>לסעיף 40יב</w:t>
        </w:r>
      </w:hyperlink>
      <w:r>
        <w:rPr>
          <w:rtl/>
        </w:rPr>
        <w:t xml:space="preserve"> ל</w:t>
      </w:r>
      <w:hyperlink r:id="rId70" w:history="1">
        <w:r w:rsidR="00943CBE" w:rsidRPr="00943CBE">
          <w:rPr>
            <w:color w:val="0000FF"/>
            <w:u w:val="single"/>
            <w:rtl/>
          </w:rPr>
          <w:t>חוק העונשין</w:t>
        </w:r>
      </w:hyperlink>
      <w:r>
        <w:rPr>
          <w:rtl/>
        </w:rPr>
        <w:t xml:space="preserve">, מלבד הנסיבות שפורטו לעיל (אלו הקשורות בביצוע העבירה, ואלו שאינן קשורות בביצוע העבירה), </w:t>
      </w:r>
      <w:r>
        <w:rPr>
          <w:rFonts w:cs="Miriam"/>
          <w:rtl/>
        </w:rPr>
        <w:t>רשאי</w:t>
      </w:r>
      <w:r>
        <w:rPr>
          <w:rtl/>
        </w:rPr>
        <w:t xml:space="preserve"> בית המשפט לשקול נסיבות נוספות.  </w:t>
      </w:r>
    </w:p>
    <w:p w14:paraId="78A89B4B" w14:textId="77777777" w:rsidR="00137958" w:rsidRDefault="00137958" w:rsidP="00977D4C">
      <w:pPr>
        <w:spacing w:line="360" w:lineRule="auto"/>
        <w:jc w:val="both"/>
        <w:rPr>
          <w:rtl/>
        </w:rPr>
      </w:pPr>
    </w:p>
    <w:p w14:paraId="775A7CA3" w14:textId="77777777" w:rsidR="00137958" w:rsidRDefault="00137958" w:rsidP="00977D4C">
      <w:pPr>
        <w:spacing w:line="360" w:lineRule="auto"/>
        <w:jc w:val="both"/>
        <w:rPr>
          <w:rtl/>
        </w:rPr>
      </w:pPr>
      <w:r>
        <w:rPr>
          <w:rtl/>
        </w:rPr>
        <w:t xml:space="preserve">נפרט להלן את </w:t>
      </w:r>
      <w:r>
        <w:rPr>
          <w:rFonts w:cs="Miriam"/>
          <w:rtl/>
        </w:rPr>
        <w:t>הנסיבות הנוספות</w:t>
      </w:r>
      <w:r>
        <w:rPr>
          <w:rtl/>
        </w:rPr>
        <w:t xml:space="preserve"> ששקלנו בקובענו את העונש ההולם שיש לגזור על הנאשמים. </w:t>
      </w:r>
    </w:p>
    <w:p w14:paraId="656C731F" w14:textId="77777777" w:rsidR="00137958" w:rsidRDefault="00137958" w:rsidP="00977D4C">
      <w:pPr>
        <w:spacing w:line="360" w:lineRule="auto"/>
        <w:jc w:val="both"/>
        <w:rPr>
          <w:rtl/>
        </w:rPr>
      </w:pPr>
    </w:p>
    <w:p w14:paraId="0C895A7C" w14:textId="77777777" w:rsidR="00137958" w:rsidRDefault="00137958" w:rsidP="00977D4C">
      <w:pPr>
        <w:spacing w:line="360" w:lineRule="auto"/>
        <w:jc w:val="both"/>
        <w:rPr>
          <w:rtl/>
        </w:rPr>
      </w:pPr>
      <w:r>
        <w:rPr>
          <w:rtl/>
        </w:rPr>
        <w:t>כל אחד מבאי כח הנאשמים וכולם יחדיו, עשו מאמץ רב למזער את מיקומו, תפקידו, חלקו והדומיננטיות של הנאשם אותו הם מייצגים כאשר לטעמנו, יש לראות את חלקם של הנאשמים כגוף אחד.</w:t>
      </w:r>
    </w:p>
    <w:p w14:paraId="0C6101F2" w14:textId="77777777" w:rsidR="00137958" w:rsidRDefault="00137958" w:rsidP="00977D4C">
      <w:pPr>
        <w:spacing w:line="360" w:lineRule="auto"/>
        <w:jc w:val="both"/>
        <w:rPr>
          <w:rtl/>
        </w:rPr>
      </w:pPr>
    </w:p>
    <w:p w14:paraId="00944B8D" w14:textId="77777777" w:rsidR="00137958" w:rsidRDefault="00137958" w:rsidP="00977D4C">
      <w:pPr>
        <w:spacing w:line="360" w:lineRule="auto"/>
        <w:jc w:val="both"/>
        <w:rPr>
          <w:rtl/>
        </w:rPr>
      </w:pPr>
      <w:r>
        <w:rPr>
          <w:rtl/>
        </w:rPr>
        <w:t>המאשימה, ברוב הגינותה, לא התעלמה בכתב האישום מקיומו של סכסוך בין הנאשמים לבין המנוח ובני משפחתו וכי, סכסוך זה אף לווה במספר עימותים הדדיים בעלי אופי אלים בין הצדדים. כמו כן, עובדת התקבצותם יחדיו של הנאשמים ובני משפחותיהם בדירת מגורים אחת תוך שהתקינו מספר מצלמות אבטחה בבית מהטעם האמור לעיל.</w:t>
      </w:r>
    </w:p>
    <w:p w14:paraId="54232142" w14:textId="77777777" w:rsidR="00137958" w:rsidRDefault="00137958" w:rsidP="00977D4C">
      <w:pPr>
        <w:spacing w:line="360" w:lineRule="auto"/>
        <w:jc w:val="both"/>
        <w:rPr>
          <w:rtl/>
        </w:rPr>
      </w:pPr>
    </w:p>
    <w:p w14:paraId="62BFD44A" w14:textId="77777777" w:rsidR="00137958" w:rsidRDefault="00137958" w:rsidP="00173AE3">
      <w:pPr>
        <w:spacing w:line="360" w:lineRule="auto"/>
        <w:jc w:val="both"/>
        <w:rPr>
          <w:rtl/>
        </w:rPr>
      </w:pPr>
      <w:r>
        <w:rPr>
          <w:rtl/>
        </w:rPr>
        <w:t>יחד עם זאת, הנאשמים לא שקטו על השמרים מתוך חשש זה או אחר מהמנוח או בני משפחתו, אלא כעולה מעובדות כתב האישום בהן הודו, הם נקטו יוזמה אשר יש בה כדי ללמד על תכנון מוקדם של מהלך אלים כלפי המנוח, כאשר בתאריך 03/04/12 בשעות הערב, הגיעו לאזור מגורי משפחתו של המנוח, תצפתו על בני משפחתו ודווחו האחד לשני על הגעת בני המשפחה ועל אפשרות הגעת כוחות משטרה למקום ואף התפתח עימות בין הצדדים. יתרה מזאת, הנאשמים הודו כי קשרו קשר לפגוע במנוח באמצעות ירי ומשכך אף הצטיידו בלא פחות משני אקדחים המסוגלים להמית אדם ובתחמושת. כל זאת כאמור שלא כדין.</w:t>
      </w:r>
    </w:p>
    <w:p w14:paraId="74401517" w14:textId="77777777" w:rsidR="00137958" w:rsidRDefault="00137958" w:rsidP="00977D4C">
      <w:pPr>
        <w:spacing w:line="360" w:lineRule="auto"/>
        <w:jc w:val="both"/>
        <w:rPr>
          <w:rtl/>
        </w:rPr>
      </w:pPr>
    </w:p>
    <w:p w14:paraId="5975F702" w14:textId="77777777" w:rsidR="00137958" w:rsidRDefault="00137958" w:rsidP="00977D4C">
      <w:pPr>
        <w:spacing w:line="360" w:lineRule="auto"/>
        <w:jc w:val="both"/>
        <w:rPr>
          <w:rtl/>
        </w:rPr>
      </w:pPr>
      <w:r>
        <w:rPr>
          <w:rtl/>
        </w:rPr>
        <w:t>עובדות כתב האישום מלמדות כי הנאשמים למעשה, המתינו להגעתו של המנוח לדירה בה שהו, והודייתם כי התקשרו לנהג מונית מתוך כוונה להיעזר בו לצורך מילוט, יש בה כדי ללמד על כוונתם להיפרע מהמנוח ולהימלט.</w:t>
      </w:r>
    </w:p>
    <w:p w14:paraId="1D91F80C" w14:textId="77777777" w:rsidR="00137958" w:rsidRDefault="00137958" w:rsidP="00977D4C">
      <w:pPr>
        <w:spacing w:line="360" w:lineRule="auto"/>
        <w:jc w:val="both"/>
        <w:rPr>
          <w:rtl/>
        </w:rPr>
      </w:pPr>
    </w:p>
    <w:p w14:paraId="03E5A28E" w14:textId="77777777" w:rsidR="00137958" w:rsidRDefault="00137958" w:rsidP="00977D4C">
      <w:pPr>
        <w:spacing w:line="360" w:lineRule="auto"/>
        <w:jc w:val="both"/>
        <w:rPr>
          <w:rtl/>
        </w:rPr>
      </w:pPr>
      <w:r>
        <w:rPr>
          <w:rtl/>
        </w:rPr>
        <w:t>על כל אלה, יש להוסיף את יציאתם של הנאשמים מהדירה כשהם מצויידים באקדחים ויורים לעברו של המנוח מספר רב של יריות עד כי נפגע משש יריות כאשר אחת מהן פוגעת בראשו ממרחק של פחות ממטר ולמעשה, נגרמות למנוח פגיעות רבות במקומות שונים בפלג גופו העליון ובראשו. הנאשמים מס' 1 ו- 2 נמלטו מהמקום, בעוד נאשם מס' 3 נותר בדירה ודאג ל"</w:t>
      </w:r>
      <w:r>
        <w:rPr>
          <w:rFonts w:cs="Miriam"/>
          <w:rtl/>
        </w:rPr>
        <w:t>העלים</w:t>
      </w:r>
      <w:r>
        <w:rPr>
          <w:rtl/>
        </w:rPr>
        <w:t>" ראיות.</w:t>
      </w:r>
    </w:p>
    <w:p w14:paraId="1B99CBEC" w14:textId="77777777" w:rsidR="00137958" w:rsidRDefault="00137958" w:rsidP="00977D4C">
      <w:pPr>
        <w:spacing w:line="360" w:lineRule="auto"/>
        <w:jc w:val="both"/>
        <w:rPr>
          <w:rtl/>
        </w:rPr>
      </w:pPr>
    </w:p>
    <w:p w14:paraId="7630E842" w14:textId="77777777" w:rsidR="00137958" w:rsidRDefault="00137958" w:rsidP="00977D4C">
      <w:pPr>
        <w:spacing w:line="360" w:lineRule="auto"/>
        <w:jc w:val="both"/>
        <w:rPr>
          <w:rtl/>
        </w:rPr>
      </w:pPr>
      <w:r>
        <w:rPr>
          <w:rtl/>
        </w:rPr>
        <w:t>לא מצאנו לנכון לקבל עמדה זו או אחרת של מי מבאי כח הנאשמים, אשר ביקש למזער את חלקו של מרשו במסכת העובדתית נשוא כתב האישום. אף אחד משלושת הנאשמים לא הסתייג ממעשהו של האחר, אעיר דבר מה לנוכח המעשים שקדמו לאירוע קטילתו של המנוח ואף לא במהלך האירוע והבריחה מהמקום והותרת המנוח שרוע פצוע וזב דם.</w:t>
      </w:r>
    </w:p>
    <w:p w14:paraId="4D4B2FC6" w14:textId="77777777" w:rsidR="00137958" w:rsidRDefault="00137958" w:rsidP="00977D4C">
      <w:pPr>
        <w:spacing w:line="360" w:lineRule="auto"/>
        <w:jc w:val="both"/>
        <w:rPr>
          <w:rtl/>
        </w:rPr>
      </w:pPr>
    </w:p>
    <w:p w14:paraId="5874AC40" w14:textId="77777777" w:rsidR="00137958" w:rsidRDefault="00137958" w:rsidP="00977D4C">
      <w:pPr>
        <w:spacing w:line="360" w:lineRule="auto"/>
        <w:jc w:val="both"/>
        <w:rPr>
          <w:rtl/>
        </w:rPr>
      </w:pPr>
      <w:r>
        <w:rPr>
          <w:rtl/>
        </w:rPr>
        <w:t xml:space="preserve">כל אחד מבאי כח הנאשמים ביקש להדגיש את עובדת היות המנוח מעורב בפלילים ודבר קיומו של עבר פלילי לחובתו. אין בכך, לדעתנו, כדי להמעיט מחומרת מעשיהם של הנאשמים ולנוכח המפורט לעיל. </w:t>
      </w:r>
    </w:p>
    <w:p w14:paraId="0F00ED9E" w14:textId="77777777" w:rsidR="00137958" w:rsidRDefault="00137958" w:rsidP="00977D4C">
      <w:pPr>
        <w:spacing w:line="360" w:lineRule="auto"/>
        <w:jc w:val="both"/>
        <w:rPr>
          <w:rtl/>
        </w:rPr>
      </w:pPr>
    </w:p>
    <w:p w14:paraId="31A87C20" w14:textId="77777777" w:rsidR="00137958" w:rsidRDefault="00137958" w:rsidP="00977D4C">
      <w:pPr>
        <w:spacing w:line="360" w:lineRule="auto"/>
        <w:jc w:val="both"/>
        <w:rPr>
          <w:rtl/>
        </w:rPr>
      </w:pPr>
      <w:r>
        <w:rPr>
          <w:rtl/>
        </w:rPr>
        <w:t>איננו מוצאים כי מן הראוי לאבחן את עונשו של מי מבין הנאשמים מעונשם של האחרים והמסכת העובדתית שבכתב האישום מלמדת בסופו של יום, כי בראייה כוללת, בפנינו התארגנות קבוצתית, ולא ניתן לומר כי חלקו של זה פחות מזה של האחר.</w:t>
      </w:r>
    </w:p>
    <w:p w14:paraId="27AE942B" w14:textId="77777777" w:rsidR="00137958" w:rsidRDefault="00137958" w:rsidP="00977D4C">
      <w:pPr>
        <w:spacing w:line="360" w:lineRule="auto"/>
        <w:jc w:val="both"/>
        <w:rPr>
          <w:rtl/>
        </w:rPr>
      </w:pPr>
    </w:p>
    <w:p w14:paraId="6F770677" w14:textId="77777777" w:rsidR="00137958" w:rsidRDefault="00137958" w:rsidP="00977D4C">
      <w:pPr>
        <w:spacing w:line="360" w:lineRule="auto"/>
        <w:jc w:val="both"/>
        <w:rPr>
          <w:rtl/>
        </w:rPr>
      </w:pPr>
      <w:r>
        <w:rPr>
          <w:rtl/>
        </w:rPr>
        <w:t>אנו מקבלים את עמדת באת כח המאשימה כי בפנינו מעשה, אשר על פי נסיבותיו, הינו על גבול הרצח. מספרם הרב של הפגיעות במנוח, בכלל זה הירי מטווח של פחות ממטר, מצדיקים נקודת מבט זו.</w:t>
      </w:r>
    </w:p>
    <w:p w14:paraId="4440030F" w14:textId="77777777" w:rsidR="00137958" w:rsidRDefault="00137958" w:rsidP="00977D4C">
      <w:pPr>
        <w:spacing w:line="360" w:lineRule="auto"/>
        <w:jc w:val="both"/>
        <w:rPr>
          <w:rtl/>
        </w:rPr>
      </w:pPr>
    </w:p>
    <w:p w14:paraId="66C22BCA" w14:textId="77777777" w:rsidR="00137958" w:rsidRDefault="00137958" w:rsidP="00977D4C">
      <w:pPr>
        <w:spacing w:line="360" w:lineRule="auto"/>
        <w:jc w:val="both"/>
        <w:rPr>
          <w:rtl/>
        </w:rPr>
      </w:pPr>
      <w:r>
        <w:rPr>
          <w:rtl/>
        </w:rPr>
        <w:t xml:space="preserve">איננו מתעלמים מהעובדה שהיה זה המנוח אשר היה בקרבת ביתו של נאשם 2 (והנאשמים בכלל) והעובדה כי בסמוך לגופתו נמצאה סכין וכובע גרב ואולם, למרות עובדות אלה, עדיין מרחק רב בין </w:t>
      </w:r>
      <w:r>
        <w:rPr>
          <w:rFonts w:cs="Miriam"/>
          <w:rtl/>
        </w:rPr>
        <w:t>"מעשה שלא נעשה"</w:t>
      </w:r>
      <w:r>
        <w:rPr>
          <w:rtl/>
        </w:rPr>
        <w:t xml:space="preserve"> מצידו של המנוח לבין יציאתם של הנאשמים מצויידים באקדחים, הירי בו וקטילתו.</w:t>
      </w:r>
    </w:p>
    <w:p w14:paraId="4216E050" w14:textId="77777777" w:rsidR="00137958" w:rsidRDefault="00137958" w:rsidP="00977D4C">
      <w:pPr>
        <w:spacing w:line="360" w:lineRule="auto"/>
        <w:jc w:val="both"/>
        <w:rPr>
          <w:rtl/>
        </w:rPr>
      </w:pPr>
    </w:p>
    <w:p w14:paraId="02A8478A" w14:textId="77777777" w:rsidR="00137958" w:rsidRDefault="00137958" w:rsidP="00977D4C">
      <w:pPr>
        <w:spacing w:line="360" w:lineRule="auto"/>
        <w:jc w:val="both"/>
        <w:rPr>
          <w:rtl/>
        </w:rPr>
      </w:pPr>
      <w:r>
        <w:rPr>
          <w:rtl/>
        </w:rPr>
        <w:t>יוער, כי גם אם חשו הנאשמים מאוימים, היו פתוחות בפניהם אפשרויות אחרות ובכלל זה, פנייה לרשויות החוק. לא ניתן ליטול את חייו של אחר, רק משום תחושת האיום או</w:t>
      </w:r>
      <w:r>
        <w:rPr>
          <w:rFonts w:cs="Miriam"/>
          <w:rtl/>
        </w:rPr>
        <w:t xml:space="preserve"> "מצוקה" </w:t>
      </w:r>
      <w:r>
        <w:rPr>
          <w:rtl/>
        </w:rPr>
        <w:t>כביכול לה הם מרמזים בטיעונם.</w:t>
      </w:r>
    </w:p>
    <w:p w14:paraId="0CCD30E2" w14:textId="77777777" w:rsidR="00137958" w:rsidRDefault="00137958" w:rsidP="00977D4C">
      <w:pPr>
        <w:spacing w:line="360" w:lineRule="auto"/>
        <w:jc w:val="both"/>
        <w:rPr>
          <w:rtl/>
        </w:rPr>
      </w:pPr>
    </w:p>
    <w:p w14:paraId="36D906FA" w14:textId="77777777" w:rsidR="00137958" w:rsidRDefault="00137958" w:rsidP="00977D4C">
      <w:pPr>
        <w:spacing w:line="360" w:lineRule="auto"/>
        <w:jc w:val="both"/>
        <w:rPr>
          <w:rtl/>
        </w:rPr>
      </w:pPr>
      <w:r>
        <w:rPr>
          <w:rtl/>
        </w:rPr>
        <w:t xml:space="preserve">בבואנו לקבוע את </w:t>
      </w:r>
      <w:r w:rsidRPr="00E42C24">
        <w:rPr>
          <w:rFonts w:cs="Miriam"/>
          <w:rtl/>
        </w:rPr>
        <w:t>"העונש המתאים"</w:t>
      </w:r>
      <w:r>
        <w:rPr>
          <w:rtl/>
        </w:rPr>
        <w:t xml:space="preserve"> לנאשמים בתוך מתחם העונש ההולם, ולמעשה בתוך טווח הענישה שהוסכם בהסדר הטיעון, נתחשב בנסיבותיהם האישיות והמשפחתיות של הנאשמים ואנו אף מסכימים ומקבלים כי המדובר בנסיבות מיוחדות וקשות אשר הן בהחלט לנגד עינינו בבואנו לגזור את דינם. אולם, נקבע לא אחת, כי חומרת המעשים והעבירות דוחקות לעיתים ברמה משמעותית ביותר את שיקולי השיקום ואת היבטי הנסיבות האישיות של הנאשמים כאשר המדובר בעבריינות קשה במיוחד וכך יש לראות את המעשים במקרה דנן.</w:t>
      </w:r>
    </w:p>
    <w:p w14:paraId="3EED6A1F" w14:textId="77777777" w:rsidR="00137958" w:rsidRDefault="00137958" w:rsidP="00977D4C">
      <w:pPr>
        <w:spacing w:line="360" w:lineRule="auto"/>
        <w:jc w:val="both"/>
        <w:rPr>
          <w:rtl/>
        </w:rPr>
      </w:pPr>
    </w:p>
    <w:p w14:paraId="350CF27E" w14:textId="77777777" w:rsidR="00137958" w:rsidRDefault="00137958" w:rsidP="00977D4C">
      <w:pPr>
        <w:spacing w:line="360" w:lineRule="auto"/>
        <w:jc w:val="both"/>
        <w:rPr>
          <w:rtl/>
        </w:rPr>
      </w:pPr>
      <w:r>
        <w:rPr>
          <w:rtl/>
        </w:rPr>
        <w:t xml:space="preserve">כאן המקום לציין את האמור בתסקיר הקורבן, בהתייחס לבני משפחת המנוח אשר ליוו בנוכחותם את הדיונים ונהגו באצילות נפש של ממש, בכך שנתנו הסכמתם להסדר הטיעון. אפשר להבין את תחושותיהם, את מכאובם ואת שעובר עליהם מאז מותו של יקירם המנוח ותוצאת אופן קטילתו על חייהם ביום יום. </w:t>
      </w:r>
    </w:p>
    <w:p w14:paraId="4CBF8D56" w14:textId="77777777" w:rsidR="00137958" w:rsidRDefault="00137958" w:rsidP="00977D4C">
      <w:pPr>
        <w:spacing w:line="360" w:lineRule="auto"/>
        <w:jc w:val="both"/>
        <w:rPr>
          <w:rtl/>
        </w:rPr>
      </w:pPr>
    </w:p>
    <w:p w14:paraId="6B9DF39B" w14:textId="77777777" w:rsidR="00137958" w:rsidRDefault="00137958" w:rsidP="000C34CB">
      <w:pPr>
        <w:spacing w:line="360" w:lineRule="auto"/>
        <w:jc w:val="both"/>
        <w:rPr>
          <w:rtl/>
        </w:rPr>
      </w:pPr>
      <w:r>
        <w:rPr>
          <w:rtl/>
        </w:rPr>
        <w:t>יפים לענייננו, דברים שנאמרו על ידי כב' המשנה לנשיא (כתוארו אז) כב' השופט חשין, ב</w:t>
      </w:r>
      <w:hyperlink r:id="rId71" w:history="1">
        <w:r w:rsidR="00943CBE" w:rsidRPr="00943CBE">
          <w:rPr>
            <w:color w:val="0000FF"/>
            <w:u w:val="single"/>
            <w:rtl/>
          </w:rPr>
          <w:t>ע"פ 8314/03</w:t>
        </w:r>
      </w:hyperlink>
      <w:r w:rsidR="000C34CB">
        <w:rPr>
          <w:rFonts w:hint="cs"/>
          <w:rtl/>
        </w:rPr>
        <w:t xml:space="preserve"> </w:t>
      </w:r>
      <w:r w:rsidR="000C34CB" w:rsidRPr="000C34CB">
        <w:rPr>
          <w:sz w:val="22"/>
          <w:rtl/>
        </w:rPr>
        <w:t>[פורסם בנבו]</w:t>
      </w:r>
      <w:r>
        <w:rPr>
          <w:rtl/>
        </w:rPr>
        <w:t>:</w:t>
      </w:r>
    </w:p>
    <w:p w14:paraId="25977992" w14:textId="77777777" w:rsidR="00137958" w:rsidRDefault="00137958" w:rsidP="00E42C24">
      <w:pPr>
        <w:jc w:val="both"/>
        <w:rPr>
          <w:rtl/>
        </w:rPr>
      </w:pPr>
    </w:p>
    <w:p w14:paraId="3F1F9E0C" w14:textId="77777777" w:rsidR="00137958" w:rsidRDefault="00137958" w:rsidP="000C34CB">
      <w:pPr>
        <w:ind w:left="746" w:right="720"/>
        <w:jc w:val="both"/>
        <w:rPr>
          <w:rtl/>
        </w:rPr>
      </w:pPr>
      <w:r>
        <w:rPr>
          <w:rFonts w:cs="Miriam"/>
          <w:rtl/>
        </w:rPr>
        <w:t>"בית-המשפט חייב להעלות את תרומתו הצנועה במלחמה הקשה שיש לחברה בישראל באלימות הגוברת והולכת ברחובות ובבתים, ותרומה זו תמצא את ביטויה בעונשים החמורים ששומה עליהם על בתי-המשפט לגזור על מעשי אלימות שפשו במקומנו כמגיפה. עלינו למוד את הרחמים שבליבנו כמידה הראויה להם, והרי ידענו כי כל מי שנעשה רחמן במקום אכזרי סוף שנעשה אכזרי במקום רחמן. יצא הקול מבית-המשפט ויילך מקצה הארץ ועד קצה. יצא הקול ויידעו הכל כי מי שיורשע בעבירת אלימות יישא בעונש חמור על מעשהו. והעונש יהיה על דרך הכלל כליאה מאחורי סורג ובריח. וכלל שייעצם מעשה האלימות כך תארך תקופת המאסר..."</w:t>
      </w:r>
      <w:r>
        <w:rPr>
          <w:rtl/>
        </w:rPr>
        <w:t>(</w:t>
      </w:r>
      <w:r>
        <w:rPr>
          <w:b/>
          <w:bCs/>
          <w:rtl/>
        </w:rPr>
        <w:t>רג'אח שיהד נ' מדינת ישראל</w:t>
      </w:r>
      <w:r>
        <w:rPr>
          <w:rtl/>
        </w:rPr>
        <w:t xml:space="preserve"> (לא פורסם</w:t>
      </w:r>
      <w:r w:rsidR="000C34CB">
        <w:rPr>
          <w:rFonts w:hint="cs"/>
          <w:rtl/>
        </w:rPr>
        <w:t xml:space="preserve">, </w:t>
      </w:r>
      <w:r w:rsidR="000C34CB" w:rsidRPr="000C34CB">
        <w:rPr>
          <w:sz w:val="22"/>
          <w:rtl/>
        </w:rPr>
        <w:t>[פורסם בנבו]</w:t>
      </w:r>
      <w:r>
        <w:rPr>
          <w:rtl/>
        </w:rPr>
        <w:t xml:space="preserve">, 07/06/05), בעמ' 3). </w:t>
      </w:r>
    </w:p>
    <w:p w14:paraId="3AFEFB31" w14:textId="77777777" w:rsidR="00137958" w:rsidRDefault="00137958" w:rsidP="00977D4C">
      <w:pPr>
        <w:spacing w:line="360" w:lineRule="auto"/>
        <w:ind w:left="746" w:right="720"/>
        <w:jc w:val="both"/>
        <w:rPr>
          <w:rtl/>
        </w:rPr>
      </w:pPr>
    </w:p>
    <w:p w14:paraId="62F74F8E" w14:textId="77777777" w:rsidR="00137958" w:rsidRDefault="00137958" w:rsidP="00977D4C">
      <w:pPr>
        <w:spacing w:line="360" w:lineRule="auto"/>
        <w:jc w:val="both"/>
        <w:rPr>
          <w:rtl/>
        </w:rPr>
      </w:pPr>
      <w:r>
        <w:rPr>
          <w:rtl/>
        </w:rPr>
        <w:t>רבות דובר, נכתב ונאמר על עקרון קדושת החיים ועל כך, שיש ליתן ביטוי בענישה מחמירה למי שנוטל את חייו של האחר וכך אנו סבורים, יש לעשות במקרה דנן.</w:t>
      </w:r>
    </w:p>
    <w:p w14:paraId="44B3E2BC" w14:textId="77777777" w:rsidR="00137958" w:rsidRDefault="00137958" w:rsidP="00977D4C">
      <w:pPr>
        <w:spacing w:line="360" w:lineRule="auto"/>
        <w:jc w:val="both"/>
        <w:rPr>
          <w:rtl/>
        </w:rPr>
      </w:pPr>
    </w:p>
    <w:p w14:paraId="440E3291" w14:textId="77777777" w:rsidR="00137958" w:rsidRDefault="00137958" w:rsidP="00977D4C">
      <w:pPr>
        <w:spacing w:line="360" w:lineRule="auto"/>
        <w:jc w:val="both"/>
        <w:rPr>
          <w:rtl/>
        </w:rPr>
      </w:pPr>
      <w:r>
        <w:rPr>
          <w:rtl/>
        </w:rPr>
        <w:t>למרות החומרה המיוחדת שיש לנסיבות דנן, אנו מחליטים לכבד את מסגרת הסדר הטיעון אליו הגיעו באי כח הצדדים ואנו קובעים כי בנימוקיה של באת כח המאשימה יש כדי לקיים את "הלכת האיזון" שב</w:t>
      </w:r>
      <w:hyperlink r:id="rId72" w:history="1">
        <w:r w:rsidR="00943CBE" w:rsidRPr="00943CBE">
          <w:rPr>
            <w:color w:val="0000FF"/>
            <w:u w:val="single"/>
            <w:rtl/>
          </w:rPr>
          <w:t>ע"פ 1958/98 פלוני נ' מדינת ישראל, פד"י נ"ז</w:t>
        </w:r>
      </w:hyperlink>
      <w:r>
        <w:rPr>
          <w:rtl/>
        </w:rPr>
        <w:t>(1), 577, באשר לעקרונות המנחים, אימוץ הסדרי טיעון.</w:t>
      </w:r>
    </w:p>
    <w:p w14:paraId="6FB6D092" w14:textId="77777777" w:rsidR="00137958" w:rsidRDefault="00137958" w:rsidP="00977D4C">
      <w:pPr>
        <w:spacing w:line="360" w:lineRule="auto"/>
        <w:jc w:val="both"/>
        <w:rPr>
          <w:rtl/>
        </w:rPr>
      </w:pPr>
    </w:p>
    <w:p w14:paraId="536C6075" w14:textId="77777777" w:rsidR="00137958" w:rsidRDefault="00137958" w:rsidP="00977D4C">
      <w:pPr>
        <w:spacing w:line="360" w:lineRule="auto"/>
        <w:jc w:val="both"/>
        <w:rPr>
          <w:rtl/>
        </w:rPr>
      </w:pPr>
      <w:r>
        <w:rPr>
          <w:rtl/>
        </w:rPr>
        <w:t xml:space="preserve">נראה לנו כי בנסיבות העניין, יש לראות את המסכת העובדתית כאירוע אחד ויש לגזור עונש אחד לגבי כל העבירות על ריבויין. </w:t>
      </w:r>
    </w:p>
    <w:p w14:paraId="7FBD463C" w14:textId="77777777" w:rsidR="00137958" w:rsidRDefault="00137958" w:rsidP="008A424B">
      <w:pPr>
        <w:jc w:val="both"/>
        <w:rPr>
          <w:u w:val="single"/>
          <w:rtl/>
        </w:rPr>
      </w:pPr>
    </w:p>
    <w:p w14:paraId="1B3C74EB" w14:textId="77777777" w:rsidR="00137958" w:rsidRDefault="00137958" w:rsidP="008A424B">
      <w:pPr>
        <w:jc w:val="both"/>
        <w:rPr>
          <w:u w:val="single"/>
          <w:rtl/>
        </w:rPr>
      </w:pPr>
      <w:r>
        <w:rPr>
          <w:u w:val="single"/>
          <w:rtl/>
        </w:rPr>
        <w:t>העונש המתאים שיש לגזור על הנאשמים בנסיבות העניין</w:t>
      </w:r>
    </w:p>
    <w:p w14:paraId="795E1E6E" w14:textId="77777777" w:rsidR="00137958" w:rsidRDefault="00137958" w:rsidP="00977D4C">
      <w:pPr>
        <w:spacing w:line="360" w:lineRule="auto"/>
        <w:jc w:val="both"/>
        <w:rPr>
          <w:rtl/>
        </w:rPr>
      </w:pPr>
    </w:p>
    <w:p w14:paraId="2AC2519B" w14:textId="77777777" w:rsidR="00137958" w:rsidRDefault="00137958" w:rsidP="00977D4C">
      <w:pPr>
        <w:spacing w:line="360" w:lineRule="auto"/>
        <w:jc w:val="both"/>
        <w:rPr>
          <w:rtl/>
        </w:rPr>
      </w:pPr>
      <w:r>
        <w:rPr>
          <w:rtl/>
        </w:rPr>
        <w:t xml:space="preserve">כאמור לעיל, בשלב זה, על בית המשפט לגזור עונש המצוי במתחם הענישה שנקבע לעיל, ובעשותו כן עליו להתחשב בנסיבות </w:t>
      </w:r>
      <w:r>
        <w:rPr>
          <w:rFonts w:cs="Miriam"/>
          <w:rtl/>
        </w:rPr>
        <w:t>שאינן</w:t>
      </w:r>
      <w:r>
        <w:rPr>
          <w:rtl/>
        </w:rPr>
        <w:t xml:space="preserve"> קשורות בביצוע העבירה (המפורטות </w:t>
      </w:r>
      <w:hyperlink r:id="rId73" w:history="1">
        <w:r w:rsidR="00BE5882" w:rsidRPr="00BE5882">
          <w:rPr>
            <w:color w:val="0000FF"/>
            <w:u w:val="single"/>
            <w:rtl/>
          </w:rPr>
          <w:t>בסעיף 40יא</w:t>
        </w:r>
      </w:hyperlink>
      <w:r>
        <w:rPr>
          <w:rtl/>
        </w:rPr>
        <w:t xml:space="preserve"> ל</w:t>
      </w:r>
      <w:hyperlink r:id="rId74" w:history="1">
        <w:r w:rsidR="00943CBE" w:rsidRPr="00943CBE">
          <w:rPr>
            <w:color w:val="0000FF"/>
            <w:u w:val="single"/>
            <w:rtl/>
          </w:rPr>
          <w:t>חוק העונשין</w:t>
        </w:r>
      </w:hyperlink>
      <w:r>
        <w:rPr>
          <w:rtl/>
        </w:rPr>
        <w:t xml:space="preserve">), ובהתאם לסעיף זה, </w:t>
      </w:r>
      <w:r>
        <w:rPr>
          <w:rFonts w:cs="Miriam"/>
          <w:rtl/>
        </w:rPr>
        <w:t>רשאי</w:t>
      </w:r>
      <w:r>
        <w:rPr>
          <w:rtl/>
        </w:rPr>
        <w:t xml:space="preserve"> בית המשפט להתחשב בהתקיימותן "</w:t>
      </w:r>
      <w:r>
        <w:rPr>
          <w:rFonts w:cs="Miriam"/>
          <w:rtl/>
        </w:rPr>
        <w:t>ככל שסבר כי ראוי לתת להן משקל בנסיבות המקרה</w:t>
      </w:r>
      <w:r>
        <w:rPr>
          <w:rtl/>
        </w:rPr>
        <w:t xml:space="preserve">".  </w:t>
      </w:r>
    </w:p>
    <w:p w14:paraId="7BC173A8" w14:textId="77777777" w:rsidR="00137958" w:rsidRDefault="00137958" w:rsidP="008A424B">
      <w:pPr>
        <w:jc w:val="both"/>
        <w:rPr>
          <w:rtl/>
        </w:rPr>
      </w:pPr>
    </w:p>
    <w:p w14:paraId="477EF7C1" w14:textId="77777777" w:rsidR="00137958" w:rsidRDefault="00137958" w:rsidP="00977D4C">
      <w:pPr>
        <w:spacing w:line="360" w:lineRule="auto"/>
        <w:jc w:val="both"/>
        <w:rPr>
          <w:rtl/>
        </w:rPr>
      </w:pPr>
      <w:r>
        <w:rPr>
          <w:rtl/>
        </w:rPr>
        <w:t xml:space="preserve">עמדנו לעיל בהרחבה על נסיבותיהן של הנאשמים – אלו </w:t>
      </w:r>
      <w:r>
        <w:rPr>
          <w:rFonts w:cs="Miriam"/>
          <w:rtl/>
        </w:rPr>
        <w:t>שאינן</w:t>
      </w:r>
      <w:r>
        <w:rPr>
          <w:rtl/>
        </w:rPr>
        <w:t xml:space="preserve"> קשורות בביצוע העבירה – ונציין כי נסיבות אלו הובאו במכלול שיקולנו, לקולה ולחומרה, בקובענו את העונש ההולם והראוי שיש לגזור על הנאשמים.</w:t>
      </w:r>
    </w:p>
    <w:p w14:paraId="6CF38D8A" w14:textId="77777777" w:rsidR="00137958" w:rsidRDefault="00137958" w:rsidP="008A424B">
      <w:pPr>
        <w:jc w:val="both"/>
        <w:rPr>
          <w:rtl/>
        </w:rPr>
      </w:pPr>
    </w:p>
    <w:p w14:paraId="5689CC96" w14:textId="77777777" w:rsidR="00137958" w:rsidRDefault="00137958" w:rsidP="00977D4C">
      <w:pPr>
        <w:spacing w:line="360" w:lineRule="auto"/>
        <w:jc w:val="both"/>
        <w:rPr>
          <w:rtl/>
        </w:rPr>
      </w:pPr>
      <w:r>
        <w:rPr>
          <w:rtl/>
        </w:rPr>
        <w:t>זאת ועוד התחשבנו גם בשיקולי הענישה הרלבנטיים, בכלל זה, הרתעתם האישית של הנאשמים וכן הרתעת הרבים, (</w:t>
      </w:r>
      <w:hyperlink r:id="rId75" w:history="1">
        <w:r w:rsidR="00BE5882" w:rsidRPr="00BE5882">
          <w:rPr>
            <w:color w:val="0000FF"/>
            <w:u w:val="single"/>
            <w:rtl/>
          </w:rPr>
          <w:t>סעיפים 40ו.</w:t>
        </w:r>
      </w:hyperlink>
      <w:r>
        <w:rPr>
          <w:rtl/>
        </w:rPr>
        <w:t xml:space="preserve"> – </w:t>
      </w:r>
      <w:hyperlink r:id="rId76" w:history="1">
        <w:r w:rsidR="00BE5882" w:rsidRPr="00BE5882">
          <w:rPr>
            <w:color w:val="0000FF"/>
            <w:u w:val="single"/>
            <w:rtl/>
          </w:rPr>
          <w:t>40ז</w:t>
        </w:r>
      </w:hyperlink>
      <w:r>
        <w:rPr>
          <w:rtl/>
        </w:rPr>
        <w:t>. ל</w:t>
      </w:r>
      <w:hyperlink r:id="rId77" w:history="1">
        <w:r w:rsidR="00943CBE" w:rsidRPr="00943CBE">
          <w:rPr>
            <w:color w:val="0000FF"/>
            <w:u w:val="single"/>
            <w:rtl/>
          </w:rPr>
          <w:t>חוק העונשין</w:t>
        </w:r>
      </w:hyperlink>
      <w:r>
        <w:rPr>
          <w:rtl/>
        </w:rPr>
        <w:t xml:space="preserve">) ואנו סבורים כי שיקולים אלו, אף הם מחייבים הטלת ענישה מחמירה.  </w:t>
      </w:r>
    </w:p>
    <w:p w14:paraId="7F7A6E3B" w14:textId="77777777" w:rsidR="00137958" w:rsidRDefault="00137958" w:rsidP="008A424B">
      <w:pPr>
        <w:jc w:val="both"/>
        <w:rPr>
          <w:rtl/>
        </w:rPr>
      </w:pPr>
    </w:p>
    <w:p w14:paraId="16E3C22D" w14:textId="77777777" w:rsidR="00137958" w:rsidRDefault="00137958" w:rsidP="00977D4C">
      <w:pPr>
        <w:spacing w:line="360" w:lineRule="auto"/>
        <w:jc w:val="both"/>
        <w:rPr>
          <w:rtl/>
        </w:rPr>
      </w:pPr>
      <w:r>
        <w:rPr>
          <w:rtl/>
        </w:rPr>
        <w:t xml:space="preserve">אנו סבורים כי העונש שנגזר על הנאשמים הולם, ומאזן נכונה בין השיקולים לקולה, בעיקר הודאתם במסגרת הסדר הטיעון, לבין השיקולים לחומרה לחובתם. </w:t>
      </w:r>
    </w:p>
    <w:p w14:paraId="3A9CEBD3" w14:textId="77777777" w:rsidR="00137958" w:rsidRDefault="00137958" w:rsidP="008A424B">
      <w:pPr>
        <w:jc w:val="both"/>
        <w:rPr>
          <w:rtl/>
        </w:rPr>
      </w:pPr>
    </w:p>
    <w:p w14:paraId="310FCF53" w14:textId="77777777" w:rsidR="00137958" w:rsidRDefault="00137958" w:rsidP="00977D4C">
      <w:pPr>
        <w:spacing w:line="360" w:lineRule="auto"/>
        <w:jc w:val="both"/>
        <w:rPr>
          <w:rFonts w:ascii="Century" w:hAnsi="Century"/>
          <w:b/>
          <w:rtl/>
        </w:rPr>
      </w:pPr>
      <w:r>
        <w:rPr>
          <w:rFonts w:ascii="Century" w:hAnsi="Century" w:hint="eastAsia"/>
          <w:b/>
          <w:rtl/>
        </w:rPr>
        <w:t>העונשים</w:t>
      </w:r>
      <w:r>
        <w:rPr>
          <w:rFonts w:ascii="Century" w:hAnsi="Century"/>
          <w:b/>
          <w:rtl/>
        </w:rPr>
        <w:t xml:space="preserve"> </w:t>
      </w:r>
      <w:r>
        <w:rPr>
          <w:rFonts w:ascii="Century" w:hAnsi="Century" w:hint="eastAsia"/>
          <w:b/>
          <w:rtl/>
        </w:rPr>
        <w:t>הושתו</w:t>
      </w:r>
      <w:r>
        <w:rPr>
          <w:rFonts w:ascii="Century" w:hAnsi="Century"/>
          <w:b/>
          <w:rtl/>
        </w:rPr>
        <w:t xml:space="preserve"> </w:t>
      </w:r>
      <w:r>
        <w:rPr>
          <w:rFonts w:ascii="Century" w:hAnsi="Century" w:hint="eastAsia"/>
          <w:b/>
          <w:rtl/>
        </w:rPr>
        <w:t>בהתחשב</w:t>
      </w:r>
      <w:r>
        <w:rPr>
          <w:rFonts w:ascii="Century" w:hAnsi="Century"/>
          <w:b/>
          <w:rtl/>
        </w:rPr>
        <w:t xml:space="preserve">, </w:t>
      </w:r>
      <w:r>
        <w:rPr>
          <w:rFonts w:ascii="Century" w:hAnsi="Century" w:hint="eastAsia"/>
          <w:b/>
          <w:rtl/>
        </w:rPr>
        <w:t>בין</w:t>
      </w:r>
      <w:r>
        <w:rPr>
          <w:rFonts w:ascii="Century" w:hAnsi="Century"/>
          <w:b/>
          <w:rtl/>
        </w:rPr>
        <w:t xml:space="preserve"> </w:t>
      </w:r>
      <w:r>
        <w:rPr>
          <w:rFonts w:ascii="Century" w:hAnsi="Century" w:hint="eastAsia"/>
          <w:b/>
          <w:rtl/>
        </w:rPr>
        <w:t>השאר</w:t>
      </w:r>
      <w:r>
        <w:rPr>
          <w:rFonts w:ascii="Century" w:hAnsi="Century"/>
          <w:b/>
          <w:rtl/>
        </w:rPr>
        <w:t xml:space="preserve">, </w:t>
      </w:r>
      <w:r>
        <w:rPr>
          <w:rFonts w:ascii="Century" w:hAnsi="Century" w:hint="eastAsia"/>
          <w:b/>
          <w:rtl/>
        </w:rPr>
        <w:t>במספר</w:t>
      </w:r>
      <w:r>
        <w:rPr>
          <w:rFonts w:ascii="Century" w:hAnsi="Century"/>
          <w:b/>
          <w:rtl/>
        </w:rPr>
        <w:t xml:space="preserve"> </w:t>
      </w:r>
      <w:r>
        <w:rPr>
          <w:rFonts w:ascii="Century" w:hAnsi="Century" w:hint="eastAsia"/>
          <w:b/>
          <w:rtl/>
        </w:rPr>
        <w:t>העבירות</w:t>
      </w:r>
      <w:r>
        <w:rPr>
          <w:rFonts w:ascii="Century" w:hAnsi="Century"/>
          <w:b/>
          <w:rtl/>
        </w:rPr>
        <w:t xml:space="preserve">, </w:t>
      </w:r>
      <w:r>
        <w:rPr>
          <w:rFonts w:ascii="Century" w:hAnsi="Century" w:hint="eastAsia"/>
          <w:b/>
          <w:rtl/>
        </w:rPr>
        <w:t>בתדירותן</w:t>
      </w:r>
      <w:r>
        <w:rPr>
          <w:rFonts w:ascii="Century" w:hAnsi="Century"/>
          <w:b/>
          <w:rtl/>
        </w:rPr>
        <w:t xml:space="preserve"> </w:t>
      </w:r>
      <w:r>
        <w:rPr>
          <w:rFonts w:ascii="Century" w:hAnsi="Century" w:hint="eastAsia"/>
          <w:b/>
          <w:rtl/>
        </w:rPr>
        <w:t>ובזיקה</w:t>
      </w:r>
      <w:r>
        <w:rPr>
          <w:rFonts w:ascii="Century" w:hAnsi="Century"/>
          <w:b/>
          <w:rtl/>
        </w:rPr>
        <w:t xml:space="preserve"> </w:t>
      </w:r>
      <w:r>
        <w:rPr>
          <w:rFonts w:ascii="Century" w:hAnsi="Century" w:hint="eastAsia"/>
          <w:b/>
          <w:rtl/>
        </w:rPr>
        <w:t>ביניהן</w:t>
      </w:r>
      <w:r>
        <w:rPr>
          <w:rFonts w:ascii="Century" w:hAnsi="Century"/>
          <w:b/>
          <w:rtl/>
        </w:rPr>
        <w:t xml:space="preserve">, </w:t>
      </w:r>
      <w:r>
        <w:rPr>
          <w:rFonts w:ascii="Century" w:hAnsi="Century" w:hint="eastAsia"/>
          <w:b/>
          <w:rtl/>
        </w:rPr>
        <w:t>ומבטאים</w:t>
      </w:r>
      <w:r>
        <w:rPr>
          <w:rFonts w:ascii="Century" w:hAnsi="Century"/>
          <w:b/>
          <w:rtl/>
        </w:rPr>
        <w:t xml:space="preserve"> </w:t>
      </w:r>
      <w:r>
        <w:rPr>
          <w:rFonts w:ascii="Century" w:hAnsi="Century" w:hint="eastAsia"/>
          <w:b/>
          <w:rtl/>
        </w:rPr>
        <w:t>יחס</w:t>
      </w:r>
      <w:r>
        <w:rPr>
          <w:rFonts w:ascii="Century" w:hAnsi="Century"/>
          <w:b/>
          <w:rtl/>
        </w:rPr>
        <w:t xml:space="preserve"> </w:t>
      </w:r>
      <w:r>
        <w:rPr>
          <w:rFonts w:ascii="Century" w:hAnsi="Century" w:hint="eastAsia"/>
          <w:b/>
          <w:rtl/>
        </w:rPr>
        <w:t>הולם</w:t>
      </w:r>
      <w:r>
        <w:rPr>
          <w:rFonts w:ascii="Century" w:hAnsi="Century"/>
          <w:b/>
          <w:rtl/>
        </w:rPr>
        <w:t xml:space="preserve"> </w:t>
      </w:r>
      <w:r>
        <w:rPr>
          <w:rFonts w:ascii="Century" w:hAnsi="Century" w:hint="eastAsia"/>
          <w:b/>
          <w:rtl/>
        </w:rPr>
        <w:t>בין</w:t>
      </w:r>
      <w:r>
        <w:rPr>
          <w:rFonts w:ascii="Century" w:hAnsi="Century"/>
          <w:b/>
          <w:rtl/>
        </w:rPr>
        <w:t xml:space="preserve"> </w:t>
      </w:r>
      <w:r>
        <w:rPr>
          <w:rFonts w:ascii="Century" w:hAnsi="Century" w:hint="eastAsia"/>
          <w:b/>
          <w:rtl/>
        </w:rPr>
        <w:t>חומרת</w:t>
      </w:r>
      <w:r>
        <w:rPr>
          <w:rFonts w:ascii="Century" w:hAnsi="Century"/>
          <w:b/>
          <w:rtl/>
        </w:rPr>
        <w:t xml:space="preserve"> </w:t>
      </w:r>
      <w:r>
        <w:rPr>
          <w:rFonts w:ascii="Century" w:hAnsi="Century" w:hint="eastAsia"/>
          <w:b/>
          <w:rtl/>
        </w:rPr>
        <w:t>מכלול</w:t>
      </w:r>
      <w:r>
        <w:rPr>
          <w:rFonts w:ascii="Century" w:hAnsi="Century"/>
          <w:b/>
          <w:rtl/>
        </w:rPr>
        <w:t xml:space="preserve"> </w:t>
      </w:r>
      <w:r>
        <w:rPr>
          <w:rFonts w:ascii="Century" w:hAnsi="Century" w:hint="eastAsia"/>
          <w:b/>
          <w:rtl/>
        </w:rPr>
        <w:t>מעשיהם</w:t>
      </w:r>
      <w:r>
        <w:rPr>
          <w:rFonts w:ascii="Century" w:hAnsi="Century"/>
          <w:b/>
          <w:rtl/>
        </w:rPr>
        <w:t xml:space="preserve"> </w:t>
      </w:r>
      <w:r>
        <w:rPr>
          <w:rFonts w:ascii="Century" w:hAnsi="Century" w:hint="eastAsia"/>
          <w:b/>
          <w:rtl/>
        </w:rPr>
        <w:t>ומידת</w:t>
      </w:r>
      <w:r>
        <w:rPr>
          <w:rFonts w:ascii="Century" w:hAnsi="Century"/>
          <w:b/>
          <w:rtl/>
        </w:rPr>
        <w:t xml:space="preserve"> </w:t>
      </w:r>
      <w:r>
        <w:rPr>
          <w:rFonts w:ascii="Century" w:hAnsi="Century" w:hint="eastAsia"/>
          <w:b/>
          <w:rtl/>
        </w:rPr>
        <w:t>אשמתם</w:t>
      </w:r>
      <w:r>
        <w:rPr>
          <w:rFonts w:ascii="Century" w:hAnsi="Century"/>
          <w:b/>
          <w:rtl/>
        </w:rPr>
        <w:t xml:space="preserve"> </w:t>
      </w:r>
      <w:r>
        <w:rPr>
          <w:rFonts w:ascii="Century" w:hAnsi="Century" w:hint="eastAsia"/>
          <w:b/>
          <w:rtl/>
        </w:rPr>
        <w:t>של</w:t>
      </w:r>
      <w:r>
        <w:rPr>
          <w:rFonts w:ascii="Century" w:hAnsi="Century"/>
          <w:b/>
          <w:rtl/>
        </w:rPr>
        <w:t xml:space="preserve"> </w:t>
      </w:r>
      <w:r>
        <w:rPr>
          <w:rFonts w:ascii="Century" w:hAnsi="Century" w:hint="eastAsia"/>
          <w:b/>
          <w:rtl/>
        </w:rPr>
        <w:t>הנאשמים</w:t>
      </w:r>
      <w:r>
        <w:rPr>
          <w:rFonts w:ascii="Century" w:hAnsi="Century"/>
          <w:b/>
          <w:rtl/>
        </w:rPr>
        <w:t xml:space="preserve"> </w:t>
      </w:r>
      <w:r>
        <w:rPr>
          <w:rFonts w:ascii="Century" w:hAnsi="Century" w:hint="eastAsia"/>
          <w:b/>
          <w:rtl/>
        </w:rPr>
        <w:t>לבין</w:t>
      </w:r>
      <w:r>
        <w:rPr>
          <w:rFonts w:ascii="Century" w:hAnsi="Century"/>
          <w:b/>
          <w:rtl/>
        </w:rPr>
        <w:t xml:space="preserve"> </w:t>
      </w:r>
      <w:r>
        <w:rPr>
          <w:rFonts w:ascii="Century" w:hAnsi="Century" w:hint="eastAsia"/>
          <w:b/>
          <w:rtl/>
        </w:rPr>
        <w:t>תקופות</w:t>
      </w:r>
      <w:r>
        <w:rPr>
          <w:rFonts w:ascii="Century" w:hAnsi="Century"/>
          <w:b/>
          <w:rtl/>
        </w:rPr>
        <w:t xml:space="preserve"> </w:t>
      </w:r>
      <w:r>
        <w:rPr>
          <w:rFonts w:ascii="Century" w:hAnsi="Century" w:hint="eastAsia"/>
          <w:b/>
          <w:rtl/>
        </w:rPr>
        <w:t>המאסר</w:t>
      </w:r>
      <w:r>
        <w:rPr>
          <w:rFonts w:ascii="Century" w:hAnsi="Century"/>
          <w:b/>
          <w:rtl/>
        </w:rPr>
        <w:t xml:space="preserve"> </w:t>
      </w:r>
      <w:r>
        <w:rPr>
          <w:rFonts w:ascii="Century" w:hAnsi="Century" w:hint="eastAsia"/>
          <w:b/>
          <w:rtl/>
        </w:rPr>
        <w:t>שהוטלו</w:t>
      </w:r>
      <w:r>
        <w:rPr>
          <w:rFonts w:ascii="Century" w:hAnsi="Century"/>
          <w:b/>
          <w:rtl/>
        </w:rPr>
        <w:t xml:space="preserve"> </w:t>
      </w:r>
      <w:r>
        <w:rPr>
          <w:rFonts w:ascii="Century" w:hAnsi="Century" w:hint="eastAsia"/>
          <w:b/>
          <w:rtl/>
        </w:rPr>
        <w:t>על</w:t>
      </w:r>
      <w:r>
        <w:rPr>
          <w:rFonts w:ascii="Century" w:hAnsi="Century"/>
          <w:b/>
          <w:rtl/>
        </w:rPr>
        <w:t xml:space="preserve"> </w:t>
      </w:r>
      <w:r>
        <w:rPr>
          <w:rFonts w:ascii="Century" w:hAnsi="Century" w:hint="eastAsia"/>
          <w:b/>
          <w:rtl/>
        </w:rPr>
        <w:t>הנאשמים</w:t>
      </w:r>
      <w:r>
        <w:rPr>
          <w:rFonts w:ascii="Century" w:hAnsi="Century"/>
          <w:b/>
          <w:rtl/>
        </w:rPr>
        <w:t xml:space="preserve">.  </w:t>
      </w:r>
    </w:p>
    <w:p w14:paraId="46917C8B" w14:textId="77777777" w:rsidR="00137958" w:rsidRDefault="00137958" w:rsidP="008A424B">
      <w:pPr>
        <w:jc w:val="both"/>
        <w:rPr>
          <w:rtl/>
        </w:rPr>
      </w:pPr>
    </w:p>
    <w:p w14:paraId="5663AEB8" w14:textId="77777777" w:rsidR="00137958" w:rsidRDefault="00137958" w:rsidP="00977D4C">
      <w:pPr>
        <w:spacing w:line="360" w:lineRule="auto"/>
        <w:jc w:val="both"/>
        <w:rPr>
          <w:rtl/>
        </w:rPr>
      </w:pPr>
      <w:r>
        <w:rPr>
          <w:rtl/>
        </w:rPr>
        <w:t>סיכומו של דבר, לאחר ששקלנו את העבירות, נסיבותיהם, הערכים החברתיים הנפגעים, ואת מדיניות הענישה הנהוגה, כמו גם את מכלול השיקולים הרלוונטיים הן לחומרה והן לקולא, אנו גוזרים על כל אחד הנאשמים את העונשים, כדלקמן:</w:t>
      </w:r>
    </w:p>
    <w:p w14:paraId="4932BAF6" w14:textId="77777777" w:rsidR="00137958" w:rsidRDefault="00137958" w:rsidP="008A424B">
      <w:pPr>
        <w:jc w:val="both"/>
        <w:rPr>
          <w:rtl/>
        </w:rPr>
      </w:pPr>
    </w:p>
    <w:p w14:paraId="3A3B3B58" w14:textId="77777777" w:rsidR="00137958" w:rsidRDefault="00137958" w:rsidP="00977D4C">
      <w:pPr>
        <w:spacing w:line="360" w:lineRule="auto"/>
        <w:ind w:left="720" w:hanging="720"/>
        <w:jc w:val="both"/>
        <w:rPr>
          <w:rtl/>
        </w:rPr>
      </w:pPr>
      <w:r>
        <w:rPr>
          <w:rtl/>
        </w:rPr>
        <w:t>א.</w:t>
      </w:r>
      <w:r>
        <w:rPr>
          <w:rtl/>
        </w:rPr>
        <w:tab/>
        <w:t>25 שנות מאסר מתוכן 23 שנות מאסר בפועל והיתרה על תנאי למשך שלוש שנים, לבל יעברו עבירות אלימות ונשק מסוג פשע.</w:t>
      </w:r>
    </w:p>
    <w:p w14:paraId="0D607FDB" w14:textId="77777777" w:rsidR="00137958" w:rsidRDefault="00137958" w:rsidP="008A424B">
      <w:pPr>
        <w:ind w:left="720" w:hanging="720"/>
        <w:jc w:val="both"/>
        <w:rPr>
          <w:rtl/>
        </w:rPr>
      </w:pPr>
    </w:p>
    <w:p w14:paraId="4A15A2B7" w14:textId="77777777" w:rsidR="00137958" w:rsidRDefault="00137958" w:rsidP="008A424B">
      <w:pPr>
        <w:spacing w:line="360" w:lineRule="auto"/>
        <w:ind w:left="720" w:hanging="720"/>
        <w:jc w:val="both"/>
        <w:rPr>
          <w:rtl/>
        </w:rPr>
      </w:pPr>
      <w:r>
        <w:rPr>
          <w:rtl/>
        </w:rPr>
        <w:t>ב.</w:t>
      </w:r>
      <w:r>
        <w:rPr>
          <w:rtl/>
        </w:rPr>
        <w:tab/>
        <w:t>בהתייחס לנאשם מס' 1, אנו מפעילים את עונש המאסר על תנאי חב ההפעלה בן 12 החודשים, שהוטל עליו ב</w:t>
      </w:r>
      <w:hyperlink r:id="rId78" w:history="1">
        <w:r w:rsidR="00943CBE" w:rsidRPr="00943CBE">
          <w:rPr>
            <w:color w:val="0000FF"/>
            <w:u w:val="single"/>
            <w:rtl/>
          </w:rPr>
          <w:t>ת"פ 1184/08</w:t>
        </w:r>
      </w:hyperlink>
      <w:r>
        <w:rPr>
          <w:rtl/>
        </w:rPr>
        <w:t xml:space="preserve"> (חדרה) </w:t>
      </w:r>
      <w:r w:rsidR="000C34CB" w:rsidRPr="000C34CB">
        <w:rPr>
          <w:sz w:val="22"/>
          <w:rtl/>
        </w:rPr>
        <w:t xml:space="preserve">[פורסם בנבו] </w:t>
      </w:r>
      <w:r>
        <w:rPr>
          <w:rtl/>
        </w:rPr>
        <w:t>מיום 20/09/09 והוארך לתקופה של שנתיים ביום 15/12/10 ב</w:t>
      </w:r>
      <w:hyperlink r:id="rId79" w:history="1">
        <w:r w:rsidR="00943CBE" w:rsidRPr="00943CBE">
          <w:rPr>
            <w:color w:val="0000FF"/>
            <w:u w:val="single"/>
            <w:rtl/>
          </w:rPr>
          <w:t>ת"פ 34008-05-10</w:t>
        </w:r>
      </w:hyperlink>
      <w:r>
        <w:rPr>
          <w:rtl/>
        </w:rPr>
        <w:t xml:space="preserve"> (אילת) </w:t>
      </w:r>
      <w:r w:rsidR="000C34CB" w:rsidRPr="000C34CB">
        <w:rPr>
          <w:sz w:val="22"/>
          <w:rtl/>
        </w:rPr>
        <w:t xml:space="preserve">[פורסם בנבו] </w:t>
      </w:r>
      <w:r>
        <w:rPr>
          <w:rtl/>
        </w:rPr>
        <w:t>באופן שירוצה במצטבר לעונש המאסר בפועל שהוטל עליו כמצויין לעיל, כך שירצה בסך הכל 24 שנות מאסר בפועל.</w:t>
      </w:r>
    </w:p>
    <w:p w14:paraId="3B101C20" w14:textId="77777777" w:rsidR="00137958" w:rsidRDefault="00137958" w:rsidP="008A424B">
      <w:pPr>
        <w:ind w:left="720" w:hanging="720"/>
        <w:jc w:val="both"/>
        <w:rPr>
          <w:rtl/>
        </w:rPr>
      </w:pPr>
    </w:p>
    <w:p w14:paraId="7413C2B3" w14:textId="77777777" w:rsidR="00137958" w:rsidRDefault="00137958" w:rsidP="000C34CB">
      <w:pPr>
        <w:jc w:val="both"/>
        <w:rPr>
          <w:rFonts w:ascii="Century" w:hAnsi="Century"/>
          <w:b/>
          <w:rtl/>
        </w:rPr>
      </w:pPr>
      <w:r>
        <w:rPr>
          <w:rFonts w:ascii="Century" w:hAnsi="Century" w:hint="eastAsia"/>
          <w:b/>
          <w:rtl/>
        </w:rPr>
        <w:t>לפני</w:t>
      </w:r>
      <w:r>
        <w:rPr>
          <w:rFonts w:ascii="Century" w:hAnsi="Century"/>
          <w:b/>
          <w:rtl/>
        </w:rPr>
        <w:t xml:space="preserve"> </w:t>
      </w:r>
      <w:r>
        <w:rPr>
          <w:rFonts w:ascii="Century" w:hAnsi="Century" w:hint="eastAsia"/>
          <w:b/>
          <w:rtl/>
        </w:rPr>
        <w:t>סיום</w:t>
      </w:r>
      <w:r>
        <w:rPr>
          <w:rFonts w:ascii="Century" w:hAnsi="Century"/>
          <w:b/>
          <w:rtl/>
        </w:rPr>
        <w:t xml:space="preserve">, </w:t>
      </w:r>
      <w:r>
        <w:rPr>
          <w:rFonts w:ascii="Century" w:hAnsi="Century" w:hint="eastAsia"/>
          <w:b/>
          <w:rtl/>
        </w:rPr>
        <w:t>נפנה</w:t>
      </w:r>
      <w:r>
        <w:rPr>
          <w:rFonts w:ascii="Century" w:hAnsi="Century"/>
          <w:b/>
          <w:rtl/>
        </w:rPr>
        <w:t xml:space="preserve"> </w:t>
      </w:r>
      <w:r>
        <w:rPr>
          <w:rFonts w:ascii="Century" w:hAnsi="Century" w:hint="eastAsia"/>
          <w:b/>
          <w:rtl/>
        </w:rPr>
        <w:t>לדברים</w:t>
      </w:r>
      <w:r>
        <w:rPr>
          <w:rFonts w:ascii="Century" w:hAnsi="Century"/>
          <w:b/>
          <w:rtl/>
        </w:rPr>
        <w:t xml:space="preserve"> </w:t>
      </w:r>
      <w:r>
        <w:rPr>
          <w:rFonts w:ascii="Century" w:hAnsi="Century" w:hint="eastAsia"/>
          <w:b/>
          <w:rtl/>
        </w:rPr>
        <w:t>שנאמרו</w:t>
      </w:r>
      <w:r>
        <w:rPr>
          <w:rFonts w:ascii="Century" w:hAnsi="Century"/>
          <w:b/>
          <w:rtl/>
        </w:rPr>
        <w:t xml:space="preserve"> </w:t>
      </w:r>
      <w:r>
        <w:rPr>
          <w:rFonts w:ascii="Century" w:hAnsi="Century" w:hint="eastAsia"/>
          <w:b/>
          <w:rtl/>
        </w:rPr>
        <w:t>ב</w:t>
      </w:r>
      <w:hyperlink r:id="rId80" w:history="1">
        <w:r w:rsidR="00943CBE" w:rsidRPr="00943CBE">
          <w:rPr>
            <w:rFonts w:ascii="Century" w:hAnsi="Century" w:hint="eastAsia"/>
            <w:b/>
            <w:color w:val="0000FF"/>
            <w:u w:val="single"/>
            <w:rtl/>
          </w:rPr>
          <w:t>ע</w:t>
        </w:r>
        <w:r w:rsidR="00943CBE" w:rsidRPr="00943CBE">
          <w:rPr>
            <w:rFonts w:ascii="Century" w:hAnsi="Century"/>
            <w:b/>
            <w:color w:val="0000FF"/>
            <w:u w:val="single"/>
            <w:rtl/>
          </w:rPr>
          <w:t>"</w:t>
        </w:r>
        <w:r w:rsidR="00943CBE" w:rsidRPr="00943CBE">
          <w:rPr>
            <w:rFonts w:ascii="Century" w:hAnsi="Century" w:hint="eastAsia"/>
            <w:b/>
            <w:color w:val="0000FF"/>
            <w:u w:val="single"/>
            <w:rtl/>
          </w:rPr>
          <w:t>פ</w:t>
        </w:r>
        <w:r w:rsidR="00943CBE" w:rsidRPr="00943CBE">
          <w:rPr>
            <w:rFonts w:ascii="Century" w:hAnsi="Century"/>
            <w:b/>
            <w:color w:val="0000FF"/>
            <w:u w:val="single"/>
            <w:rtl/>
          </w:rPr>
          <w:t xml:space="preserve"> 4173/07</w:t>
        </w:r>
      </w:hyperlink>
      <w:r w:rsidR="000C34CB">
        <w:rPr>
          <w:rFonts w:ascii="Century" w:hAnsi="Century" w:hint="cs"/>
          <w:b/>
          <w:rtl/>
        </w:rPr>
        <w:t xml:space="preserve"> </w:t>
      </w:r>
      <w:r w:rsidR="000C34CB" w:rsidRPr="000C34CB">
        <w:rPr>
          <w:sz w:val="22"/>
          <w:rtl/>
        </w:rPr>
        <w:t>[</w:t>
      </w:r>
      <w:r w:rsidR="000C34CB" w:rsidRPr="000C34CB">
        <w:rPr>
          <w:rFonts w:hint="eastAsia"/>
          <w:sz w:val="22"/>
          <w:rtl/>
        </w:rPr>
        <w:t>פורסם</w:t>
      </w:r>
      <w:r w:rsidR="000C34CB" w:rsidRPr="000C34CB">
        <w:rPr>
          <w:sz w:val="22"/>
          <w:rtl/>
        </w:rPr>
        <w:t xml:space="preserve"> </w:t>
      </w:r>
      <w:r w:rsidR="000C34CB" w:rsidRPr="000C34CB">
        <w:rPr>
          <w:rFonts w:hint="eastAsia"/>
          <w:sz w:val="22"/>
          <w:rtl/>
        </w:rPr>
        <w:t>בנבו</w:t>
      </w:r>
      <w:r w:rsidR="000C34CB" w:rsidRPr="000C34CB">
        <w:rPr>
          <w:sz w:val="22"/>
          <w:rtl/>
        </w:rPr>
        <w:t>]</w:t>
      </w:r>
      <w:r>
        <w:rPr>
          <w:rFonts w:ascii="Century" w:hAnsi="Century"/>
          <w:b/>
          <w:rtl/>
        </w:rPr>
        <w:t xml:space="preserve">: </w:t>
      </w:r>
    </w:p>
    <w:p w14:paraId="35214D61" w14:textId="77777777" w:rsidR="00137958" w:rsidRDefault="00137958" w:rsidP="008A424B">
      <w:pPr>
        <w:jc w:val="both"/>
        <w:rPr>
          <w:rFonts w:ascii="Century" w:hAnsi="Century"/>
          <w:b/>
          <w:rtl/>
        </w:rPr>
      </w:pPr>
    </w:p>
    <w:p w14:paraId="59A261EC" w14:textId="77777777" w:rsidR="00137958" w:rsidRDefault="00137958" w:rsidP="000C34CB">
      <w:pPr>
        <w:ind w:left="746" w:right="720"/>
        <w:jc w:val="both"/>
        <w:rPr>
          <w:rFonts w:cs="Miriam"/>
          <w:rtl/>
        </w:rPr>
      </w:pPr>
      <w:r>
        <w:rPr>
          <w:rFonts w:cs="Miriam"/>
          <w:rtl/>
        </w:rPr>
        <w:t xml:space="preserve">"כאשר נאשם מגיע להסדר טיעון עם התביעה הכולל עונש בטווח ענישה מוסכם המוצג בפני בית המשפט על ידי כל אחד מהצדדים על פי הטיעון כפי שהוסכם, הרי שהוא נוטל על עצמו את הסיכון כי יושת עליו הרף המקסימאלי של הטווח המוסכם" </w:t>
      </w:r>
      <w:r>
        <w:rPr>
          <w:rtl/>
        </w:rPr>
        <w:t>(</w:t>
      </w:r>
      <w:r>
        <w:rPr>
          <w:b/>
          <w:bCs/>
          <w:rtl/>
        </w:rPr>
        <w:t>פלוני נ' מדינת ישראל</w:t>
      </w:r>
      <w:r>
        <w:rPr>
          <w:rtl/>
        </w:rPr>
        <w:t>, (לא פורסם</w:t>
      </w:r>
      <w:r w:rsidR="000C34CB">
        <w:rPr>
          <w:rFonts w:hint="cs"/>
          <w:rtl/>
        </w:rPr>
        <w:t xml:space="preserve">, </w:t>
      </w:r>
      <w:r w:rsidR="000C34CB" w:rsidRPr="000C34CB">
        <w:rPr>
          <w:sz w:val="22"/>
          <w:rtl/>
        </w:rPr>
        <w:t>[פורסם בנבו]</w:t>
      </w:r>
      <w:r>
        <w:rPr>
          <w:rtl/>
        </w:rPr>
        <w:t xml:space="preserve">, 16/08/07), פסקה 8).  </w:t>
      </w:r>
    </w:p>
    <w:p w14:paraId="459372DA" w14:textId="77777777" w:rsidR="00137958" w:rsidRDefault="00137958" w:rsidP="008A424B">
      <w:pPr>
        <w:jc w:val="both"/>
        <w:rPr>
          <w:rFonts w:ascii="Century" w:hAnsi="Century"/>
          <w:b/>
          <w:rtl/>
        </w:rPr>
      </w:pPr>
    </w:p>
    <w:p w14:paraId="44A9E00C" w14:textId="77777777" w:rsidR="00137958" w:rsidRDefault="00137958" w:rsidP="008A424B">
      <w:pPr>
        <w:jc w:val="both"/>
        <w:rPr>
          <w:rFonts w:ascii="Century" w:hAnsi="Century"/>
          <w:b/>
          <w:rtl/>
        </w:rPr>
      </w:pPr>
    </w:p>
    <w:p w14:paraId="440517CE" w14:textId="77777777" w:rsidR="00137958" w:rsidRDefault="00137958" w:rsidP="00977D4C">
      <w:pPr>
        <w:spacing w:line="360" w:lineRule="auto"/>
        <w:jc w:val="both"/>
        <w:rPr>
          <w:rFonts w:ascii="Century" w:hAnsi="Century"/>
          <w:b/>
          <w:rtl/>
        </w:rPr>
      </w:pPr>
      <w:r>
        <w:rPr>
          <w:rFonts w:ascii="Century" w:hAnsi="Century" w:hint="eastAsia"/>
          <w:b/>
          <w:rtl/>
        </w:rPr>
        <w:t>והדברים</w:t>
      </w:r>
      <w:r>
        <w:rPr>
          <w:rFonts w:ascii="Century" w:hAnsi="Century"/>
          <w:b/>
          <w:rtl/>
        </w:rPr>
        <w:t xml:space="preserve"> </w:t>
      </w:r>
      <w:r>
        <w:rPr>
          <w:rFonts w:ascii="Century" w:hAnsi="Century" w:hint="eastAsia"/>
          <w:b/>
          <w:rtl/>
        </w:rPr>
        <w:t>מקבלים</w:t>
      </w:r>
      <w:r>
        <w:rPr>
          <w:rFonts w:ascii="Century" w:hAnsi="Century"/>
          <w:b/>
          <w:rtl/>
        </w:rPr>
        <w:t xml:space="preserve"> </w:t>
      </w:r>
      <w:r>
        <w:rPr>
          <w:rFonts w:ascii="Century" w:hAnsi="Century" w:hint="eastAsia"/>
          <w:b/>
          <w:rtl/>
        </w:rPr>
        <w:t>משנה</w:t>
      </w:r>
      <w:r>
        <w:rPr>
          <w:rFonts w:ascii="Century" w:hAnsi="Century"/>
          <w:b/>
          <w:rtl/>
        </w:rPr>
        <w:t xml:space="preserve"> </w:t>
      </w:r>
      <w:r>
        <w:rPr>
          <w:rFonts w:ascii="Century" w:hAnsi="Century" w:hint="eastAsia"/>
          <w:b/>
          <w:rtl/>
        </w:rPr>
        <w:t>תוקף</w:t>
      </w:r>
      <w:r>
        <w:rPr>
          <w:rFonts w:ascii="Century" w:hAnsi="Century"/>
          <w:b/>
          <w:rtl/>
        </w:rPr>
        <w:t xml:space="preserve"> </w:t>
      </w:r>
      <w:r>
        <w:rPr>
          <w:rFonts w:ascii="Century" w:hAnsi="Century" w:hint="eastAsia"/>
          <w:b/>
          <w:rtl/>
        </w:rPr>
        <w:t>בענייננו</w:t>
      </w:r>
      <w:r>
        <w:rPr>
          <w:rFonts w:ascii="Century" w:hAnsi="Century"/>
          <w:b/>
          <w:rtl/>
        </w:rPr>
        <w:t xml:space="preserve">, </w:t>
      </w:r>
      <w:r>
        <w:rPr>
          <w:rFonts w:ascii="Century" w:hAnsi="Century" w:hint="eastAsia"/>
          <w:b/>
          <w:rtl/>
        </w:rPr>
        <w:t>שעה</w:t>
      </w:r>
      <w:r>
        <w:rPr>
          <w:rFonts w:ascii="Century" w:hAnsi="Century"/>
          <w:b/>
          <w:rtl/>
        </w:rPr>
        <w:t xml:space="preserve"> </w:t>
      </w:r>
      <w:r>
        <w:rPr>
          <w:rFonts w:ascii="Century" w:hAnsi="Century" w:hint="eastAsia"/>
          <w:b/>
          <w:rtl/>
        </w:rPr>
        <w:t>שהעונשים</w:t>
      </w:r>
      <w:r>
        <w:rPr>
          <w:rFonts w:ascii="Century" w:hAnsi="Century"/>
          <w:b/>
          <w:rtl/>
        </w:rPr>
        <w:t xml:space="preserve"> </w:t>
      </w:r>
      <w:r>
        <w:rPr>
          <w:rFonts w:ascii="Century" w:hAnsi="Century" w:hint="eastAsia"/>
          <w:b/>
          <w:rtl/>
        </w:rPr>
        <w:t>שהוטלו</w:t>
      </w:r>
      <w:r>
        <w:rPr>
          <w:rFonts w:ascii="Century" w:hAnsi="Century"/>
          <w:b/>
          <w:rtl/>
        </w:rPr>
        <w:t xml:space="preserve"> </w:t>
      </w:r>
      <w:r>
        <w:rPr>
          <w:rFonts w:ascii="Century" w:hAnsi="Century" w:hint="eastAsia"/>
          <w:b/>
          <w:rtl/>
        </w:rPr>
        <w:t>על</w:t>
      </w:r>
      <w:r>
        <w:rPr>
          <w:rFonts w:ascii="Century" w:hAnsi="Century"/>
          <w:b/>
          <w:rtl/>
        </w:rPr>
        <w:t xml:space="preserve"> </w:t>
      </w:r>
      <w:r>
        <w:rPr>
          <w:rFonts w:ascii="Century" w:hAnsi="Century" w:hint="eastAsia"/>
          <w:b/>
          <w:rtl/>
        </w:rPr>
        <w:t>הנאשמים</w:t>
      </w:r>
      <w:r>
        <w:rPr>
          <w:rFonts w:ascii="Century" w:hAnsi="Century"/>
          <w:b/>
          <w:rtl/>
        </w:rPr>
        <w:t xml:space="preserve">, </w:t>
      </w:r>
      <w:r>
        <w:rPr>
          <w:rFonts w:ascii="Century" w:hAnsi="Century" w:hint="eastAsia"/>
          <w:b/>
          <w:rtl/>
        </w:rPr>
        <w:t>אינם</w:t>
      </w:r>
      <w:r>
        <w:rPr>
          <w:rFonts w:ascii="Century" w:hAnsi="Century"/>
          <w:b/>
          <w:rtl/>
        </w:rPr>
        <w:t xml:space="preserve"> </w:t>
      </w:r>
      <w:r>
        <w:rPr>
          <w:rFonts w:ascii="Century" w:hAnsi="Century" w:hint="eastAsia"/>
          <w:b/>
          <w:rtl/>
        </w:rPr>
        <w:t>מצויים</w:t>
      </w:r>
      <w:r>
        <w:rPr>
          <w:rFonts w:ascii="Century" w:hAnsi="Century"/>
          <w:b/>
          <w:rtl/>
        </w:rPr>
        <w:t xml:space="preserve"> </w:t>
      </w:r>
      <w:r>
        <w:rPr>
          <w:rFonts w:ascii="Century" w:hAnsi="Century" w:hint="eastAsia"/>
          <w:b/>
          <w:rtl/>
        </w:rPr>
        <w:t>ברף</w:t>
      </w:r>
      <w:r>
        <w:rPr>
          <w:rFonts w:ascii="Century" w:hAnsi="Century"/>
          <w:b/>
          <w:rtl/>
        </w:rPr>
        <w:t xml:space="preserve"> </w:t>
      </w:r>
      <w:r>
        <w:rPr>
          <w:rFonts w:ascii="Century" w:hAnsi="Century" w:hint="eastAsia"/>
          <w:b/>
          <w:rtl/>
        </w:rPr>
        <w:t>המקסימאלי</w:t>
      </w:r>
      <w:r>
        <w:rPr>
          <w:rFonts w:ascii="Century" w:hAnsi="Century"/>
          <w:b/>
          <w:rtl/>
        </w:rPr>
        <w:t xml:space="preserve"> </w:t>
      </w:r>
      <w:r>
        <w:rPr>
          <w:rFonts w:ascii="Century" w:hAnsi="Century" w:hint="eastAsia"/>
          <w:b/>
          <w:rtl/>
        </w:rPr>
        <w:t>שעליו</w:t>
      </w:r>
      <w:r>
        <w:rPr>
          <w:rFonts w:ascii="Century" w:hAnsi="Century"/>
          <w:b/>
          <w:rtl/>
        </w:rPr>
        <w:t xml:space="preserve"> </w:t>
      </w:r>
      <w:r>
        <w:rPr>
          <w:rFonts w:ascii="Century" w:hAnsi="Century" w:hint="eastAsia"/>
          <w:b/>
          <w:rtl/>
        </w:rPr>
        <w:t>הסכימו</w:t>
      </w:r>
      <w:r>
        <w:rPr>
          <w:rFonts w:ascii="Century" w:hAnsi="Century"/>
          <w:b/>
          <w:rtl/>
        </w:rPr>
        <w:t xml:space="preserve"> </w:t>
      </w:r>
      <w:r>
        <w:rPr>
          <w:rFonts w:ascii="Century" w:hAnsi="Century" w:hint="eastAsia"/>
          <w:b/>
          <w:rtl/>
        </w:rPr>
        <w:t>הצדדים</w:t>
      </w:r>
      <w:r>
        <w:rPr>
          <w:rFonts w:ascii="Century" w:hAnsi="Century"/>
          <w:b/>
          <w:rtl/>
        </w:rPr>
        <w:t xml:space="preserve"> </w:t>
      </w:r>
      <w:r>
        <w:rPr>
          <w:rFonts w:ascii="Century" w:hAnsi="Century" w:hint="eastAsia"/>
          <w:b/>
          <w:rtl/>
        </w:rPr>
        <w:t>בהסדר</w:t>
      </w:r>
      <w:r>
        <w:rPr>
          <w:rFonts w:ascii="Century" w:hAnsi="Century"/>
          <w:b/>
          <w:rtl/>
        </w:rPr>
        <w:t xml:space="preserve">, </w:t>
      </w:r>
      <w:r>
        <w:rPr>
          <w:rFonts w:ascii="Century" w:hAnsi="Century" w:hint="eastAsia"/>
          <w:b/>
          <w:rtl/>
        </w:rPr>
        <w:t>אלא</w:t>
      </w:r>
      <w:r>
        <w:rPr>
          <w:rFonts w:ascii="Century" w:hAnsi="Century"/>
          <w:b/>
          <w:rtl/>
        </w:rPr>
        <w:t xml:space="preserve"> </w:t>
      </w:r>
      <w:r>
        <w:rPr>
          <w:rFonts w:ascii="Century" w:hAnsi="Century" w:hint="eastAsia"/>
          <w:b/>
          <w:rtl/>
        </w:rPr>
        <w:t>במרכז</w:t>
      </w:r>
      <w:r>
        <w:rPr>
          <w:rFonts w:ascii="Century" w:hAnsi="Century"/>
          <w:b/>
          <w:rtl/>
        </w:rPr>
        <w:t xml:space="preserve"> </w:t>
      </w:r>
      <w:r>
        <w:rPr>
          <w:rFonts w:ascii="Century" w:hAnsi="Century" w:hint="eastAsia"/>
          <w:b/>
          <w:rtl/>
        </w:rPr>
        <w:t>הטווח</w:t>
      </w:r>
      <w:r>
        <w:rPr>
          <w:rFonts w:ascii="Century" w:hAnsi="Century"/>
          <w:b/>
          <w:rtl/>
        </w:rPr>
        <w:t xml:space="preserve"> </w:t>
      </w:r>
      <w:r>
        <w:rPr>
          <w:rFonts w:ascii="Century" w:hAnsi="Century" w:hint="eastAsia"/>
          <w:b/>
          <w:rtl/>
        </w:rPr>
        <w:t>עליו</w:t>
      </w:r>
      <w:r>
        <w:rPr>
          <w:rFonts w:ascii="Century" w:hAnsi="Century"/>
          <w:b/>
          <w:rtl/>
        </w:rPr>
        <w:t xml:space="preserve"> </w:t>
      </w:r>
      <w:r>
        <w:rPr>
          <w:rFonts w:ascii="Century" w:hAnsi="Century" w:hint="eastAsia"/>
          <w:b/>
          <w:rtl/>
        </w:rPr>
        <w:t>הוסכם</w:t>
      </w:r>
      <w:r>
        <w:rPr>
          <w:rFonts w:ascii="Century" w:hAnsi="Century"/>
          <w:b/>
          <w:rtl/>
        </w:rPr>
        <w:t xml:space="preserve">.  </w:t>
      </w:r>
    </w:p>
    <w:p w14:paraId="126F25D0" w14:textId="77777777" w:rsidR="00137958" w:rsidRDefault="00137958" w:rsidP="008A424B">
      <w:pPr>
        <w:ind w:left="720" w:hanging="720"/>
        <w:jc w:val="both"/>
        <w:rPr>
          <w:rtl/>
        </w:rPr>
      </w:pPr>
    </w:p>
    <w:p w14:paraId="4D0A4639" w14:textId="77777777" w:rsidR="00137958" w:rsidRDefault="00137958" w:rsidP="00977D4C">
      <w:pPr>
        <w:spacing w:line="360" w:lineRule="auto"/>
        <w:jc w:val="both"/>
        <w:rPr>
          <w:rtl/>
        </w:rPr>
      </w:pPr>
    </w:p>
    <w:p w14:paraId="1E34D240" w14:textId="77777777" w:rsidR="00137958" w:rsidRDefault="00137958" w:rsidP="00977D4C">
      <w:pPr>
        <w:spacing w:line="360" w:lineRule="auto"/>
        <w:jc w:val="both"/>
        <w:rPr>
          <w:rtl/>
        </w:rPr>
      </w:pPr>
    </w:p>
    <w:p w14:paraId="6B72970C" w14:textId="77777777" w:rsidR="00137958" w:rsidRDefault="00137958" w:rsidP="00173AE3">
      <w:pPr>
        <w:spacing w:line="360" w:lineRule="auto"/>
        <w:jc w:val="both"/>
        <w:rPr>
          <w:rtl/>
        </w:rPr>
      </w:pPr>
      <w:r>
        <w:rPr>
          <w:rtl/>
        </w:rPr>
        <w:t>כמו כן, על כל אחד מהנאשמים לפצות את עיזבון המנוח בסך של 50,000 ₪ אשר יופקדו בגזברות בית המשפט עד לא יאוחר מיום 01/10/14.</w:t>
      </w:r>
    </w:p>
    <w:p w14:paraId="2619913C" w14:textId="77777777" w:rsidR="00137958" w:rsidRDefault="00137958" w:rsidP="00173AE3">
      <w:pPr>
        <w:spacing w:line="360" w:lineRule="auto"/>
        <w:jc w:val="both"/>
        <w:rPr>
          <w:rtl/>
        </w:rPr>
      </w:pPr>
    </w:p>
    <w:p w14:paraId="3DE57799" w14:textId="77777777" w:rsidR="00137958" w:rsidRDefault="00137958" w:rsidP="000C34CB">
      <w:pPr>
        <w:spacing w:line="360" w:lineRule="auto"/>
        <w:jc w:val="both"/>
        <w:rPr>
          <w:rtl/>
        </w:rPr>
      </w:pPr>
      <w:r>
        <w:rPr>
          <w:rtl/>
        </w:rPr>
        <w:t>לעניין זה, הלכה היא, כי "</w:t>
      </w:r>
      <w:r>
        <w:rPr>
          <w:rFonts w:cs="Miriam"/>
          <w:rtl/>
        </w:rPr>
        <w:t>יכולותיו הכלכליות של העבריין אינן מהוות שיקול בקביעת שיעור הפיצוי לטובת משפחת המנוח</w:t>
      </w:r>
      <w:r>
        <w:rPr>
          <w:rtl/>
        </w:rPr>
        <w:t>" (</w:t>
      </w:r>
      <w:hyperlink r:id="rId81" w:history="1">
        <w:r w:rsidR="00943CBE" w:rsidRPr="00943CBE">
          <w:rPr>
            <w:color w:val="0000FF"/>
            <w:u w:val="single"/>
            <w:rtl/>
          </w:rPr>
          <w:t>ע"פ 329/13</w:t>
        </w:r>
      </w:hyperlink>
      <w:r>
        <w:rPr>
          <w:rtl/>
        </w:rPr>
        <w:t xml:space="preserve"> </w:t>
      </w:r>
      <w:r>
        <w:rPr>
          <w:b/>
          <w:bCs/>
          <w:rtl/>
        </w:rPr>
        <w:t>סגונדו לוי ורגס נ' מדינת ישראל</w:t>
      </w:r>
      <w:r>
        <w:rPr>
          <w:rtl/>
        </w:rPr>
        <w:t xml:space="preserve"> (לא פורסם</w:t>
      </w:r>
      <w:r w:rsidR="000C34CB">
        <w:rPr>
          <w:rFonts w:hint="cs"/>
          <w:rtl/>
        </w:rPr>
        <w:t xml:space="preserve">, </w:t>
      </w:r>
      <w:r w:rsidR="000C34CB" w:rsidRPr="000C34CB">
        <w:rPr>
          <w:sz w:val="22"/>
          <w:rtl/>
        </w:rPr>
        <w:t>[פורסם בנבו]</w:t>
      </w:r>
      <w:r>
        <w:rPr>
          <w:rtl/>
        </w:rPr>
        <w:t xml:space="preserve">, 09/03/14), בעמ' 8). </w:t>
      </w:r>
    </w:p>
    <w:p w14:paraId="272A0964" w14:textId="77777777" w:rsidR="00137958" w:rsidRDefault="00137958" w:rsidP="00173AE3">
      <w:pPr>
        <w:spacing w:line="360" w:lineRule="auto"/>
        <w:ind w:left="720" w:hanging="720"/>
        <w:jc w:val="both"/>
        <w:rPr>
          <w:rtl/>
        </w:rPr>
      </w:pPr>
    </w:p>
    <w:p w14:paraId="12B70EE2" w14:textId="77777777" w:rsidR="00137958" w:rsidRDefault="00137958" w:rsidP="008A424B">
      <w:pPr>
        <w:spacing w:line="360" w:lineRule="auto"/>
        <w:jc w:val="both"/>
        <w:rPr>
          <w:rtl/>
        </w:rPr>
      </w:pPr>
      <w:r>
        <w:rPr>
          <w:rtl/>
        </w:rPr>
        <w:t xml:space="preserve">לצורך מניין תקופת המאסר, תמנה תקופת שהייתם של הנאשמים במעצר וזאת כדלקמן: </w:t>
      </w:r>
    </w:p>
    <w:p w14:paraId="13C2A781" w14:textId="77777777" w:rsidR="00137958" w:rsidRDefault="00137958" w:rsidP="008A424B">
      <w:pPr>
        <w:spacing w:line="360" w:lineRule="auto"/>
        <w:jc w:val="both"/>
        <w:rPr>
          <w:rtl/>
        </w:rPr>
      </w:pPr>
    </w:p>
    <w:p w14:paraId="2DA0CA91" w14:textId="77777777" w:rsidR="00137958" w:rsidRDefault="00137958" w:rsidP="008A424B">
      <w:pPr>
        <w:spacing w:line="360" w:lineRule="auto"/>
        <w:jc w:val="both"/>
        <w:rPr>
          <w:rtl/>
        </w:rPr>
      </w:pPr>
      <w:r>
        <w:rPr>
          <w:rtl/>
        </w:rPr>
        <w:t xml:space="preserve">נאשם 1 </w:t>
      </w:r>
      <w:r w:rsidRPr="005A6F7D">
        <w:rPr>
          <w:u w:val="single"/>
          <w:rtl/>
        </w:rPr>
        <w:t>מיום 18/04/12</w:t>
      </w:r>
      <w:r>
        <w:rPr>
          <w:rtl/>
        </w:rPr>
        <w:t xml:space="preserve">, נאשם 2 </w:t>
      </w:r>
      <w:r w:rsidRPr="005A6F7D">
        <w:rPr>
          <w:u w:val="single"/>
          <w:rtl/>
        </w:rPr>
        <w:t>מיום 20/04/12</w:t>
      </w:r>
      <w:r>
        <w:rPr>
          <w:rtl/>
        </w:rPr>
        <w:t xml:space="preserve">, נאשם 3 </w:t>
      </w:r>
      <w:r w:rsidRPr="005A6F7D">
        <w:rPr>
          <w:u w:val="single"/>
          <w:rtl/>
        </w:rPr>
        <w:t>מיום 24/04/12</w:t>
      </w:r>
      <w:r>
        <w:rPr>
          <w:rtl/>
        </w:rPr>
        <w:t>.</w:t>
      </w:r>
    </w:p>
    <w:p w14:paraId="0C87FA31" w14:textId="77777777" w:rsidR="00137958" w:rsidRDefault="00137958" w:rsidP="00173AE3">
      <w:pPr>
        <w:spacing w:line="360" w:lineRule="auto"/>
        <w:jc w:val="both"/>
        <w:rPr>
          <w:rtl/>
        </w:rPr>
      </w:pPr>
    </w:p>
    <w:p w14:paraId="5795D149" w14:textId="77777777" w:rsidR="00137958" w:rsidRDefault="00137958" w:rsidP="00977D4C">
      <w:pPr>
        <w:spacing w:line="360" w:lineRule="auto"/>
        <w:ind w:left="720" w:hanging="720"/>
        <w:jc w:val="both"/>
        <w:rPr>
          <w:b/>
          <w:bCs/>
          <w:rtl/>
        </w:rPr>
      </w:pPr>
      <w:r>
        <w:rPr>
          <w:b/>
          <w:bCs/>
          <w:rtl/>
        </w:rPr>
        <w:t>הודעה לנאשמים זכות הערעור לבית המשפט העליון תוך 45 יום מהיום.</w:t>
      </w:r>
    </w:p>
    <w:p w14:paraId="298AD329" w14:textId="77777777" w:rsidR="00137958" w:rsidRDefault="00137958" w:rsidP="00173AE3">
      <w:pPr>
        <w:spacing w:line="360" w:lineRule="auto"/>
        <w:ind w:left="720" w:hanging="720"/>
        <w:jc w:val="both"/>
        <w:rPr>
          <w:b/>
          <w:bCs/>
          <w:u w:val="single"/>
          <w:rtl/>
        </w:rPr>
      </w:pPr>
    </w:p>
    <w:p w14:paraId="4DD3861D" w14:textId="77777777" w:rsidR="00137958" w:rsidRDefault="00137958" w:rsidP="00173AE3">
      <w:pPr>
        <w:spacing w:line="360" w:lineRule="auto"/>
        <w:ind w:left="720" w:hanging="720"/>
        <w:jc w:val="both"/>
        <w:rPr>
          <w:b/>
          <w:bCs/>
          <w:u w:val="single"/>
          <w:rtl/>
        </w:rPr>
      </w:pPr>
    </w:p>
    <w:p w14:paraId="46CCE58B" w14:textId="77777777" w:rsidR="00137958" w:rsidRDefault="00943CBE" w:rsidP="008A424B">
      <w:pPr>
        <w:spacing w:line="360" w:lineRule="auto"/>
        <w:jc w:val="both"/>
        <w:rPr>
          <w:rFonts w:ascii="Arial" w:hAnsi="Arial"/>
          <w:b/>
          <w:bCs/>
          <w:rtl/>
        </w:rPr>
      </w:pPr>
      <w:r>
        <w:rPr>
          <w:rFonts w:ascii="Arial" w:hAnsi="Arial"/>
          <w:b/>
          <w:bCs/>
          <w:rtl/>
        </w:rPr>
        <w:t xml:space="preserve">ניתן היום, י' סיוון תשע"ד, 08 יוני 2014, במעמד באי כח הצדדים והנאשמים. </w:t>
      </w:r>
    </w:p>
    <w:p w14:paraId="3D8EEBA0" w14:textId="77777777" w:rsidR="00137958" w:rsidRPr="00943CBE" w:rsidRDefault="00943CBE" w:rsidP="008A424B">
      <w:pPr>
        <w:jc w:val="both"/>
        <w:rPr>
          <w:rFonts w:ascii="Arial" w:hAnsi="Arial"/>
          <w:b/>
          <w:bCs/>
          <w:color w:val="FFFFFF"/>
          <w:sz w:val="2"/>
          <w:szCs w:val="2"/>
          <w:rtl/>
        </w:rPr>
      </w:pPr>
      <w:r w:rsidRPr="00943CBE">
        <w:rPr>
          <w:rFonts w:ascii="Arial" w:hAnsi="Arial"/>
          <w:b/>
          <w:bCs/>
          <w:color w:val="FFFFFF"/>
          <w:sz w:val="2"/>
          <w:szCs w:val="2"/>
          <w:rtl/>
        </w:rPr>
        <w:t>5129371</w:t>
      </w:r>
    </w:p>
    <w:tbl>
      <w:tblPr>
        <w:bidiVisual/>
        <w:tblW w:w="0" w:type="auto"/>
        <w:tblLook w:val="01E0" w:firstRow="1" w:lastRow="1" w:firstColumn="1" w:lastColumn="1" w:noHBand="0" w:noVBand="0"/>
      </w:tblPr>
      <w:tblGrid>
        <w:gridCol w:w="2474"/>
        <w:gridCol w:w="360"/>
        <w:gridCol w:w="2392"/>
        <w:gridCol w:w="308"/>
        <w:gridCol w:w="2520"/>
      </w:tblGrid>
      <w:tr w:rsidR="00137958" w14:paraId="2D35D0FA" w14:textId="77777777">
        <w:tc>
          <w:tcPr>
            <w:tcW w:w="2474" w:type="dxa"/>
            <w:tcBorders>
              <w:top w:val="nil"/>
              <w:left w:val="nil"/>
              <w:bottom w:val="single" w:sz="4" w:space="0" w:color="auto"/>
              <w:right w:val="nil"/>
            </w:tcBorders>
            <w:vAlign w:val="center"/>
          </w:tcPr>
          <w:p w14:paraId="2EF222B5" w14:textId="77777777" w:rsidR="00137958" w:rsidRPr="00943CBE" w:rsidRDefault="00943CBE" w:rsidP="00982803">
            <w:pPr>
              <w:jc w:val="center"/>
              <w:rPr>
                <w:rFonts w:ascii="Courier New" w:hAnsi="Courier New"/>
                <w:b/>
                <w:bCs/>
                <w:color w:val="FFFFFF"/>
                <w:sz w:val="2"/>
                <w:szCs w:val="2"/>
              </w:rPr>
            </w:pPr>
            <w:r w:rsidRPr="00943CBE">
              <w:rPr>
                <w:rFonts w:ascii="Courier New" w:hAnsi="Courier New"/>
                <w:b/>
                <w:bCs/>
                <w:color w:val="FFFFFF"/>
                <w:sz w:val="2"/>
                <w:szCs w:val="2"/>
                <w:rtl/>
              </w:rPr>
              <w:t>54678313</w:t>
            </w:r>
          </w:p>
        </w:tc>
        <w:tc>
          <w:tcPr>
            <w:tcW w:w="360" w:type="dxa"/>
            <w:vAlign w:val="center"/>
          </w:tcPr>
          <w:p w14:paraId="1A2A3B78" w14:textId="77777777" w:rsidR="00137958" w:rsidRPr="00982803" w:rsidRDefault="00137958" w:rsidP="00982803">
            <w:pPr>
              <w:jc w:val="center"/>
              <w:rPr>
                <w:rFonts w:ascii="Courier New" w:hAnsi="Courier New"/>
                <w:b/>
                <w:bCs/>
              </w:rPr>
            </w:pPr>
          </w:p>
        </w:tc>
        <w:tc>
          <w:tcPr>
            <w:tcW w:w="2392" w:type="dxa"/>
            <w:tcBorders>
              <w:top w:val="nil"/>
              <w:left w:val="nil"/>
              <w:bottom w:val="single" w:sz="4" w:space="0" w:color="auto"/>
              <w:right w:val="nil"/>
            </w:tcBorders>
            <w:vAlign w:val="center"/>
          </w:tcPr>
          <w:p w14:paraId="61382988" w14:textId="77777777" w:rsidR="00137958" w:rsidRPr="00982803" w:rsidRDefault="00137958" w:rsidP="00982803">
            <w:pPr>
              <w:jc w:val="center"/>
              <w:rPr>
                <w:rFonts w:ascii="Courier New" w:hAnsi="Courier New"/>
                <w:b/>
                <w:bCs/>
              </w:rPr>
            </w:pPr>
          </w:p>
        </w:tc>
        <w:tc>
          <w:tcPr>
            <w:tcW w:w="308" w:type="dxa"/>
            <w:vAlign w:val="center"/>
          </w:tcPr>
          <w:p w14:paraId="429E366D" w14:textId="77777777" w:rsidR="00137958" w:rsidRPr="00982803" w:rsidRDefault="00137958" w:rsidP="00982803">
            <w:pPr>
              <w:jc w:val="center"/>
              <w:rPr>
                <w:rFonts w:ascii="Courier New" w:hAnsi="Courier New"/>
                <w:b/>
                <w:bCs/>
              </w:rPr>
            </w:pPr>
          </w:p>
        </w:tc>
        <w:tc>
          <w:tcPr>
            <w:tcW w:w="2520" w:type="dxa"/>
            <w:tcBorders>
              <w:top w:val="nil"/>
              <w:left w:val="nil"/>
              <w:bottom w:val="single" w:sz="4" w:space="0" w:color="auto"/>
              <w:right w:val="nil"/>
            </w:tcBorders>
            <w:vAlign w:val="center"/>
          </w:tcPr>
          <w:p w14:paraId="4A9ABC47" w14:textId="77777777" w:rsidR="00137958" w:rsidRPr="00982803" w:rsidRDefault="00137958" w:rsidP="00982803">
            <w:pPr>
              <w:jc w:val="center"/>
              <w:rPr>
                <w:rFonts w:ascii="Courier New" w:hAnsi="Courier New"/>
                <w:b/>
                <w:bCs/>
              </w:rPr>
            </w:pPr>
          </w:p>
        </w:tc>
      </w:tr>
      <w:tr w:rsidR="00137958" w14:paraId="2792E829" w14:textId="77777777">
        <w:tc>
          <w:tcPr>
            <w:tcW w:w="2474" w:type="dxa"/>
            <w:tcBorders>
              <w:top w:val="single" w:sz="4" w:space="0" w:color="auto"/>
              <w:left w:val="nil"/>
              <w:bottom w:val="nil"/>
              <w:right w:val="nil"/>
            </w:tcBorders>
          </w:tcPr>
          <w:p w14:paraId="049ED0DA" w14:textId="77777777" w:rsidR="00137958" w:rsidRPr="00982803" w:rsidRDefault="00137958" w:rsidP="00982803">
            <w:pPr>
              <w:jc w:val="center"/>
              <w:rPr>
                <w:b/>
                <w:bCs/>
                <w:noProof/>
                <w:sz w:val="28"/>
                <w:rtl/>
              </w:rPr>
            </w:pPr>
            <w:r w:rsidRPr="00982803">
              <w:rPr>
                <w:b/>
                <w:bCs/>
                <w:sz w:val="28"/>
                <w:rtl/>
              </w:rPr>
              <w:t>י. אלרון - נשיא</w:t>
            </w:r>
          </w:p>
          <w:p w14:paraId="5BBF005A" w14:textId="77777777" w:rsidR="00137958" w:rsidRPr="00982803" w:rsidRDefault="00137958" w:rsidP="00982803">
            <w:pPr>
              <w:jc w:val="center"/>
              <w:rPr>
                <w:b/>
                <w:bCs/>
                <w:noProof/>
                <w:sz w:val="28"/>
              </w:rPr>
            </w:pPr>
            <w:r w:rsidRPr="00982803">
              <w:rPr>
                <w:b/>
                <w:bCs/>
                <w:sz w:val="28"/>
                <w:rtl/>
              </w:rPr>
              <w:t>[אב"ד]</w:t>
            </w:r>
          </w:p>
        </w:tc>
        <w:tc>
          <w:tcPr>
            <w:tcW w:w="360" w:type="dxa"/>
          </w:tcPr>
          <w:p w14:paraId="497D6FA3" w14:textId="77777777" w:rsidR="00137958" w:rsidRPr="00982803" w:rsidRDefault="00137958" w:rsidP="00982803">
            <w:pPr>
              <w:jc w:val="center"/>
              <w:rPr>
                <w:b/>
                <w:bCs/>
                <w:noProof/>
                <w:color w:val="FF0000"/>
                <w:sz w:val="28"/>
              </w:rPr>
            </w:pPr>
          </w:p>
        </w:tc>
        <w:tc>
          <w:tcPr>
            <w:tcW w:w="2392" w:type="dxa"/>
            <w:tcBorders>
              <w:top w:val="single" w:sz="4" w:space="0" w:color="auto"/>
              <w:left w:val="nil"/>
              <w:bottom w:val="nil"/>
              <w:right w:val="nil"/>
            </w:tcBorders>
          </w:tcPr>
          <w:p w14:paraId="6C308C1D" w14:textId="77777777" w:rsidR="00137958" w:rsidRPr="00982803" w:rsidRDefault="00137958" w:rsidP="00982803">
            <w:pPr>
              <w:pStyle w:val="3"/>
              <w:spacing w:line="240" w:lineRule="auto"/>
              <w:jc w:val="center"/>
              <w:rPr>
                <w:sz w:val="28"/>
              </w:rPr>
            </w:pPr>
            <w:r w:rsidRPr="00982803">
              <w:rPr>
                <w:noProof w:val="0"/>
                <w:sz w:val="28"/>
                <w:rtl/>
              </w:rPr>
              <w:t>מ. גלעד, שופט</w:t>
            </w:r>
          </w:p>
        </w:tc>
        <w:tc>
          <w:tcPr>
            <w:tcW w:w="308" w:type="dxa"/>
          </w:tcPr>
          <w:p w14:paraId="1D7C34D1" w14:textId="77777777" w:rsidR="00137958" w:rsidRPr="00982803" w:rsidRDefault="00137958" w:rsidP="00982803">
            <w:pPr>
              <w:jc w:val="center"/>
              <w:rPr>
                <w:b/>
                <w:bCs/>
                <w:noProof/>
                <w:color w:val="FF0000"/>
                <w:sz w:val="28"/>
              </w:rPr>
            </w:pPr>
          </w:p>
        </w:tc>
        <w:tc>
          <w:tcPr>
            <w:tcW w:w="2520" w:type="dxa"/>
            <w:tcBorders>
              <w:top w:val="single" w:sz="4" w:space="0" w:color="auto"/>
              <w:left w:val="nil"/>
              <w:bottom w:val="nil"/>
              <w:right w:val="nil"/>
            </w:tcBorders>
          </w:tcPr>
          <w:p w14:paraId="4102E834" w14:textId="77777777" w:rsidR="00137958" w:rsidRPr="00982803" w:rsidRDefault="00137958" w:rsidP="00982803">
            <w:pPr>
              <w:jc w:val="center"/>
              <w:rPr>
                <w:b/>
                <w:bCs/>
                <w:noProof/>
                <w:sz w:val="28"/>
              </w:rPr>
            </w:pPr>
            <w:r w:rsidRPr="00982803">
              <w:rPr>
                <w:b/>
                <w:bCs/>
                <w:sz w:val="28"/>
                <w:rtl/>
              </w:rPr>
              <w:t>דר' מ. רניאל, שופט</w:t>
            </w:r>
          </w:p>
        </w:tc>
      </w:tr>
    </w:tbl>
    <w:p w14:paraId="49E13B7E" w14:textId="77777777" w:rsidR="00137958" w:rsidRDefault="00137958" w:rsidP="008A424B">
      <w:pPr>
        <w:jc w:val="center"/>
      </w:pPr>
    </w:p>
    <w:p w14:paraId="60B43F5E" w14:textId="77777777" w:rsidR="00943CBE" w:rsidRPr="00943CBE" w:rsidRDefault="00137958" w:rsidP="00943CBE">
      <w:pPr>
        <w:pStyle w:val="a3"/>
        <w:keepNext/>
        <w:rPr>
          <w:rFonts w:ascii="David" w:hAnsi="David"/>
          <w:color w:val="000000"/>
          <w:sz w:val="22"/>
          <w:szCs w:val="22"/>
          <w:rtl/>
        </w:rPr>
      </w:pPr>
      <w:bookmarkStart w:id="7" w:name="_GoBack"/>
      <w:bookmarkEnd w:id="7"/>
      <w:r w:rsidRPr="00173AE3">
        <w:rPr>
          <w:sz w:val="18"/>
          <w:szCs w:val="18"/>
          <w:rtl/>
        </w:rPr>
        <w:t>אתי עטיאס</w:t>
      </w:r>
    </w:p>
    <w:p w14:paraId="7DEFD6E1" w14:textId="77777777" w:rsidR="00943CBE" w:rsidRPr="00943CBE" w:rsidRDefault="00943CBE" w:rsidP="00943CBE">
      <w:pPr>
        <w:pStyle w:val="a3"/>
        <w:keepNext/>
        <w:rPr>
          <w:rFonts w:ascii="David" w:hAnsi="David"/>
          <w:color w:val="000000"/>
          <w:sz w:val="22"/>
          <w:szCs w:val="22"/>
          <w:rtl/>
        </w:rPr>
      </w:pPr>
      <w:r w:rsidRPr="00943CBE">
        <w:rPr>
          <w:rFonts w:ascii="David" w:hAnsi="David"/>
          <w:color w:val="000000"/>
          <w:sz w:val="22"/>
          <w:szCs w:val="22"/>
          <w:rtl/>
        </w:rPr>
        <w:t>יוסף אלרון 54678313</w:t>
      </w:r>
    </w:p>
    <w:p w14:paraId="75137EDB" w14:textId="77777777" w:rsidR="00943CBE" w:rsidRDefault="00943CBE" w:rsidP="00943CBE">
      <w:pPr>
        <w:pStyle w:val="a3"/>
        <w:rPr>
          <w:sz w:val="18"/>
          <w:szCs w:val="18"/>
          <w:rtl/>
        </w:rPr>
      </w:pPr>
      <w:r w:rsidRPr="00943CBE">
        <w:rPr>
          <w:color w:val="000000"/>
          <w:sz w:val="18"/>
          <w:szCs w:val="18"/>
          <w:rtl/>
        </w:rPr>
        <w:t>נוסח מסמך זה כפוף לשינויי ניסוח ועריכה</w:t>
      </w:r>
    </w:p>
    <w:p w14:paraId="07F680FD" w14:textId="77777777" w:rsidR="00943CBE" w:rsidRDefault="00943CBE" w:rsidP="00943CBE">
      <w:pPr>
        <w:pStyle w:val="a3"/>
        <w:rPr>
          <w:sz w:val="18"/>
          <w:szCs w:val="18"/>
          <w:rtl/>
        </w:rPr>
      </w:pPr>
    </w:p>
    <w:p w14:paraId="16BF0CE8" w14:textId="77777777" w:rsidR="00943CBE" w:rsidRDefault="00943CBE" w:rsidP="00943CBE">
      <w:pPr>
        <w:pStyle w:val="a3"/>
        <w:jc w:val="center"/>
        <w:rPr>
          <w:color w:val="0000FF"/>
          <w:sz w:val="18"/>
          <w:u w:val="single"/>
          <w:rtl/>
        </w:rPr>
      </w:pPr>
      <w:hyperlink r:id="rId82" w:history="1">
        <w:r>
          <w:rPr>
            <w:color w:val="0000FF"/>
            <w:sz w:val="18"/>
            <w:u w:val="single"/>
            <w:rtl/>
          </w:rPr>
          <w:t>בעניין עריכה ושינויים במסמכי פסיקה, חקיקה ועוד באתר נבו – הקש כאן</w:t>
        </w:r>
      </w:hyperlink>
    </w:p>
    <w:p w14:paraId="3A5ECD17" w14:textId="77777777" w:rsidR="00137958" w:rsidRPr="00943CBE" w:rsidRDefault="00137958" w:rsidP="00943CBE">
      <w:pPr>
        <w:pStyle w:val="a3"/>
        <w:jc w:val="center"/>
        <w:rPr>
          <w:color w:val="0000FF"/>
          <w:sz w:val="18"/>
          <w:u w:val="single"/>
          <w:rtl/>
        </w:rPr>
      </w:pPr>
    </w:p>
    <w:sectPr w:rsidR="00137958" w:rsidRPr="00943CBE" w:rsidSect="00943CBE">
      <w:headerReference w:type="even" r:id="rId83"/>
      <w:headerReference w:type="default" r:id="rId84"/>
      <w:footerReference w:type="even" r:id="rId85"/>
      <w:footerReference w:type="default" r:id="rId8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68872" w14:textId="77777777" w:rsidR="00106A3B" w:rsidRDefault="00106A3B">
      <w:r>
        <w:separator/>
      </w:r>
    </w:p>
  </w:endnote>
  <w:endnote w:type="continuationSeparator" w:id="0">
    <w:p w14:paraId="4A7FBD6D" w14:textId="77777777" w:rsidR="00106A3B" w:rsidRDefault="00106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56C1E" w14:textId="77777777" w:rsidR="00943CBE" w:rsidRDefault="00943CBE" w:rsidP="00943CB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281A23A" w14:textId="77777777" w:rsidR="00137958" w:rsidRPr="00943CBE" w:rsidRDefault="00943CBE" w:rsidP="00943CBE">
    <w:pPr>
      <w:pStyle w:val="a4"/>
      <w:pBdr>
        <w:top w:val="single" w:sz="4" w:space="1" w:color="auto"/>
        <w:between w:val="single" w:sz="4" w:space="0" w:color="auto"/>
      </w:pBdr>
      <w:spacing w:after="60"/>
      <w:jc w:val="center"/>
      <w:rPr>
        <w:rFonts w:ascii="FrankRuehl" w:hAnsi="FrankRuehl" w:cs="FrankRuehl"/>
        <w:color w:val="000000"/>
      </w:rPr>
    </w:pPr>
    <w:r w:rsidRPr="00943CB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A3275" w14:textId="77777777" w:rsidR="00943CBE" w:rsidRDefault="00943CBE" w:rsidP="00943CB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C34CB">
      <w:rPr>
        <w:rFonts w:ascii="FrankRuehl" w:hAnsi="FrankRuehl" w:cs="FrankRuehl"/>
        <w:noProof/>
        <w:rtl/>
      </w:rPr>
      <w:t>23</w:t>
    </w:r>
    <w:r>
      <w:rPr>
        <w:rFonts w:ascii="FrankRuehl" w:hAnsi="FrankRuehl" w:cs="FrankRuehl"/>
        <w:rtl/>
      </w:rPr>
      <w:fldChar w:fldCharType="end"/>
    </w:r>
  </w:p>
  <w:p w14:paraId="229E99AF" w14:textId="77777777" w:rsidR="00137958" w:rsidRPr="00943CBE" w:rsidRDefault="00943CBE" w:rsidP="00943CBE">
    <w:pPr>
      <w:pStyle w:val="a4"/>
      <w:pBdr>
        <w:top w:val="single" w:sz="4" w:space="1" w:color="auto"/>
        <w:between w:val="single" w:sz="4" w:space="0" w:color="auto"/>
      </w:pBdr>
      <w:spacing w:after="60"/>
      <w:jc w:val="center"/>
      <w:rPr>
        <w:rFonts w:ascii="FrankRuehl" w:hAnsi="FrankRuehl" w:cs="FrankRuehl"/>
        <w:color w:val="000000"/>
      </w:rPr>
    </w:pPr>
    <w:r w:rsidRPr="00943CBE">
      <w:rPr>
        <w:rFonts w:ascii="FrankRuehl" w:hAnsi="FrankRuehl" w:cs="FrankRuehl"/>
        <w:color w:val="000000"/>
      </w:rPr>
      <w:pict w14:anchorId="78827D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239ED" w14:textId="77777777" w:rsidR="00106A3B" w:rsidRDefault="00106A3B">
      <w:r>
        <w:separator/>
      </w:r>
    </w:p>
  </w:footnote>
  <w:footnote w:type="continuationSeparator" w:id="0">
    <w:p w14:paraId="2A475E3E" w14:textId="77777777" w:rsidR="00106A3B" w:rsidRDefault="00106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F59DD" w14:textId="77777777" w:rsidR="00943CBE" w:rsidRPr="00943CBE" w:rsidRDefault="00943CBE" w:rsidP="00943CB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39094-05-12</w:t>
    </w:r>
    <w:r>
      <w:rPr>
        <w:rFonts w:ascii="David" w:hAnsi="David"/>
        <w:color w:val="000000"/>
        <w:sz w:val="22"/>
        <w:szCs w:val="22"/>
        <w:rtl/>
      </w:rPr>
      <w:tab/>
      <w:t xml:space="preserve"> מדינת ישראל נ' שי שלב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8CA08" w14:textId="77777777" w:rsidR="00943CBE" w:rsidRPr="00943CBE" w:rsidRDefault="00943CBE" w:rsidP="00943CB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39094-05-12</w:t>
    </w:r>
    <w:r>
      <w:rPr>
        <w:rFonts w:ascii="David" w:hAnsi="David"/>
        <w:color w:val="000000"/>
        <w:sz w:val="22"/>
        <w:szCs w:val="22"/>
        <w:rtl/>
      </w:rPr>
      <w:tab/>
      <w:t xml:space="preserve"> מדינת ישראל נ' שי שלב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899123243">
    <w:abstractNumId w:val="1"/>
  </w:num>
  <w:num w:numId="2" w16cid:durableId="232398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0299085"/>
    <w:docVar w:name="CasePresentationDS" w:val="&amp;lt;?xml version=&amp;quot;1.0&amp;quot;?&amp;gt;_x005f_x000d__x005f_x000a_&amp;lt;CasePresentationDS&amp;gt;_x005f_x000d__x005f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5f_x000d__x005f_x000a_    &amp;lt;xs:element name=&amp;quot;CasePresentationDS&amp;quot; msdata:IsDataSet=&amp;quot;true&amp;quot; msdata:Locale=&amp;quot;&amp;quot;&amp;gt;_x005f_x000d__x005f_x000a_      &amp;lt;xs:complexType&amp;gt;_x005f_x000d__x005f_x000a_        &amp;lt;xs:choice minOccurs=&amp;quot;0&amp;quot; maxOccurs=&amp;quot;unbounded&amp;quot;&amp;gt;_x005f_x000d__x005f_x000a_          &amp;lt;xs:element name=&amp;quot;CasePresentationDataSet&amp;quot;&amp;gt;_x005f_x000d__x005f_x000a_            &amp;lt;xs:complexType&amp;gt;_x005f_x000d__x005f_x000a_              &amp;lt;xs:sequence&amp;gt;_x005f_x000d__x005f_x000a_                &amp;lt;xs:element name=&amp;quot;CaseID&amp;quot; type=&amp;quot;xs:int&amp;quot; /&amp;gt;_x005f_x000d__x005f_x000a_                &amp;lt;xs:element name=&amp;quot;CaseMonth&amp;quot; type=&amp;quot;xs:int&amp;quot; /&amp;gt;_x005f_x000d__x005f_x000a_                &amp;lt;xs:element name=&amp;quot;CaseYear&amp;quot; type=&amp;quot;xs:int&amp;quot; /&amp;gt;_x005f_x000d__x005f_x000a_                &amp;lt;xs:element name=&amp;quot;CaseNumber&amp;quot; type=&amp;quot;xs:int&amp;quot; /&amp;gt;_x005f_x000d__x005f_x000a_                &amp;lt;xs:element name=&amp;quot;NumeratorGroupID&amp;quot; type=&amp;quot;xs:int&amp;quot; /&amp;gt;_x005f_x000d__x005f_x000a_                &amp;lt;xs:element name=&amp;quot;CaseName&amp;quot; type=&amp;quot;xs:string&amp;quot; /&amp;gt;_x005f_x000d__x005f_x000a_                &amp;lt;xs:element name=&amp;quot;CourtID&amp;quot; type=&amp;quot;xs:int&amp;quot; /&amp;gt;_x005f_x000d__x005f_x000a_                &amp;lt;xs:element name=&amp;quot;CaseTypeID&amp;quot; type=&amp;quot;xs:int&amp;quot; /&amp;gt;_x005f_x000d__x005f_x000a_                &amp;lt;xs:element name=&amp;quot;CaseInterestID&amp;quot; type=&amp;quot;xs:int&amp;quot; minOccurs=&amp;quot;0&amp;quot; /&amp;gt;_x005f_x000d__x005f_x000a_                &amp;lt;xs:element name=&amp;quot;CaseJudgeName&amp;quot; type=&amp;quot;xs:string&amp;quot; minOccurs=&amp;quot;0&amp;quot; /&amp;gt;_x005f_x000d__x005f_x000a_                &amp;lt;xs:element name=&amp;quot;CaseLinkTypeID&amp;quot; type=&amp;quot;xs:int&amp;quot; minOccurs=&amp;quot;0&amp;quot; /&amp;gt;_x005f_x000d__x005f_x000a_                &amp;lt;xs:element name=&amp;quot;ProcedureID&amp;quot; type=&amp;quot;xs:int&amp;quot; minOccurs=&amp;quot;0&amp;quot; /&amp;gt;_x005f_x000d__x005f_x000a_                &amp;lt;xs:element name=&amp;quot;PreviousCaseYear&amp;quot; type=&amp;quot;xs:string&amp;quot; minOccurs=&amp;quot;0&amp;quot; /&amp;gt;_x005f_x000d__x005f_x000a_                &amp;lt;xs:element name=&amp;quot;PreviousCaseNumber&amp;quot; type=&amp;quot;xs:int&amp;quot; minOccurs=&amp;quot;0&amp;quot; /&amp;gt;_x005f_x000d__x005f_x000a_                &amp;lt;xs:element name=&amp;quot;CaseStatusID&amp;quot; type=&amp;quot;xs:int&amp;quot; /&amp;gt;_x005f_x000d__x005f_x000a_                &amp;lt;xs:element name=&amp;quot;ProceedingID&amp;quot; type=&amp;quot;xs:int&amp;quot; /&amp;gt;_x005f_x000d__x005f_x000a_                &amp;lt;xs:element name=&amp;quot;IsCaseLinked&amp;quot; type=&amp;quot;xs:boolean&amp;quot; /&amp;gt;_x005f_x000d__x005f_x000a_                &amp;lt;xs:element name=&amp;quot;IsCaseConverted&amp;quot; type=&amp;quot;xs:boolean&amp;quot; minOccurs=&amp;quot;0&amp;quot; /&amp;gt;_x005f_x000d__x005f_x000a_                &amp;lt;xs:element name=&amp;quot;PrivilegeID&amp;quot; type=&amp;quot;xs:int&amp;quot; /&amp;gt;_x005f_x000d__x005f_x000a_                &amp;lt;xs:element name=&amp;quot;IsAppealingCaseExist&amp;quot; type=&amp;quot;xs:boolean&amp;quot; minOccurs=&amp;quot;0&amp;quot; /&amp;gt;_x005f_x000d__x005f_x000a_                &amp;lt;xs:element name=&amp;quot;CaseDisplayIdentifier&amp;quot; type=&amp;quot;xs:string&amp;quot; minOccurs=&amp;quot;0&amp;quot; /&amp;gt;_x005f_x000d__x005f_x000a_                &amp;lt;xs:element name=&amp;quot;CaseTypeDesc&amp;quot; type=&amp;quot;xs:string&amp;quot; minOccurs=&amp;quot;0&amp;quot; /&amp;gt;_x005f_x000d__x005f_x000a_                &amp;lt;xs:element name=&amp;quot;CourtDesc&amp;quot; type=&amp;quot;xs:string&amp;quot; minOccurs=&amp;quot;0&amp;quot; /&amp;gt;_x005f_x000d__x005f_x000a_                &amp;lt;xs:element name=&amp;quot;CaseStageDesc&amp;quot; type=&amp;quot;xs:string&amp;quot; /&amp;gt;_x005f_x000d__x005f_x000a_                &amp;lt;xs:element name=&amp;quot;IsPendingExemptionDecision&amp;quot; type=&amp;quot;xs:boolean&amp;quot; minOccurs=&amp;quot;0&amp;quot; /&amp;gt;_x005f_x000d__x005f_x000a_                &amp;lt;xs:element name=&amp;quot;IsPendingEntitlementDecision&amp;quot; type=&amp;quot;xs:boolean&amp;quot; minOccurs=&amp;quot;0&amp;quot; /&amp;gt;_x005f_x000d__x005f_x000a_                &amp;lt;xs:element name=&amp;quot;IsPendingDifferentCaseVerdict&amp;quot; type=&amp;quot;xs:boolean&amp;quot; minOccurs=&amp;quot;0&amp;quot; /&amp;gt;_x005f_x000d__x005f_x000a_                &amp;lt;xs:element name=&amp;quot;IsUnpaidFeeExist&amp;quot; type=&amp;quot;xs:boolean&amp;quot; minOccurs=&amp;quot;0&amp;quot; /&amp;gt;_x005f_x000d__x005f_x000a_                &amp;lt;xs:element name=&amp;quot;IsExecutionDelayed&amp;quot; type=&amp;quot;xs:boolean&amp;quot; minOccurs=&amp;quot;0&amp;quot; /&amp;gt;_x005f_x000d__x005f_x000a_                &amp;lt;xs:element name=&amp;quot;CaseEntitiesArrestResult&amp;quot; type=&amp;quot;xs:string&amp;quot; minOccurs=&amp;quot;0&amp;quot; /&amp;gt;_x005f_x000d__x005f_x000a_                &amp;lt;xs:element name=&amp;quot;CasePreviousSessionDate&amp;quot; type=&amp;quot;xs:dateTime&amp;quot; minOccurs=&amp;quot;0&amp;quot; /&amp;gt;_x005f_x000d__x005f_x000a_                &amp;lt;xs:element name=&amp;quot;CaseNextSessionDate&amp;quot; type=&amp;quot;xs:dateTime&amp;quot; minOccurs=&amp;quot;0&amp;quot; /&amp;gt;_x005f_x000d__x005f_x000a_                &amp;lt;xs:element name=&amp;quot;PreviousCaseNumberDesc&amp;quot; type=&amp;quot;xs:string&amp;quot; minOccurs=&amp;quot;0&amp;quot; /&amp;gt;_x005f_x000d__x005f_x000a_                &amp;lt;xs:element name=&amp;quot;SubCaseNumber&amp;quot; type=&amp;quot;xs:int&amp;quot; minOccurs=&amp;quot;0&amp;quot; /&amp;gt;_x005f_x000d__x005f_x000a_                &amp;lt;xs:element name=&amp;quot;CaseNextDeterminingTask&amp;quot; type=&amp;quot;xs:int&amp;quot; minOccurs=&amp;quot;0&amp;quot; /&amp;gt;_x005f_x000d__x005f_x000a_                &amp;lt;xs:element name=&amp;quot;TemporaryAidStatus&amp;quot; type=&amp;quot;xs:string&amp;quot; minOccurs=&amp;quot;0&amp;quot; /&amp;gt;_x005f_x000d__x005f_x000a_                &amp;lt;xs:element name=&amp;quot;CaseOpenDate&amp;quot; type=&amp;quot;xs:dateTime&amp;quot; /&amp;gt;_x005f_x000d__x005f_x000a_                &amp;lt;xs:element name=&amp;quot;PleaTypeID&amp;quot; type=&amp;quot;xs:int&amp;quot; minOccurs=&amp;quot;0&amp;quot; /&amp;gt;_x005f_x000d__x005f_x000a_                &amp;lt;xs:element name=&amp;quot;CourtLevelID&amp;quot; type=&amp;quot;xs:int&amp;quot; minOccurs=&amp;quot;0&amp;quot; /&amp;gt;_x005f_x000d__x005f_x000a_                &amp;lt;xs:element name=&amp;quot;CourtLevelCaseTypeInterestID&amp;quot; type=&amp;quot;xs:int&amp;quot; minOccurs=&amp;quot;0&amp;quot; /&amp;gt;_x005f_x000d__x005f_x000a_                &amp;lt;xs:element name=&amp;quot;CaseJudgeFirstName&amp;quot; type=&amp;quot;xs:string&amp;quot; minOccurs=&amp;quot;0&amp;quot; /&amp;gt;_x005f_x000d__x005f_x000a_                &amp;lt;xs:element name=&amp;quot;CaseJudgeLastName&amp;quot; type=&amp;quot;xs:string&amp;quot; minOccurs=&amp;quot;0&amp;quot; /&amp;gt;_x005f_x000d__x005f_x000a_                &amp;lt;xs:element name=&amp;quot;JudicalPersonID&amp;quot; type=&amp;quot;xs:string&amp;quot; minOccurs=&amp;quot;0&amp;quot; /&amp;gt;_x005f_x000d__x005f_x000a_                &amp;lt;xs:element name=&amp;quot;IsJudicalPanel&amp;quot; type=&amp;quot;xs:boolean&amp;quot; minOccurs=&amp;quot;0&amp;quot; /&amp;gt;_x005f_x000d__x005f_x000a_                &amp;lt;xs:element name=&amp;quot;CourtDisplayName&amp;quot; type=&amp;quot;xs:string&amp;quot; minOccurs=&amp;quot;0&amp;quot; /&amp;gt;_x005f_x000d__x005f_x000a_                &amp;lt;xs:element name=&amp;quot;IsAllStartDataCollected&amp;quot; type=&amp;quot;xs:boolean&amp;quot; minOccurs=&amp;quot;0&amp;quot; /&amp;gt;_x005f_x000d__x005f_x000a_                &amp;lt;xs:element name=&amp;quot;IsMainCase&amp;quot; type=&amp;quot;xs:boolean&amp;quot; minOccurs=&amp;quot;0&amp;quot; /&amp;gt;_x005f_x000d__x005f_x000a_                &amp;lt;xs:element name=&amp;quot;PreviousCourtID&amp;quot; type=&amp;quot;xs:int&amp;quot; minOccurs=&amp;quot;0&amp;quot; /&amp;gt;_x005f_x000d__x005f_x000a_                &amp;lt;xs:element name=&amp;quot;PreviousCaseTypeID&amp;quot; type=&amp;quot;xs:int&amp;quot; minOccurs=&amp;quot;0&amp;quot; /&amp;gt;_x005f_x000d__x005f_x000a_                &amp;lt;xs:element name=&amp;quot;CaseDesc&amp;quot; type=&amp;quot;xs:string&amp;quot; minOccurs=&amp;quot;0&amp;quot; /&amp;gt;_x005f_x000d__x005f_x000a_                &amp;lt;xs:element name=&amp;quot;isExistMinorSide&amp;quot; type=&amp;quot;xs:boolean&amp;quot; minOccurs=&amp;quot;0&amp;quot; /&amp;gt;_x005f_x000d__x005f_x000a_                &amp;lt;xs:element name=&amp;quot;isExistMinorWitness&amp;quot; type=&amp;quot;xs:boolean&amp;quot; minOccurs=&amp;quot;0&amp;quot; /&amp;gt;_x005f_x000d__x005f_x000a_                &amp;lt;xs:element name=&amp;quot;CaseNextSessionTypeID&amp;quot; type=&amp;quot;xs:int&amp;quot; minOccurs=&amp;quot;0&amp;quot; /&amp;gt;_x005f_x000d__x005f_x000a_                &amp;lt;xs:element name=&amp;quot;CasePreviousSessionTypeID&amp;quot; type=&amp;quot;xs:int&amp;quot; minOccurs=&amp;quot;0&amp;quot; /&amp;gt;_x005f_x000d__x005f_x000a_                &amp;lt;xs:element name=&amp;quot;CasePermitStatus&amp;quot; type=&amp;quot;xs:int&amp;quot; minOccurs=&amp;quot;0&amp;quot; /&amp;gt;_x005f_x000d__x005f_x000a_                &amp;lt;xs:element name=&amp;quot;InstitutionalPathID&amp;quot; type=&amp;quot;xs:int&amp;quot; minOccurs=&amp;quot;0&amp;quot; /&amp;gt;_x005f_x000d__x005f_x000a_                &amp;lt;xs:element name=&amp;quot;PreviousCaseIdentifier&amp;quot; type=&amp;quot;xs:string&amp;quot; minOccurs=&amp;quot;0&amp;quot; /&amp;gt;_x005f_x000d__x005f_x000a_                &amp;lt;xs:element name=&amp;quot;ArchivingActivityID&amp;quot; type=&amp;quot;xs:int&amp;quot; minOccurs=&amp;quot;0&amp;quot; /&amp;gt;_x005f_x000d__x005f_x000a_                &amp;lt;xs:element name=&amp;quot;GettingReasonID&amp;quot; type=&amp;quot;xs:int&amp;quot; minOccurs=&amp;quot;0&amp;quot; /&amp;gt;_x005f_x000d__x005f_x000a_                &amp;lt;xs:element name=&amp;quot;StorageDate&amp;quot; type=&amp;quot;xs:dateTime&amp;quot; minOccurs=&amp;quot;0&amp;quot; /&amp;gt;_x005f_x000d__x005f_x000a_                &amp;lt;xs:element name=&amp;quot;IsArchivingActivityManuallyUpdated&amp;quot; type=&amp;quot;xs:boolean&amp;quot; minOccurs=&amp;quot;0&amp;quot; /&amp;gt;_x005f_x000d__x005f_x000a_                &amp;lt;xs:element name=&amp;quot;StorageDateRecalculationDate&amp;quot; type=&amp;quot;xs:dateTime&amp;quot; minOccurs=&amp;quot;0&amp;quot; /&amp;gt;_x005f_x000d__x005f_x000a_                &amp;lt;xs:element name=&amp;quot;IsDecisionTypeZaveElyon&amp;quot; type=&amp;quot;xs:boolean&amp;quot; minOccurs=&amp;quot;0&amp;quot; /&amp;gt;_x005f_x000d__x005f_x000a_                &amp;lt;xs:element name=&amp;quot;IsGuaranteeDeposit&amp;quot; type=&amp;quot;xs:boolean&amp;quot; minOccurs=&amp;quot;0&amp;quot; /&amp;gt;_x005f_x000d__x005f_x000a_                &amp;lt;xs:element name=&amp;quot;IsFeePaid&amp;quot; type=&amp;quot;xs:boolean&amp;quot; minOccurs=&amp;quot;0&amp;quot; /&amp;gt;_x005f_x000d__x005f_x000a_                &amp;lt;xs:element name=&amp;quot;IsExistCancelledArrest&amp;quot; type=&amp;quot;xs:boolean&amp;quot; minOccurs=&amp;quot;0&amp;quot; /&amp;gt;_x005f_x000d__x005f_x000a_                &amp;lt;xs:element name=&amp;quot;IsExistPrisoner&amp;quot; type=&amp;quot;xs:boolean&amp;quot; minOccurs=&amp;quot;0&amp;quot; /&amp;gt;_x005f_x000d__x005f_x000a_                &amp;lt;xs:element name=&amp;quot;IsExistDetainee&amp;quot; type=&amp;quot;xs:boolean&amp;quot; minOccurs=&amp;quot;0&amp;quot; /&amp;gt;_x005f_x000d__x005f_x000a_                &amp;lt;xs:element name=&amp;quot;IsDebitExist&amp;quot; type=&amp;quot;xs:boolean&amp;quot; minOccurs=&amp;quot;0&amp;quot; /&amp;gt;_x005f_x000d__x005f_x000a_                &amp;lt;xs:element name=&amp;quot;DebitExsitDate&amp;quot; type=&amp;quot;xs:dateTime&amp;quot; minOccurs=&amp;quot;0&amp;quot; /&amp;gt;_x005f_x000d__x005f_x000a_                &amp;lt;xs:element name=&amp;quot;OpenFeeIndication&amp;quot; type=&amp;quot;xs:int&amp;quot; minOccurs=&amp;quot;0&amp;quot; /&amp;gt;_x005f_x000d__x005f_x000a_                &amp;lt;xs:element name=&amp;quot;GuaranteeIndication&amp;quot; type=&amp;quot;xs:int&amp;quot; minOccurs=&amp;quot;0&amp;quot; /&amp;gt;_x005f_x000d__x005f_x000a_                &amp;lt;xs:element name=&amp;quot;DelayedPunishmentDate&amp;quot; type=&amp;quot;xs:dateTime&amp;quot; minOccurs=&amp;quot;0&amp;quot; /&amp;gt;_x005f_x000d__x005f_x000a_                &amp;lt;xs:element name=&amp;quot;IsExistSeizure&amp;quot; type=&amp;quot;xs:boolean&amp;quot; minOccurs=&amp;quot;0&amp;quot; /&amp;gt;_x005f_x000d__x005f_x000a_                &amp;lt;xs:element name=&amp;quot;IsExemptionExistInCase&amp;quot; type=&amp;quot;xs:boolean&amp;quot; minOccurs=&amp;quot;0&amp;quot; /&amp;gt;_x005f_x000d__x005f_x000a_                &amp;lt;xs:element name=&amp;quot;IsDebitTransferedInCase&amp;quot; type=&amp;quot;xs:boolean&amp;quot; minOccurs=&amp;quot;0&amp;quot; /&amp;gt;_x005f_x000d__x005f_x000a_                &amp;lt;xs:element name=&amp;quot;IsUnconvertedCase&amp;quot; type=&amp;quot;xs:boolean&amp;quot; minOccurs=&amp;quot;0&amp;quot; /&amp;gt;_x005f_x000d__x005f_x000a_                &amp;lt;xs:element name=&amp;quot;ActiveInCaseSuspendedLawyers&amp;quot; type=&amp;quot;xs:string&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CasePresentationDS xmlns=&amp;quot;http://tempuri.org/CasePresentationDS.xsd&amp;quot;&amp;gt;_x005f_x000d__x005f_x000a_      &amp;lt;CasePresentationDataSet diffgr:id=&amp;quot;CasePresentationDataSet1&amp;quot; msdata:rowOrder=&amp;quot;0&amp;quot; diffgr:hasChanges=&amp;quot;modified&amp;quot;&amp;gt;_x005f_x000d__x005f_x000a_        &amp;lt;CaseID&amp;gt;70299085&amp;lt;/CaseID&amp;gt;_x005f_x000d__x005f_x000a_        &amp;lt;CaseMonth&amp;gt;5&amp;lt;/CaseMonth&amp;gt;_x005f_x000d__x005f_x000a_        &amp;lt;CaseYear&amp;gt;2012&amp;lt;/CaseYear&amp;gt;_x005f_x000d__x005f_x000a_        &amp;lt;CaseNumber&amp;gt;39094&amp;lt;/CaseNumber&amp;gt;_x005f_x000d__x005f_x000a_        &amp;lt;NumeratorGroupID&amp;gt;1&amp;lt;/NumeratorGroupID&amp;gt;_x005f_x000d__x005f_x000a_        &amp;lt;CaseName&amp;gt;îãéðú éùøàì ð&amp;#39; ùìá(òöéø) åàç&amp;#39;&amp;lt;/CaseName&amp;gt;_x005f_x000d__x005f_x000a_        &amp;lt;CourtID&amp;gt;13&amp;lt;/CourtID&amp;gt;_x005f_x000d__x005f_x000a_        &amp;lt;CaseTypeID&amp;gt;10077&amp;lt;/CaseTypeID&amp;gt;_x005f_x000d__x005f_x000a_        &amp;lt;CaseJudgeName&amp;gt;éåñó àìøåï&amp;lt;/CaseJudgeName&amp;gt;_x005f_x000d__x005f_x000a_        &amp;lt;CaseLinkTypeID&amp;gt;9&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2&amp;lt;/PrivilegeID&amp;gt;_x005f_x000d__x005f_x000a_        &amp;lt;IsAppealingCaseExist&amp;gt;false&amp;lt;/IsAppealingCaseExist&amp;gt;_x005f_x000d__x005f_x000a_        &amp;lt;CaseDisplayIdentifier&amp;gt;39094-05-12&amp;lt;/CaseDisplayIdentifier&amp;gt;_x005f_x000d__x005f_x000a_        &amp;lt;CaseTypeDesc&amp;gt;úô&amp;quot;ç&amp;lt;/CaseTypeDesc&amp;gt;_x005f_x000d__x005f_x000a_        &amp;lt;CourtDesc&amp;gt;äîçåæé çéôä&amp;lt;/CourtDesc&amp;gt;_x005f_x000d__x005f_x000a_        &amp;lt;CaseStageDesc&amp;gt;úé÷ àì÷èøåðé&amp;lt;/CaseStageDesc&amp;gt;_x005f_x000d__x005f_x000a_        &amp;lt;CaseNextDeterminingTask&amp;gt;150&amp;lt;/CaseNextDeterminingTask&amp;gt;_x005f_x000d__x005f_x000a_        &amp;lt;CaseOpenDate&amp;gt;2012-05-21T08:43:00+03:00&amp;lt;/CaseOpenDate&amp;gt;_x005f_x000d__x005f_x000a_        &amp;lt;PleaTypeID&amp;gt;8&amp;lt;/PleaTypeID&amp;gt;_x005f_x000d__x005f_x000a_        &amp;lt;CourtLevelID&amp;gt;2&amp;lt;/CourtLevelID&amp;gt;_x005f_x000d__x005f_x000a_        &amp;lt;CaseJudgeFirstName&amp;gt;éåñó&amp;lt;/CaseJudgeFirstName&amp;gt;_x005f_x000d__x005f_x000a_        &amp;lt;CaseJudgeLastName&amp;gt;àìøåï &amp;lt;/CaseJudgeLastName&amp;gt;_x005f_x000d__x005f_x000a_        &amp;lt;JudicalPersonID&amp;gt;053565529@GOV.IL&amp;lt;/JudicalPersonID&amp;gt;_x005f_x000d__x005f_x000a_        &amp;lt;IsJudicalPanel&amp;gt;true&amp;lt;/IsJudicalPanel&amp;gt;_x005f_x000d__x005f_x000a_        &amp;lt;CourtDisplayName&amp;gt;áéú äîùôè äîçåæé áçéôä&amp;lt;/CourtDisplayName&amp;gt;_x005f_x000d__x005f_x000a_        &amp;lt;IsAllStartDataCollected&amp;gt;true&amp;lt;/IsAllStartDataCollected&amp;gt;_x005f_x000d__x005f_x000a_        &amp;lt;IsMainCase&amp;gt;false&amp;lt;/IsMainCase&amp;gt;_x005f_x000d__x005f_x000a_        &amp;lt;CaseDesc&amp;gt;äçìèä îéåí 4.3.14 ùåâøä áô÷ñ éãðé ìá&amp;quot;ë äöããéí äðàùîéí æåîðå áàîöòåú ùá&amp;quot;ñ.øá÷ä&amp;lt;/CaseDesc&amp;gt;_x005f_x000d__x005f_x000a_        &amp;lt;isExistMinorSide&amp;gt;false&amp;lt;/isExistMinorSide&amp;gt;_x005f_x000d__x005f_x000a_        &amp;lt;isExistMinorWitness&amp;gt;false&amp;lt;/isExistMinorWitness&amp;gt;_x005f_x000d__x005f_x000a_        &amp;lt;ArchivingActivityID&amp;gt;2&amp;lt;/ArchivingActivityID&amp;gt;_x005f_x000d__x005f_x000a_        &amp;lt;GettingReasonID&amp;gt;2&amp;lt;/GettingReasonID&amp;gt;_x005f_x000d__x005f_x000a_        &amp;lt;IsDecisionTypeZaveElyon&amp;gt;false&amp;lt;/IsDecisionTypeZaveElyon&amp;gt;_x005f_x000d__x005f_x000a_        &amp;lt;IsGuaranteeDeposit&amp;gt;true&amp;lt;/IsGuaranteeDeposit&amp;gt;_x005f_x000d__x005f_x000a_        &amp;lt;IsFeePaid&amp;gt;true&amp;lt;/IsFeePaid&amp;gt;_x005f_x000d__x005f_x000a_        &amp;lt;IsExistPrisoner&amp;gt;true&amp;lt;/IsExistPrisoner&amp;gt;_x005f_x000d__x005f_x000a_        &amp;lt;IsExistDetainee&amp;gt;true&amp;lt;/IsExistDetainee&amp;gt;_x005f_x000d__x005f_x000a_        &amp;lt;IsDebitExist&amp;gt;false&amp;lt;/IsDebitExist&amp;gt;_x005f_x000d__x005f_x000a_        &amp;lt;DebitExsitDate&amp;gt;2014-06-08T03:00:00+03:00&amp;lt;/DebitExsitDate&amp;gt;_x005f_x000d__x005f_x000a_        &amp;lt;IsExistSeizure&amp;gt;false&amp;lt;/IsExistSeizure&amp;gt;_x005f_x000d__x005f_x000a_        &amp;lt;IsExemptionExistInCase&amp;gt;false&amp;lt;/IsExemptionExistInCase&amp;gt;_x005f_x000d__x005f_x000a_        &amp;lt;IsDebitTransferedInCase&amp;gt;false&amp;lt;/IsDebitTransferedInCase&amp;gt;_x005f_x000d__x005f_x000a_      &amp;lt;/CasePresentationDataSet&amp;gt;_x005f_x000d__x005f_x000a_    &amp;lt;/CasePresentationDS&amp;gt;_x005f_x000d__x005f_x000a_    &amp;lt;diffgr:before&amp;gt;_x005f_x000d__x005f_x000a_      &amp;lt;CasePresentationDataSet diffgr:id=&amp;quot;CasePresentationDataSet1&amp;quot; msdata:rowOrder=&amp;quot;0&amp;quot; xmlns=&amp;quot;http://tempuri.org/CasePresentationDS.xsd&amp;quot;&amp;gt;_x005f_x000d__x005f_x000a_        &amp;lt;CaseID&amp;gt;70299085&amp;lt;/CaseID&amp;gt;_x005f_x000d__x005f_x000a_        &amp;lt;CaseMonth&amp;gt;5&amp;lt;/CaseMonth&amp;gt;_x005f_x000d__x005f_x000a_        &amp;lt;CaseYear&amp;gt;2012&amp;lt;/CaseYear&amp;gt;_x005f_x000d__x005f_x000a_        &amp;lt;CaseNumber&amp;gt;39094&amp;lt;/CaseNumber&amp;gt;_x005f_x000d__x005f_x000a_        &amp;lt;NumeratorGroupID&amp;gt;1&amp;lt;/NumeratorGroupID&amp;gt;_x005f_x000d__x005f_x000a_        &amp;lt;CaseName&amp;gt;îãéðú éùøàì ð&amp;#39; ùìá(òöéø) åàç&amp;#39;&amp;lt;/CaseName&amp;gt;_x005f_x000d__x005f_x000a_        &amp;lt;CourtID&amp;gt;13&amp;lt;/CourtID&amp;gt;_x005f_x000d__x005f_x000a_        &amp;lt;CaseTypeID&amp;gt;10077&amp;lt;/CaseTypeID&amp;gt;_x005f_x000d__x005f_x000a_        &amp;lt;CaseJudgeName&amp;gt;éåñó àìøåï&amp;lt;/CaseJudgeName&amp;gt;_x005f_x000d__x005f_x000a_        &amp;lt;CaseLinkTypeID&amp;gt;9&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2&amp;lt;/PrivilegeID&amp;gt;_x005f_x000d__x005f_x000a_        &amp;lt;IsAppealingCaseExist&amp;gt;false&amp;lt;/IsAppealingCaseExist&amp;gt;_x005f_x000d__x005f_x000a_        &amp;lt;CaseDisplayIdentifier&amp;gt;39094-05-12&amp;lt;/CaseDisplayIdentifier&amp;gt;_x005f_x000d__x005f_x000a_        &amp;lt;CaseTypeDesc&amp;gt;úô&amp;quot;ç&amp;lt;/CaseTypeDesc&amp;gt;_x005f_x000d__x005f_x000a_        &amp;lt;CourtDesc&amp;gt;äîçåæé çéôä&amp;lt;/CourtDesc&amp;gt;_x005f_x000d__x005f_x000a_        &amp;lt;CaseStageDesc&amp;gt;úé÷ àì÷èøåðé&amp;lt;/CaseStageDesc&amp;gt;_x005f_x000d__x005f_x000a_        &amp;lt;CaseNextDeterminingTask&amp;gt;150&amp;lt;/CaseNextDeterminingTask&amp;gt;_x005f_x000d__x005f_x000a_        &amp;lt;CaseOpenDate&amp;gt;2012-05-21T08:43:00+03:00&amp;lt;/CaseOpenDate&amp;gt;_x005f_x000d__x005f_x000a_        &amp;lt;PleaTypeID&amp;gt;8&amp;lt;/PleaTypeID&amp;gt;_x005f_x000d__x005f_x000a_        &amp;lt;CourtLevelID&amp;gt;2&amp;lt;/CourtLevelID&amp;gt;_x005f_x000d__x005f_x000a_        &amp;lt;CaseJudgeFirstName&amp;gt;éåñó&amp;lt;/CaseJudgeFirstName&amp;gt;_x005f_x000d__x005f_x000a_        &amp;lt;CaseJudgeLastName&amp;gt;àìøåï &amp;lt;/CaseJudgeLastName&amp;gt;_x005f_x000d__x005f_x000a_        &amp;lt;JudicalPersonID&amp;gt;053565529@GOV.IL&amp;lt;/JudicalPersonID&amp;gt;_x005f_x000d__x005f_x000a_        &amp;lt;IsJudicalPanel&amp;gt;true&amp;lt;/IsJudicalPanel&amp;gt;_x005f_x000d__x005f_x000a_        &amp;lt;CourtDisplayName&amp;gt;áéú äîùôè äîçåæé áçéôä&amp;lt;/CourtDisplayName&amp;gt;_x005f_x000d__x005f_x000a_        &amp;lt;IsAllStartDataCollected&amp;gt;true&amp;lt;/IsAllStartDataCollected&amp;gt;_x005f_x000d__x005f_x000a_        &amp;lt;IsMainCase&amp;gt;false&amp;lt;/IsMainCase&amp;gt;_x005f_x000d__x005f_x000a_        &amp;lt;CaseDesc&amp;gt;äçìèä îéåí 4.3.14 ùåâøä áô÷ñ éãðé ìá&amp;quot;ë äöããéí äðàùîéí æåîðå áàîöòåú ùá&amp;quot;ñ.øá÷ä&amp;lt;/CaseDesc&amp;gt;_x005f_x000d__x005f_x000a_        &amp;lt;ArchivingActivityID&amp;gt;2&amp;lt;/ArchivingActivityID&amp;gt;_x005f_x000d__x005f_x000a_        &amp;lt;GettingReasonID&amp;gt;2&amp;lt;/GettingReasonID&amp;gt;_x005f_x000d__x005f_x000a_      &amp;lt;/CasePresentationDataSet&amp;gt;_x005f_x000d__x005f_x000a_    &amp;lt;/diffgr:before&amp;gt;_x005f_x000d__x005f_x000a_  &amp;lt;/diffgr:diffgram&amp;gt;_x005f_x000d__x005f_x000a_&amp;lt;/CasePresentationDS&amp;gt;"/>
    <w:docVar w:name="CourtID" w:val="13"/>
    <w:docVar w:name="DecisionDS" w:val="&amp;lt;?xml version=&amp;quot;1.0&amp;quot;?&amp;gt;_x005f_x000d__x005f_x000a_&amp;lt;DecisionDS&amp;gt;_x005f_x000d__x005f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5f_x000d__x005f_x000a_    &amp;lt;xs:element name=&amp;quot;DecisionDS&amp;quot; msdata:IsDataSet=&amp;quot;true&amp;quot; msdata:Locale=&amp;quot;he-IL&amp;quot;&amp;gt;_x005f_x000d__x005f_x000a_      &amp;lt;xs:complexType&amp;gt;_x005f_x000d__x005f_x000a_        &amp;lt;xs:choice minOccurs=&amp;quot;0&amp;quot; maxOccurs=&amp;quot;unbounded&amp;quot;&amp;gt;_x005f_x000d__x005f_x000a_          &amp;lt;xs:element name=&amp;quot;dt_Decision&amp;quot;&amp;gt;_x005f_x000d__x005f_x000a_            &amp;lt;xs:complexType&amp;gt;_x005f_x000d__x005f_x000a_              &amp;lt;xs:sequence&amp;gt;_x005f_x000d__x005f_x000a_                &amp;lt;xs:element name=&amp;quot;DecisionID&amp;quot; msdata:ReadOnly=&amp;quot;true&amp;quot; msdata:AutoIncrement=&amp;quot;true&amp;quot; type=&amp;quot;xs:int&amp;quot; /&amp;gt;_x005f_x000d__x005f_x000a_                &amp;lt;xs:element name=&amp;quot;DecisionNumber&amp;quot; type=&amp;quot;xs:int&amp;quot; minOccurs=&amp;quot;0&amp;quot; /&amp;gt;_x005f_x000d__x005f_x000a_                &amp;lt;xs:element name=&amp;quot;DecisionName&amp;quot; type=&amp;quot;xs:string&amp;quot; /&amp;gt;_x005f_x000d__x005f_x000a_                &amp;lt;xs:element name=&amp;quot;DecisionStatusID&amp;quot; type=&amp;quot;xs:int&amp;quot; /&amp;gt;_x005f_x000d__x005f_x000a_                &amp;lt;xs:element name=&amp;quot;DecisionStatusChangeDate&amp;quot; type=&amp;quot;xs:dateTime&amp;quot; /&amp;gt;_x005f_x000d__x005f_x000a_                &amp;lt;xs:element name=&amp;quot;DecisionSignatureDate&amp;quot; type=&amp;quot;xs:dateTime&amp;quot; minOccurs=&amp;quot;0&amp;quot; /&amp;gt;_x005f_x000d__x005f_x000a_                &amp;lt;xs:element name=&amp;quot;DecisionSignatureUserID&amp;quot; type=&amp;quot;xs:string&amp;quot; minOccurs=&amp;quot;0&amp;quot; /&amp;gt;_x005f_x000d__x005f_x000a_                &amp;lt;xs:element name=&amp;quot;DecisionCreateDate&amp;quot; type=&amp;quot;xs:dateTime&amp;quot; /&amp;gt;_x005f_x000d__x005f_x000a_                &amp;lt;xs:element name=&amp;quot;DecisionChangeDate&amp;quot; type=&amp;quot;xs:dateTime&amp;quot; minOccurs=&amp;quot;0&amp;quot; /&amp;gt;_x005f_x000d__x005f_x000a_                &amp;lt;xs:element name=&amp;quot;DecisionChangeUserID&amp;quot; type=&amp;quot;xs:string&amp;quot; minOccurs=&amp;quot;0&amp;quot; /&amp;gt;_x005f_x000d__x005f_x000a_                &amp;lt;xs:element name=&amp;quot;DecisionDesc&amp;quot; type=&amp;quot;xs:string&amp;quot; minOccurs=&amp;quot;0&amp;quot; /&amp;gt;_x005f_x000d__x005f_x000a_                &amp;lt;xs:element name=&amp;quot;IsChosenDecision&amp;quot; type=&amp;quot;xs:boolean&amp;quot; default=&amp;quot;false&amp;quot; /&amp;gt;_x005f_x000d__x005f_x000a_                &amp;lt;xs:element name=&amp;quot;IsDecisionImplementationTask&amp;quot; type=&amp;quot;xs:boolean&amp;quot; default=&amp;quot;false&amp;quot; minOccurs=&amp;quot;0&amp;quot; /&amp;gt;_x005f_x000d__x005f_x000a_                &amp;lt;xs:element name=&amp;quot;IsDecisionInProtocol&amp;quot; type=&amp;quot;xs:boolean&amp;quot; default=&amp;quot;false&amp;quot; /&amp;gt;_x005f_x000d__x005f_x000a_                &amp;lt;xs:element name=&amp;quot;DecisionTypeID&amp;quot; type=&amp;quot;xs:int&amp;quot; /&amp;gt;_x005f_x000d__x005f_x000a_                &amp;lt;xs:element name=&amp;quot;DecisionText&amp;quot; type=&amp;quot;xs:string&amp;quot; minOccurs=&amp;quot;0&amp;quot; /&amp;gt;_x005f_x000d__x005f_x000a_                &amp;lt;xs:element name=&amp;quot;IsOnlyOneParty&amp;quot; type=&amp;quot;xs:boolean&amp;quot; default=&amp;quot;false&amp;quot; /&amp;gt;_x005f_x000d__x005f_x000a_                &amp;lt;xs:element name=&amp;quot;IsCanceledDecision&amp;quot; type=&amp;quot;xs:boolean&amp;quot; default=&amp;quot;false&amp;quot; /&amp;gt;_x005f_x000d__x005f_x000a_                &amp;lt;xs:element name=&amp;quot;DecisionLinkID&amp;quot; type=&amp;quot;xs:int&amp;quot; minOccurs=&amp;quot;0&amp;quot; /&amp;gt;_x005f_x000d__x005f_x000a_                &amp;lt;xs:element name=&amp;quot;DecisionLinkTypeID&amp;quot; type=&amp;quot;xs:int&amp;quot; minOccurs=&amp;quot;0&amp;quot; /&amp;gt;_x005f_x000d__x005f_x000a_                &amp;lt;xs:element name=&amp;quot;DocumentID&amp;quot; type=&amp;quot;xs:int&amp;quot; minOccurs=&amp;quot;0&amp;quot; /&amp;gt;_x005f_x000d__x005f_x000a_                &amp;lt;xs:element name=&amp;quot;PrivilegeID&amp;quot; type=&amp;quot;xs:int&amp;quot; /&amp;gt;_x005f_x000d__x005f_x000a_                &amp;lt;xs:element name=&amp;quot;IsDecisionConverted&amp;quot; type=&amp;quot;xs:boolean&amp;quot; default=&amp;quot;false&amp;quot; /&amp;gt;_x005f_x000d__x005f_x000a_                &amp;lt;xs:element name=&amp;quot;SignatureUserTypeID&amp;quot; type=&amp;quot;xs:int&amp;quot; minOccurs=&amp;quot;0&amp;quot; /&amp;gt;_x005f_x000d__x005f_x000a_                &amp;lt;xs:element name=&amp;quot;IsOpenedToSecondSide&amp;quot; type=&amp;quot;xs:boolean&amp;quot; default=&amp;quot;false&amp;quot; /&amp;gt;_x005f_x000d__x005f_x000a_                &amp;lt;xs:element name=&amp;quot;IsDecisionAppeled&amp;quot; type=&amp;quot;xs:boolean&amp;quot; default=&amp;quot;false&amp;quot; /&amp;gt;_x005f_x000d__x005f_x000a_                &amp;lt;xs:element name=&amp;quot;DecisionWriterID&amp;quot; type=&amp;quot;xs:string&amp;quot; minOccurs=&amp;quot;0&amp;quot; /&amp;gt;_x005f_x000d__x005f_x000a_                &amp;lt;xs:element name=&amp;quot;IsInstruction&amp;quot; type=&amp;quot;xs:boolean&amp;quot; default=&amp;quot;false&amp;quot; /&amp;gt;_x005f_x000d__x005f_x000a_                &amp;lt;xs:element name=&amp;quot;PreviousCaseID&amp;quot; type=&amp;quot;xs:string&amp;quot; minOccurs=&amp;quot;0&amp;quot; /&amp;gt;_x005f_x000d__x005f_x000a_                &amp;lt;xs:element name=&amp;quot;IsNeedAllSignatures&amp;quot; type=&amp;quot;xs:boolean&amp;quot; default=&amp;quot;false&amp;quot; minOccurs=&amp;quot;0&amp;quot; /&amp;gt;_x005f_x000d__x005f_x000a_                &amp;lt;xs:element name=&amp;quot;DecisionAttributeID&amp;quot; type=&amp;quot;xs:int&amp;quot; minOccurs=&amp;quot;0&amp;quot; /&amp;gt;_x005f_x000d__x005f_x000a_                &amp;lt;xs:element name=&amp;quot;DecisionCreationUserID&amp;quot; type=&amp;quot;xs:string&amp;quot; /&amp;gt;_x005f_x000d__x005f_x000a_                &amp;lt;xs:element name=&amp;quot;DecisionLinkName&amp;quot; type=&amp;quot;xs:string&amp;quot; minOccurs=&amp;quot;0&amp;quot; /&amp;gt;_x005f_x000d__x005f_x000a_                &amp;lt;xs:element name=&amp;quot;DecisionLinkCaseID&amp;quot; type=&amp;quot;xs:int&amp;quot; minOccurs=&amp;quot;0&amp;quot; /&amp;gt;_x005f_x000d__x005f_x000a_                &amp;lt;xs:element name=&amp;quot;DecisionDisplayName&amp;quot; type=&amp;quot;xs:string&amp;quot; minOccurs=&amp;quot;0&amp;quot; /&amp;gt;_x005f_x000d__x005f_x000a_                &amp;lt;xs:element name=&amp;quot;IsScanned&amp;quot; type=&amp;quot;xs:boolean&amp;quot; minOccurs=&amp;quot;0&amp;quot; /&amp;gt;_x005f_x000d__x005f_x000a_                &amp;lt;xs:element name=&amp;quot;DecisionSignatureUserName&amp;quot; type=&amp;quot;xs:string&amp;quot; minOccurs=&amp;quot;0&amp;quot; /&amp;gt;_x005f_x000d__x005f_x000a_                &amp;lt;xs:element name=&amp;quot;ChangePrivilegeUserID&amp;quot; type=&amp;quot;xs:string&amp;quot; minOccurs=&amp;quot;0&amp;quot; /&amp;gt;_x005f_x000d__x005f_x000a_                &amp;lt;xs:element name=&amp;quot;PublishInWebUserID&amp;quot; type=&amp;quot;xs:string&amp;quot; minOccurs=&amp;quot;0&amp;quot; /&amp;gt;_x005f_x000d__x005f_x000a_                &amp;lt;xs:element name=&amp;quot;NotificationTypeID&amp;quot; type=&amp;quot;xs:int&amp;quot; default=&amp;quot;1&amp;quot; minOccurs=&amp;quot;0&amp;quot; /&amp;gt;_x005f_x000d__x005f_x000a_                &amp;lt;xs:element name=&amp;quot;NotificationAuthorizeUserID&amp;quot; type=&amp;quot;xs:string&amp;quot; minOccurs=&amp;quot;0&amp;quot; /&amp;gt;_x005f_x000d__x005f_x000a_                &amp;lt;xs:element name=&amp;quot;DecisionReleaseDate&amp;quot; type=&amp;quot;xs:dateTime&amp;quot; minOccurs=&amp;quot;0&amp;quot; /&amp;gt;_x005f_x000d__x005f_x000a_                &amp;lt;xs:element name=&amp;quot;IsDecisionInNote&amp;quot; type=&amp;quot;xs:boolean&amp;quot; default=&amp;quot;false&amp;quot; /&amp;gt;_x005f_x000d__x005f_x000a_                &amp;lt;xs:element name=&amp;quot;IsDecisionUrgency&amp;quot; type=&amp;quot;xs:boolean&amp;quot; default=&amp;quot;false&amp;quot; /&amp;gt;_x005f_x000d__x005f_x000a_                &amp;lt;xs:element name=&amp;quot;IsOriginal&amp;quot; type=&amp;quot;xs:boolean&amp;quot; minOccurs=&amp;quot;0&amp;quot; /&amp;gt;_x005f_x000d__x005f_x000a_              &amp;lt;/xs:sequence&amp;gt;_x005f_x000d__x005f_x000a_            &amp;lt;/xs:complexType&amp;gt;_x005f_x000d__x005f_x000a_          &amp;lt;/xs:element&amp;gt;_x005f_x000d__x005f_x000a_          &amp;lt;xs:element name=&amp;quot;dt_DecisionCase&amp;quot;&amp;gt;_x005f_x000d__x005f_x000a_            &amp;lt;xs:complexType&amp;gt;_x005f_x000d__x005f_x000a_              &amp;lt;xs:sequence&amp;gt;_x005f_x000d__x005f_x000a_                &amp;lt;xs:element name=&amp;quot;DecisionID&amp;quot; type=&amp;quot;xs:int&amp;quot; /&amp;gt;_x005f_x000d__x005f_x000a_                &amp;lt;xs:element name=&amp;quot;CaseID&amp;quot; type=&amp;quot;xs:int&amp;quot; /&amp;gt;_x005f_x000d__x005f_x000a_                &amp;lt;xs:element name=&amp;quot;IsOriginal&amp;quot; type=&amp;quot;xs:boolean&amp;quot; default=&amp;quot;false&amp;quot; minOccurs=&amp;quot;0&amp;quot; /&amp;gt;_x005f_x000d__x005f_x000a_                &amp;lt;xs:element name=&amp;quot;IsDeleted&amp;quot; type=&amp;quot;xs:boolean&amp;quot; default=&amp;quot;false&amp;quot; /&amp;gt;_x005f_x000d__x005f_x000a_                &amp;lt;xs:element name=&amp;quot;CaseLinkTypeID&amp;quot; type=&amp;quot;xs:int&amp;quot; minOccurs=&amp;quot;0&amp;quot; /&amp;gt;_x005f_x000d__x005f_x000a_                &amp;lt;xs:element name=&amp;quot;CaseName&amp;quot; type=&amp;quot;xs:string&amp;quot; minOccurs=&amp;quot;0&amp;quot; /&amp;gt;_x005f_x000d__x005f_x000a_                &amp;lt;xs:element name=&amp;quot;CaseDisplayIdentifier&amp;quot; type=&amp;quot;xs:string&amp;quot; minOccurs=&amp;quot;0&amp;quot; /&amp;gt;_x005f_x000d__x005f_x000a_              &amp;lt;/xs:sequence&amp;gt;_x005f_x000d__x005f_x000a_            &amp;lt;/xs:complexType&amp;gt;_x005f_x000d__x005f_x000a_          &amp;lt;/xs:element&amp;gt;_x005f_x000d__x005f_x000a_          &amp;lt;xs:element name=&amp;quot;dt_DecisionMotion&amp;quot;&amp;gt;_x005f_x000d__x005f_x000a_            &amp;lt;xs:complexType&amp;gt;_x005f_x000d__x005f_x000a_              &amp;lt;xs:sequence&amp;gt;_x005f_x000d__x005f_x000a_                &amp;lt;xs:element name=&amp;quot;DecisionID&amp;quot; type=&amp;quot;xs:int&amp;quot; /&amp;gt;_x005f_x000d__x005f_x000a_                &amp;lt;xs:element name=&amp;quot;MotionID&amp;quot; type=&amp;quot;xs:int&amp;quot; /&amp;gt;_x005f_x000d__x005f_x000a_                &amp;lt;xs:element name=&amp;quot;DecisionResultID&amp;quot; type=&amp;quot;xs:int&amp;quot; minOccurs=&amp;quot;0&amp;quot; /&amp;gt;_x005f_x000d__x005f_x000a_                &amp;lt;xs:element name=&amp;quot;IsOriginalMotion&amp;quot; type=&amp;quot;xs:boolean&amp;quot; default=&amp;quot;false&amp;quot; minOccurs=&amp;quot;0&amp;quot; /&amp;gt;_x005f_x000d__x005f_x000a_                &amp;lt;xs:element name=&amp;quot;MotionName&amp;quot; type=&amp;quot;xs:string&amp;quot; minOccurs=&amp;quot;0&amp;quot; /&amp;gt;_x005f_x000d__x005f_x000a_                &amp;lt;xs:element name=&amp;quot;MotionOpenDate&amp;quot; type=&amp;quot;xs:dateTime&amp;quot; minOccurs=&amp;quot;0&amp;quot; /&amp;gt;_x005f_x000d__x005f_x000a_                &amp;lt;xs:element name=&amp;quot;CaseID&amp;quot; type=&amp;quot;xs:int&amp;quot; minOccurs=&amp;quot;0&amp;quot; /&amp;gt;_x005f_x000d__x005f_x000a_                &amp;lt;xs:element name=&amp;quot;CaseDisplayIdentifier&amp;quot; type=&amp;quot;xs:string&amp;quot; minOccurs=&amp;quot;0&amp;quot; /&amp;gt;_x005f_x000d__x005f_x000a_                &amp;lt;xs:element name=&amp;quot;ProcessNumber&amp;quot; type=&amp;quot;xs:int&amp;quot; minOccurs=&amp;quot;0&amp;quot; /&amp;gt;_x005f_x000d__x005f_x000a_              &amp;lt;/xs:sequence&amp;gt;_x005f_x000d__x005f_x000a_            &amp;lt;/xs:complexType&amp;gt;_x005f_x000d__x005f_x000a_          &amp;lt;/xs:element&amp;gt;_x005f_x000d__x005f_x000a_          &amp;lt;xs:element name=&amp;quot;dt_DecisionProtocol&amp;quot;&amp;gt;_x005f_x000d__x005f_x000a_            &amp;lt;xs:complexType&amp;gt;_x005f_x000d__x005f_x000a_              &amp;lt;xs:sequence&amp;gt;_x005f_x000d__x005f_x000a_                &amp;lt;xs:element name=&amp;quot;DecisionID&amp;quot; type=&amp;quot;xs:int&amp;quot; /&amp;gt;_x005f_x000d__x005f_x000a_                &amp;lt;xs:element name=&amp;quot;ProtocolID&amp;quot; type=&amp;quot;xs:int&amp;quot; /&amp;gt;_x005f_x000d__x005f_x000a_                &amp;lt;xs:element name=&amp;quot;ProtocolEventID&amp;quot; type=&amp;quot;xs:int&amp;quot; /&amp;gt;_x005f_x000d__x005f_x000a_              &amp;lt;/xs:sequence&amp;gt;_x005f_x000d__x005f_x000a_            &amp;lt;/xs:complexType&amp;gt;_x005f_x000d__x005f_x000a_          &amp;lt;/xs:element&amp;gt;_x005f_x000d__x005f_x000a_          &amp;lt;xs:element name=&amp;quot;dt_DecisionJudgePanel&amp;quot;&amp;gt;_x005f_x000d__x005f_x000a_            &amp;lt;xs:complexType&amp;gt;_x005f_x000d__x005f_x000a_              &amp;lt;xs:sequence&amp;gt;_x005f_x000d__x005f_x000a_                &amp;lt;xs:element name=&amp;quot;DecisionID&amp;quot; type=&amp;quot;xs:int&amp;quot; /&amp;gt;_x005f_x000d__x005f_x000a_                &amp;lt;xs:element name=&amp;quot;JudgeID&amp;quot; type=&amp;quot;xs:string&amp;quot; /&amp;gt;_x005f_x000d__x005f_x000a_                &amp;lt;xs:element name=&amp;quot;DocumentSendDate&amp;quot; type=&amp;quot;xs:dateTime&amp;quot; minOccurs=&amp;quot;0&amp;quot; /&amp;gt;_x005f_x000d__x005f_x000a_                &amp;lt;xs:element name=&amp;quot;FinalDate&amp;quot; type=&amp;quot;xs:dateTime&amp;quot; minOccurs=&amp;quot;0&amp;quot; /&amp;gt;_x005f_x000d__x005f_x000a_                &amp;lt;xs:element name=&amp;quot;SignatureDate&amp;quot; type=&amp;quot;xs:dateTime&amp;quot; minOccurs=&amp;quot;0&amp;quot; /&amp;gt;_x005f_x000d__x005f_x000a_                &amp;lt;xs:element name=&amp;quot;DocumentID&amp;quot; type=&amp;quot;xs:int&amp;quot; minOccurs=&amp;quot;0&amp;quot; /&amp;gt;_x005f_x000d__x005f_x000a_                &amp;lt;xs:element name=&amp;quot;DecisionOpinionDate&amp;quot; type=&amp;quot;xs:dateTime&amp;quot; minOccurs=&amp;quot;0&amp;quot; /&amp;gt;_x005f_x000d__x005f_x000a_                &amp;lt;xs:element name=&amp;quot;WriterViewedDraftDate&amp;quot; type=&amp;quot;xs:dateTime&amp;quot; minOccurs=&amp;quot;0&amp;quot; /&amp;gt;_x005f_x000d__x005f_x000a_                &amp;lt;xs:element name=&amp;quot;IsNeedAllSignatures&amp;quot; type=&amp;quot;xs:boolean&amp;quot; minOccurs=&amp;quot;0&amp;quot; /&amp;gt;_x005f_x000d__x005f_x000a_                &amp;lt;xs:element name=&amp;quot;DocumentIDNotes&amp;quot; type=&amp;quot;xs:int&amp;quot; minOccurs=&amp;quot;0&amp;quot; /&amp;gt;_x005f_x000d__x005f_x000a_                &amp;lt;xs:element name=&amp;quot;OrdinalNumber&amp;quot; type=&amp;quot;xs:int&amp;quot; minOccurs=&amp;quot;0&amp;quot; /&amp;gt;_x005f_x000d__x005f_x000a_              &amp;lt;/xs:sequence&amp;gt;_x005f_x000d__x005f_x000a_            &amp;lt;/xs:complexType&amp;gt;_x005f_x000d__x005f_x000a_          &amp;lt;/xs:element&amp;gt;_x005f_x000d__x005f_x000a_          &amp;lt;xs:element name=&amp;quot;dt_Attachments&amp;quot;&amp;gt;_x005f_x000d__x005f_x000a_            &amp;lt;xs:complexType&amp;gt;_x005f_x000d__x005f_x000a_              &amp;lt;xs:sequence&amp;gt;_x005f_x000d__x005f_x000a_                &amp;lt;xs:element name=&amp;quot;DocumentID&amp;quot; type=&amp;quot;xs:int&amp;quot; minOccurs=&amp;quot;0&amp;quot; /&amp;gt;_x005f_x000d__x005f_x000a_                &amp;lt;xs:element name=&amp;quot;DocumentStatusChangeDate&amp;quot; type=&amp;quot;xs:dateTime&amp;quot; minOccurs=&amp;quot;0&amp;quot; /&amp;gt;_x005f_x000d__x005f_x000a_                &amp;lt;xs:element name=&amp;quot;DocumentDesc&amp;quot; type=&amp;quot;xs:string&amp;quot; minOccurs=&amp;quot;0&amp;quot; /&amp;gt;_x005f_x000d__x005f_x000a_                &amp;lt;xs:element name=&amp;quot;DocumentMainID&amp;quot; type=&amp;quot;xs:int&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unique name=&amp;quot;DecisionDSKey1&amp;quot; msdata:PrimaryKey=&amp;quot;true&amp;quot;&amp;gt;_x005f_x000d__x005f_x000a_        &amp;lt;xs:selector xpath=&amp;quot;.//mstns:dt_Decision&amp;quot; /&amp;gt;_x005f_x000d__x005f_x000a_        &amp;lt;xs:field xpath=&amp;quot;mstns:DecisionID&amp;quot; /&amp;gt;_x005f_x000d__x005f_x000a_      &amp;lt;/xs:unique&amp;gt;_x005f_x000d__x005f_x000a_      &amp;lt;xs:unique name=&amp;quot;DecisionDSKey2&amp;quot; msdata:PrimaryKey=&amp;quot;true&amp;quot;&amp;gt;_x005f_x000d__x005f_x000a_        &amp;lt;xs:selector xpath=&amp;quot;.//mstns:dt_DecisionCase&amp;quot; /&amp;gt;_x005f_x000d__x005f_x000a_        &amp;lt;xs:field xpath=&amp;quot;mstns:DecisionID&amp;quot; /&amp;gt;_x005f_x000d__x005f_x000a_        &amp;lt;xs:field xpath=&amp;quot;mstns:CaseID&amp;quot; /&amp;gt;_x005f_x000d__x005f_x000a_      &amp;lt;/xs:unique&amp;gt;_x005f_x000d__x005f_x000a_      &amp;lt;xs:unique name=&amp;quot;DecisionDSKey3&amp;quot; msdata:PrimaryKey=&amp;quot;true&amp;quot;&amp;gt;_x005f_x000d__x005f_x000a_        &amp;lt;xs:selector xpath=&amp;quot;.//mstns:dt_DecisionMotion&amp;quot; /&amp;gt;_x005f_x000d__x005f_x000a_        &amp;lt;xs:field xpath=&amp;quot;mstns:DecisionID&amp;quot; /&amp;gt;_x005f_x000d__x005f_x000a_        &amp;lt;xs:field xpath=&amp;quot;mstns:MotionID&amp;quot; /&amp;gt;_x005f_x000d__x005f_x000a_      &amp;lt;/xs:unique&amp;gt;_x005f_x000d__x005f_x000a_      &amp;lt;xs:unique name=&amp;quot;DecisionDSKey4&amp;quot; msdata:PrimaryKey=&amp;quot;true&amp;quot;&amp;gt;_x005f_x000d__x005f_x000a_        &amp;lt;xs:selector xpath=&amp;quot;.//mstns:dt_DecisionProtocol&amp;quot; /&amp;gt;_x005f_x000d__x005f_x000a_        &amp;lt;xs:field xpath=&amp;quot;mstns:DecisionID&amp;quot; /&amp;gt;_x005f_x000d__x005f_x000a_        &amp;lt;xs:field xpath=&amp;quot;mstns:ProtocolID&amp;quot; /&amp;gt;_x005f_x000d__x005f_x000a_        &amp;lt;xs:field xpath=&amp;quot;mstns:ProtocolEventID&amp;quot; /&amp;gt;_x005f_x000d__x005f_x000a_      &amp;lt;/xs:unique&amp;gt;_x005f_x000d__x005f_x000a_      &amp;lt;xs:unique name=&amp;quot;DecisionDSKey10&amp;quot; msdata:PrimaryKey=&amp;quot;true&amp;quot;&amp;gt;_x005f_x000d__x005f_x000a_        &amp;lt;xs:selector xpath=&amp;quot;.//mstns:dt_DecisionJudgePanel&amp;quot; /&amp;gt;_x005f_x000d__x005f_x000a_        &amp;lt;xs:field xpath=&amp;quot;mstns:DecisionID&amp;quot; /&amp;gt;_x005f_x000d__x005f_x000a_        &amp;lt;xs:field xpath=&amp;quot;mstns:JudgeID&amp;quot; /&amp;gt;_x005f_x000d__x005f_x000a_      &amp;lt;/xs:unique&amp;gt;_x005f_x000d__x005f_x000a_      &amp;lt;xs:keyref name=&amp;quot;dt_Decisiondt_DecisionJudgePanel&amp;quot; refer=&amp;quot;DecisionDSKey1&amp;quot;&amp;gt;_x005f_x000d__x005f_x000a_        &amp;lt;xs:selector xpath=&amp;quot;.//mstns:dt_DecisionJudgePanel&amp;quot; /&amp;gt;_x005f_x000d__x005f_x000a_        &amp;lt;xs:field xpath=&amp;quot;mstns:DecisionID&amp;quot; /&amp;gt;_x005f_x000d__x005f_x000a_      &amp;lt;/xs:keyref&amp;gt;_x005f_x000d__x005f_x000a_      &amp;lt;xs:keyref name=&amp;quot;dt_Decisiondt_DecisionProtocol&amp;quot; refer=&amp;quot;DecisionDSKey1&amp;quot;&amp;gt;_x005f_x000d__x005f_x000a_        &amp;lt;xs:selector xpath=&amp;quot;.//mstns:dt_DecisionProtocol&amp;quot; /&amp;gt;_x005f_x000d__x005f_x000a_        &amp;lt;xs:field xpath=&amp;quot;mstns:DecisionID&amp;quot; /&amp;gt;_x005f_x000d__x005f_x000a_      &amp;lt;/xs:keyref&amp;gt;_x005f_x000d__x005f_x000a_      &amp;lt;xs:keyref name=&amp;quot;dt_Decisiondt_DecisionMotion&amp;quot; refer=&amp;quot;DecisionDSKey1&amp;quot;&amp;gt;_x005f_x000d__x005f_x000a_        &amp;lt;xs:selector xpath=&amp;quot;.//mstns:dt_DecisionMotion&amp;quot; /&amp;gt;_x005f_x000d__x005f_x000a_        &amp;lt;xs:field xpath=&amp;quot;mstns:DecisionID&amp;quot; /&amp;gt;_x005f_x000d__x005f_x000a_      &amp;lt;/xs:keyref&amp;gt;_x005f_x000d__x005f_x000a_      &amp;lt;xs:keyref name=&amp;quot;dt_Decisiondt_DecisionCase&amp;quot; refer=&amp;quot;DecisionDSKey1&amp;quot;&amp;gt;_x005f_x000d__x005f_x000a_        &amp;lt;xs:selector xpath=&amp;quot;.//mstns:dt_DecisionCase&amp;quot; /&amp;gt;_x005f_x000d__x005f_x000a_        &amp;lt;xs:field xpath=&amp;quot;mstns:DecisionID&amp;quot; /&amp;gt;_x005f_x000d__x005f_x000a_      &amp;lt;/xs:keyref&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DecisionDS xmlns=&amp;quot;http://www.tempuri.org/DecisionDS.xsd&amp;quot;&amp;gt;_x005f_x000d__x005f_x000a_      &amp;lt;dt_Decision diffgr:id=&amp;quot;dt_Decision1&amp;quot; msdata:rowOrder=&amp;quot;0&amp;quot;&amp;gt;_x005f_x000d__x005f_x000a_        &amp;lt;DecisionID&amp;gt;90607845&amp;lt;/DecisionID&amp;gt;_x005f_x000d__x005f_x000a_        &amp;lt;DecisionName&amp;gt;âæø ãéï  îúàøéê  05/06/14  ùðéúðä ò&amp;quot;é  éåñó àìøåï&amp;lt;/DecisionName&amp;gt;_x005f_x000d__x005f_x000a_        &amp;lt;DecisionStatusID&amp;gt;1&amp;lt;/DecisionStatusID&amp;gt;_x005f_x000d__x005f_x000a_        &amp;lt;DecisionStatusChangeDate&amp;gt;2014-06-05T10:41:15.03+03:00&amp;lt;/DecisionStatusChangeDate&amp;gt;_x005f_x000d__x005f_x000a_        &amp;lt;DecisionSignatureDate&amp;gt;2014-06-05T10:05:49.85+03:00&amp;lt;/DecisionSignatureDate&amp;gt;_x005f_x000d__x005f_x000a_        &amp;lt;DecisionSignatureUserID&amp;gt;053565529@GOV.IL&amp;lt;/DecisionSignatureUserID&amp;gt;_x005f_x000d__x005f_x000a_        &amp;lt;DecisionCreateDate&amp;gt;2014-06-05T10:11:03.557+03:00&amp;lt;/DecisionCreateDate&amp;gt;_x005f_x000d__x005f_x000a_        &amp;lt;DecisionChangeDate&amp;gt;2014-06-05T10:41:15.44+03:00&amp;lt;/DecisionChangeDate&amp;gt;_x005f_x000d__x005f_x000a_        &amp;lt;DecisionChangeUserID&amp;gt;024449225@GOV.IL&amp;lt;/DecisionChangeUserID&amp;gt;_x005f_x000d__x005f_x000a_        &amp;lt;IsChosenDecision&amp;gt;false&amp;lt;/IsChosenDecision&amp;gt;_x005f_x000d__x005f_x000a_        &amp;lt;IsDecisionImplementationTask&amp;gt;true&amp;lt;/IsDecisionImplementationTask&amp;gt;_x005f_x000d__x005f_x000a_        &amp;lt;IsDecisionInProtocol&amp;gt;false&amp;lt;/IsDecisionInProtocol&amp;gt;_x005f_x000d__x005f_x000a_        &amp;lt;DecisionTypeID&amp;gt;4&amp;lt;/DecisionTypeID&amp;gt;_x005f_x000d__x005f_x000a_        &amp;lt;IsOnlyOneParty&amp;gt;false&amp;lt;/IsOnlyOneParty&amp;gt;_x005f_x000d__x005f_x000a_        &amp;lt;IsCanceledDecision&amp;gt;false&amp;lt;/IsCanceledDecision&amp;gt;_x005f_x000d__x005f_x000a_        &amp;lt;DocumentID&amp;gt;182282118&amp;lt;/DocumentID&amp;gt;_x005f_x000d__x005f_x000a_        &amp;lt;PrivilegeID&amp;gt;2&amp;lt;/PrivilegeID&amp;gt;_x005f_x000d__x005f_x000a_        &amp;lt;IsDecisionConverted&amp;gt;false&amp;lt;/IsDecisionConverted&amp;gt;_x005f_x000d__x005f_x000a_        &amp;lt;IsOpenedToSecondSide&amp;gt;false&amp;lt;/IsOpenedToSecondSide&amp;gt;_x005f_x000d__x005f_x000a_        &amp;lt;IsDecisionAppeled&amp;gt;false&amp;lt;/IsDecisionAppeled&amp;gt;_x005f_x000d__x005f_x000a_        &amp;lt;DecisionWriterID&amp;gt;053565529@GOV.IL&amp;lt;/DecisionWriterID&amp;gt;_x005f_x000d__x005f_x000a_        &amp;lt;IsInstruction&amp;gt;false&amp;lt;/IsInstruction&amp;gt;_x005f_x000d__x005f_x000a_        &amp;lt;IsNeedAllSignatures&amp;gt;false&amp;lt;/IsNeedAllSignatures&amp;gt;_x005f_x000d__x005f_x000a_        &amp;lt;DecisionAttributeID&amp;gt;1&amp;lt;/DecisionAttributeID&amp;gt;_x005f_x000d__x005f_x000a_        &amp;lt;DecisionCreationUserID&amp;gt;024449225@GOV.IL&amp;lt;/DecisionCreationUserID&amp;gt;_x005f_x000d__x005f_x000a_        &amp;lt;DecisionDisplayName&amp;gt;âæø ãéï  îúàøéê  05/06/14  ùðéúðä ò&amp;quot;é  éåñó àìøåï&amp;lt;/DecisionDisplayName&amp;gt;_x005f_x000d__x005f_x000a_        &amp;lt;IsScanned&amp;gt;false&amp;lt;/IsScanned&amp;gt;_x005f_x000d__x005f_x000a_        &amp;lt;DecisionSignatureUserName&amp;gt;éåñó àìøåï&amp;lt;/DecisionSignatureUserName&amp;gt;_x005f_x000d__x005f_x000a_        &amp;lt;NotificationTypeID&amp;gt;1&amp;lt;/NotificationTypeID&amp;gt;_x005f_x000d__x005f_x000a_        &amp;lt;IsDecisionInNote&amp;gt;false&amp;lt;/IsDecisionInNote&amp;gt;_x005f_x000d__x005f_x000a_        &amp;lt;IsDecisionUrgency&amp;gt;false&amp;lt;/IsDecisionUrgency&amp;gt;_x005f_x000d__x005f_x000a_      &amp;lt;/dt_Decision&amp;gt;_x005f_x000d__x005f_x000a_      &amp;lt;dt_DecisionCase diffgr:id=&amp;quot;dt_DecisionCase1&amp;quot; msdata:rowOrder=&amp;quot;0&amp;quot;&amp;gt;_x005f_x000d__x005f_x000a_        &amp;lt;DecisionID&amp;gt;90607845&amp;lt;/DecisionID&amp;gt;_x005f_x000d__x005f_x000a_        &amp;lt;CaseID&amp;gt;70299085&amp;lt;/CaseID&amp;gt;_x005f_x000d__x005f_x000a_        &amp;lt;IsOriginal&amp;gt;true&amp;lt;/IsOriginal&amp;gt;_x005f_x000d__x005f_x000a_        &amp;lt;IsDeleted&amp;gt;false&amp;lt;/IsDeleted&amp;gt;_x005f_x000d__x005f_x000a_        &amp;lt;CaseName&amp;gt;îãéðú éùøàì ð&amp;#39; ùìá(òöéø) åàç&amp;#39;&amp;lt;/CaseName&amp;gt;_x005f_x000d__x005f_x000a_        &amp;lt;CaseDisplayIdentifier&amp;gt;39094-05-12 úô&amp;quot;ç&amp;lt;/CaseDisplayIdentifier&amp;gt;_x005f_x000d__x005f_x000a_      &amp;lt;/dt_DecisionCase&amp;gt;_x005f_x000d__x005f_x000a_      &amp;lt;dt_DecisionJudgePanel diffgr:id=&amp;quot;dt_DecisionJudgePanel1&amp;quot; msdata:rowOrder=&amp;quot;0&amp;quot;&amp;gt;_x005f_x000d__x005f_x000a_        &amp;lt;DecisionID&amp;gt;90607845&amp;lt;/DecisionID&amp;gt;_x005f_x000d__x005f_x000a_        &amp;lt;JudgeID&amp;gt;053565529@GOV.IL&amp;lt;/JudgeID&amp;gt;_x005f_x000d__x005f_x000a_        &amp;lt;OrdinalNumber&amp;gt;1&amp;lt;/OrdinalNumber&amp;gt;_x005f_x000d__x005f_x000a_      &amp;lt;/dt_DecisionJudgePanel&amp;gt;_x005f_x000d__x005f_x000a_      &amp;lt;dt_DecisionJudgePanel diffgr:id=&amp;quot;dt_DecisionJudgePanel2&amp;quot; msdata:rowOrder=&amp;quot;1&amp;quot;&amp;gt;_x005f_x000d__x005f_x000a_        &amp;lt;DecisionID&amp;gt;90607845&amp;lt;/DecisionID&amp;gt;_x005f_x000d__x005f_x000a_        &amp;lt;JudgeID&amp;gt;067578955@GOV.IL&amp;lt;/JudgeID&amp;gt;_x005f_x000d__x005f_x000a_        &amp;lt;OrdinalNumber&amp;gt;2&amp;lt;/OrdinalNumber&amp;gt;_x005f_x000d__x005f_x000a_      &amp;lt;/dt_DecisionJudgePanel&amp;gt;_x005f_x000d__x005f_x000a_      &amp;lt;dt_DecisionJudgePanel diffgr:id=&amp;quot;dt_DecisionJudgePanel3&amp;quot; msdata:rowOrder=&amp;quot;2&amp;quot;&amp;gt;_x005f_x000d__x005f_x000a_        &amp;lt;DecisionID&amp;gt;90607845&amp;lt;/DecisionID&amp;gt;_x005f_x000d__x005f_x000a_        &amp;lt;JudgeID&amp;gt;053412094@GOV.IL&amp;lt;/JudgeID&amp;gt;_x005f_x000d__x005f_x000a_        &amp;lt;OrdinalNumber&amp;gt;3&amp;lt;/OrdinalNumber&amp;gt;_x005f_x000d__x005f_x000a_      &amp;lt;/dt_DecisionJudgePanel&amp;gt;_x005f_x000d__x005f_x000a_    &amp;lt;/DecisionDS&amp;gt;_x005f_x000d__x005f_x000a_  &amp;lt;/diffgr:diffgram&amp;gt;_x005f_x000d__x005f_x000a_&amp;lt;/DecisionDS&amp;gt;"/>
    <w:docVar w:name="DecisionID" w:val="90607845"/>
    <w:docVar w:name="docID" w:val="182282118"/>
    <w:docVar w:name="judgeUPN" w:val="053565529@GOV.IL"/>
    <w:docVar w:name="MyInfo" w:val="This document was extracted from Nevo's site"/>
    <w:docVar w:name="NGCS.TemplateCaseInterestID" w:val="-1"/>
    <w:docVar w:name="NGCS.TemplateCaseTypeID" w:val="10077"/>
    <w:docVar w:name="NGCS.TemplateCourtID" w:val="13"/>
    <w:docVar w:name="NGCS.TemplateProceedingID" w:val="2"/>
    <w:docVar w:name="noteDocID" w:val="182282118"/>
    <w:docVar w:name="WordClientAssemblyName" w:val="NGCS.Decision.ClientWordBL"/>
    <w:docVar w:name="WordClientClassName" w:val="NGCS.Decision.ClientWordBL.JudgePanelSignDecisionClient"/>
  </w:docVars>
  <w:rsids>
    <w:rsidRoot w:val="00507694"/>
    <w:rsid w:val="00026FA8"/>
    <w:rsid w:val="00054FC4"/>
    <w:rsid w:val="0006726A"/>
    <w:rsid w:val="000B1E98"/>
    <w:rsid w:val="000C34CB"/>
    <w:rsid w:val="00100577"/>
    <w:rsid w:val="00106A3B"/>
    <w:rsid w:val="00137958"/>
    <w:rsid w:val="00173AE3"/>
    <w:rsid w:val="0017693E"/>
    <w:rsid w:val="001A4399"/>
    <w:rsid w:val="001B1D25"/>
    <w:rsid w:val="001C0819"/>
    <w:rsid w:val="001E256F"/>
    <w:rsid w:val="00212125"/>
    <w:rsid w:val="00222DEE"/>
    <w:rsid w:val="002D6C61"/>
    <w:rsid w:val="002F2C3F"/>
    <w:rsid w:val="003636B7"/>
    <w:rsid w:val="00367565"/>
    <w:rsid w:val="003E0C9F"/>
    <w:rsid w:val="00403B47"/>
    <w:rsid w:val="004B22F6"/>
    <w:rsid w:val="004D1DFC"/>
    <w:rsid w:val="00507694"/>
    <w:rsid w:val="0056664C"/>
    <w:rsid w:val="005A6F7D"/>
    <w:rsid w:val="005C7B0B"/>
    <w:rsid w:val="005D36C9"/>
    <w:rsid w:val="00683ABD"/>
    <w:rsid w:val="00684E84"/>
    <w:rsid w:val="00757983"/>
    <w:rsid w:val="007A2CB4"/>
    <w:rsid w:val="007D46DD"/>
    <w:rsid w:val="007D6C44"/>
    <w:rsid w:val="00821F29"/>
    <w:rsid w:val="00832D73"/>
    <w:rsid w:val="008A424B"/>
    <w:rsid w:val="00943CBE"/>
    <w:rsid w:val="00977D4C"/>
    <w:rsid w:val="00982803"/>
    <w:rsid w:val="009E35A7"/>
    <w:rsid w:val="009E49A1"/>
    <w:rsid w:val="00A504C4"/>
    <w:rsid w:val="00A816CF"/>
    <w:rsid w:val="00B05847"/>
    <w:rsid w:val="00B22E0A"/>
    <w:rsid w:val="00B6450A"/>
    <w:rsid w:val="00BD67E7"/>
    <w:rsid w:val="00BE0015"/>
    <w:rsid w:val="00BE5882"/>
    <w:rsid w:val="00C02463"/>
    <w:rsid w:val="00C138E4"/>
    <w:rsid w:val="00C55E62"/>
    <w:rsid w:val="00C572E8"/>
    <w:rsid w:val="00D202F4"/>
    <w:rsid w:val="00D3203D"/>
    <w:rsid w:val="00E42C24"/>
    <w:rsid w:val="00E70F9C"/>
    <w:rsid w:val="00EF1756"/>
    <w:rsid w:val="00F965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6C1F07E4"/>
  <w15:chartTrackingRefBased/>
  <w15:docId w15:val="{E0596B46-29C1-4784-8E88-FC6940E05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977D4C"/>
    <w:pPr>
      <w:keepNext/>
      <w:spacing w:line="360" w:lineRule="auto"/>
      <w:jc w:val="both"/>
      <w:outlineLvl w:val="2"/>
    </w:pPr>
    <w:rPr>
      <w:b/>
      <w:bCs/>
      <w:noProof/>
      <w:sz w:val="20"/>
      <w:lang w:eastAsia="he-IL"/>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basedOn w:val="a0"/>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rPr>
      <w:rFonts w:cs="Times New Roman"/>
    </w:rPr>
  </w:style>
  <w:style w:type="character" w:customStyle="1" w:styleId="30">
    <w:name w:val="כותרת 3 תו"/>
    <w:basedOn w:val="a0"/>
    <w:link w:val="3"/>
    <w:locked/>
    <w:rsid w:val="00977D4C"/>
    <w:rPr>
      <w:rFonts w:cs="David"/>
      <w:b/>
      <w:bCs/>
      <w:noProof/>
      <w:sz w:val="24"/>
      <w:szCs w:val="24"/>
      <w:lang w:eastAsia="he-IL" w:bidi="he-IL"/>
    </w:rPr>
  </w:style>
  <w:style w:type="character" w:styleId="Hyperlink">
    <w:name w:val="Hyperlink"/>
    <w:basedOn w:val="a0"/>
    <w:rsid w:val="00943C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9" TargetMode="External"/><Relationship Id="rId21" Type="http://schemas.openxmlformats.org/officeDocument/2006/relationships/hyperlink" Target="http://www.nevo.co.il/law/70301/40jc.a"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5821327" TargetMode="External"/><Relationship Id="rId68" Type="http://schemas.openxmlformats.org/officeDocument/2006/relationships/hyperlink" Target="http://www.nevo.co.il/case/7791493" TargetMode="External"/><Relationship Id="rId84" Type="http://schemas.openxmlformats.org/officeDocument/2006/relationships/header" Target="header2.xml"/><Relationship Id="rId16" Type="http://schemas.openxmlformats.org/officeDocument/2006/relationships/hyperlink" Target="http://www.nevo.co.il/law/70301/144.b" TargetMode="External"/><Relationship Id="rId11" Type="http://schemas.openxmlformats.org/officeDocument/2006/relationships/hyperlink" Target="http://www.nevo.co.il/law/70301/40c.b" TargetMode="External"/><Relationship Id="rId32" Type="http://schemas.openxmlformats.org/officeDocument/2006/relationships/hyperlink" Target="http://www.nevo.co.il/case/4924877" TargetMode="External"/><Relationship Id="rId37" Type="http://schemas.openxmlformats.org/officeDocument/2006/relationships/hyperlink" Target="http://www.nevo.co.il/case/5569233" TargetMode="External"/><Relationship Id="rId53" Type="http://schemas.openxmlformats.org/officeDocument/2006/relationships/hyperlink" Target="http://www.nevo.co.il/case/5891863" TargetMode="External"/><Relationship Id="rId58" Type="http://schemas.openxmlformats.org/officeDocument/2006/relationships/hyperlink" Target="http://www.nevo.co.il/case/5757857" TargetMode="External"/><Relationship Id="rId74" Type="http://schemas.openxmlformats.org/officeDocument/2006/relationships/hyperlink" Target="http://www.nevo.co.il/law/70301" TargetMode="External"/><Relationship Id="rId79" Type="http://schemas.openxmlformats.org/officeDocument/2006/relationships/hyperlink" Target="http://www.nevo.co.il/case/4924877" TargetMode="External"/><Relationship Id="rId5" Type="http://schemas.openxmlformats.org/officeDocument/2006/relationships/footnotes" Target="footnotes.xml"/><Relationship Id="rId19" Type="http://schemas.openxmlformats.org/officeDocument/2006/relationships/hyperlink" Target="http://www.nevo.co.il/law/70301/40jb"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40jc.b" TargetMode="External"/><Relationship Id="rId27" Type="http://schemas.openxmlformats.org/officeDocument/2006/relationships/hyperlink" Target="http://www.nevo.co.il/law/70301/499"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1835"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298" TargetMode="External"/><Relationship Id="rId64" Type="http://schemas.openxmlformats.org/officeDocument/2006/relationships/hyperlink" Target="http://www.nevo.co.il/case/5703734" TargetMode="External"/><Relationship Id="rId69" Type="http://schemas.openxmlformats.org/officeDocument/2006/relationships/hyperlink" Target="http://www.nevo.co.il/law/70301/40jb" TargetMode="External"/><Relationship Id="rId77" Type="http://schemas.openxmlformats.org/officeDocument/2006/relationships/hyperlink" Target="http://www.nevo.co.il/law/70301"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70301/40c.b" TargetMode="External"/><Relationship Id="rId72" Type="http://schemas.openxmlformats.org/officeDocument/2006/relationships/hyperlink" Target="http://www.nevo.co.il/links/psika/?link=&#1506;&#1508;%201958/98&amp;Pvol=&#1504;&#1494;" TargetMode="External"/><Relationship Id="rId80" Type="http://schemas.openxmlformats.org/officeDocument/2006/relationships/hyperlink" Target="http://www.nevo.co.il/links/psika/?link=&#1506;&#1508;%204173/07"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40f" TargetMode="External"/><Relationship Id="rId17" Type="http://schemas.openxmlformats.org/officeDocument/2006/relationships/hyperlink" Target="http://www.nevo.co.il/law/70301/298" TargetMode="External"/><Relationship Id="rId25" Type="http://schemas.openxmlformats.org/officeDocument/2006/relationships/hyperlink" Target="http://www.nevo.co.il/law/70301/298" TargetMode="External"/><Relationship Id="rId33" Type="http://schemas.openxmlformats.org/officeDocument/2006/relationships/hyperlink" Target="http://www.nevo.co.il/links/psika/?NEWPROC=&#1514;&#1508;&amp;NEWPARTA=1184&amp;NEWPARTC=08" TargetMode="External"/><Relationship Id="rId38" Type="http://schemas.openxmlformats.org/officeDocument/2006/relationships/hyperlink" Target="http://www.nevo.co.il/case/5569233" TargetMode="External"/><Relationship Id="rId46" Type="http://schemas.openxmlformats.org/officeDocument/2006/relationships/hyperlink" Target="http://www.nevo.co.il/law/70301/40jc.b" TargetMode="External"/><Relationship Id="rId59" Type="http://schemas.openxmlformats.org/officeDocument/2006/relationships/hyperlink" Target="http://www.nevo.co.il/case/5770174" TargetMode="External"/><Relationship Id="rId67" Type="http://schemas.openxmlformats.org/officeDocument/2006/relationships/hyperlink" Target="http://www.nevo.co.il/case/6473037" TargetMode="External"/><Relationship Id="rId20" Type="http://schemas.openxmlformats.org/officeDocument/2006/relationships/hyperlink" Target="http://www.nevo.co.il/law/70301/40jc" TargetMode="External"/><Relationship Id="rId41" Type="http://schemas.openxmlformats.org/officeDocument/2006/relationships/hyperlink" Target="http://www.nevo.co.il/law/70301/40jc" TargetMode="External"/><Relationship Id="rId54" Type="http://schemas.openxmlformats.org/officeDocument/2006/relationships/hyperlink" Target="http://www.nevo.co.il/case/5612802" TargetMode="External"/><Relationship Id="rId62" Type="http://schemas.openxmlformats.org/officeDocument/2006/relationships/hyperlink" Target="http://www.nevo.co.il/case/5770174" TargetMode="External"/><Relationship Id="rId70" Type="http://schemas.openxmlformats.org/officeDocument/2006/relationships/hyperlink" Target="http://www.nevo.co.il/law/70301" TargetMode="External"/><Relationship Id="rId75" Type="http://schemas.openxmlformats.org/officeDocument/2006/relationships/hyperlink" Target="http://www.nevo.co.il/law/70301/40f" TargetMode="External"/><Relationship Id="rId83" Type="http://schemas.openxmlformats.org/officeDocument/2006/relationships/header" Target="header1.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law/70301/499" TargetMode="External"/><Relationship Id="rId28" Type="http://schemas.openxmlformats.org/officeDocument/2006/relationships/hyperlink" Target="http://www.nevo.co.il/law/70301/144.a"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40c.a" TargetMode="External"/><Relationship Id="rId57" Type="http://schemas.openxmlformats.org/officeDocument/2006/relationships/hyperlink" Target="http://www.nevo.co.il/links/psika/?link=&#1506;&#1508;%202196/10" TargetMode="External"/><Relationship Id="rId10" Type="http://schemas.openxmlformats.org/officeDocument/2006/relationships/hyperlink" Target="http://www.nevo.co.il/law/70301/40c.a" TargetMode="External"/><Relationship Id="rId31" Type="http://schemas.openxmlformats.org/officeDocument/2006/relationships/hyperlink" Target="http://www.nevo.co.il/links/psika/?link=&#1514;&#1508;%201184/08" TargetMode="External"/><Relationship Id="rId44" Type="http://schemas.openxmlformats.org/officeDocument/2006/relationships/hyperlink" Target="http://www.nevo.co.il/law/70301/40jc.a" TargetMode="External"/><Relationship Id="rId52" Type="http://schemas.openxmlformats.org/officeDocument/2006/relationships/hyperlink" Target="http://www.nevo.co.il/case/5573417" TargetMode="External"/><Relationship Id="rId60" Type="http://schemas.openxmlformats.org/officeDocument/2006/relationships/hyperlink" Target="http://www.nevo.co.il/case/5770174" TargetMode="External"/><Relationship Id="rId65" Type="http://schemas.openxmlformats.org/officeDocument/2006/relationships/hyperlink" Target="http://www.nevo.co.il/case/5878682" TargetMode="External"/><Relationship Id="rId73" Type="http://schemas.openxmlformats.org/officeDocument/2006/relationships/hyperlink" Target="http://www.nevo.co.il/law/70301/40ja" TargetMode="External"/><Relationship Id="rId78" Type="http://schemas.openxmlformats.org/officeDocument/2006/relationships/hyperlink" Target="http://www.nevo.co.il/links/psika/?link=&#1514;&#1508;%201184/08" TargetMode="External"/><Relationship Id="rId81" Type="http://schemas.openxmlformats.org/officeDocument/2006/relationships/hyperlink" Target="http://www.nevo.co.il/case/5568851"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40g"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law/70301/40b" TargetMode="External"/><Relationship Id="rId34" Type="http://schemas.openxmlformats.org/officeDocument/2006/relationships/hyperlink" Target="http://www.nevo.co.il/case/4924877" TargetMode="External"/><Relationship Id="rId50" Type="http://schemas.openxmlformats.org/officeDocument/2006/relationships/hyperlink" Target="http://www.nevo.co.il/law/70301/40i"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0301/40g" TargetMode="External"/><Relationship Id="rId7" Type="http://schemas.openxmlformats.org/officeDocument/2006/relationships/hyperlink" Target="http://www.nevo.co.il/law/70301" TargetMode="External"/><Relationship Id="rId71" Type="http://schemas.openxmlformats.org/officeDocument/2006/relationships/hyperlink" Target="http://www.nevo.co.il/case/5731188" TargetMode="External"/><Relationship Id="rId2" Type="http://schemas.openxmlformats.org/officeDocument/2006/relationships/styles" Target="styles.xml"/><Relationship Id="rId29" Type="http://schemas.openxmlformats.org/officeDocument/2006/relationships/hyperlink" Target="http://www.nevo.co.il/law/70301/144.b" TargetMode="External"/><Relationship Id="rId24" Type="http://schemas.openxmlformats.org/officeDocument/2006/relationships/hyperlink" Target="http://www.nevo.co.il/law/71835"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66" Type="http://schemas.openxmlformats.org/officeDocument/2006/relationships/hyperlink" Target="http://www.nevo.co.il/case/5808567" TargetMode="External"/><Relationship Id="rId87" Type="http://schemas.openxmlformats.org/officeDocument/2006/relationships/fontTable" Target="fontTable.xml"/><Relationship Id="rId61" Type="http://schemas.openxmlformats.org/officeDocument/2006/relationships/hyperlink" Target="http://www.nevo.co.il/case/5891863" TargetMode="External"/><Relationship Id="rId8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7623</Words>
  <Characters>38120</Characters>
  <Application>Microsoft Office Word</Application>
  <DocSecurity>0</DocSecurity>
  <Lines>317</Lines>
  <Paragraphs>91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45652</CharactersWithSpaces>
  <SharedDoc>false</SharedDoc>
  <HLinks>
    <vt:vector size="456" baseType="variant">
      <vt:variant>
        <vt:i4>393283</vt:i4>
      </vt:variant>
      <vt:variant>
        <vt:i4>225</vt:i4>
      </vt:variant>
      <vt:variant>
        <vt:i4>0</vt:i4>
      </vt:variant>
      <vt:variant>
        <vt:i4>5</vt:i4>
      </vt:variant>
      <vt:variant>
        <vt:lpwstr>http://www.nevo.co.il/advertisements/nevo-100.doc</vt:lpwstr>
      </vt:variant>
      <vt:variant>
        <vt:lpwstr/>
      </vt:variant>
      <vt:variant>
        <vt:i4>3801212</vt:i4>
      </vt:variant>
      <vt:variant>
        <vt:i4>222</vt:i4>
      </vt:variant>
      <vt:variant>
        <vt:i4>0</vt:i4>
      </vt:variant>
      <vt:variant>
        <vt:i4>5</vt:i4>
      </vt:variant>
      <vt:variant>
        <vt:lpwstr>http://www.nevo.co.il/case/5568851</vt:lpwstr>
      </vt:variant>
      <vt:variant>
        <vt:lpwstr/>
      </vt:variant>
      <vt:variant>
        <vt:i4>99485119</vt:i4>
      </vt:variant>
      <vt:variant>
        <vt:i4>219</vt:i4>
      </vt:variant>
      <vt:variant>
        <vt:i4>0</vt:i4>
      </vt:variant>
      <vt:variant>
        <vt:i4>5</vt:i4>
      </vt:variant>
      <vt:variant>
        <vt:lpwstr>http://www.nevo.co.il/links/psika/?link=עפ 4173/07</vt:lpwstr>
      </vt:variant>
      <vt:variant>
        <vt:lpwstr/>
      </vt:variant>
      <vt:variant>
        <vt:i4>3735678</vt:i4>
      </vt:variant>
      <vt:variant>
        <vt:i4>216</vt:i4>
      </vt:variant>
      <vt:variant>
        <vt:i4>0</vt:i4>
      </vt:variant>
      <vt:variant>
        <vt:i4>5</vt:i4>
      </vt:variant>
      <vt:variant>
        <vt:lpwstr>http://www.nevo.co.il/case/4924877</vt:lpwstr>
      </vt:variant>
      <vt:variant>
        <vt:lpwstr/>
      </vt:variant>
      <vt:variant>
        <vt:i4>99288496</vt:i4>
      </vt:variant>
      <vt:variant>
        <vt:i4>213</vt:i4>
      </vt:variant>
      <vt:variant>
        <vt:i4>0</vt:i4>
      </vt:variant>
      <vt:variant>
        <vt:i4>5</vt:i4>
      </vt:variant>
      <vt:variant>
        <vt:lpwstr>http://www.nevo.co.il/links/psika/?link=תפ 1184/08</vt:lpwstr>
      </vt:variant>
      <vt:variant>
        <vt:lpwstr/>
      </vt:variant>
      <vt:variant>
        <vt:i4>7995492</vt:i4>
      </vt:variant>
      <vt:variant>
        <vt:i4>210</vt:i4>
      </vt:variant>
      <vt:variant>
        <vt:i4>0</vt:i4>
      </vt:variant>
      <vt:variant>
        <vt:i4>5</vt:i4>
      </vt:variant>
      <vt:variant>
        <vt:lpwstr>http://www.nevo.co.il/law/70301</vt:lpwstr>
      </vt:variant>
      <vt:variant>
        <vt:lpwstr/>
      </vt:variant>
      <vt:variant>
        <vt:i4>6619233</vt:i4>
      </vt:variant>
      <vt:variant>
        <vt:i4>207</vt:i4>
      </vt:variant>
      <vt:variant>
        <vt:i4>0</vt:i4>
      </vt:variant>
      <vt:variant>
        <vt:i4>5</vt:i4>
      </vt:variant>
      <vt:variant>
        <vt:lpwstr>http://www.nevo.co.il/law/70301/40g</vt:lpwstr>
      </vt:variant>
      <vt:variant>
        <vt:lpwstr/>
      </vt:variant>
      <vt:variant>
        <vt:i4>6619233</vt:i4>
      </vt:variant>
      <vt:variant>
        <vt:i4>204</vt:i4>
      </vt:variant>
      <vt:variant>
        <vt:i4>0</vt:i4>
      </vt:variant>
      <vt:variant>
        <vt:i4>5</vt:i4>
      </vt:variant>
      <vt:variant>
        <vt:lpwstr>http://www.nevo.co.il/law/70301/40f</vt:lpwstr>
      </vt:variant>
      <vt:variant>
        <vt:lpwstr/>
      </vt:variant>
      <vt:variant>
        <vt:i4>7995492</vt:i4>
      </vt:variant>
      <vt:variant>
        <vt:i4>201</vt:i4>
      </vt:variant>
      <vt:variant>
        <vt:i4>0</vt:i4>
      </vt:variant>
      <vt:variant>
        <vt:i4>5</vt:i4>
      </vt:variant>
      <vt:variant>
        <vt:lpwstr>http://www.nevo.co.il/law/70301</vt:lpwstr>
      </vt:variant>
      <vt:variant>
        <vt:lpwstr/>
      </vt:variant>
      <vt:variant>
        <vt:i4>262155</vt:i4>
      </vt:variant>
      <vt:variant>
        <vt:i4>198</vt:i4>
      </vt:variant>
      <vt:variant>
        <vt:i4>0</vt:i4>
      </vt:variant>
      <vt:variant>
        <vt:i4>5</vt:i4>
      </vt:variant>
      <vt:variant>
        <vt:lpwstr>http://www.nevo.co.il/law/70301/40ja</vt:lpwstr>
      </vt:variant>
      <vt:variant>
        <vt:lpwstr/>
      </vt:variant>
      <vt:variant>
        <vt:i4>1179753</vt:i4>
      </vt:variant>
      <vt:variant>
        <vt:i4>195</vt:i4>
      </vt:variant>
      <vt:variant>
        <vt:i4>0</vt:i4>
      </vt:variant>
      <vt:variant>
        <vt:i4>5</vt:i4>
      </vt:variant>
      <vt:variant>
        <vt:lpwstr>http://www.nevo.co.il/links/psika/?link=עפ 1958/98&amp;Pvol=נז</vt:lpwstr>
      </vt:variant>
      <vt:variant>
        <vt:lpwstr/>
      </vt:variant>
      <vt:variant>
        <vt:i4>4128890</vt:i4>
      </vt:variant>
      <vt:variant>
        <vt:i4>192</vt:i4>
      </vt:variant>
      <vt:variant>
        <vt:i4>0</vt:i4>
      </vt:variant>
      <vt:variant>
        <vt:i4>5</vt:i4>
      </vt:variant>
      <vt:variant>
        <vt:lpwstr>http://www.nevo.co.il/case/5731188</vt:lpwstr>
      </vt:variant>
      <vt:variant>
        <vt:lpwstr/>
      </vt:variant>
      <vt:variant>
        <vt:i4>7995492</vt:i4>
      </vt:variant>
      <vt:variant>
        <vt:i4>189</vt:i4>
      </vt:variant>
      <vt:variant>
        <vt:i4>0</vt:i4>
      </vt:variant>
      <vt:variant>
        <vt:i4>5</vt:i4>
      </vt:variant>
      <vt:variant>
        <vt:lpwstr>http://www.nevo.co.il/law/70301</vt:lpwstr>
      </vt:variant>
      <vt:variant>
        <vt:lpwstr/>
      </vt:variant>
      <vt:variant>
        <vt:i4>458763</vt:i4>
      </vt:variant>
      <vt:variant>
        <vt:i4>186</vt:i4>
      </vt:variant>
      <vt:variant>
        <vt:i4>0</vt:i4>
      </vt:variant>
      <vt:variant>
        <vt:i4>5</vt:i4>
      </vt:variant>
      <vt:variant>
        <vt:lpwstr>http://www.nevo.co.il/law/70301/40jb</vt:lpwstr>
      </vt:variant>
      <vt:variant>
        <vt:lpwstr/>
      </vt:variant>
      <vt:variant>
        <vt:i4>3735675</vt:i4>
      </vt:variant>
      <vt:variant>
        <vt:i4>183</vt:i4>
      </vt:variant>
      <vt:variant>
        <vt:i4>0</vt:i4>
      </vt:variant>
      <vt:variant>
        <vt:i4>5</vt:i4>
      </vt:variant>
      <vt:variant>
        <vt:lpwstr>http://www.nevo.co.il/case/7791493</vt:lpwstr>
      </vt:variant>
      <vt:variant>
        <vt:lpwstr/>
      </vt:variant>
      <vt:variant>
        <vt:i4>3539056</vt:i4>
      </vt:variant>
      <vt:variant>
        <vt:i4>180</vt:i4>
      </vt:variant>
      <vt:variant>
        <vt:i4>0</vt:i4>
      </vt:variant>
      <vt:variant>
        <vt:i4>5</vt:i4>
      </vt:variant>
      <vt:variant>
        <vt:lpwstr>http://www.nevo.co.il/case/6473037</vt:lpwstr>
      </vt:variant>
      <vt:variant>
        <vt:lpwstr/>
      </vt:variant>
      <vt:variant>
        <vt:i4>3604594</vt:i4>
      </vt:variant>
      <vt:variant>
        <vt:i4>177</vt:i4>
      </vt:variant>
      <vt:variant>
        <vt:i4>0</vt:i4>
      </vt:variant>
      <vt:variant>
        <vt:i4>5</vt:i4>
      </vt:variant>
      <vt:variant>
        <vt:lpwstr>http://www.nevo.co.il/case/5808567</vt:lpwstr>
      </vt:variant>
      <vt:variant>
        <vt:lpwstr/>
      </vt:variant>
      <vt:variant>
        <vt:i4>3539068</vt:i4>
      </vt:variant>
      <vt:variant>
        <vt:i4>174</vt:i4>
      </vt:variant>
      <vt:variant>
        <vt:i4>0</vt:i4>
      </vt:variant>
      <vt:variant>
        <vt:i4>5</vt:i4>
      </vt:variant>
      <vt:variant>
        <vt:lpwstr>http://www.nevo.co.il/case/5878682</vt:lpwstr>
      </vt:variant>
      <vt:variant>
        <vt:lpwstr/>
      </vt:variant>
      <vt:variant>
        <vt:i4>3539059</vt:i4>
      </vt:variant>
      <vt:variant>
        <vt:i4>171</vt:i4>
      </vt:variant>
      <vt:variant>
        <vt:i4>0</vt:i4>
      </vt:variant>
      <vt:variant>
        <vt:i4>5</vt:i4>
      </vt:variant>
      <vt:variant>
        <vt:lpwstr>http://www.nevo.co.il/case/5703734</vt:lpwstr>
      </vt:variant>
      <vt:variant>
        <vt:lpwstr/>
      </vt:variant>
      <vt:variant>
        <vt:i4>3342463</vt:i4>
      </vt:variant>
      <vt:variant>
        <vt:i4>168</vt:i4>
      </vt:variant>
      <vt:variant>
        <vt:i4>0</vt:i4>
      </vt:variant>
      <vt:variant>
        <vt:i4>5</vt:i4>
      </vt:variant>
      <vt:variant>
        <vt:lpwstr>http://www.nevo.co.il/case/5821327</vt:lpwstr>
      </vt:variant>
      <vt:variant>
        <vt:lpwstr/>
      </vt:variant>
      <vt:variant>
        <vt:i4>3604596</vt:i4>
      </vt:variant>
      <vt:variant>
        <vt:i4>165</vt:i4>
      </vt:variant>
      <vt:variant>
        <vt:i4>0</vt:i4>
      </vt:variant>
      <vt:variant>
        <vt:i4>5</vt:i4>
      </vt:variant>
      <vt:variant>
        <vt:lpwstr>http://www.nevo.co.il/case/5770174</vt:lpwstr>
      </vt:variant>
      <vt:variant>
        <vt:lpwstr/>
      </vt:variant>
      <vt:variant>
        <vt:i4>3604603</vt:i4>
      </vt:variant>
      <vt:variant>
        <vt:i4>162</vt:i4>
      </vt:variant>
      <vt:variant>
        <vt:i4>0</vt:i4>
      </vt:variant>
      <vt:variant>
        <vt:i4>5</vt:i4>
      </vt:variant>
      <vt:variant>
        <vt:lpwstr>http://www.nevo.co.il/case/5891863</vt:lpwstr>
      </vt:variant>
      <vt:variant>
        <vt:lpwstr/>
      </vt:variant>
      <vt:variant>
        <vt:i4>3604596</vt:i4>
      </vt:variant>
      <vt:variant>
        <vt:i4>159</vt:i4>
      </vt:variant>
      <vt:variant>
        <vt:i4>0</vt:i4>
      </vt:variant>
      <vt:variant>
        <vt:i4>5</vt:i4>
      </vt:variant>
      <vt:variant>
        <vt:lpwstr>http://www.nevo.co.il/case/5770174</vt:lpwstr>
      </vt:variant>
      <vt:variant>
        <vt:lpwstr/>
      </vt:variant>
      <vt:variant>
        <vt:i4>3604596</vt:i4>
      </vt:variant>
      <vt:variant>
        <vt:i4>156</vt:i4>
      </vt:variant>
      <vt:variant>
        <vt:i4>0</vt:i4>
      </vt:variant>
      <vt:variant>
        <vt:i4>5</vt:i4>
      </vt:variant>
      <vt:variant>
        <vt:lpwstr>http://www.nevo.co.il/case/5770174</vt:lpwstr>
      </vt:variant>
      <vt:variant>
        <vt:lpwstr/>
      </vt:variant>
      <vt:variant>
        <vt:i4>4128881</vt:i4>
      </vt:variant>
      <vt:variant>
        <vt:i4>153</vt:i4>
      </vt:variant>
      <vt:variant>
        <vt:i4>0</vt:i4>
      </vt:variant>
      <vt:variant>
        <vt:i4>5</vt:i4>
      </vt:variant>
      <vt:variant>
        <vt:lpwstr>http://www.nevo.co.il/case/5757857</vt:lpwstr>
      </vt:variant>
      <vt:variant>
        <vt:lpwstr/>
      </vt:variant>
      <vt:variant>
        <vt:i4>98633147</vt:i4>
      </vt:variant>
      <vt:variant>
        <vt:i4>150</vt:i4>
      </vt:variant>
      <vt:variant>
        <vt:i4>0</vt:i4>
      </vt:variant>
      <vt:variant>
        <vt:i4>5</vt:i4>
      </vt:variant>
      <vt:variant>
        <vt:lpwstr>http://www.nevo.co.il/links/psika/?link=עפ 2196/10</vt:lpwstr>
      </vt:variant>
      <vt:variant>
        <vt:lpwstr/>
      </vt:variant>
      <vt:variant>
        <vt:i4>7077991</vt:i4>
      </vt:variant>
      <vt:variant>
        <vt:i4>147</vt:i4>
      </vt:variant>
      <vt:variant>
        <vt:i4>0</vt:i4>
      </vt:variant>
      <vt:variant>
        <vt:i4>5</vt:i4>
      </vt:variant>
      <vt:variant>
        <vt:lpwstr>http://www.nevo.co.il/law/70301/298</vt:lpwstr>
      </vt:variant>
      <vt:variant>
        <vt:lpwstr/>
      </vt:variant>
      <vt:variant>
        <vt:i4>7995492</vt:i4>
      </vt:variant>
      <vt:variant>
        <vt:i4>144</vt:i4>
      </vt:variant>
      <vt:variant>
        <vt:i4>0</vt:i4>
      </vt:variant>
      <vt:variant>
        <vt:i4>5</vt:i4>
      </vt:variant>
      <vt:variant>
        <vt:lpwstr>http://www.nevo.co.il/law/70301</vt:lpwstr>
      </vt:variant>
      <vt:variant>
        <vt:lpwstr/>
      </vt:variant>
      <vt:variant>
        <vt:i4>4063344</vt:i4>
      </vt:variant>
      <vt:variant>
        <vt:i4>141</vt:i4>
      </vt:variant>
      <vt:variant>
        <vt:i4>0</vt:i4>
      </vt:variant>
      <vt:variant>
        <vt:i4>5</vt:i4>
      </vt:variant>
      <vt:variant>
        <vt:lpwstr>http://www.nevo.co.il/case/5612802</vt:lpwstr>
      </vt:variant>
      <vt:variant>
        <vt:lpwstr/>
      </vt:variant>
      <vt:variant>
        <vt:i4>3604603</vt:i4>
      </vt:variant>
      <vt:variant>
        <vt:i4>138</vt:i4>
      </vt:variant>
      <vt:variant>
        <vt:i4>0</vt:i4>
      </vt:variant>
      <vt:variant>
        <vt:i4>5</vt:i4>
      </vt:variant>
      <vt:variant>
        <vt:lpwstr>http://www.nevo.co.il/case/5891863</vt:lpwstr>
      </vt:variant>
      <vt:variant>
        <vt:lpwstr/>
      </vt:variant>
      <vt:variant>
        <vt:i4>3211379</vt:i4>
      </vt:variant>
      <vt:variant>
        <vt:i4>135</vt:i4>
      </vt:variant>
      <vt:variant>
        <vt:i4>0</vt:i4>
      </vt:variant>
      <vt:variant>
        <vt:i4>5</vt:i4>
      </vt:variant>
      <vt:variant>
        <vt:lpwstr>http://www.nevo.co.il/case/5573417</vt:lpwstr>
      </vt:variant>
      <vt:variant>
        <vt:lpwstr/>
      </vt:variant>
      <vt:variant>
        <vt:i4>4915202</vt:i4>
      </vt:variant>
      <vt:variant>
        <vt:i4>132</vt:i4>
      </vt:variant>
      <vt:variant>
        <vt:i4>0</vt:i4>
      </vt:variant>
      <vt:variant>
        <vt:i4>5</vt:i4>
      </vt:variant>
      <vt:variant>
        <vt:lpwstr>http://www.nevo.co.il/law/70301/40c.b</vt:lpwstr>
      </vt:variant>
      <vt:variant>
        <vt:lpwstr/>
      </vt:variant>
      <vt:variant>
        <vt:i4>6619233</vt:i4>
      </vt:variant>
      <vt:variant>
        <vt:i4>129</vt:i4>
      </vt:variant>
      <vt:variant>
        <vt:i4>0</vt:i4>
      </vt:variant>
      <vt:variant>
        <vt:i4>5</vt:i4>
      </vt:variant>
      <vt:variant>
        <vt:lpwstr>http://www.nevo.co.il/law/70301/40i</vt:lpwstr>
      </vt:variant>
      <vt:variant>
        <vt:lpwstr/>
      </vt:variant>
      <vt:variant>
        <vt:i4>4915202</vt:i4>
      </vt:variant>
      <vt:variant>
        <vt:i4>126</vt:i4>
      </vt:variant>
      <vt:variant>
        <vt:i4>0</vt:i4>
      </vt:variant>
      <vt:variant>
        <vt:i4>5</vt:i4>
      </vt:variant>
      <vt:variant>
        <vt:lpwstr>http://www.nevo.co.il/law/70301/40c.a</vt:lpwstr>
      </vt:variant>
      <vt:variant>
        <vt:lpwstr/>
      </vt:variant>
      <vt:variant>
        <vt:i4>7995492</vt:i4>
      </vt:variant>
      <vt:variant>
        <vt:i4>123</vt:i4>
      </vt:variant>
      <vt:variant>
        <vt:i4>0</vt:i4>
      </vt:variant>
      <vt:variant>
        <vt:i4>5</vt:i4>
      </vt:variant>
      <vt:variant>
        <vt:lpwstr>http://www.nevo.co.il/law/70301</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6553637</vt:i4>
      </vt:variant>
      <vt:variant>
        <vt:i4>117</vt:i4>
      </vt:variant>
      <vt:variant>
        <vt:i4>0</vt:i4>
      </vt:variant>
      <vt:variant>
        <vt:i4>5</vt:i4>
      </vt:variant>
      <vt:variant>
        <vt:lpwstr>http://www.nevo.co.il/law/70301/40jc.b</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6750245</vt:i4>
      </vt:variant>
      <vt:variant>
        <vt:i4>111</vt:i4>
      </vt:variant>
      <vt:variant>
        <vt:i4>0</vt:i4>
      </vt:variant>
      <vt:variant>
        <vt:i4>5</vt:i4>
      </vt:variant>
      <vt:variant>
        <vt:lpwstr>http://www.nevo.co.il/law/70301/40jc.a</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393227</vt:i4>
      </vt:variant>
      <vt:variant>
        <vt:i4>102</vt:i4>
      </vt:variant>
      <vt:variant>
        <vt:i4>0</vt:i4>
      </vt:variant>
      <vt:variant>
        <vt:i4>5</vt:i4>
      </vt:variant>
      <vt:variant>
        <vt:lpwstr>http://www.nevo.co.il/law/70301/40jc</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http://www.nevo.co.il/law/70301/40b</vt:lpwstr>
      </vt:variant>
      <vt:variant>
        <vt:lpwstr/>
      </vt:variant>
      <vt:variant>
        <vt:i4>3276923</vt:i4>
      </vt:variant>
      <vt:variant>
        <vt:i4>93</vt:i4>
      </vt:variant>
      <vt:variant>
        <vt:i4>0</vt:i4>
      </vt:variant>
      <vt:variant>
        <vt:i4>5</vt:i4>
      </vt:variant>
      <vt:variant>
        <vt:lpwstr>http://www.nevo.co.il/case/5569233</vt:lpwstr>
      </vt:variant>
      <vt:variant>
        <vt:lpwstr/>
      </vt:variant>
      <vt:variant>
        <vt:i4>3276923</vt:i4>
      </vt:variant>
      <vt:variant>
        <vt:i4>90</vt:i4>
      </vt:variant>
      <vt:variant>
        <vt:i4>0</vt:i4>
      </vt:variant>
      <vt:variant>
        <vt:i4>5</vt:i4>
      </vt:variant>
      <vt:variant>
        <vt:lpwstr>http://www.nevo.co.il/case/5569233</vt:lpwstr>
      </vt:variant>
      <vt:variant>
        <vt:lpwstr/>
      </vt:variant>
      <vt:variant>
        <vt:i4>7995492</vt:i4>
      </vt:variant>
      <vt:variant>
        <vt:i4>87</vt:i4>
      </vt:variant>
      <vt:variant>
        <vt:i4>0</vt:i4>
      </vt:variant>
      <vt:variant>
        <vt:i4>5</vt:i4>
      </vt:variant>
      <vt:variant>
        <vt:lpwstr>http://www.nevo.co.il/law/70301</vt:lpwstr>
      </vt:variant>
      <vt:variant>
        <vt:lpwstr/>
      </vt:variant>
      <vt:variant>
        <vt:i4>7864431</vt:i4>
      </vt:variant>
      <vt:variant>
        <vt:i4>84</vt:i4>
      </vt:variant>
      <vt:variant>
        <vt:i4>0</vt:i4>
      </vt:variant>
      <vt:variant>
        <vt:i4>5</vt:i4>
      </vt:variant>
      <vt:variant>
        <vt:lpwstr>http://www.nevo.co.il/law/71835</vt:lpwstr>
      </vt:variant>
      <vt:variant>
        <vt:lpwstr/>
      </vt:variant>
      <vt:variant>
        <vt:i4>3735678</vt:i4>
      </vt:variant>
      <vt:variant>
        <vt:i4>81</vt:i4>
      </vt:variant>
      <vt:variant>
        <vt:i4>0</vt:i4>
      </vt:variant>
      <vt:variant>
        <vt:i4>5</vt:i4>
      </vt:variant>
      <vt:variant>
        <vt:lpwstr>http://www.nevo.co.il/case/4924877</vt:lpwstr>
      </vt:variant>
      <vt:variant>
        <vt:lpwstr/>
      </vt:variant>
      <vt:variant>
        <vt:i4>100074987</vt:i4>
      </vt:variant>
      <vt:variant>
        <vt:i4>78</vt:i4>
      </vt:variant>
      <vt:variant>
        <vt:i4>0</vt:i4>
      </vt:variant>
      <vt:variant>
        <vt:i4>5</vt:i4>
      </vt:variant>
      <vt:variant>
        <vt:lpwstr>http://www.nevo.co.il/links/psika/?NEWPROC=תפ&amp;NEWPARTA=1184&amp;NEWPARTC=08</vt:lpwstr>
      </vt:variant>
      <vt:variant>
        <vt:lpwstr/>
      </vt:variant>
      <vt:variant>
        <vt:i4>3735678</vt:i4>
      </vt:variant>
      <vt:variant>
        <vt:i4>75</vt:i4>
      </vt:variant>
      <vt:variant>
        <vt:i4>0</vt:i4>
      </vt:variant>
      <vt:variant>
        <vt:i4>5</vt:i4>
      </vt:variant>
      <vt:variant>
        <vt:lpwstr>http://www.nevo.co.il/case/4924877</vt:lpwstr>
      </vt:variant>
      <vt:variant>
        <vt:lpwstr/>
      </vt:variant>
      <vt:variant>
        <vt:i4>99288496</vt:i4>
      </vt:variant>
      <vt:variant>
        <vt:i4>72</vt:i4>
      </vt:variant>
      <vt:variant>
        <vt:i4>0</vt:i4>
      </vt:variant>
      <vt:variant>
        <vt:i4>5</vt:i4>
      </vt:variant>
      <vt:variant>
        <vt:lpwstr>http://www.nevo.co.il/links/psika/?link=תפ 1184/08</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7077985</vt:i4>
      </vt:variant>
      <vt:variant>
        <vt:i4>60</vt:i4>
      </vt:variant>
      <vt:variant>
        <vt:i4>0</vt:i4>
      </vt:variant>
      <vt:variant>
        <vt:i4>5</vt:i4>
      </vt:variant>
      <vt:variant>
        <vt:lpwstr>http://www.nevo.co.il/law/70301/499</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7077991</vt:i4>
      </vt:variant>
      <vt:variant>
        <vt:i4>54</vt:i4>
      </vt:variant>
      <vt:variant>
        <vt:i4>0</vt:i4>
      </vt:variant>
      <vt:variant>
        <vt:i4>5</vt:i4>
      </vt:variant>
      <vt:variant>
        <vt:lpwstr>http://www.nevo.co.il/law/70301/298</vt:lpwstr>
      </vt:variant>
      <vt:variant>
        <vt:lpwstr/>
      </vt:variant>
      <vt:variant>
        <vt:i4>7864431</vt:i4>
      </vt:variant>
      <vt:variant>
        <vt:i4>51</vt:i4>
      </vt:variant>
      <vt:variant>
        <vt:i4>0</vt:i4>
      </vt:variant>
      <vt:variant>
        <vt:i4>5</vt:i4>
      </vt:variant>
      <vt:variant>
        <vt:lpwstr>http://www.nevo.co.il/law/71835</vt:lpwstr>
      </vt:variant>
      <vt:variant>
        <vt:lpwstr/>
      </vt:variant>
      <vt:variant>
        <vt:i4>7077985</vt:i4>
      </vt:variant>
      <vt:variant>
        <vt:i4>48</vt:i4>
      </vt:variant>
      <vt:variant>
        <vt:i4>0</vt:i4>
      </vt:variant>
      <vt:variant>
        <vt:i4>5</vt:i4>
      </vt:variant>
      <vt:variant>
        <vt:lpwstr>http://www.nevo.co.il/law/70301/499</vt:lpwstr>
      </vt:variant>
      <vt:variant>
        <vt:lpwstr/>
      </vt:variant>
      <vt:variant>
        <vt:i4>6553637</vt:i4>
      </vt:variant>
      <vt:variant>
        <vt:i4>45</vt:i4>
      </vt:variant>
      <vt:variant>
        <vt:i4>0</vt:i4>
      </vt:variant>
      <vt:variant>
        <vt:i4>5</vt:i4>
      </vt:variant>
      <vt:variant>
        <vt:lpwstr>http://www.nevo.co.il/law/70301/40jc.b</vt:lpwstr>
      </vt:variant>
      <vt:variant>
        <vt:lpwstr/>
      </vt:variant>
      <vt:variant>
        <vt:i4>6750245</vt:i4>
      </vt:variant>
      <vt:variant>
        <vt:i4>42</vt:i4>
      </vt:variant>
      <vt:variant>
        <vt:i4>0</vt:i4>
      </vt:variant>
      <vt:variant>
        <vt:i4>5</vt:i4>
      </vt:variant>
      <vt:variant>
        <vt:lpwstr>http://www.nevo.co.il/law/70301/40jc.a</vt:lpwstr>
      </vt:variant>
      <vt:variant>
        <vt:lpwstr/>
      </vt:variant>
      <vt:variant>
        <vt:i4>393227</vt:i4>
      </vt:variant>
      <vt:variant>
        <vt:i4>39</vt:i4>
      </vt:variant>
      <vt:variant>
        <vt:i4>0</vt:i4>
      </vt:variant>
      <vt:variant>
        <vt:i4>5</vt:i4>
      </vt:variant>
      <vt:variant>
        <vt:lpwstr>http://www.nevo.co.il/law/70301/40jc</vt:lpwstr>
      </vt:variant>
      <vt:variant>
        <vt:lpwstr/>
      </vt:variant>
      <vt:variant>
        <vt:i4>458763</vt:i4>
      </vt:variant>
      <vt:variant>
        <vt:i4>36</vt:i4>
      </vt:variant>
      <vt:variant>
        <vt:i4>0</vt:i4>
      </vt:variant>
      <vt:variant>
        <vt:i4>5</vt:i4>
      </vt:variant>
      <vt:variant>
        <vt:lpwstr>http://www.nevo.co.il/law/70301/40jb</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7077991</vt:i4>
      </vt:variant>
      <vt:variant>
        <vt:i4>30</vt:i4>
      </vt:variant>
      <vt:variant>
        <vt:i4>0</vt:i4>
      </vt:variant>
      <vt:variant>
        <vt:i4>5</vt:i4>
      </vt:variant>
      <vt:variant>
        <vt:lpwstr>http://www.nevo.co.il/law/70301/298</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http://www.nevo.co.il/law/70301/40g</vt:lpwstr>
      </vt:variant>
      <vt:variant>
        <vt:lpwstr/>
      </vt:variant>
      <vt:variant>
        <vt:i4>6619233</vt:i4>
      </vt:variant>
      <vt:variant>
        <vt:i4>15</vt:i4>
      </vt:variant>
      <vt:variant>
        <vt:i4>0</vt:i4>
      </vt:variant>
      <vt:variant>
        <vt:i4>5</vt:i4>
      </vt:variant>
      <vt:variant>
        <vt:lpwstr>http://www.nevo.co.il/law/70301/40f</vt:lpwstr>
      </vt:variant>
      <vt:variant>
        <vt:lpwstr/>
      </vt:variant>
      <vt:variant>
        <vt:i4>4915202</vt:i4>
      </vt:variant>
      <vt:variant>
        <vt:i4>12</vt:i4>
      </vt:variant>
      <vt:variant>
        <vt:i4>0</vt:i4>
      </vt:variant>
      <vt:variant>
        <vt:i4>5</vt:i4>
      </vt:variant>
      <vt:variant>
        <vt:lpwstr>http://www.nevo.co.il/law/70301/40c.b</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2014-06-05T07:40:00Z</cp:lastPrinted>
  <dcterms:created xsi:type="dcterms:W3CDTF">2025-04-25T10:27:00Z</dcterms:created>
  <dcterms:modified xsi:type="dcterms:W3CDTF">2025-04-25T10:27:00Z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39094</vt:lpwstr>
  </property>
  <property fmtid="{D5CDD505-2E9C-101B-9397-08002B2CF9AE}" pid="6" name="NEWPARTB">
    <vt:lpwstr>05</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שי שלב;דביר בן חיים;עלי קארוט</vt:lpwstr>
  </property>
  <property fmtid="{D5CDD505-2E9C-101B-9397-08002B2CF9AE}" pid="10" name="JUDGE">
    <vt:lpwstr>יוסף אלרון;משה גלעד;ד#ר מנחם רניאל</vt:lpwstr>
  </property>
  <property fmtid="{D5CDD505-2E9C-101B-9397-08002B2CF9AE}" pid="11" name="CITY">
    <vt:lpwstr>חי'</vt:lpwstr>
  </property>
  <property fmtid="{D5CDD505-2E9C-101B-9397-08002B2CF9AE}" pid="12" name="DATE">
    <vt:lpwstr>20140608</vt:lpwstr>
  </property>
  <property fmtid="{D5CDD505-2E9C-101B-9397-08002B2CF9AE}" pid="13" name="TYPE_N_DATE">
    <vt:lpwstr>39020140608</vt:lpwstr>
  </property>
  <property fmtid="{D5CDD505-2E9C-101B-9397-08002B2CF9AE}" pid="14" name="CASESLISTTMP1">
    <vt:lpwstr>4924877:3;5569233:2;5573417;5891863;5612802;5757857;5770174;5821327;5703734;5878682;5808567;6473037;7791493;5731188;5568851</vt:lpwstr>
  </property>
  <property fmtid="{D5CDD505-2E9C-101B-9397-08002B2CF9AE}" pid="15" name="CASENOTES1">
    <vt:lpwstr>ProcID=209&amp;PartA=1184&amp;PartC=08</vt:lpwstr>
  </property>
  <property fmtid="{D5CDD505-2E9C-101B-9397-08002B2CF9AE}" pid="16" name="CASENOTES2">
    <vt:lpwstr>ProcID=133;209&amp;PartA=2196&amp;PartC=10</vt:lpwstr>
  </property>
  <property fmtid="{D5CDD505-2E9C-101B-9397-08002B2CF9AE}" pid="17" name="CASENOTES3">
    <vt:lpwstr>ProcID=133;209&amp;PartA=1958&amp;PartC=98</vt:lpwstr>
  </property>
  <property fmtid="{D5CDD505-2E9C-101B-9397-08002B2CF9AE}" pid="18" name="CASENOTES4">
    <vt:lpwstr>ProcID=133&amp;PartA=4173&amp;PartC=07</vt:lpwstr>
  </property>
  <property fmtid="{D5CDD505-2E9C-101B-9397-08002B2CF9AE}" pid="19" name="WORDNUMPAGES">
    <vt:lpwstr>23</vt:lpwstr>
  </property>
  <property fmtid="{D5CDD505-2E9C-101B-9397-08002B2CF9AE}" pid="20" name="TYPE_ABS_DATE">
    <vt:lpwstr>390120140608</vt:lpwstr>
  </property>
  <property fmtid="{D5CDD505-2E9C-101B-9397-08002B2CF9AE}" pid="21" name="ISABSTRACT">
    <vt:lpwstr>Y</vt:lpwstr>
  </property>
  <property fmtid="{D5CDD505-2E9C-101B-9397-08002B2CF9AE}" pid="22" name="LAWYER">
    <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YES</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y fmtid="{D5CDD505-2E9C-101B-9397-08002B2CF9AE}" pid="40" name="LAWLISTTMP1">
    <vt:lpwstr>70301/298:2;029;499;144.a;144.b;040b;40jc;40jc.a;40jc.b;040c.a;040i;040c.b;40jb;40ja;040f;040g</vt:lpwstr>
  </property>
  <property fmtid="{D5CDD505-2E9C-101B-9397-08002B2CF9AE}" pid="41" name="LAWLISTTMP2">
    <vt:lpwstr>71835</vt:lpwstr>
  </property>
  <property fmtid="{D5CDD505-2E9C-101B-9397-08002B2CF9AE}" pid="42" name="METAKZER">
    <vt:lpwstr>עומרי</vt:lpwstr>
  </property>
  <property fmtid="{D5CDD505-2E9C-101B-9397-08002B2CF9AE}" pid="43" name="NOSE1ID">
    <vt:lpwstr>77;77;77</vt:lpwstr>
  </property>
  <property fmtid="{D5CDD505-2E9C-101B-9397-08002B2CF9AE}" pid="44" name="NOSE2ID">
    <vt:lpwstr>1446;1446;1446</vt:lpwstr>
  </property>
  <property fmtid="{D5CDD505-2E9C-101B-9397-08002B2CF9AE}" pid="45" name="NOSE3ID">
    <vt:lpwstr>14379;14739;13800</vt:lpwstr>
  </property>
  <property fmtid="{D5CDD505-2E9C-101B-9397-08002B2CF9AE}" pid="46" name="NOSE11">
    <vt:lpwstr>עונשין</vt:lpwstr>
  </property>
  <property fmtid="{D5CDD505-2E9C-101B-9397-08002B2CF9AE}" pid="47" name="NOSE21">
    <vt:lpwstr>ענישה</vt:lpwstr>
  </property>
  <property fmtid="{D5CDD505-2E9C-101B-9397-08002B2CF9AE}" pid="48" name="NOSE31">
    <vt:lpwstr>מדיניות ענישה: הסדר טיעון</vt:lpwstr>
  </property>
  <property fmtid="{D5CDD505-2E9C-101B-9397-08002B2CF9AE}" pid="49" name="NOSE12">
    <vt:lpwstr>עונשין</vt:lpwstr>
  </property>
  <property fmtid="{D5CDD505-2E9C-101B-9397-08002B2CF9AE}" pid="50" name="NOSE22">
    <vt:lpwstr>ענישה</vt:lpwstr>
  </property>
  <property fmtid="{D5CDD505-2E9C-101B-9397-08002B2CF9AE}" pid="51" name="NOSE32">
    <vt:lpwstr>מדיניות ענישה: הריגה</vt:lpwstr>
  </property>
  <property fmtid="{D5CDD505-2E9C-101B-9397-08002B2CF9AE}" pid="52" name="NOSE13">
    <vt:lpwstr>עונשין</vt:lpwstr>
  </property>
  <property fmtid="{D5CDD505-2E9C-101B-9397-08002B2CF9AE}" pid="53" name="NOSE23">
    <vt:lpwstr>ענישה</vt:lpwstr>
  </property>
  <property fmtid="{D5CDD505-2E9C-101B-9397-08002B2CF9AE}" pid="54" name="NOSE33">
    <vt:lpwstr>מדיניות ענישה: עבירות נשק</vt:lpwstr>
  </property>
  <property fmtid="{D5CDD505-2E9C-101B-9397-08002B2CF9AE}" pid="55" name="NOSE14">
    <vt:lpwstr/>
  </property>
  <property fmtid="{D5CDD505-2E9C-101B-9397-08002B2CF9AE}" pid="56" name="NOSE24">
    <vt:lpwstr/>
  </property>
  <property fmtid="{D5CDD505-2E9C-101B-9397-08002B2CF9AE}" pid="57" name="NOSE34">
    <vt:lpwstr/>
  </property>
  <property fmtid="{D5CDD505-2E9C-101B-9397-08002B2CF9AE}" pid="58" name="NOSE15">
    <vt:lpwstr/>
  </property>
  <property fmtid="{D5CDD505-2E9C-101B-9397-08002B2CF9AE}" pid="59" name="NOSE25">
    <vt:lpwstr/>
  </property>
  <property fmtid="{D5CDD505-2E9C-101B-9397-08002B2CF9AE}" pid="60" name="NOSE35">
    <vt:lpwstr/>
  </property>
  <property fmtid="{D5CDD505-2E9C-101B-9397-08002B2CF9AE}" pid="61" name="NOSE16">
    <vt:lpwstr/>
  </property>
  <property fmtid="{D5CDD505-2E9C-101B-9397-08002B2CF9AE}" pid="62" name="NOSE26">
    <vt:lpwstr/>
  </property>
  <property fmtid="{D5CDD505-2E9C-101B-9397-08002B2CF9AE}" pid="63" name="NOSE36">
    <vt:lpwstr/>
  </property>
  <property fmtid="{D5CDD505-2E9C-101B-9397-08002B2CF9AE}" pid="64" name="NOSE17">
    <vt:lpwstr/>
  </property>
  <property fmtid="{D5CDD505-2E9C-101B-9397-08002B2CF9AE}" pid="65" name="NOSE27">
    <vt:lpwstr/>
  </property>
  <property fmtid="{D5CDD505-2E9C-101B-9397-08002B2CF9AE}" pid="66" name="NOSE37">
    <vt:lpwstr/>
  </property>
  <property fmtid="{D5CDD505-2E9C-101B-9397-08002B2CF9AE}" pid="67" name="NOSE18">
    <vt:lpwstr/>
  </property>
  <property fmtid="{D5CDD505-2E9C-101B-9397-08002B2CF9AE}" pid="68" name="NOSE28">
    <vt:lpwstr/>
  </property>
  <property fmtid="{D5CDD505-2E9C-101B-9397-08002B2CF9AE}" pid="69" name="NOSE38">
    <vt:lpwstr/>
  </property>
  <property fmtid="{D5CDD505-2E9C-101B-9397-08002B2CF9AE}" pid="70" name="NOSE19">
    <vt:lpwstr/>
  </property>
  <property fmtid="{D5CDD505-2E9C-101B-9397-08002B2CF9AE}" pid="71" name="NOSE29">
    <vt:lpwstr/>
  </property>
  <property fmtid="{D5CDD505-2E9C-101B-9397-08002B2CF9AE}" pid="72" name="NOSE39">
    <vt:lpwstr/>
  </property>
  <property fmtid="{D5CDD505-2E9C-101B-9397-08002B2CF9AE}" pid="73" name="NOSE110">
    <vt:lpwstr/>
  </property>
  <property fmtid="{D5CDD505-2E9C-101B-9397-08002B2CF9AE}" pid="74" name="NOSE210">
    <vt:lpwstr/>
  </property>
  <property fmtid="{D5CDD505-2E9C-101B-9397-08002B2CF9AE}" pid="75" name="NOSE310">
    <vt:lpwstr/>
  </property>
  <property fmtid="{D5CDD505-2E9C-101B-9397-08002B2CF9AE}" pid="76" name="PADIDATE">
    <vt:lpwstr>20140611</vt:lpwstr>
  </property>
</Properties>
</file>