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E83854" w:rsidRPr="00F04BE5" w14:paraId="3803425C" w14:textId="77777777">
        <w:trPr>
          <w:trHeight w:hRule="exact" w:val="418"/>
          <w:jc w:val="center"/>
        </w:trPr>
        <w:tc>
          <w:tcPr>
            <w:tcW w:w="8721" w:type="dxa"/>
            <w:gridSpan w:val="2"/>
          </w:tcPr>
          <w:p w14:paraId="17B28E21" w14:textId="77777777" w:rsidR="00E83854" w:rsidRPr="00F04BE5" w:rsidRDefault="00F04BE5">
            <w:pPr>
              <w:pStyle w:val="a3"/>
              <w:jc w:val="center"/>
              <w:rPr>
                <w:rFonts w:ascii="Tahoma" w:hAnsi="Tahoma" w:cs="Tahoma"/>
                <w:color w:val="000080"/>
                <w:rtl/>
              </w:rPr>
            </w:pPr>
            <w:r w:rsidRPr="00F04BE5">
              <w:rPr>
                <w:rFonts w:ascii="Tahoma" w:hAnsi="Tahoma" w:cs="Tahoma"/>
                <w:b/>
                <w:bCs/>
                <w:color w:val="000080"/>
                <w:rtl/>
              </w:rPr>
              <w:t>בית המשפט המחוזי בחיפה</w:t>
            </w:r>
          </w:p>
        </w:tc>
      </w:tr>
      <w:tr w:rsidR="00E83854" w:rsidRPr="00F04BE5" w14:paraId="5C1501AB" w14:textId="77777777">
        <w:trPr>
          <w:trHeight w:val="337"/>
          <w:jc w:val="center"/>
        </w:trPr>
        <w:tc>
          <w:tcPr>
            <w:tcW w:w="5056" w:type="dxa"/>
          </w:tcPr>
          <w:p w14:paraId="70158A00" w14:textId="77777777" w:rsidR="00E83854" w:rsidRPr="00F04BE5" w:rsidRDefault="00F04BE5">
            <w:pPr>
              <w:rPr>
                <w:rFonts w:cs="FrankRuehl"/>
                <w:sz w:val="28"/>
                <w:szCs w:val="28"/>
                <w:rtl/>
              </w:rPr>
            </w:pPr>
            <w:r w:rsidRPr="00F04BE5">
              <w:rPr>
                <w:rFonts w:cs="FrankRuehl"/>
                <w:sz w:val="28"/>
                <w:szCs w:val="28"/>
                <w:rtl/>
              </w:rPr>
              <w:t>תפ"ח</w:t>
            </w:r>
            <w:r w:rsidRPr="00F04BE5">
              <w:rPr>
                <w:rFonts w:cs="FrankRuehl" w:hint="cs"/>
                <w:sz w:val="28"/>
                <w:szCs w:val="28"/>
                <w:rtl/>
              </w:rPr>
              <w:t xml:space="preserve"> </w:t>
            </w:r>
            <w:r w:rsidRPr="00F04BE5">
              <w:rPr>
                <w:rFonts w:cs="FrankRuehl"/>
                <w:sz w:val="28"/>
                <w:szCs w:val="28"/>
                <w:rtl/>
              </w:rPr>
              <w:t>8398-05-12</w:t>
            </w:r>
            <w:r w:rsidRPr="00F04BE5">
              <w:rPr>
                <w:rFonts w:cs="FrankRuehl" w:hint="cs"/>
                <w:sz w:val="28"/>
                <w:szCs w:val="28"/>
                <w:rtl/>
              </w:rPr>
              <w:t xml:space="preserve"> </w:t>
            </w:r>
            <w:r w:rsidRPr="00F04BE5">
              <w:rPr>
                <w:rFonts w:cs="FrankRuehl"/>
                <w:sz w:val="28"/>
                <w:szCs w:val="28"/>
                <w:rtl/>
              </w:rPr>
              <w:t>מדינת ישראל נ' אבו מוך(עציר)</w:t>
            </w:r>
          </w:p>
          <w:p w14:paraId="055C2641" w14:textId="77777777" w:rsidR="00E83854" w:rsidRPr="00F04BE5" w:rsidRDefault="00E83854">
            <w:pPr>
              <w:pStyle w:val="a3"/>
              <w:rPr>
                <w:rFonts w:cs="FrankRuehl"/>
                <w:sz w:val="28"/>
                <w:szCs w:val="28"/>
                <w:rtl/>
              </w:rPr>
            </w:pPr>
          </w:p>
        </w:tc>
        <w:tc>
          <w:tcPr>
            <w:tcW w:w="3665" w:type="dxa"/>
          </w:tcPr>
          <w:p w14:paraId="3B342FA8" w14:textId="77777777" w:rsidR="00E83854" w:rsidRPr="00F04BE5" w:rsidRDefault="00E83854">
            <w:pPr>
              <w:pStyle w:val="a3"/>
              <w:jc w:val="right"/>
              <w:rPr>
                <w:rFonts w:cs="FrankRuehl"/>
                <w:sz w:val="28"/>
                <w:szCs w:val="28"/>
                <w:rtl/>
              </w:rPr>
            </w:pPr>
          </w:p>
        </w:tc>
      </w:tr>
    </w:tbl>
    <w:p w14:paraId="2CEDDB75" w14:textId="77777777" w:rsidR="00E83854" w:rsidRPr="00F04BE5" w:rsidRDefault="00F04BE5">
      <w:pPr>
        <w:pStyle w:val="a3"/>
        <w:rPr>
          <w:rtl/>
        </w:rPr>
      </w:pPr>
      <w:r w:rsidRPr="00F04BE5">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E83854" w:rsidRPr="00F04BE5" w14:paraId="28944D23" w14:textId="77777777">
        <w:trPr>
          <w:trHeight w:val="295"/>
          <w:jc w:val="center"/>
        </w:trPr>
        <w:tc>
          <w:tcPr>
            <w:tcW w:w="945" w:type="dxa"/>
            <w:tcBorders>
              <w:top w:val="nil"/>
              <w:left w:val="nil"/>
              <w:bottom w:val="nil"/>
              <w:right w:val="nil"/>
            </w:tcBorders>
          </w:tcPr>
          <w:p w14:paraId="3C08E548" w14:textId="77777777" w:rsidR="00E83854" w:rsidRPr="00F04BE5" w:rsidRDefault="00F04BE5">
            <w:pPr>
              <w:spacing w:line="360" w:lineRule="auto"/>
              <w:jc w:val="both"/>
              <w:rPr>
                <w:rFonts w:ascii="Arial" w:hAnsi="Arial"/>
                <w:b/>
                <w:bCs/>
                <w:sz w:val="28"/>
                <w:szCs w:val="28"/>
              </w:rPr>
            </w:pPr>
            <w:r w:rsidRPr="00F04BE5">
              <w:rPr>
                <w:rFonts w:ascii="Arial" w:hAnsi="Arial" w:hint="cs"/>
                <w:b/>
                <w:bCs/>
                <w:sz w:val="28"/>
                <w:szCs w:val="28"/>
                <w:rtl/>
              </w:rPr>
              <w:t>ב</w:t>
            </w:r>
            <w:r w:rsidRPr="00F04BE5">
              <w:rPr>
                <w:rFonts w:ascii="Arial" w:hAnsi="Arial"/>
                <w:b/>
                <w:bCs/>
                <w:sz w:val="28"/>
                <w:szCs w:val="28"/>
                <w:rtl/>
              </w:rPr>
              <w:t xml:space="preserve">פני </w:t>
            </w:r>
          </w:p>
        </w:tc>
        <w:tc>
          <w:tcPr>
            <w:tcW w:w="7875" w:type="dxa"/>
            <w:gridSpan w:val="2"/>
            <w:tcBorders>
              <w:top w:val="nil"/>
              <w:left w:val="nil"/>
              <w:bottom w:val="nil"/>
              <w:right w:val="nil"/>
            </w:tcBorders>
          </w:tcPr>
          <w:p w14:paraId="3C50C376" w14:textId="77777777" w:rsidR="00E83854" w:rsidRPr="00F04BE5" w:rsidRDefault="00F04BE5">
            <w:pPr>
              <w:spacing w:line="360" w:lineRule="auto"/>
              <w:rPr>
                <w:rFonts w:ascii="Arial" w:hAnsi="Arial"/>
                <w:b/>
                <w:bCs/>
                <w:sz w:val="28"/>
                <w:szCs w:val="28"/>
                <w:rtl/>
              </w:rPr>
            </w:pPr>
            <w:r w:rsidRPr="00F04BE5">
              <w:rPr>
                <w:rFonts w:ascii="Arial" w:hAnsi="Arial" w:hint="cs"/>
                <w:b/>
                <w:bCs/>
                <w:sz w:val="28"/>
                <w:szCs w:val="28"/>
                <w:rtl/>
              </w:rPr>
              <w:t xml:space="preserve">כב' השופט יוסף אלרון, נשיא [אב"ד] </w:t>
            </w:r>
          </w:p>
          <w:p w14:paraId="01676A93" w14:textId="77777777" w:rsidR="00E83854" w:rsidRPr="00F04BE5" w:rsidRDefault="00F04BE5">
            <w:pPr>
              <w:spacing w:line="360" w:lineRule="auto"/>
              <w:rPr>
                <w:rFonts w:ascii="Arial" w:hAnsi="Arial"/>
                <w:b/>
                <w:bCs/>
                <w:sz w:val="28"/>
                <w:szCs w:val="28"/>
                <w:rtl/>
              </w:rPr>
            </w:pPr>
            <w:r w:rsidRPr="00F04BE5">
              <w:rPr>
                <w:rFonts w:ascii="Arial" w:hAnsi="Arial" w:hint="cs"/>
                <w:b/>
                <w:bCs/>
                <w:sz w:val="28"/>
                <w:szCs w:val="28"/>
                <w:rtl/>
              </w:rPr>
              <w:t>כב' השופט עודד גרשון</w:t>
            </w:r>
          </w:p>
          <w:p w14:paraId="777041AC" w14:textId="77777777" w:rsidR="00E83854" w:rsidRPr="00F04BE5" w:rsidRDefault="00F04BE5">
            <w:pPr>
              <w:spacing w:line="360" w:lineRule="auto"/>
              <w:rPr>
                <w:rFonts w:ascii="Arial" w:hAnsi="Arial"/>
                <w:b/>
                <w:bCs/>
                <w:sz w:val="28"/>
                <w:szCs w:val="28"/>
              </w:rPr>
            </w:pPr>
            <w:r w:rsidRPr="00F04BE5">
              <w:rPr>
                <w:rFonts w:ascii="Arial" w:hAnsi="Arial" w:hint="cs"/>
                <w:b/>
                <w:bCs/>
                <w:sz w:val="28"/>
                <w:szCs w:val="28"/>
                <w:rtl/>
              </w:rPr>
              <w:t>כב' השופט אברהם אליקים</w:t>
            </w:r>
          </w:p>
        </w:tc>
      </w:tr>
      <w:tr w:rsidR="00E83854" w:rsidRPr="00F04BE5" w14:paraId="7460868A" w14:textId="77777777">
        <w:trPr>
          <w:trHeight w:val="355"/>
          <w:jc w:val="center"/>
        </w:trPr>
        <w:tc>
          <w:tcPr>
            <w:tcW w:w="945" w:type="dxa"/>
            <w:tcBorders>
              <w:top w:val="nil"/>
              <w:left w:val="nil"/>
              <w:bottom w:val="nil"/>
              <w:right w:val="nil"/>
            </w:tcBorders>
          </w:tcPr>
          <w:p w14:paraId="5C5FFB13" w14:textId="77777777" w:rsidR="00E83854" w:rsidRPr="00F04BE5" w:rsidRDefault="00F04BE5">
            <w:pPr>
              <w:spacing w:line="360" w:lineRule="auto"/>
              <w:jc w:val="both"/>
              <w:rPr>
                <w:rFonts w:ascii="Arial" w:hAnsi="Arial"/>
                <w:b/>
                <w:bCs/>
                <w:sz w:val="28"/>
                <w:szCs w:val="28"/>
              </w:rPr>
            </w:pPr>
            <w:bookmarkStart w:id="0" w:name="FirstAppellant"/>
            <w:bookmarkStart w:id="1" w:name="LastJudge"/>
            <w:bookmarkEnd w:id="1"/>
            <w:r w:rsidRPr="00F04BE5">
              <w:rPr>
                <w:rFonts w:ascii="Arial" w:hAnsi="Arial" w:hint="cs"/>
                <w:b/>
                <w:bCs/>
                <w:sz w:val="28"/>
                <w:szCs w:val="28"/>
                <w:rtl/>
              </w:rPr>
              <w:t>בעניין:</w:t>
            </w:r>
          </w:p>
        </w:tc>
        <w:tc>
          <w:tcPr>
            <w:tcW w:w="4114" w:type="dxa"/>
            <w:tcBorders>
              <w:top w:val="nil"/>
              <w:left w:val="nil"/>
              <w:bottom w:val="nil"/>
              <w:right w:val="nil"/>
            </w:tcBorders>
          </w:tcPr>
          <w:p w14:paraId="692FED0E" w14:textId="77777777" w:rsidR="00E83854" w:rsidRPr="00F04BE5" w:rsidRDefault="00F04BE5">
            <w:pPr>
              <w:spacing w:line="360" w:lineRule="auto"/>
              <w:rPr>
                <w:b/>
                <w:bCs/>
              </w:rPr>
            </w:pPr>
            <w:r w:rsidRPr="00F04BE5">
              <w:rPr>
                <w:rFonts w:hint="cs"/>
                <w:b/>
                <w:bCs/>
                <w:rtl/>
              </w:rPr>
              <w:t>מדינת ישראל</w:t>
            </w:r>
          </w:p>
        </w:tc>
        <w:tc>
          <w:tcPr>
            <w:tcW w:w="3761" w:type="dxa"/>
            <w:tcBorders>
              <w:top w:val="nil"/>
              <w:left w:val="nil"/>
              <w:bottom w:val="nil"/>
              <w:right w:val="nil"/>
            </w:tcBorders>
          </w:tcPr>
          <w:p w14:paraId="6EA6142A" w14:textId="77777777" w:rsidR="00E83854" w:rsidRPr="00F04BE5" w:rsidRDefault="00E83854">
            <w:pPr>
              <w:spacing w:line="360" w:lineRule="auto"/>
              <w:jc w:val="both"/>
              <w:rPr>
                <w:rFonts w:ascii="Arial" w:hAnsi="Arial"/>
                <w:b/>
                <w:bCs/>
                <w:sz w:val="28"/>
                <w:szCs w:val="28"/>
              </w:rPr>
            </w:pPr>
          </w:p>
        </w:tc>
      </w:tr>
      <w:bookmarkEnd w:id="0"/>
      <w:tr w:rsidR="00E83854" w:rsidRPr="00F04BE5" w14:paraId="10243504" w14:textId="77777777">
        <w:trPr>
          <w:trHeight w:val="355"/>
          <w:jc w:val="center"/>
        </w:trPr>
        <w:tc>
          <w:tcPr>
            <w:tcW w:w="945" w:type="dxa"/>
            <w:tcBorders>
              <w:top w:val="nil"/>
              <w:left w:val="nil"/>
              <w:bottom w:val="nil"/>
              <w:right w:val="nil"/>
            </w:tcBorders>
          </w:tcPr>
          <w:p w14:paraId="361662EE" w14:textId="77777777" w:rsidR="00E83854" w:rsidRPr="00F04BE5" w:rsidRDefault="00E83854">
            <w:pPr>
              <w:spacing w:line="360" w:lineRule="auto"/>
              <w:jc w:val="both"/>
              <w:rPr>
                <w:rFonts w:ascii="Arial" w:hAnsi="Arial"/>
                <w:b/>
                <w:bCs/>
                <w:sz w:val="28"/>
                <w:szCs w:val="28"/>
                <w:rtl/>
              </w:rPr>
            </w:pPr>
          </w:p>
        </w:tc>
        <w:tc>
          <w:tcPr>
            <w:tcW w:w="4114" w:type="dxa"/>
            <w:tcBorders>
              <w:top w:val="nil"/>
              <w:left w:val="nil"/>
              <w:bottom w:val="nil"/>
              <w:right w:val="nil"/>
            </w:tcBorders>
          </w:tcPr>
          <w:p w14:paraId="13DE159C" w14:textId="77777777" w:rsidR="00E83854" w:rsidRPr="00F04BE5" w:rsidRDefault="00E83854">
            <w:pPr>
              <w:spacing w:line="360" w:lineRule="auto"/>
              <w:jc w:val="both"/>
              <w:rPr>
                <w:b/>
                <w:bCs/>
                <w:rtl/>
              </w:rPr>
            </w:pPr>
          </w:p>
        </w:tc>
        <w:tc>
          <w:tcPr>
            <w:tcW w:w="3761" w:type="dxa"/>
            <w:tcBorders>
              <w:top w:val="nil"/>
              <w:left w:val="nil"/>
              <w:bottom w:val="nil"/>
              <w:right w:val="nil"/>
            </w:tcBorders>
          </w:tcPr>
          <w:p w14:paraId="49EFD0A5" w14:textId="77777777" w:rsidR="00E83854" w:rsidRPr="00F04BE5" w:rsidRDefault="00F04BE5">
            <w:pPr>
              <w:spacing w:line="360" w:lineRule="auto"/>
              <w:rPr>
                <w:rFonts w:ascii="Arial" w:hAnsi="Arial"/>
                <w:b/>
                <w:bCs/>
                <w:sz w:val="28"/>
                <w:szCs w:val="28"/>
                <w:rtl/>
              </w:rPr>
            </w:pPr>
            <w:r w:rsidRPr="00F04BE5">
              <w:rPr>
                <w:rFonts w:ascii="Arial" w:hAnsi="Arial" w:hint="cs"/>
                <w:b/>
                <w:bCs/>
                <w:sz w:val="28"/>
                <w:szCs w:val="28"/>
                <w:rtl/>
              </w:rPr>
              <w:t>ה</w:t>
            </w:r>
            <w:r w:rsidRPr="00F04BE5">
              <w:rPr>
                <w:rFonts w:hint="cs"/>
                <w:b/>
                <w:bCs/>
                <w:rtl/>
              </w:rPr>
              <w:t>מאשימה</w:t>
            </w:r>
          </w:p>
        </w:tc>
      </w:tr>
      <w:tr w:rsidR="00E83854" w:rsidRPr="00F04BE5" w14:paraId="7EE811A4" w14:textId="77777777">
        <w:trPr>
          <w:trHeight w:val="355"/>
          <w:jc w:val="center"/>
        </w:trPr>
        <w:tc>
          <w:tcPr>
            <w:tcW w:w="945" w:type="dxa"/>
            <w:tcBorders>
              <w:top w:val="nil"/>
              <w:left w:val="nil"/>
              <w:bottom w:val="nil"/>
              <w:right w:val="nil"/>
            </w:tcBorders>
          </w:tcPr>
          <w:p w14:paraId="5812A395" w14:textId="77777777" w:rsidR="00E83854" w:rsidRPr="00F04BE5" w:rsidRDefault="00E83854">
            <w:pPr>
              <w:spacing w:line="360" w:lineRule="auto"/>
              <w:jc w:val="both"/>
              <w:rPr>
                <w:rFonts w:ascii="Arial" w:hAnsi="Arial"/>
                <w:b/>
                <w:bCs/>
                <w:sz w:val="28"/>
                <w:szCs w:val="28"/>
                <w:rtl/>
              </w:rPr>
            </w:pPr>
          </w:p>
        </w:tc>
        <w:tc>
          <w:tcPr>
            <w:tcW w:w="7875" w:type="dxa"/>
            <w:gridSpan w:val="2"/>
            <w:tcBorders>
              <w:top w:val="nil"/>
              <w:left w:val="nil"/>
              <w:bottom w:val="nil"/>
              <w:right w:val="nil"/>
            </w:tcBorders>
          </w:tcPr>
          <w:p w14:paraId="5E1A6FC2" w14:textId="77777777" w:rsidR="00E83854" w:rsidRPr="00F04BE5" w:rsidRDefault="00E83854">
            <w:pPr>
              <w:spacing w:line="360" w:lineRule="auto"/>
              <w:jc w:val="center"/>
              <w:rPr>
                <w:rFonts w:ascii="Arial" w:hAnsi="Arial"/>
                <w:b/>
                <w:bCs/>
                <w:sz w:val="28"/>
                <w:szCs w:val="28"/>
                <w:rtl/>
              </w:rPr>
            </w:pPr>
          </w:p>
          <w:p w14:paraId="373E3D25" w14:textId="77777777" w:rsidR="00E83854" w:rsidRPr="00F04BE5" w:rsidRDefault="00F04BE5">
            <w:pPr>
              <w:spacing w:line="360" w:lineRule="auto"/>
              <w:jc w:val="center"/>
              <w:rPr>
                <w:rFonts w:ascii="Arial" w:hAnsi="Arial"/>
                <w:b/>
                <w:bCs/>
                <w:sz w:val="28"/>
                <w:szCs w:val="28"/>
                <w:rtl/>
              </w:rPr>
            </w:pPr>
            <w:r w:rsidRPr="00F04BE5">
              <w:rPr>
                <w:rFonts w:ascii="Arial" w:hAnsi="Arial"/>
                <w:b/>
                <w:bCs/>
                <w:sz w:val="28"/>
                <w:szCs w:val="28"/>
                <w:rtl/>
              </w:rPr>
              <w:t>נגד</w:t>
            </w:r>
          </w:p>
          <w:p w14:paraId="69BC7BD9" w14:textId="77777777" w:rsidR="00E83854" w:rsidRPr="00F04BE5" w:rsidRDefault="00E83854">
            <w:pPr>
              <w:spacing w:line="360" w:lineRule="auto"/>
              <w:jc w:val="both"/>
              <w:rPr>
                <w:rFonts w:ascii="Arial" w:hAnsi="Arial"/>
                <w:b/>
                <w:bCs/>
                <w:sz w:val="28"/>
                <w:szCs w:val="28"/>
              </w:rPr>
            </w:pPr>
          </w:p>
        </w:tc>
      </w:tr>
      <w:tr w:rsidR="00E83854" w:rsidRPr="00F04BE5" w14:paraId="125AAC92" w14:textId="77777777">
        <w:trPr>
          <w:trHeight w:val="355"/>
          <w:jc w:val="center"/>
        </w:trPr>
        <w:tc>
          <w:tcPr>
            <w:tcW w:w="945" w:type="dxa"/>
            <w:tcBorders>
              <w:top w:val="nil"/>
              <w:left w:val="nil"/>
              <w:bottom w:val="nil"/>
              <w:right w:val="nil"/>
            </w:tcBorders>
          </w:tcPr>
          <w:p w14:paraId="27F9AA4E" w14:textId="77777777" w:rsidR="00E83854" w:rsidRPr="00F04BE5" w:rsidRDefault="00E83854">
            <w:pPr>
              <w:spacing w:line="360" w:lineRule="auto"/>
              <w:rPr>
                <w:rFonts w:ascii="Arial" w:hAnsi="Arial"/>
                <w:b/>
                <w:bCs/>
                <w:sz w:val="28"/>
                <w:szCs w:val="28"/>
                <w:rtl/>
              </w:rPr>
            </w:pPr>
          </w:p>
        </w:tc>
        <w:tc>
          <w:tcPr>
            <w:tcW w:w="4114" w:type="dxa"/>
            <w:tcBorders>
              <w:top w:val="nil"/>
              <w:left w:val="nil"/>
              <w:bottom w:val="nil"/>
              <w:right w:val="nil"/>
            </w:tcBorders>
          </w:tcPr>
          <w:p w14:paraId="30073134" w14:textId="77777777" w:rsidR="00E83854" w:rsidRPr="00F04BE5" w:rsidRDefault="00F04BE5">
            <w:pPr>
              <w:spacing w:line="360" w:lineRule="auto"/>
              <w:rPr>
                <w:b/>
                <w:bCs/>
                <w:rtl/>
              </w:rPr>
            </w:pPr>
            <w:r w:rsidRPr="00F04BE5">
              <w:rPr>
                <w:rFonts w:hint="cs"/>
                <w:b/>
                <w:bCs/>
                <w:rtl/>
              </w:rPr>
              <w:t>מופיד אבו מוך (עציר)</w:t>
            </w:r>
          </w:p>
        </w:tc>
        <w:tc>
          <w:tcPr>
            <w:tcW w:w="3761" w:type="dxa"/>
            <w:tcBorders>
              <w:top w:val="nil"/>
              <w:left w:val="nil"/>
              <w:bottom w:val="nil"/>
              <w:right w:val="nil"/>
            </w:tcBorders>
          </w:tcPr>
          <w:p w14:paraId="1EF75A94" w14:textId="77777777" w:rsidR="00E83854" w:rsidRPr="00F04BE5" w:rsidRDefault="00F04BE5">
            <w:pPr>
              <w:spacing w:line="360" w:lineRule="auto"/>
              <w:rPr>
                <w:rFonts w:ascii="Arial" w:hAnsi="Arial"/>
                <w:b/>
                <w:bCs/>
                <w:sz w:val="28"/>
                <w:szCs w:val="28"/>
              </w:rPr>
            </w:pPr>
            <w:r w:rsidRPr="00F04BE5">
              <w:rPr>
                <w:rFonts w:ascii="Arial" w:hAnsi="Arial" w:hint="cs"/>
                <w:b/>
                <w:bCs/>
                <w:sz w:val="28"/>
                <w:szCs w:val="28"/>
                <w:rtl/>
              </w:rPr>
              <w:t>הנאשם</w:t>
            </w:r>
          </w:p>
        </w:tc>
      </w:tr>
    </w:tbl>
    <w:p w14:paraId="3B9B177C" w14:textId="77777777" w:rsidR="00C12477" w:rsidRDefault="00C12477">
      <w:pPr>
        <w:spacing w:line="360" w:lineRule="auto"/>
        <w:jc w:val="both"/>
        <w:rPr>
          <w:rtl/>
        </w:rPr>
      </w:pPr>
      <w:bookmarkStart w:id="2" w:name="LawTable"/>
      <w:bookmarkEnd w:id="2"/>
    </w:p>
    <w:p w14:paraId="47E0BD99" w14:textId="77777777" w:rsidR="00C12477" w:rsidRPr="00C12477" w:rsidRDefault="00C12477" w:rsidP="00C12477">
      <w:pPr>
        <w:spacing w:after="120" w:line="240" w:lineRule="exact"/>
        <w:ind w:left="283" w:hanging="283"/>
        <w:jc w:val="both"/>
        <w:rPr>
          <w:rFonts w:ascii="FrankRuehl" w:hAnsi="FrankRuehl" w:cs="FrankRuehl"/>
          <w:rtl/>
        </w:rPr>
      </w:pPr>
    </w:p>
    <w:p w14:paraId="13D67059" w14:textId="77777777" w:rsidR="00C12477" w:rsidRPr="00C12477" w:rsidRDefault="00C12477" w:rsidP="00C12477">
      <w:pPr>
        <w:spacing w:after="120" w:line="240" w:lineRule="exact"/>
        <w:ind w:left="283" w:hanging="283"/>
        <w:jc w:val="both"/>
        <w:rPr>
          <w:rFonts w:ascii="FrankRuehl" w:hAnsi="FrankRuehl" w:cs="FrankRuehl"/>
          <w:rtl/>
        </w:rPr>
      </w:pPr>
      <w:r w:rsidRPr="00C12477">
        <w:rPr>
          <w:rFonts w:ascii="FrankRuehl" w:hAnsi="FrankRuehl" w:cs="FrankRuehl"/>
          <w:rtl/>
        </w:rPr>
        <w:t xml:space="preserve">חקיקה שאוזכרה: </w:t>
      </w:r>
    </w:p>
    <w:p w14:paraId="24A0D10A" w14:textId="77777777" w:rsidR="00C12477" w:rsidRPr="00C12477" w:rsidRDefault="00C12477" w:rsidP="00C12477">
      <w:pPr>
        <w:spacing w:after="120" w:line="240" w:lineRule="exact"/>
        <w:ind w:left="283" w:hanging="283"/>
        <w:jc w:val="both"/>
        <w:rPr>
          <w:rFonts w:ascii="FrankRuehl" w:hAnsi="FrankRuehl" w:cs="FrankRuehl"/>
          <w:rtl/>
        </w:rPr>
      </w:pPr>
      <w:hyperlink r:id="rId7" w:history="1">
        <w:r w:rsidRPr="00C12477">
          <w:rPr>
            <w:rFonts w:ascii="FrankRuehl" w:hAnsi="FrankRuehl" w:cs="FrankRuehl"/>
            <w:color w:val="0000FF"/>
            <w:u w:val="single"/>
            <w:rtl/>
          </w:rPr>
          <w:t>חוק העונשין, תשל"ז-1977</w:t>
        </w:r>
      </w:hyperlink>
      <w:r w:rsidRPr="00C12477">
        <w:rPr>
          <w:rFonts w:ascii="FrankRuehl" w:hAnsi="FrankRuehl" w:cs="FrankRuehl"/>
          <w:rtl/>
        </w:rPr>
        <w:t xml:space="preserve">: סע'  </w:t>
      </w:r>
      <w:hyperlink r:id="rId8" w:history="1">
        <w:r w:rsidRPr="00C12477">
          <w:rPr>
            <w:rFonts w:ascii="FrankRuehl" w:hAnsi="FrankRuehl" w:cs="FrankRuehl"/>
            <w:color w:val="0000FF"/>
            <w:u w:val="single"/>
            <w:rtl/>
          </w:rPr>
          <w:t>144(ב)</w:t>
        </w:r>
      </w:hyperlink>
      <w:r w:rsidRPr="00C12477">
        <w:rPr>
          <w:rFonts w:ascii="FrankRuehl" w:hAnsi="FrankRuehl" w:cs="FrankRuehl"/>
          <w:rtl/>
        </w:rPr>
        <w:t xml:space="preserve">, </w:t>
      </w:r>
      <w:hyperlink r:id="rId9" w:history="1">
        <w:r w:rsidRPr="00C12477">
          <w:rPr>
            <w:rFonts w:ascii="FrankRuehl" w:hAnsi="FrankRuehl" w:cs="FrankRuehl"/>
            <w:color w:val="0000FF"/>
            <w:u w:val="single"/>
            <w:rtl/>
          </w:rPr>
          <w:t>298</w:t>
        </w:r>
      </w:hyperlink>
      <w:r w:rsidRPr="00C12477">
        <w:rPr>
          <w:rFonts w:ascii="FrankRuehl" w:hAnsi="FrankRuehl" w:cs="FrankRuehl"/>
          <w:rtl/>
        </w:rPr>
        <w:t xml:space="preserve">, </w:t>
      </w:r>
      <w:hyperlink r:id="rId10" w:history="1">
        <w:r w:rsidRPr="00C12477">
          <w:rPr>
            <w:rFonts w:ascii="FrankRuehl" w:hAnsi="FrankRuehl" w:cs="FrankRuehl"/>
            <w:color w:val="0000FF"/>
            <w:u w:val="single"/>
            <w:rtl/>
          </w:rPr>
          <w:t>329 (א)(2)</w:t>
        </w:r>
      </w:hyperlink>
      <w:r w:rsidRPr="00C12477">
        <w:rPr>
          <w:rFonts w:ascii="FrankRuehl" w:hAnsi="FrankRuehl" w:cs="FrankRuehl"/>
          <w:rtl/>
        </w:rPr>
        <w:t xml:space="preserve">, </w:t>
      </w:r>
      <w:hyperlink r:id="rId11" w:history="1">
        <w:r w:rsidRPr="00C12477">
          <w:rPr>
            <w:rFonts w:ascii="FrankRuehl" w:hAnsi="FrankRuehl" w:cs="FrankRuehl"/>
            <w:color w:val="0000FF"/>
            <w:u w:val="single"/>
            <w:rtl/>
          </w:rPr>
          <w:t>40יג'(א)</w:t>
        </w:r>
      </w:hyperlink>
    </w:p>
    <w:p w14:paraId="488023C8" w14:textId="77777777" w:rsidR="00C12477" w:rsidRPr="00C12477" w:rsidRDefault="00C12477" w:rsidP="00C12477">
      <w:pPr>
        <w:spacing w:after="120" w:line="240" w:lineRule="exact"/>
        <w:ind w:left="283" w:hanging="283"/>
        <w:jc w:val="both"/>
        <w:rPr>
          <w:rFonts w:ascii="FrankRuehl" w:hAnsi="FrankRuehl" w:cs="FrankRuehl"/>
          <w:rtl/>
        </w:rPr>
      </w:pPr>
    </w:p>
    <w:p w14:paraId="76E97D81" w14:textId="77777777" w:rsidR="00C12477" w:rsidRPr="00C12477" w:rsidRDefault="00C12477">
      <w:pPr>
        <w:spacing w:line="360" w:lineRule="auto"/>
        <w:jc w:val="both"/>
        <w:rPr>
          <w:rtl/>
        </w:rPr>
      </w:pPr>
      <w:bookmarkStart w:id="3" w:name="LawTable_End"/>
      <w:bookmarkEnd w:id="3"/>
    </w:p>
    <w:p w14:paraId="7680B37F" w14:textId="77777777" w:rsidR="00476F10" w:rsidRPr="00476F10" w:rsidRDefault="00476F10">
      <w:pPr>
        <w:spacing w:line="360" w:lineRule="auto"/>
        <w:jc w:val="both"/>
        <w:rPr>
          <w:rtl/>
        </w:rPr>
      </w:pPr>
    </w:p>
    <w:p w14:paraId="4273163C" w14:textId="77777777" w:rsidR="00476F10" w:rsidRPr="00476F10" w:rsidRDefault="00476F10">
      <w:pPr>
        <w:spacing w:line="360" w:lineRule="auto"/>
        <w:jc w:val="both"/>
        <w:rPr>
          <w:rtl/>
        </w:rPr>
      </w:pPr>
    </w:p>
    <w:p w14:paraId="5428C274" w14:textId="77777777" w:rsidR="00E83854" w:rsidRPr="00476F10" w:rsidRDefault="00E83854">
      <w:pPr>
        <w:spacing w:line="360" w:lineRule="auto"/>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83854" w14:paraId="5CD0BCD8" w14:textId="77777777">
        <w:trPr>
          <w:trHeight w:val="355"/>
          <w:jc w:val="center"/>
        </w:trPr>
        <w:tc>
          <w:tcPr>
            <w:tcW w:w="8820" w:type="dxa"/>
            <w:tcBorders>
              <w:top w:val="nil"/>
              <w:left w:val="nil"/>
              <w:bottom w:val="nil"/>
              <w:right w:val="nil"/>
            </w:tcBorders>
          </w:tcPr>
          <w:p w14:paraId="3AB8C0FF" w14:textId="77777777" w:rsidR="00E83854" w:rsidRPr="00F04BE5" w:rsidRDefault="00F04BE5" w:rsidP="00F04BE5">
            <w:pPr>
              <w:spacing w:line="360" w:lineRule="auto"/>
              <w:jc w:val="center"/>
              <w:rPr>
                <w:rFonts w:ascii="Arial" w:hAnsi="Arial"/>
                <w:bCs/>
                <w:sz w:val="32"/>
                <w:szCs w:val="32"/>
                <w:u w:val="single"/>
                <w:rtl/>
              </w:rPr>
            </w:pPr>
            <w:bookmarkStart w:id="4" w:name="PsakDin" w:colFirst="0" w:colLast="0"/>
            <w:r w:rsidRPr="00F04BE5">
              <w:rPr>
                <w:rFonts w:ascii="Arial" w:hAnsi="Arial"/>
                <w:b/>
                <w:bCs/>
                <w:sz w:val="32"/>
                <w:szCs w:val="32"/>
                <w:u w:val="single"/>
                <w:rtl/>
              </w:rPr>
              <w:t>גזר דין</w:t>
            </w:r>
          </w:p>
        </w:tc>
      </w:tr>
      <w:bookmarkEnd w:id="4"/>
    </w:tbl>
    <w:p w14:paraId="4EE98BE0" w14:textId="77777777" w:rsidR="00E83854" w:rsidRDefault="00E83854">
      <w:pPr>
        <w:jc w:val="both"/>
        <w:rPr>
          <w:rtl/>
        </w:rPr>
      </w:pPr>
    </w:p>
    <w:p w14:paraId="70A7EF4E" w14:textId="77777777" w:rsidR="00E83854" w:rsidRDefault="00F04BE5">
      <w:pPr>
        <w:spacing w:line="360" w:lineRule="auto"/>
        <w:ind w:left="720" w:hanging="720"/>
        <w:jc w:val="both"/>
        <w:rPr>
          <w:b/>
          <w:bCs/>
          <w:u w:val="single"/>
          <w:rtl/>
        </w:rPr>
      </w:pPr>
      <w:r>
        <w:rPr>
          <w:b/>
          <w:bCs/>
          <w:rtl/>
        </w:rPr>
        <w:t>א.</w:t>
      </w:r>
      <w:r>
        <w:rPr>
          <w:b/>
          <w:bCs/>
          <w:rtl/>
        </w:rPr>
        <w:tab/>
      </w:r>
      <w:r>
        <w:rPr>
          <w:b/>
          <w:bCs/>
          <w:u w:val="single"/>
          <w:rtl/>
        </w:rPr>
        <w:t>מבוא</w:t>
      </w:r>
    </w:p>
    <w:p w14:paraId="759488DB" w14:textId="77777777" w:rsidR="00E83854" w:rsidRDefault="00E83854">
      <w:pPr>
        <w:ind w:left="720" w:hanging="720"/>
        <w:jc w:val="both"/>
        <w:rPr>
          <w:b/>
          <w:bCs/>
          <w:u w:val="single"/>
          <w:rtl/>
        </w:rPr>
      </w:pPr>
    </w:p>
    <w:p w14:paraId="5E532DC5" w14:textId="77777777" w:rsidR="00E83854" w:rsidRDefault="00F04BE5">
      <w:pPr>
        <w:spacing w:line="360" w:lineRule="auto"/>
        <w:ind w:left="720"/>
        <w:jc w:val="both"/>
        <w:rPr>
          <w:rtl/>
        </w:rPr>
      </w:pPr>
      <w:bookmarkStart w:id="5" w:name="ABSTRACT_START"/>
      <w:bookmarkEnd w:id="5"/>
      <w:r>
        <w:rPr>
          <w:rFonts w:hint="cs"/>
          <w:rtl/>
        </w:rPr>
        <w:t xml:space="preserve">במהלך שמיעת הראיות, הגיעו הצדדים להסדר טיעון בעקבותיו הודה הנאשם </w:t>
      </w:r>
      <w:r>
        <w:rPr>
          <w:rtl/>
        </w:rPr>
        <w:t>בעובדות כתב אישום מתוקן ובהתאם לכך הורשע בעבירות</w:t>
      </w:r>
      <w:r>
        <w:rPr>
          <w:rFonts w:hint="cs"/>
          <w:rtl/>
        </w:rPr>
        <w:t xml:space="preserve"> לפי </w:t>
      </w:r>
      <w:hyperlink r:id="rId12" w:history="1">
        <w:r w:rsidR="00C12477" w:rsidRPr="00C12477">
          <w:rPr>
            <w:color w:val="0000FF"/>
            <w:u w:val="single"/>
            <w:rtl/>
          </w:rPr>
          <w:t>סעיפים 298</w:t>
        </w:r>
      </w:hyperlink>
      <w:r>
        <w:rPr>
          <w:rFonts w:hint="cs"/>
          <w:rtl/>
        </w:rPr>
        <w:t xml:space="preserve">, </w:t>
      </w:r>
      <w:hyperlink r:id="rId13" w:history="1">
        <w:r w:rsidR="00C12477" w:rsidRPr="00C12477">
          <w:rPr>
            <w:color w:val="0000FF"/>
            <w:u w:val="single"/>
            <w:rtl/>
          </w:rPr>
          <w:t>329 (א)(2)</w:t>
        </w:r>
      </w:hyperlink>
      <w:r>
        <w:rPr>
          <w:rFonts w:hint="cs"/>
          <w:rtl/>
        </w:rPr>
        <w:t xml:space="preserve"> ו- </w:t>
      </w:r>
      <w:hyperlink r:id="rId14" w:history="1">
        <w:r w:rsidR="00C12477" w:rsidRPr="00C12477">
          <w:rPr>
            <w:color w:val="0000FF"/>
            <w:u w:val="single"/>
            <w:rtl/>
          </w:rPr>
          <w:t>144(ב)</w:t>
        </w:r>
      </w:hyperlink>
      <w:r>
        <w:rPr>
          <w:rFonts w:hint="cs"/>
          <w:rtl/>
        </w:rPr>
        <w:t xml:space="preserve"> ל</w:t>
      </w:r>
      <w:hyperlink r:id="rId15" w:history="1">
        <w:r w:rsidR="00476F10" w:rsidRPr="00476F10">
          <w:rPr>
            <w:rStyle w:val="Hyperlink"/>
            <w:rFonts w:cs="David"/>
            <w:rtl/>
          </w:rPr>
          <w:t>חוק העונשין</w:t>
        </w:r>
      </w:hyperlink>
      <w:r>
        <w:rPr>
          <w:rFonts w:hint="cs"/>
          <w:rtl/>
        </w:rPr>
        <w:t xml:space="preserve"> התשל"ז </w:t>
      </w:r>
      <w:r>
        <w:rPr>
          <w:rtl/>
        </w:rPr>
        <w:t>–</w:t>
      </w:r>
      <w:r>
        <w:rPr>
          <w:rFonts w:hint="cs"/>
          <w:rtl/>
        </w:rPr>
        <w:t xml:space="preserve"> 1977 (להלן: חוק העונשין), קרי, הריגה</w:t>
      </w:r>
      <w:r>
        <w:rPr>
          <w:rtl/>
        </w:rPr>
        <w:t xml:space="preserve">, </w:t>
      </w:r>
      <w:r>
        <w:rPr>
          <w:rFonts w:hint="cs"/>
          <w:rtl/>
        </w:rPr>
        <w:t>חבלה בכוונה מחמירה ועבירות בנשק.</w:t>
      </w:r>
    </w:p>
    <w:p w14:paraId="380FD448" w14:textId="77777777" w:rsidR="00E83854" w:rsidRDefault="00E83854">
      <w:pPr>
        <w:ind w:left="360" w:firstLine="360"/>
        <w:jc w:val="both"/>
      </w:pPr>
      <w:bookmarkStart w:id="6" w:name="ABSTRACT_END"/>
      <w:bookmarkEnd w:id="6"/>
    </w:p>
    <w:p w14:paraId="524F8F58" w14:textId="77777777" w:rsidR="00E83854" w:rsidRDefault="00F04BE5">
      <w:pPr>
        <w:spacing w:line="360" w:lineRule="auto"/>
        <w:ind w:left="720"/>
        <w:jc w:val="both"/>
        <w:rPr>
          <w:rtl/>
        </w:rPr>
      </w:pPr>
      <w:r>
        <w:rPr>
          <w:rFonts w:hint="cs"/>
          <w:rtl/>
        </w:rPr>
        <w:t>על פי הסדר הטיעון הסכימו הצדדים כי המאשימה תעתור לעונש של 24 שנות מאסר בפועל בעוד הנאשם יעתור ל-17 שנות מאסר בפועל בלבד. כן הוסכם כי הצדדים יעתרו להשתת מאסר על תנאי ולפסיקת פיצויים לטובת משפחת המנוח בהתאם לשיקול דעת בית המשפט.</w:t>
      </w:r>
    </w:p>
    <w:p w14:paraId="513AFDDB" w14:textId="77777777" w:rsidR="00E83854" w:rsidRDefault="00E83854">
      <w:pPr>
        <w:ind w:left="720"/>
        <w:jc w:val="both"/>
        <w:rPr>
          <w:rtl/>
        </w:rPr>
      </w:pPr>
    </w:p>
    <w:p w14:paraId="5F29A10F" w14:textId="77777777" w:rsidR="00E83854" w:rsidRDefault="00F04BE5">
      <w:pPr>
        <w:ind w:left="720" w:hanging="720"/>
        <w:jc w:val="both"/>
        <w:rPr>
          <w:rStyle w:val="default"/>
          <w:b/>
          <w:bCs/>
          <w:u w:val="single"/>
          <w:rtl/>
        </w:rPr>
      </w:pPr>
      <w:r>
        <w:rPr>
          <w:rStyle w:val="default"/>
          <w:b/>
          <w:bCs/>
          <w:rtl/>
        </w:rPr>
        <w:lastRenderedPageBreak/>
        <w:t>ב.</w:t>
      </w:r>
      <w:r>
        <w:rPr>
          <w:rStyle w:val="default"/>
          <w:b/>
          <w:bCs/>
          <w:rtl/>
        </w:rPr>
        <w:tab/>
      </w:r>
      <w:r>
        <w:rPr>
          <w:rStyle w:val="default"/>
          <w:b/>
          <w:bCs/>
          <w:u w:val="single"/>
          <w:rtl/>
        </w:rPr>
        <w:t>עובדות כתב האישום</w:t>
      </w:r>
      <w:r>
        <w:rPr>
          <w:rStyle w:val="default"/>
          <w:rFonts w:hint="cs"/>
          <w:b/>
          <w:bCs/>
          <w:u w:val="single"/>
          <w:rtl/>
        </w:rPr>
        <w:t xml:space="preserve"> המתוקן</w:t>
      </w:r>
    </w:p>
    <w:p w14:paraId="5B14A8DE" w14:textId="77777777" w:rsidR="00E83854" w:rsidRDefault="00E83854">
      <w:pPr>
        <w:spacing w:line="360" w:lineRule="auto"/>
        <w:ind w:left="720"/>
        <w:jc w:val="both"/>
        <w:rPr>
          <w:rStyle w:val="default"/>
          <w:rtl/>
        </w:rPr>
      </w:pPr>
    </w:p>
    <w:p w14:paraId="429F467B" w14:textId="77777777" w:rsidR="00E83854" w:rsidRDefault="00F04BE5">
      <w:pPr>
        <w:spacing w:line="360" w:lineRule="auto"/>
        <w:ind w:left="720"/>
        <w:jc w:val="both"/>
        <w:rPr>
          <w:rStyle w:val="default"/>
          <w:u w:val="single"/>
          <w:rtl/>
        </w:rPr>
      </w:pPr>
      <w:r>
        <w:rPr>
          <w:rStyle w:val="default"/>
          <w:rFonts w:hint="cs"/>
          <w:rtl/>
        </w:rPr>
        <w:t>אחות הנאשם מאורסת לאדם בשם מוחמד, שהיה בן כיתתו של נאהד אבו מוך ז"ל (להלן - "</w:t>
      </w:r>
      <w:r>
        <w:rPr>
          <w:rStyle w:val="default"/>
          <w:rFonts w:cs="Miriam" w:hint="cs"/>
          <w:rtl/>
        </w:rPr>
        <w:t>המנוח</w:t>
      </w:r>
      <w:r>
        <w:rPr>
          <w:rStyle w:val="default"/>
          <w:rFonts w:hint="cs"/>
          <w:rtl/>
        </w:rPr>
        <w:t>"). בתאריך 13.4.2012 נהג המנוח ברכבו בפראות והשמיע מוסיקה בקול רם, דבר שהכעיס מאד את הנאשם ומוחמד אשר החליטו לתאם פגישה עם המנוח על מנת לתקוף אותו.</w:t>
      </w:r>
    </w:p>
    <w:p w14:paraId="735FC3DB" w14:textId="77777777" w:rsidR="00E83854" w:rsidRDefault="00F04BE5">
      <w:pPr>
        <w:spacing w:line="360" w:lineRule="auto"/>
        <w:ind w:left="720"/>
        <w:jc w:val="both"/>
        <w:rPr>
          <w:rStyle w:val="default"/>
          <w:rtl/>
        </w:rPr>
      </w:pPr>
      <w:r>
        <w:rPr>
          <w:rStyle w:val="default"/>
          <w:rFonts w:hint="cs"/>
          <w:rtl/>
        </w:rPr>
        <w:t>עובר ליציאתם למקום המפגש החליט הנאשם לפגוע במנוח ולשם כך הצטייד באקדח ובתחמושת מתאימה (להלן - "</w:t>
      </w:r>
      <w:r>
        <w:rPr>
          <w:rStyle w:val="default"/>
          <w:rFonts w:cs="Miriam" w:hint="cs"/>
          <w:rtl/>
        </w:rPr>
        <w:t>הנשק</w:t>
      </w:r>
      <w:r>
        <w:rPr>
          <w:rStyle w:val="default"/>
          <w:rFonts w:hint="cs"/>
          <w:rtl/>
        </w:rPr>
        <w:t xml:space="preserve">"), כל זאת ללא ידיעת מוחמד. כשעה לאחר מכן, הגיעו הנאשם ומוחמד למקום המפגש והמתינו לבוא המנוח. דקות ספורות לאחר מכן הגיע המנוח למקום המפגש כשעמו חברו עמאד ואחיו עאדל. </w:t>
      </w:r>
    </w:p>
    <w:p w14:paraId="3BE9AD55" w14:textId="77777777" w:rsidR="00E83854" w:rsidRDefault="00E83854">
      <w:pPr>
        <w:spacing w:line="360" w:lineRule="auto"/>
        <w:ind w:left="720"/>
        <w:jc w:val="both"/>
        <w:rPr>
          <w:rStyle w:val="default"/>
          <w:rtl/>
        </w:rPr>
      </w:pPr>
    </w:p>
    <w:p w14:paraId="0EAB6AA0" w14:textId="77777777" w:rsidR="00E83854" w:rsidRDefault="00F04BE5">
      <w:pPr>
        <w:spacing w:line="360" w:lineRule="auto"/>
        <w:ind w:left="720"/>
        <w:jc w:val="both"/>
        <w:rPr>
          <w:rStyle w:val="default"/>
          <w:rtl/>
        </w:rPr>
      </w:pPr>
      <w:r>
        <w:rPr>
          <w:rStyle w:val="default"/>
          <w:rFonts w:hint="cs"/>
          <w:rtl/>
        </w:rPr>
        <w:t xml:space="preserve">משירד המנוח מרכבו, ניגש אליו מוחמד ותקף אותו, ובין השניים התפתחה קטטה. משהבחינו בקטטה, ירדו עאדל ועמאד מהרכב בו הגיעו וניסו להתקרב אל המנוח ומוחמד. בשלב זה הוציא הנאשם את הנשק והחל לירות לעבר עמאד בכוונה לגרום לו חבלה חמורה. </w:t>
      </w:r>
    </w:p>
    <w:p w14:paraId="6126404F" w14:textId="77777777" w:rsidR="00E83854" w:rsidRDefault="00E83854">
      <w:pPr>
        <w:spacing w:line="360" w:lineRule="auto"/>
        <w:ind w:left="720"/>
        <w:jc w:val="both"/>
        <w:rPr>
          <w:rStyle w:val="default"/>
          <w:rtl/>
        </w:rPr>
      </w:pPr>
    </w:p>
    <w:p w14:paraId="137DFBC8" w14:textId="77777777" w:rsidR="00E83854" w:rsidRDefault="00F04BE5">
      <w:pPr>
        <w:spacing w:line="360" w:lineRule="auto"/>
        <w:ind w:left="720"/>
        <w:jc w:val="both"/>
        <w:rPr>
          <w:rStyle w:val="default"/>
          <w:rtl/>
        </w:rPr>
      </w:pPr>
      <w:r>
        <w:rPr>
          <w:rStyle w:val="default"/>
          <w:rFonts w:hint="cs"/>
          <w:rtl/>
        </w:rPr>
        <w:t xml:space="preserve">הנאשם התקרב אל המנוח, הכה בחוזקה בראשו עם קת הנשק וגרם לו לפצע קרע בראשו. הנאשם הצטרף לקטטה ובמהלכה  ירה קליע אחד, שחדר לראש המנוח וגרם למותו. </w:t>
      </w:r>
    </w:p>
    <w:p w14:paraId="6330DC67" w14:textId="77777777" w:rsidR="00E83854" w:rsidRDefault="00E83854">
      <w:pPr>
        <w:spacing w:line="360" w:lineRule="auto"/>
        <w:ind w:left="720"/>
        <w:jc w:val="both"/>
        <w:rPr>
          <w:rStyle w:val="default"/>
          <w:rtl/>
        </w:rPr>
      </w:pPr>
    </w:p>
    <w:p w14:paraId="648456D3" w14:textId="77777777" w:rsidR="00E83854" w:rsidRDefault="00F04BE5">
      <w:pPr>
        <w:spacing w:line="360" w:lineRule="auto"/>
        <w:ind w:left="720"/>
        <w:jc w:val="both"/>
        <w:rPr>
          <w:rStyle w:val="default"/>
          <w:u w:val="single"/>
          <w:rtl/>
        </w:rPr>
      </w:pPr>
      <w:r>
        <w:rPr>
          <w:rStyle w:val="default"/>
          <w:rFonts w:hint="cs"/>
          <w:rtl/>
        </w:rPr>
        <w:t>מיד לאחר מכן עלו מוחמד והנאשם לרכבם ונמלטו מהמקום כשהנאשם עדיין נושא את הנשק.</w:t>
      </w:r>
    </w:p>
    <w:p w14:paraId="4403BCB6" w14:textId="77777777" w:rsidR="00E83854" w:rsidRDefault="00E83854">
      <w:pPr>
        <w:spacing w:line="360" w:lineRule="auto"/>
        <w:ind w:left="720"/>
        <w:jc w:val="both"/>
        <w:rPr>
          <w:rStyle w:val="default"/>
          <w:u w:val="single"/>
        </w:rPr>
      </w:pPr>
    </w:p>
    <w:p w14:paraId="5E6B66B6" w14:textId="77777777" w:rsidR="00E83854" w:rsidRDefault="00F04BE5">
      <w:pPr>
        <w:spacing w:line="360" w:lineRule="auto"/>
        <w:ind w:left="720"/>
        <w:jc w:val="both"/>
        <w:rPr>
          <w:rStyle w:val="default"/>
          <w:u w:val="single"/>
          <w:rtl/>
        </w:rPr>
      </w:pPr>
      <w:r>
        <w:rPr>
          <w:rStyle w:val="default"/>
          <w:rFonts w:hint="cs"/>
          <w:rtl/>
        </w:rPr>
        <w:t>במעשיו גרם הנאשם למות המנוח במעשה אסור, ניסה שלא כדין לפגוע באדם בקליע בכוונה לגרום לו לחבלה חמורה וכן נשא והוביל נשק אשר סוגל לירות כדור שבכוחו להמית אדם, בלא רשות על פי דין להחזקתו ונשיאתו.</w:t>
      </w:r>
    </w:p>
    <w:p w14:paraId="595030BA" w14:textId="77777777" w:rsidR="00E83854" w:rsidRDefault="00E83854">
      <w:pPr>
        <w:spacing w:line="360" w:lineRule="auto"/>
        <w:ind w:left="720"/>
        <w:jc w:val="both"/>
        <w:rPr>
          <w:rStyle w:val="default"/>
          <w:u w:val="single"/>
        </w:rPr>
      </w:pPr>
    </w:p>
    <w:p w14:paraId="746A3CE3" w14:textId="77777777" w:rsidR="00E83854" w:rsidRDefault="00F04BE5">
      <w:pPr>
        <w:spacing w:line="360" w:lineRule="auto"/>
        <w:ind w:left="720" w:hanging="720"/>
        <w:jc w:val="both"/>
        <w:rPr>
          <w:b/>
          <w:bCs/>
          <w:u w:val="single"/>
          <w:rtl/>
        </w:rPr>
      </w:pPr>
      <w:r>
        <w:rPr>
          <w:b/>
          <w:bCs/>
          <w:rtl/>
        </w:rPr>
        <w:t>ג.</w:t>
      </w:r>
      <w:r>
        <w:rPr>
          <w:b/>
          <w:bCs/>
          <w:rtl/>
        </w:rPr>
        <w:tab/>
      </w:r>
      <w:r>
        <w:rPr>
          <w:b/>
          <w:bCs/>
          <w:u w:val="single"/>
          <w:rtl/>
        </w:rPr>
        <w:t>ראיות לעונש</w:t>
      </w:r>
    </w:p>
    <w:p w14:paraId="2AAED131" w14:textId="77777777" w:rsidR="00E83854" w:rsidRDefault="00E83854">
      <w:pPr>
        <w:spacing w:line="360" w:lineRule="auto"/>
        <w:ind w:left="720"/>
        <w:jc w:val="both"/>
        <w:rPr>
          <w:rtl/>
        </w:rPr>
      </w:pPr>
    </w:p>
    <w:p w14:paraId="0F9C210A" w14:textId="77777777" w:rsidR="00E83854" w:rsidRDefault="00F04BE5">
      <w:pPr>
        <w:spacing w:line="360" w:lineRule="auto"/>
        <w:ind w:left="720"/>
        <w:jc w:val="both"/>
      </w:pPr>
      <w:r>
        <w:rPr>
          <w:rFonts w:hint="cs"/>
          <w:rtl/>
        </w:rPr>
        <w:t>לנאשם רישום פלילי (ט/2), לפיו נדון ביום 30.5.2010 בבית משפט לנוער בחדרה, ללא הרשעה, בגין עבירה של תגרה במקום ציבורי מיום 6.2.2008 (עת היה כבן 17.5 שנים).</w:t>
      </w:r>
    </w:p>
    <w:p w14:paraId="73AC471C" w14:textId="77777777" w:rsidR="00E83854" w:rsidRDefault="00E83854">
      <w:pPr>
        <w:spacing w:line="360" w:lineRule="auto"/>
        <w:ind w:left="720"/>
        <w:jc w:val="both"/>
        <w:rPr>
          <w:rtl/>
        </w:rPr>
      </w:pPr>
    </w:p>
    <w:p w14:paraId="3330EC24" w14:textId="77777777" w:rsidR="00E83854" w:rsidRDefault="00F04BE5">
      <w:pPr>
        <w:spacing w:line="360" w:lineRule="auto"/>
        <w:ind w:left="720"/>
        <w:jc w:val="both"/>
        <w:rPr>
          <w:rtl/>
        </w:rPr>
      </w:pPr>
      <w:r>
        <w:rPr>
          <w:rFonts w:hint="cs"/>
          <w:rtl/>
        </w:rPr>
        <w:t>המאשימה העידה לעניין העונש את אבי המנוח, מר פתחי אבו מוך, ואת אחי האב, מר וג'יה אבו מוך. המנוח היה הבן השני מתוך שלושה בנים ובת. האב העיד שכשנה לפני שנהרג נשא המנוח אישה, וכי א</w:t>
      </w:r>
      <w:r>
        <w:rPr>
          <w:rtl/>
        </w:rPr>
        <w:t>שתו</w:t>
      </w:r>
      <w:r>
        <w:rPr>
          <w:rFonts w:hint="cs"/>
          <w:rtl/>
        </w:rPr>
        <w:t>,</w:t>
      </w:r>
      <w:r>
        <w:rPr>
          <w:rtl/>
        </w:rPr>
        <w:t xml:space="preserve"> </w:t>
      </w:r>
      <w:r>
        <w:rPr>
          <w:rFonts w:hint="cs"/>
          <w:rtl/>
        </w:rPr>
        <w:t xml:space="preserve">שהייתה בהריון, </w:t>
      </w:r>
      <w:r>
        <w:rPr>
          <w:rtl/>
        </w:rPr>
        <w:t xml:space="preserve">עזבה את הבית </w:t>
      </w:r>
      <w:r>
        <w:rPr>
          <w:rFonts w:hint="cs"/>
          <w:rtl/>
        </w:rPr>
        <w:t>והפילה את עוברה. בית המנוח סגור והמשפחה מתקשה להיכנס לבית. משנתבקש לספר  על השפעת הטרגדיה על המשפחה סיפר האב כי "</w:t>
      </w:r>
      <w:r>
        <w:rPr>
          <w:rFonts w:cs="Miriam" w:hint="cs"/>
          <w:rtl/>
        </w:rPr>
        <w:t>אני לא חי</w:t>
      </w:r>
      <w:r>
        <w:rPr>
          <w:rFonts w:hint="cs"/>
          <w:rtl/>
        </w:rPr>
        <w:t xml:space="preserve">", לא עובד, עבר שני ניתוחי לב פתוח וחושב על המנוח. אמו של </w:t>
      </w:r>
      <w:r>
        <w:rPr>
          <w:rFonts w:hint="cs"/>
          <w:rtl/>
        </w:rPr>
        <w:lastRenderedPageBreak/>
        <w:t>המנוח אינה מצליחה לישון בלילות, צועקת כי היא רוצה את בנה ונזקקת לטיפול פסיכולוגי. אחיו של המנוח, שהיה עד לאירוע, נמצא בטראומה.</w:t>
      </w:r>
    </w:p>
    <w:p w14:paraId="76DFFB5D" w14:textId="77777777" w:rsidR="00E83854" w:rsidRDefault="00E83854">
      <w:pPr>
        <w:spacing w:line="360" w:lineRule="auto"/>
        <w:ind w:left="720"/>
        <w:jc w:val="both"/>
        <w:rPr>
          <w:rtl/>
        </w:rPr>
      </w:pPr>
    </w:p>
    <w:p w14:paraId="09BB1A45" w14:textId="77777777" w:rsidR="00E83854" w:rsidRDefault="00F04BE5">
      <w:pPr>
        <w:spacing w:line="360" w:lineRule="auto"/>
        <w:ind w:left="720"/>
        <w:jc w:val="both"/>
        <w:rPr>
          <w:rtl/>
        </w:rPr>
      </w:pPr>
      <w:r>
        <w:rPr>
          <w:rFonts w:hint="cs"/>
          <w:rtl/>
        </w:rPr>
        <w:t>האב והדוד ביקשו להטיל על הנאשם עונש חמור לשם הרתעת הרבים. הדוד הוסיף ותאר כיצד נהרסה המשפחה ונפגע תפקודו של אחיו, אבי המנוח.</w:t>
      </w:r>
    </w:p>
    <w:p w14:paraId="69EB89BA" w14:textId="77777777" w:rsidR="00E83854" w:rsidRDefault="00E83854">
      <w:pPr>
        <w:pStyle w:val="David"/>
        <w:rPr>
          <w:rtl/>
        </w:rPr>
      </w:pPr>
    </w:p>
    <w:p w14:paraId="0C0F9B69" w14:textId="77777777" w:rsidR="00E83854" w:rsidRDefault="00F04BE5">
      <w:pPr>
        <w:spacing w:line="360" w:lineRule="auto"/>
        <w:jc w:val="both"/>
        <w:rPr>
          <w:b/>
          <w:bCs/>
          <w:u w:val="single"/>
          <w:rtl/>
        </w:rPr>
      </w:pPr>
      <w:r>
        <w:rPr>
          <w:b/>
          <w:bCs/>
          <w:rtl/>
        </w:rPr>
        <w:t xml:space="preserve">      ד.     </w:t>
      </w:r>
      <w:r>
        <w:rPr>
          <w:b/>
          <w:bCs/>
          <w:u w:val="single"/>
          <w:rtl/>
        </w:rPr>
        <w:t xml:space="preserve">תסקיר </w:t>
      </w:r>
      <w:r>
        <w:rPr>
          <w:rFonts w:hint="cs"/>
          <w:b/>
          <w:bCs/>
          <w:u w:val="single"/>
          <w:rtl/>
        </w:rPr>
        <w:t>שירות המבחן</w:t>
      </w:r>
    </w:p>
    <w:p w14:paraId="4DC9C1C4" w14:textId="77777777" w:rsidR="00E83854" w:rsidRDefault="00E83854">
      <w:pPr>
        <w:spacing w:line="360" w:lineRule="auto"/>
        <w:ind w:left="720"/>
        <w:jc w:val="both"/>
        <w:rPr>
          <w:rtl/>
        </w:rPr>
      </w:pPr>
    </w:p>
    <w:p w14:paraId="501B6600" w14:textId="77777777" w:rsidR="00E83854" w:rsidRDefault="00F04BE5">
      <w:pPr>
        <w:spacing w:line="360" w:lineRule="auto"/>
        <w:ind w:left="720"/>
        <w:jc w:val="both"/>
      </w:pPr>
      <w:r>
        <w:rPr>
          <w:rFonts w:hint="cs"/>
          <w:rtl/>
        </w:rPr>
        <w:t>שירות המבחן התרשם שקיים פער בין מהלך חייו הנורמטיבי של הנאשם עד האירוע, בהיותו ללא רקע פלילי חמור, נעדר דפוסי חשיבה עבריינים, תוקפניים ואלימים, לבין חומרת העבירה שביצע. לנוכח פער זה, התקשה קצין המבחן להעריך את רמת הסיכון להישנות המעשים והמליץ להטיל על הנאשם ענישה הרתעתית מוחשית של מאסר בפועל ופיצוי כספי למשפחת המנוח.</w:t>
      </w:r>
    </w:p>
    <w:p w14:paraId="4624FA1F" w14:textId="77777777" w:rsidR="00E83854" w:rsidRDefault="00E83854">
      <w:pPr>
        <w:spacing w:line="360" w:lineRule="auto"/>
        <w:ind w:left="720"/>
        <w:jc w:val="both"/>
        <w:rPr>
          <w:rtl/>
        </w:rPr>
      </w:pPr>
    </w:p>
    <w:p w14:paraId="139C553A" w14:textId="77777777" w:rsidR="00E83854" w:rsidRDefault="00F04BE5">
      <w:pPr>
        <w:spacing w:line="360" w:lineRule="auto"/>
        <w:ind w:left="720"/>
        <w:jc w:val="both"/>
        <w:rPr>
          <w:rtl/>
        </w:rPr>
      </w:pPr>
      <w:r>
        <w:rPr>
          <w:rFonts w:hint="cs"/>
          <w:rtl/>
        </w:rPr>
        <w:t xml:space="preserve">כאן המקום לציין כי בפני שירות המבחן, הנאשם הודה במיוחס לו אך הוסיף כי משהבחין בקטטה ניגש אל המנוח על מנת להרחיקו כשאקדח טעון בידו וכי תוך כדי כך נפלט כדור מהאקדח ופגע בראשו של המנוח. בפתח הדיון הפנינו את תשומת לב הסניגור לך שלכאורה הדבר סותר את הודיית הנאשם בעובדות כתב האישום המתוקן. הסנגור הבהיר כי הנאשם אינו חוזר בו מהאמור בעובדות כתב האישום המתוקן. </w:t>
      </w:r>
    </w:p>
    <w:p w14:paraId="6F7E3D00" w14:textId="77777777" w:rsidR="00E83854" w:rsidRDefault="00E83854">
      <w:pPr>
        <w:spacing w:line="360" w:lineRule="auto"/>
        <w:ind w:left="720"/>
        <w:jc w:val="both"/>
        <w:rPr>
          <w:rtl/>
        </w:rPr>
      </w:pPr>
    </w:p>
    <w:p w14:paraId="58F72C46" w14:textId="77777777" w:rsidR="00E83854" w:rsidRDefault="00F04BE5">
      <w:pPr>
        <w:spacing w:line="360" w:lineRule="auto"/>
        <w:ind w:left="720"/>
        <w:jc w:val="both"/>
      </w:pPr>
      <w:r>
        <w:rPr>
          <w:rFonts w:hint="cs"/>
          <w:rtl/>
        </w:rPr>
        <w:t>הסניגור ציין כי בדברי הנאשם לקצין המבחן בדבר פליטת כדור, הסביר כי לא כיוון את האקדח אל המנוח  וירה, אלא כי ההדק נלחץ תוך כדי המעורבות בקטטה. ב"כ המאשימה לא התנגדה להבהרה זו (עמוד 158 לפרו' שורה 12). בטיעוניה הכתובים (עמוד 4 לט/1) הוסיפה ב"כ המאשימה כי הטענה בדבר "</w:t>
      </w:r>
      <w:r>
        <w:rPr>
          <w:rFonts w:cs="Miriam" w:hint="cs"/>
          <w:rtl/>
        </w:rPr>
        <w:t>פליטת כדור</w:t>
      </w:r>
      <w:r>
        <w:rPr>
          <w:rFonts w:hint="cs"/>
          <w:rtl/>
        </w:rPr>
        <w:t>" בוודאי שלא יכולה להיטען לגבי היריות לעבר עמאד חברו של המנוח.</w:t>
      </w:r>
    </w:p>
    <w:p w14:paraId="1D6A5C43" w14:textId="77777777" w:rsidR="00E83854" w:rsidRDefault="00E83854">
      <w:pPr>
        <w:spacing w:line="360" w:lineRule="auto"/>
        <w:jc w:val="both"/>
        <w:rPr>
          <w:rtl/>
        </w:rPr>
      </w:pPr>
    </w:p>
    <w:p w14:paraId="14624039" w14:textId="77777777" w:rsidR="00E83854" w:rsidRDefault="00F04BE5">
      <w:pPr>
        <w:spacing w:line="360" w:lineRule="auto"/>
        <w:jc w:val="both"/>
        <w:rPr>
          <w:b/>
          <w:bCs/>
          <w:u w:val="single"/>
          <w:rtl/>
        </w:rPr>
      </w:pPr>
      <w:r>
        <w:rPr>
          <w:b/>
          <w:bCs/>
          <w:rtl/>
        </w:rPr>
        <w:t>ה.</w:t>
      </w:r>
      <w:r>
        <w:rPr>
          <w:rFonts w:hint="cs"/>
          <w:b/>
          <w:bCs/>
          <w:rtl/>
        </w:rPr>
        <w:tab/>
      </w:r>
      <w:r>
        <w:rPr>
          <w:b/>
          <w:bCs/>
          <w:u w:val="single"/>
          <w:rtl/>
        </w:rPr>
        <w:t>תמצית טיעוני הצדדים</w:t>
      </w:r>
    </w:p>
    <w:p w14:paraId="184681EF" w14:textId="77777777" w:rsidR="00E83854" w:rsidRDefault="00E83854">
      <w:pPr>
        <w:spacing w:line="360" w:lineRule="auto"/>
        <w:jc w:val="both"/>
        <w:rPr>
          <w:b/>
          <w:bCs/>
          <w:u w:val="single"/>
        </w:rPr>
      </w:pPr>
    </w:p>
    <w:p w14:paraId="63F35C47" w14:textId="77777777" w:rsidR="00E83854" w:rsidRDefault="00F04BE5">
      <w:pPr>
        <w:numPr>
          <w:ilvl w:val="0"/>
          <w:numId w:val="1"/>
        </w:numPr>
        <w:spacing w:line="360" w:lineRule="auto"/>
        <w:jc w:val="both"/>
      </w:pPr>
      <w:r>
        <w:rPr>
          <w:rFonts w:hint="cs"/>
          <w:rtl/>
        </w:rPr>
        <w:t xml:space="preserve">בטיעוניה בכתב (ט/1) שנתמכו בפסקי דין (ט/3), ביקשה ב"כ המאשימה להטיל על הנאשם עונש של 24 שנות מאסר, בנוסף למאסר מותנה ופיצוי למשפחת המנוח. לדבריה מדובר באירוע טראגי ומיותר, אשר התפתח על רקע ענין פעוט הקשור לאופן נהיגת המנוח וכי התנהגות הנאשם לא היתה ספונטנית ובלתי נשלטת. </w:t>
      </w:r>
    </w:p>
    <w:p w14:paraId="0A280150" w14:textId="77777777" w:rsidR="00E83854" w:rsidRDefault="00E83854">
      <w:pPr>
        <w:spacing w:line="360" w:lineRule="auto"/>
        <w:ind w:left="360"/>
        <w:jc w:val="both"/>
        <w:rPr>
          <w:rtl/>
        </w:rPr>
      </w:pPr>
    </w:p>
    <w:p w14:paraId="3BC714A8" w14:textId="77777777" w:rsidR="00E83854" w:rsidRDefault="00F04BE5">
      <w:pPr>
        <w:spacing w:line="360" w:lineRule="auto"/>
        <w:ind w:left="720"/>
        <w:jc w:val="both"/>
        <w:rPr>
          <w:rtl/>
        </w:rPr>
      </w:pPr>
      <w:r>
        <w:rPr>
          <w:rFonts w:hint="cs"/>
          <w:rtl/>
        </w:rPr>
        <w:t xml:space="preserve">חלף זמן לא קצר מרגע הפגישה הראשונה ועד לשלב בו המית הנאשם את המנוח. בכל אחד מהשלבים, יכול היה הנאשם לעצור לרגע, לשקול את צעדיו, להפסיק את האירוע כולו ולמנוע את המוות. במעשיו גרם הנאשם נזק בלתי הפיך למנוח ולבני משפחתו. </w:t>
      </w:r>
    </w:p>
    <w:p w14:paraId="5F704C84" w14:textId="77777777" w:rsidR="00E83854" w:rsidRDefault="00E83854">
      <w:pPr>
        <w:spacing w:line="360" w:lineRule="auto"/>
        <w:ind w:left="720"/>
        <w:jc w:val="both"/>
      </w:pPr>
    </w:p>
    <w:p w14:paraId="72345BD6" w14:textId="77777777" w:rsidR="00E83854" w:rsidRDefault="00F04BE5">
      <w:pPr>
        <w:spacing w:line="360" w:lineRule="auto"/>
        <w:ind w:left="720"/>
        <w:jc w:val="both"/>
        <w:rPr>
          <w:rtl/>
        </w:rPr>
      </w:pPr>
      <w:r>
        <w:rPr>
          <w:rFonts w:hint="cs"/>
          <w:rtl/>
        </w:rPr>
        <w:t>ב"כ המאשימה טענה כי בנסיבות העניין הרי שהעונש הראוי לעבירת ההריגה בלבד, הינו העונש המקסימלי הקבוע בחוק (20 שנה). יחד עם העונש הראוי בגין העבירה של חבלה בכוונה מחמירה והעבירות בנשק, הרי שיש להשית על הנאשם את העונש המקסימלי במסגרת טווח הענישה המוסכם - 24 שנות מאסר בפועל.</w:t>
      </w:r>
    </w:p>
    <w:p w14:paraId="5DB4128F" w14:textId="77777777" w:rsidR="00E83854" w:rsidRDefault="00E83854">
      <w:pPr>
        <w:spacing w:line="360" w:lineRule="auto"/>
        <w:ind w:left="720" w:firstLine="60"/>
        <w:jc w:val="both"/>
      </w:pPr>
    </w:p>
    <w:p w14:paraId="6038CE7D" w14:textId="77777777" w:rsidR="00E83854" w:rsidRDefault="00F04BE5">
      <w:pPr>
        <w:numPr>
          <w:ilvl w:val="0"/>
          <w:numId w:val="1"/>
        </w:numPr>
        <w:spacing w:line="360" w:lineRule="auto"/>
        <w:jc w:val="both"/>
      </w:pPr>
      <w:r>
        <w:rPr>
          <w:rFonts w:hint="cs"/>
          <w:rtl/>
        </w:rPr>
        <w:t xml:space="preserve">ב"כ הנאשם ביקש להטיל על הנאשם עונש של 17 שנות מאסר. לטענתו בהתחשב בנסיבות המיוחדות כפי שהתבררו במהלך שמיעת הראיות, מתחם הענישה בעבירת הריגה נע בין     12 ל-15 שנים. הסניגור הדגיש כי בגין עבירת החבלה בכוונה מחמירה לא נפגע אדם. בנוסף הפנה הסניגור לשינוי המהותי שבין עובדות כתב האישום המקורי, לבין עובדות כתב האישום המתוקן, שינוי שנעשה  לאור העדויות שנשמעו וחוות דעת שהציג בפני המאשימה. לנאשם לא היתה כוונה להמית את המנוח. הנאשם אדם נורמטיבי לחלוטין, סיים 12 שנות לימוד עם בגרות מלאה, הקים משפחה ועסק ועבד כשנתיים עד למעצרו. מוחמד שותפו של הנאשם נדון ל-12 חודשי מאסר בלבד. </w:t>
      </w:r>
    </w:p>
    <w:p w14:paraId="7E5689BE" w14:textId="77777777" w:rsidR="00E83854" w:rsidRDefault="00E83854">
      <w:pPr>
        <w:spacing w:line="360" w:lineRule="auto"/>
        <w:ind w:left="720"/>
        <w:jc w:val="both"/>
      </w:pPr>
    </w:p>
    <w:p w14:paraId="58EF3349" w14:textId="77777777" w:rsidR="00E83854" w:rsidRDefault="00F04BE5">
      <w:pPr>
        <w:spacing w:line="360" w:lineRule="auto"/>
        <w:ind w:left="720"/>
        <w:jc w:val="both"/>
        <w:rPr>
          <w:rtl/>
        </w:rPr>
      </w:pPr>
      <w:r>
        <w:rPr>
          <w:rFonts w:hint="cs"/>
          <w:rtl/>
        </w:rPr>
        <w:t>לתמיכה בטענותיו הציג הסניגור קלסר ובו פסקי דין שונים (ס/1) בהם ניתנו עונשי מאסר שבין 16 ל - 23 שנה. הסניגור טען כי העונשים באותם פסקי דין ניתנו בעניינים שנסיבותיהם היו חמורות יותר מנסיבות ביצוע העבירות בענייננו.</w:t>
      </w:r>
    </w:p>
    <w:p w14:paraId="6B8F5BB2" w14:textId="77777777" w:rsidR="00E83854" w:rsidRDefault="00E83854">
      <w:pPr>
        <w:spacing w:line="360" w:lineRule="auto"/>
        <w:ind w:left="720"/>
        <w:jc w:val="both"/>
      </w:pPr>
    </w:p>
    <w:p w14:paraId="75BDB63E" w14:textId="77777777" w:rsidR="00E83854" w:rsidRDefault="00F04BE5">
      <w:pPr>
        <w:spacing w:line="360" w:lineRule="auto"/>
        <w:ind w:left="714"/>
        <w:jc w:val="both"/>
        <w:rPr>
          <w:rtl/>
        </w:rPr>
      </w:pPr>
      <w:r>
        <w:rPr>
          <w:rFonts w:hint="cs"/>
          <w:rtl/>
        </w:rPr>
        <w:t>בתום הטיעונים לעונש שב הנאשם והודה "</w:t>
      </w:r>
      <w:r>
        <w:rPr>
          <w:rFonts w:ascii="Arial" w:hAnsi="Arial" w:cs="Miriam" w:hint="cs"/>
          <w:rtl/>
        </w:rPr>
        <w:t>ב</w:t>
      </w:r>
      <w:r>
        <w:rPr>
          <w:rFonts w:ascii="Arial" w:hAnsi="Arial" w:cs="Miriam"/>
          <w:rtl/>
        </w:rPr>
        <w:t>מעשה החמור שעשיתי</w:t>
      </w:r>
      <w:r>
        <w:rPr>
          <w:rFonts w:hint="cs"/>
          <w:rtl/>
        </w:rPr>
        <w:t>", הביע צער וחרטה</w:t>
      </w:r>
      <w:r>
        <w:rPr>
          <w:rtl/>
        </w:rPr>
        <w:t xml:space="preserve">, </w:t>
      </w:r>
      <w:r>
        <w:rPr>
          <w:rFonts w:hint="cs"/>
          <w:rtl/>
        </w:rPr>
        <w:t>ביקש סליחה ממשפחת המנוח והביע תקווה ש</w:t>
      </w:r>
      <w:r>
        <w:rPr>
          <w:rtl/>
        </w:rPr>
        <w:t>לא תדע יותר צער</w:t>
      </w:r>
      <w:r>
        <w:rPr>
          <w:rFonts w:hint="cs"/>
          <w:rtl/>
        </w:rPr>
        <w:t>.</w:t>
      </w:r>
    </w:p>
    <w:p w14:paraId="0A056F06" w14:textId="77777777" w:rsidR="00E83854" w:rsidRDefault="00F04BE5">
      <w:pPr>
        <w:spacing w:line="360" w:lineRule="auto"/>
        <w:ind w:left="714"/>
        <w:jc w:val="both"/>
        <w:rPr>
          <w:rtl/>
        </w:rPr>
      </w:pPr>
      <w:r>
        <w:rPr>
          <w:rtl/>
        </w:rPr>
        <w:t xml:space="preserve"> </w:t>
      </w:r>
    </w:p>
    <w:p w14:paraId="0D80EE75" w14:textId="77777777" w:rsidR="00E83854" w:rsidRDefault="00F04BE5">
      <w:pPr>
        <w:spacing w:line="360" w:lineRule="auto"/>
        <w:ind w:firstLine="714"/>
        <w:jc w:val="both"/>
        <w:rPr>
          <w:b/>
          <w:bCs/>
          <w:rtl/>
        </w:rPr>
      </w:pPr>
      <w:r>
        <w:rPr>
          <w:b/>
          <w:bCs/>
          <w:u w:val="single"/>
          <w:rtl/>
        </w:rPr>
        <w:t xml:space="preserve">דיון </w:t>
      </w:r>
    </w:p>
    <w:p w14:paraId="2648B79A" w14:textId="77777777" w:rsidR="00E83854" w:rsidRDefault="00E83854">
      <w:pPr>
        <w:spacing w:line="360" w:lineRule="auto"/>
        <w:ind w:firstLine="714"/>
        <w:jc w:val="both"/>
        <w:rPr>
          <w:rtl/>
        </w:rPr>
      </w:pPr>
    </w:p>
    <w:p w14:paraId="4EB85228" w14:textId="77777777" w:rsidR="00E83854" w:rsidRDefault="00F04BE5">
      <w:pPr>
        <w:pStyle w:val="Ruller40"/>
        <w:ind w:right="720"/>
        <w:rPr>
          <w:rFonts w:cs="David"/>
          <w:b/>
          <w:bCs/>
          <w:sz w:val="24"/>
          <w:szCs w:val="24"/>
          <w:u w:val="single"/>
        </w:rPr>
      </w:pPr>
      <w:r>
        <w:rPr>
          <w:rFonts w:cs="David"/>
          <w:b/>
          <w:bCs/>
          <w:sz w:val="24"/>
          <w:szCs w:val="24"/>
          <w:rtl/>
        </w:rPr>
        <w:t>ו.</w:t>
      </w:r>
      <w:r>
        <w:rPr>
          <w:rFonts w:cs="David" w:hint="cs"/>
          <w:b/>
          <w:bCs/>
          <w:sz w:val="24"/>
          <w:szCs w:val="24"/>
          <w:rtl/>
        </w:rPr>
        <w:tab/>
      </w:r>
      <w:r>
        <w:rPr>
          <w:rFonts w:cs="David"/>
          <w:b/>
          <w:bCs/>
          <w:sz w:val="24"/>
          <w:szCs w:val="24"/>
          <w:u w:val="single"/>
          <w:rtl/>
        </w:rPr>
        <w:t>מתחם העונש ההולם</w:t>
      </w:r>
    </w:p>
    <w:p w14:paraId="10349FC0" w14:textId="77777777" w:rsidR="00E83854" w:rsidRDefault="00E83854">
      <w:pPr>
        <w:pStyle w:val="Ruller40"/>
        <w:ind w:left="720"/>
        <w:rPr>
          <w:rFonts w:cs="David"/>
          <w:sz w:val="24"/>
          <w:szCs w:val="24"/>
          <w:rtl/>
        </w:rPr>
      </w:pPr>
    </w:p>
    <w:p w14:paraId="4DE14CB6" w14:textId="77777777" w:rsidR="00E83854" w:rsidRDefault="00F04BE5">
      <w:pPr>
        <w:pStyle w:val="Ruller40"/>
        <w:ind w:left="800" w:hanging="800"/>
        <w:rPr>
          <w:rFonts w:hAnsi="David" w:cs="David"/>
          <w:color w:val="000000"/>
          <w:sz w:val="24"/>
          <w:szCs w:val="24"/>
        </w:rPr>
      </w:pPr>
      <w:r>
        <w:rPr>
          <w:rFonts w:cs="David" w:hint="cs"/>
          <w:sz w:val="24"/>
          <w:szCs w:val="24"/>
          <w:rtl/>
        </w:rPr>
        <w:tab/>
      </w:r>
      <w:r>
        <w:rPr>
          <w:rFonts w:cs="David"/>
          <w:sz w:val="24"/>
          <w:szCs w:val="24"/>
          <w:rtl/>
        </w:rPr>
        <w:t xml:space="preserve">עיון בעובדות כתב האישום מראה </w:t>
      </w:r>
      <w:r>
        <w:rPr>
          <w:rFonts w:cs="David" w:hint="cs"/>
          <w:sz w:val="24"/>
          <w:szCs w:val="24"/>
          <w:rtl/>
        </w:rPr>
        <w:t>שכל שלוש העבירות שבהן הורשע הנאשם הן חלק מ</w:t>
      </w:r>
      <w:r>
        <w:rPr>
          <w:rFonts w:cs="David"/>
          <w:sz w:val="24"/>
          <w:szCs w:val="24"/>
          <w:rtl/>
        </w:rPr>
        <w:t xml:space="preserve">תוכנית עבריינית אחת, </w:t>
      </w:r>
      <w:r>
        <w:rPr>
          <w:rFonts w:cs="David" w:hint="cs"/>
          <w:sz w:val="24"/>
          <w:szCs w:val="24"/>
          <w:rtl/>
        </w:rPr>
        <w:t xml:space="preserve">שבוצעה </w:t>
      </w:r>
      <w:r>
        <w:rPr>
          <w:rFonts w:cs="David"/>
          <w:sz w:val="24"/>
          <w:szCs w:val="24"/>
          <w:rtl/>
        </w:rPr>
        <w:t>באותה מסגרת זמן</w:t>
      </w:r>
      <w:r>
        <w:rPr>
          <w:rFonts w:cs="David" w:hint="cs"/>
          <w:sz w:val="24"/>
          <w:szCs w:val="24"/>
          <w:rtl/>
        </w:rPr>
        <w:t xml:space="preserve">. לפי </w:t>
      </w:r>
      <w:hyperlink r:id="rId16" w:history="1">
        <w:r w:rsidR="00C12477" w:rsidRPr="00C12477">
          <w:rPr>
            <w:rFonts w:cs="David"/>
            <w:color w:val="0000FF"/>
            <w:sz w:val="24"/>
            <w:szCs w:val="24"/>
            <w:u w:val="single"/>
            <w:rtl/>
          </w:rPr>
          <w:t>סעיף 40יג'(א)</w:t>
        </w:r>
      </w:hyperlink>
      <w:r>
        <w:rPr>
          <w:rFonts w:cs="David" w:hint="cs"/>
          <w:color w:val="000000"/>
          <w:sz w:val="24"/>
          <w:szCs w:val="24"/>
          <w:rtl/>
        </w:rPr>
        <w:t xml:space="preserve"> לחוק יש במקרה זה לקבוע מתחם עונש הולם לאירוע כולו.</w:t>
      </w:r>
    </w:p>
    <w:p w14:paraId="5748B24A" w14:textId="77777777" w:rsidR="00E83854" w:rsidRDefault="00F04BE5">
      <w:pPr>
        <w:pStyle w:val="Ruller40"/>
        <w:ind w:left="800" w:hanging="800"/>
        <w:rPr>
          <w:rFonts w:hAnsi="David" w:cs="David"/>
          <w:color w:val="000000"/>
          <w:sz w:val="24"/>
          <w:szCs w:val="24"/>
          <w:rtl/>
        </w:rPr>
      </w:pPr>
      <w:r>
        <w:rPr>
          <w:rFonts w:hAnsi="David" w:cs="David" w:hint="cs"/>
          <w:color w:val="000000"/>
          <w:sz w:val="24"/>
          <w:szCs w:val="24"/>
          <w:rtl/>
        </w:rPr>
        <w:tab/>
      </w:r>
    </w:p>
    <w:p w14:paraId="1AECA85D" w14:textId="77777777" w:rsidR="00E83854" w:rsidRDefault="00F04BE5">
      <w:pPr>
        <w:pStyle w:val="Ruller40"/>
        <w:ind w:left="800" w:hanging="800"/>
        <w:rPr>
          <w:rFonts w:hAnsi="David" w:cs="David"/>
          <w:color w:val="000000"/>
          <w:sz w:val="24"/>
          <w:szCs w:val="24"/>
          <w:rtl/>
        </w:rPr>
      </w:pPr>
      <w:r>
        <w:rPr>
          <w:rFonts w:hAnsi="David" w:cs="David" w:hint="cs"/>
          <w:color w:val="000000"/>
          <w:sz w:val="24"/>
          <w:szCs w:val="24"/>
          <w:rtl/>
        </w:rPr>
        <w:tab/>
        <w:t>במסגרת הסדר הטיעון הציגו הצדדים מתחם עונש הולם מוסכם, בין 17 ל-24 שנות מאסר. אנו סבורים כי יש לאמץ מתחם זה בהתחשב בערך החברתי שנפגע, מידת הפגיעה בו ומדיניות הענישה הנהוגה כפי שהוצגה ע"י שני הצדדים.</w:t>
      </w:r>
    </w:p>
    <w:p w14:paraId="0403A558" w14:textId="77777777" w:rsidR="00E83854" w:rsidRDefault="00E83854">
      <w:pPr>
        <w:pStyle w:val="Ruller40"/>
        <w:ind w:left="800"/>
        <w:rPr>
          <w:rFonts w:hAnsi="David" w:cs="David"/>
          <w:color w:val="000000"/>
          <w:sz w:val="24"/>
          <w:szCs w:val="24"/>
          <w:rtl/>
        </w:rPr>
      </w:pPr>
    </w:p>
    <w:p w14:paraId="1AEAE53B" w14:textId="77777777" w:rsidR="00E83854" w:rsidRDefault="00F04BE5">
      <w:pPr>
        <w:pStyle w:val="Ruller40"/>
        <w:ind w:left="720"/>
        <w:rPr>
          <w:rFonts w:hAnsi="David" w:cs="David"/>
          <w:color w:val="000000"/>
          <w:sz w:val="24"/>
          <w:szCs w:val="24"/>
          <w:rtl/>
        </w:rPr>
      </w:pPr>
      <w:r>
        <w:rPr>
          <w:rFonts w:hAnsi="David" w:cs="David" w:hint="cs"/>
          <w:color w:val="000000"/>
          <w:sz w:val="24"/>
          <w:szCs w:val="24"/>
          <w:rtl/>
        </w:rPr>
        <w:t>בנסיבותיו של תיק זה, כעסו של הנאשם על המנוח בשל נהיגתו הפראית תוך השמעת מוסיקה בקול רם, הביא לטרגדיה איומה שהסתיימה במות המנוח. המוות פגע קשות במשפחתו הגרעינית והמורחבת של המנוח. אלמנתו הצעירה של המנוח עזבה את הבית והפילה את עוברה, והורי המנוח ואחיו טרם התאוששו מהטרגדיה הקשה שפקדה אותם. יפים לכאן דברי השופט א' רובינשטיין שנכתבו בפסק דין מיום 11.6.2013:</w:t>
      </w:r>
    </w:p>
    <w:p w14:paraId="4068CE1E" w14:textId="77777777" w:rsidR="00E83854" w:rsidRDefault="00E83854">
      <w:pPr>
        <w:pStyle w:val="Ruller40"/>
        <w:ind w:left="720"/>
        <w:rPr>
          <w:rFonts w:hAnsi="David" w:cs="David"/>
          <w:color w:val="000000"/>
          <w:sz w:val="24"/>
          <w:szCs w:val="24"/>
        </w:rPr>
      </w:pPr>
    </w:p>
    <w:p w14:paraId="0FB82BE5" w14:textId="77777777" w:rsidR="00E83854" w:rsidRDefault="00F04BE5">
      <w:pPr>
        <w:pStyle w:val="Ruller40"/>
        <w:ind w:left="1440" w:right="720"/>
        <w:rPr>
          <w:rFonts w:cs="Miriam"/>
          <w:sz w:val="24"/>
          <w:szCs w:val="24"/>
          <w:rtl/>
        </w:rPr>
      </w:pPr>
      <w:r>
        <w:rPr>
          <w:rFonts w:cs="David" w:hint="cs"/>
          <w:sz w:val="24"/>
          <w:szCs w:val="24"/>
          <w:rtl/>
        </w:rPr>
        <w:t>"</w:t>
      </w:r>
      <w:r>
        <w:rPr>
          <w:rFonts w:cs="Miriam" w:hint="cs"/>
          <w:sz w:val="24"/>
          <w:szCs w:val="24"/>
          <w:rtl/>
        </w:rPr>
        <w:t xml:space="preserve">המקרה שבפנינו הוא מסוג המקרים, המעידים על הקלות הבלתי נסבלת של נטילת חיי אדם במדינת ישראל, ואין צורך להביא ראיות הרבה כי מקרים אלה הפכו, למרבה הצער, לחזון נפרץ לעתים מזומנות במחוזותינו. במקרה דנא מחלוקת של מה בכך על חנית רכב, לגיטימית או לא, הסתיימה בתוצאה שאין קשה הימנה – נטילת חיי אדם. למותר להכביר מלים בדבר נעלותו של עקרון קדושת החיים (ראו לאחרונה </w:t>
      </w:r>
      <w:hyperlink r:id="rId17" w:history="1">
        <w:r w:rsidR="00476F10" w:rsidRPr="00476F10">
          <w:rPr>
            <w:rStyle w:val="Hyperlink"/>
            <w:rFonts w:ascii="Arial TUR" w:hAnsi="Arial TUR" w:cs="Miriam"/>
            <w:sz w:val="24"/>
            <w:szCs w:val="24"/>
            <w:rtl/>
          </w:rPr>
          <w:t>ע"פ 2167/12</w:t>
        </w:r>
      </w:hyperlink>
      <w:r>
        <w:rPr>
          <w:rFonts w:cs="David" w:hint="cs"/>
          <w:sz w:val="24"/>
          <w:szCs w:val="24"/>
          <w:rtl/>
        </w:rPr>
        <w:t xml:space="preserve"> </w:t>
      </w:r>
      <w:r>
        <w:rPr>
          <w:rFonts w:cs="David" w:hint="cs"/>
          <w:b/>
          <w:bCs/>
          <w:sz w:val="24"/>
          <w:szCs w:val="24"/>
          <w:rtl/>
        </w:rPr>
        <w:t>פלונית נ' מדינת ישראל</w:t>
      </w:r>
      <w:r>
        <w:rPr>
          <w:rFonts w:cs="David" w:hint="cs"/>
          <w:sz w:val="24"/>
          <w:szCs w:val="24"/>
          <w:rtl/>
        </w:rPr>
        <w:t xml:space="preserve"> (17.3.13), בפסקה י"ד), </w:t>
      </w:r>
      <w:r>
        <w:rPr>
          <w:rFonts w:cs="Miriam" w:hint="cs"/>
          <w:sz w:val="24"/>
          <w:szCs w:val="24"/>
          <w:rtl/>
        </w:rPr>
        <w:t xml:space="preserve">ועל הפוגע בו לדעת כי יהיה צפוי לענישה מחמירה, מחמירה מאד" </w:t>
      </w:r>
    </w:p>
    <w:p w14:paraId="27789F40" w14:textId="77777777" w:rsidR="00E83854" w:rsidRDefault="00476F10">
      <w:pPr>
        <w:pStyle w:val="Ruller40"/>
        <w:ind w:left="1440" w:right="720"/>
        <w:rPr>
          <w:rFonts w:cs="David"/>
          <w:sz w:val="24"/>
          <w:szCs w:val="24"/>
          <w:rtl/>
        </w:rPr>
      </w:pPr>
      <w:hyperlink r:id="rId18" w:history="1">
        <w:r w:rsidRPr="00476F10">
          <w:rPr>
            <w:rStyle w:val="Hyperlink"/>
            <w:rFonts w:ascii="Arial TUR" w:hAnsi="Arial TUR" w:cs="Miriam"/>
            <w:sz w:val="24"/>
            <w:szCs w:val="24"/>
            <w:rtl/>
          </w:rPr>
          <w:t>ע"פ  6162/10</w:t>
        </w:r>
      </w:hyperlink>
      <w:r w:rsidR="00F04BE5">
        <w:rPr>
          <w:rFonts w:cs="David" w:hint="cs"/>
          <w:sz w:val="24"/>
          <w:szCs w:val="24"/>
          <w:rtl/>
        </w:rPr>
        <w:t xml:space="preserve"> </w:t>
      </w:r>
      <w:r w:rsidR="00F04BE5">
        <w:rPr>
          <w:rFonts w:cs="David" w:hint="cs"/>
          <w:b/>
          <w:bCs/>
          <w:sz w:val="24"/>
          <w:szCs w:val="24"/>
          <w:rtl/>
        </w:rPr>
        <w:t>כבאז נגד מדינת ישראל</w:t>
      </w:r>
      <w:r w:rsidR="00F04BE5">
        <w:rPr>
          <w:rFonts w:cs="David" w:hint="cs"/>
          <w:sz w:val="24"/>
          <w:szCs w:val="24"/>
          <w:rtl/>
        </w:rPr>
        <w:t xml:space="preserve"> (11.6.2013).</w:t>
      </w:r>
    </w:p>
    <w:p w14:paraId="5982106C" w14:textId="77777777" w:rsidR="00E83854" w:rsidRDefault="00E83854">
      <w:pPr>
        <w:pStyle w:val="Ruller40"/>
        <w:tabs>
          <w:tab w:val="left" w:pos="7425"/>
        </w:tabs>
        <w:ind w:left="720"/>
        <w:rPr>
          <w:rFonts w:cs="David"/>
          <w:sz w:val="24"/>
          <w:szCs w:val="24"/>
          <w:rtl/>
        </w:rPr>
      </w:pPr>
    </w:p>
    <w:p w14:paraId="6DBCE595" w14:textId="77777777" w:rsidR="00E83854" w:rsidRDefault="00E83854">
      <w:pPr>
        <w:pStyle w:val="Ruller40"/>
        <w:tabs>
          <w:tab w:val="left" w:pos="7425"/>
        </w:tabs>
        <w:ind w:left="720"/>
        <w:rPr>
          <w:rFonts w:cs="David"/>
          <w:sz w:val="24"/>
          <w:szCs w:val="24"/>
          <w:rtl/>
        </w:rPr>
      </w:pPr>
    </w:p>
    <w:p w14:paraId="02C089FB" w14:textId="77777777" w:rsidR="00E83854" w:rsidRDefault="00F04BE5">
      <w:pPr>
        <w:pStyle w:val="Ruller40"/>
        <w:tabs>
          <w:tab w:val="left" w:pos="7425"/>
        </w:tabs>
        <w:ind w:left="720"/>
        <w:rPr>
          <w:rFonts w:cs="David"/>
          <w:sz w:val="24"/>
          <w:szCs w:val="24"/>
          <w:rtl/>
        </w:rPr>
      </w:pPr>
      <w:r>
        <w:rPr>
          <w:rFonts w:cs="David" w:hint="cs"/>
          <w:sz w:val="24"/>
          <w:szCs w:val="24"/>
          <w:rtl/>
        </w:rPr>
        <w:t xml:space="preserve">יצוין כי בעניין </w:t>
      </w:r>
      <w:r>
        <w:rPr>
          <w:rFonts w:cs="David" w:hint="cs"/>
          <w:b/>
          <w:bCs/>
          <w:sz w:val="24"/>
          <w:szCs w:val="24"/>
          <w:rtl/>
        </w:rPr>
        <w:t>כבאז</w:t>
      </w:r>
      <w:r>
        <w:rPr>
          <w:rFonts w:cs="David" w:hint="cs"/>
          <w:sz w:val="24"/>
          <w:szCs w:val="24"/>
          <w:rtl/>
        </w:rPr>
        <w:t xml:space="preserve"> הורשע הנאשם גם בעבירת פציעה. הוא נדון ל-20 שנות מאסר בפועל, ובהתחשב גם במצבו הנפשי, הפחית בית המשפט העליון את  העונש ל-18 שנה בגין ההריגה, אליהם התווספו במצטבר 6 חודשי מאסר בגין הפציעה ובסה"כ 18.5 שנות מאסר.</w:t>
      </w:r>
    </w:p>
    <w:p w14:paraId="2F7A179C" w14:textId="77777777" w:rsidR="00E83854" w:rsidRDefault="00E83854">
      <w:pPr>
        <w:pStyle w:val="Ruller40"/>
        <w:tabs>
          <w:tab w:val="left" w:pos="7425"/>
        </w:tabs>
        <w:ind w:left="720"/>
        <w:rPr>
          <w:rFonts w:cs="David"/>
          <w:sz w:val="24"/>
          <w:szCs w:val="24"/>
          <w:rtl/>
        </w:rPr>
      </w:pPr>
    </w:p>
    <w:p w14:paraId="79E882B4" w14:textId="77777777" w:rsidR="00E83854" w:rsidRDefault="00F04BE5">
      <w:pPr>
        <w:pStyle w:val="Ruller40"/>
        <w:numPr>
          <w:ilvl w:val="0"/>
          <w:numId w:val="1"/>
        </w:numPr>
        <w:rPr>
          <w:rFonts w:cs="David"/>
          <w:sz w:val="24"/>
          <w:szCs w:val="24"/>
        </w:rPr>
      </w:pPr>
      <w:r>
        <w:rPr>
          <w:rFonts w:cs="David" w:hint="cs"/>
          <w:color w:val="000000"/>
          <w:sz w:val="24"/>
          <w:szCs w:val="24"/>
          <w:rtl/>
        </w:rPr>
        <w:t xml:space="preserve">חשוב להדגיש כי אין להקל ראש בעבירה של </w:t>
      </w:r>
      <w:r>
        <w:rPr>
          <w:rFonts w:cs="David" w:hint="cs"/>
          <w:sz w:val="24"/>
          <w:szCs w:val="24"/>
          <w:rtl/>
        </w:rPr>
        <w:t>חבלה בכוונה מחמירה, עביר</w:t>
      </w:r>
      <w:r>
        <w:rPr>
          <w:rFonts w:cs="David"/>
          <w:sz w:val="24"/>
          <w:szCs w:val="24"/>
          <w:rtl/>
        </w:rPr>
        <w:t xml:space="preserve">ה לפי </w:t>
      </w:r>
      <w:hyperlink r:id="rId19" w:history="1">
        <w:r w:rsidR="00C12477" w:rsidRPr="00C12477">
          <w:rPr>
            <w:rStyle w:val="Hyperlink"/>
            <w:rFonts w:ascii="Arial TUR" w:hAnsi="Arial TUR" w:cs="David" w:hint="eastAsia"/>
            <w:sz w:val="24"/>
            <w:szCs w:val="24"/>
            <w:rtl/>
          </w:rPr>
          <w:t>סעיף</w:t>
        </w:r>
        <w:r w:rsidR="00C12477" w:rsidRPr="00C12477">
          <w:rPr>
            <w:rStyle w:val="Hyperlink"/>
            <w:rFonts w:ascii="Arial TUR" w:hAnsi="Arial TUR" w:cs="David"/>
            <w:sz w:val="24"/>
            <w:szCs w:val="24"/>
            <w:rtl/>
          </w:rPr>
          <w:t xml:space="preserve"> 329 (א)(2)</w:t>
        </w:r>
      </w:hyperlink>
      <w:r>
        <w:rPr>
          <w:rFonts w:cs="David" w:hint="cs"/>
          <w:sz w:val="24"/>
          <w:szCs w:val="24"/>
          <w:rtl/>
        </w:rPr>
        <w:t xml:space="preserve"> </w:t>
      </w:r>
      <w:r>
        <w:rPr>
          <w:rFonts w:cs="David"/>
          <w:sz w:val="24"/>
          <w:szCs w:val="24"/>
          <w:rtl/>
        </w:rPr>
        <w:t>לחוק</w:t>
      </w:r>
      <w:r>
        <w:rPr>
          <w:rFonts w:cs="David" w:hint="cs"/>
          <w:sz w:val="24"/>
          <w:szCs w:val="24"/>
          <w:rtl/>
        </w:rPr>
        <w:t>. על חומרתה של עבירה זו ניתן ללמוד מהעובדה כי העונש המקסימאלי הקבוע בחוק הוא 20 שנות מאסר גם כשמדובר במי ש</w:t>
      </w:r>
      <w:r>
        <w:rPr>
          <w:rStyle w:val="default"/>
          <w:rFonts w:cs="David" w:hint="cs"/>
          <w:sz w:val="24"/>
          <w:szCs w:val="24"/>
          <w:rtl/>
        </w:rPr>
        <w:t>"</w:t>
      </w:r>
      <w:r>
        <w:rPr>
          <w:rStyle w:val="default"/>
          <w:rFonts w:cs="Miriam"/>
          <w:sz w:val="24"/>
          <w:szCs w:val="24"/>
          <w:rtl/>
        </w:rPr>
        <w:t>מ</w:t>
      </w:r>
      <w:r>
        <w:rPr>
          <w:rStyle w:val="default"/>
          <w:rFonts w:cs="Miriam" w:hint="cs"/>
          <w:sz w:val="24"/>
          <w:szCs w:val="24"/>
          <w:rtl/>
        </w:rPr>
        <w:t>נס</w:t>
      </w:r>
      <w:r>
        <w:rPr>
          <w:rStyle w:val="default"/>
          <w:rFonts w:cs="Miriam"/>
          <w:sz w:val="24"/>
          <w:szCs w:val="24"/>
          <w:rtl/>
        </w:rPr>
        <w:t xml:space="preserve">ה </w:t>
      </w:r>
      <w:r>
        <w:rPr>
          <w:rStyle w:val="default"/>
          <w:rFonts w:cs="Miriam" w:hint="cs"/>
          <w:sz w:val="24"/>
          <w:szCs w:val="24"/>
          <w:rtl/>
        </w:rPr>
        <w:t>שלא כדין לפגוע באדם</w:t>
      </w:r>
      <w:r>
        <w:rPr>
          <w:rFonts w:cs="Miriam" w:hint="cs"/>
          <w:sz w:val="24"/>
          <w:szCs w:val="24"/>
          <w:rtl/>
        </w:rPr>
        <w:t xml:space="preserve"> באמצעות קליע"</w:t>
      </w:r>
      <w:r>
        <w:rPr>
          <w:rFonts w:cs="David" w:hint="cs"/>
          <w:sz w:val="24"/>
          <w:szCs w:val="24"/>
          <w:rtl/>
        </w:rPr>
        <w:t xml:space="preserve">. </w:t>
      </w:r>
    </w:p>
    <w:p w14:paraId="67EB2BB9" w14:textId="77777777" w:rsidR="00E83854" w:rsidRDefault="00E83854">
      <w:pPr>
        <w:pStyle w:val="Ruller40"/>
        <w:ind w:left="720"/>
        <w:rPr>
          <w:rFonts w:cs="David"/>
          <w:sz w:val="24"/>
          <w:szCs w:val="24"/>
        </w:rPr>
      </w:pPr>
    </w:p>
    <w:p w14:paraId="43F94D9F" w14:textId="77777777" w:rsidR="00E83854" w:rsidRDefault="00F04BE5">
      <w:pPr>
        <w:pStyle w:val="Ruller40"/>
        <w:numPr>
          <w:ilvl w:val="0"/>
          <w:numId w:val="1"/>
        </w:numPr>
        <w:rPr>
          <w:rFonts w:cs="David"/>
          <w:sz w:val="24"/>
          <w:szCs w:val="24"/>
        </w:rPr>
      </w:pPr>
      <w:r>
        <w:rPr>
          <w:rFonts w:cs="David" w:hint="cs"/>
          <w:sz w:val="24"/>
          <w:szCs w:val="24"/>
          <w:rtl/>
        </w:rPr>
        <w:t xml:space="preserve">אנו מבקשים להדגיש גם את החומרה הרבה שבה אנו רואים את העבירות בנשק שנעברו על ידי הנאשם. </w:t>
      </w:r>
    </w:p>
    <w:p w14:paraId="4E239870" w14:textId="77777777" w:rsidR="00E83854" w:rsidRDefault="00E83854">
      <w:pPr>
        <w:spacing w:line="360" w:lineRule="auto"/>
        <w:ind w:left="1440"/>
        <w:jc w:val="both"/>
        <w:rPr>
          <w:rtl/>
        </w:rPr>
      </w:pPr>
    </w:p>
    <w:p w14:paraId="469BEC0F" w14:textId="77777777" w:rsidR="00E83854" w:rsidRDefault="00F04BE5">
      <w:pPr>
        <w:spacing w:line="360" w:lineRule="auto"/>
        <w:ind w:left="720"/>
        <w:jc w:val="both"/>
        <w:rPr>
          <w:rtl/>
        </w:rPr>
      </w:pPr>
      <w:r>
        <w:rPr>
          <w:rtl/>
        </w:rPr>
        <w:t>זמינותו של נשק חם המוחזק באופן בלתי חוקי הפכה זה מכבר לרעה חולה. נפשו של הציבור קצה במצב שבו עבריינים מחזיקים בנשק חם ומשתמשים בו כדי לפגוע ביריביהם</w:t>
      </w:r>
      <w:r>
        <w:rPr>
          <w:rFonts w:hint="cs"/>
          <w:rtl/>
        </w:rPr>
        <w:t>.</w:t>
      </w:r>
      <w:r>
        <w:rPr>
          <w:rtl/>
        </w:rPr>
        <w:t xml:space="preserve"> </w:t>
      </w:r>
    </w:p>
    <w:p w14:paraId="66BBE073" w14:textId="77777777" w:rsidR="00E83854" w:rsidRDefault="00E83854">
      <w:pPr>
        <w:spacing w:line="360" w:lineRule="auto"/>
        <w:ind w:left="1440" w:hanging="720"/>
        <w:jc w:val="both"/>
        <w:rPr>
          <w:rtl/>
        </w:rPr>
      </w:pPr>
    </w:p>
    <w:p w14:paraId="509E9649" w14:textId="77777777" w:rsidR="00E83854" w:rsidRDefault="00F04BE5">
      <w:pPr>
        <w:spacing w:line="360" w:lineRule="auto"/>
        <w:ind w:left="720"/>
        <w:jc w:val="both"/>
        <w:rPr>
          <w:b/>
          <w:bCs/>
          <w:rtl/>
        </w:rPr>
      </w:pPr>
      <w:r>
        <w:rPr>
          <w:rtl/>
        </w:rPr>
        <w:t xml:space="preserve">דומה שכיום אין עוד צורך להכביר מילים באשר לחומרתן הרבה של עבירות בנשק </w:t>
      </w:r>
      <w:r>
        <w:rPr>
          <w:rFonts w:hint="cs"/>
          <w:rtl/>
        </w:rPr>
        <w:t xml:space="preserve">והמקרה שלפנינו יוכיח: סכסוך פעוט הביא לכך שהנאשם נטל </w:t>
      </w:r>
      <w:r>
        <w:rPr>
          <w:rtl/>
        </w:rPr>
        <w:t xml:space="preserve">נשק המוחזק שלא כדין </w:t>
      </w:r>
      <w:r>
        <w:rPr>
          <w:rFonts w:hint="cs"/>
          <w:rtl/>
        </w:rPr>
        <w:t xml:space="preserve">נשא והוביל אותו, השתמש בו בפועל והמית את המנוח (באורח נס לא נפגע גם עמאד מן הירי שביצע הנאשם לעברו). </w:t>
      </w:r>
      <w:r>
        <w:rPr>
          <w:rtl/>
        </w:rPr>
        <w:t xml:space="preserve">ואמנם בסדרה של פסקי דין פסק בית המשפט העליון </w:t>
      </w:r>
      <w:r>
        <w:rPr>
          <w:b/>
          <w:bCs/>
          <w:rtl/>
        </w:rPr>
        <w:t>כי הגיעה השעה להחמיר בענישה בגין עבירות בנשק</w:t>
      </w:r>
      <w:r>
        <w:rPr>
          <w:rtl/>
        </w:rPr>
        <w:t xml:space="preserve">. ראו, למשל, את </w:t>
      </w:r>
      <w:hyperlink r:id="rId20" w:history="1">
        <w:r w:rsidR="00476F10" w:rsidRPr="00476F10">
          <w:rPr>
            <w:rStyle w:val="Hyperlink"/>
            <w:rFonts w:cs="David"/>
            <w:b/>
            <w:bCs/>
            <w:rtl/>
          </w:rPr>
          <w:t>ע"פ 4460/11</w:t>
        </w:r>
      </w:hyperlink>
      <w:r>
        <w:rPr>
          <w:b/>
          <w:bCs/>
          <w:rtl/>
        </w:rPr>
        <w:t xml:space="preserve"> מדינת ישראל נגד אחמד פאיד (פסק דין מיום 28.11.11, פורסם ב"נבו"). </w:t>
      </w:r>
      <w:hyperlink r:id="rId21" w:history="1">
        <w:r w:rsidR="00476F10" w:rsidRPr="00476F10">
          <w:rPr>
            <w:rStyle w:val="Hyperlink"/>
            <w:rFonts w:cs="David"/>
            <w:b/>
            <w:bCs/>
            <w:rtl/>
          </w:rPr>
          <w:t>ע"פ 9373/10</w:t>
        </w:r>
      </w:hyperlink>
      <w:r>
        <w:rPr>
          <w:b/>
          <w:bCs/>
          <w:rtl/>
        </w:rPr>
        <w:t xml:space="preserve"> חמד ותד נגד מדינת ישראל (פסק דין מיום 14.9.11, פורסם ב"נבו"). </w:t>
      </w:r>
    </w:p>
    <w:p w14:paraId="6EF847AF" w14:textId="77777777" w:rsidR="00E83854" w:rsidRDefault="00E83854">
      <w:pPr>
        <w:spacing w:line="360" w:lineRule="auto"/>
        <w:ind w:left="1440" w:hanging="720"/>
        <w:jc w:val="both"/>
        <w:rPr>
          <w:b/>
          <w:bCs/>
          <w:highlight w:val="yellow"/>
          <w:rtl/>
        </w:rPr>
      </w:pPr>
    </w:p>
    <w:p w14:paraId="45E2E442" w14:textId="77777777" w:rsidR="00E83854" w:rsidRDefault="00F04BE5">
      <w:pPr>
        <w:spacing w:line="360" w:lineRule="auto"/>
        <w:ind w:left="720"/>
        <w:jc w:val="both"/>
        <w:rPr>
          <w:rtl/>
        </w:rPr>
      </w:pPr>
      <w:r>
        <w:rPr>
          <w:rtl/>
        </w:rPr>
        <w:t xml:space="preserve">יפים לכאן דברים שכתב כב' השופט פוגלמן </w:t>
      </w:r>
      <w:r>
        <w:rPr>
          <w:b/>
          <w:bCs/>
          <w:rtl/>
        </w:rPr>
        <w:t>ב</w:t>
      </w:r>
      <w:hyperlink r:id="rId22" w:history="1">
        <w:r w:rsidR="00476F10" w:rsidRPr="00476F10">
          <w:rPr>
            <w:rStyle w:val="Hyperlink"/>
            <w:b/>
            <w:bCs/>
            <w:rtl/>
          </w:rPr>
          <w:t>ע"פ  8416/09</w:t>
        </w:r>
      </w:hyperlink>
      <w:r>
        <w:rPr>
          <w:b/>
          <w:bCs/>
          <w:rtl/>
        </w:rPr>
        <w:t xml:space="preserve"> (וערעורים נוספים) מדינת ישראל נגד מחמוד חרבוש ואח' (פסק דין מיום 9.6.10 שפורסם ב"נב</w:t>
      </w:r>
      <w:r>
        <w:rPr>
          <w:rtl/>
        </w:rPr>
        <w:t>ו</w:t>
      </w:r>
      <w:r>
        <w:rPr>
          <w:b/>
          <w:bCs/>
          <w:rtl/>
        </w:rPr>
        <w:t>")</w:t>
      </w:r>
      <w:r>
        <w:rPr>
          <w:rtl/>
        </w:rPr>
        <w:t>, בסעיף 55 לפסק הדין:</w:t>
      </w:r>
    </w:p>
    <w:p w14:paraId="2C5B902B" w14:textId="77777777" w:rsidR="00E83854" w:rsidRDefault="00E83854">
      <w:pPr>
        <w:spacing w:line="360" w:lineRule="auto"/>
        <w:ind w:left="1440" w:hanging="720"/>
        <w:jc w:val="both"/>
        <w:rPr>
          <w:highlight w:val="yellow"/>
          <w:rtl/>
        </w:rPr>
      </w:pPr>
    </w:p>
    <w:p w14:paraId="4FB69371" w14:textId="77777777" w:rsidR="00E83854" w:rsidRDefault="00F04BE5">
      <w:pPr>
        <w:pStyle w:val="Ruller40"/>
        <w:ind w:left="1701" w:right="900" w:hanging="2160"/>
        <w:rPr>
          <w:rFonts w:cs="David"/>
          <w:b/>
          <w:bCs/>
          <w:sz w:val="24"/>
          <w:szCs w:val="24"/>
        </w:rPr>
      </w:pPr>
      <w:r>
        <w:rPr>
          <w:rFonts w:cs="David"/>
          <w:b/>
          <w:bCs/>
          <w:sz w:val="24"/>
          <w:szCs w:val="24"/>
          <w:rtl/>
        </w:rPr>
        <w:tab/>
      </w:r>
      <w:r>
        <w:rPr>
          <w:rFonts w:cs="David"/>
          <w:b/>
          <w:bCs/>
          <w:sz w:val="24"/>
          <w:szCs w:val="24"/>
          <w:rtl/>
        </w:rPr>
        <w:tab/>
      </w:r>
      <w:r>
        <w:rPr>
          <w:rFonts w:cs="Miriam"/>
          <w:b/>
          <w:bCs/>
          <w:sz w:val="24"/>
          <w:szCs w:val="24"/>
          <w:rtl/>
        </w:rPr>
        <w:t xml:space="preserve">"לפני סיום, לא מן המותר להזכיר מושכלות יסוד. חומרתה של עבירת החזקת הנשק, מקורה בכך שעבירה זאת אינה נעשית לרוב אלא כדי לאפשר ביצוען של עבירות אחרות, שמעצם טבעו של הנשק, כרוכות באלימות או בהפחדה. (...). כפי שציינה חברתי הנשיאה </w:t>
      </w:r>
      <w:r>
        <w:rPr>
          <w:rFonts w:ascii="Times New Roman" w:hAnsi="Times New Roman" w:cs="Miriam"/>
          <w:b/>
          <w:bCs/>
          <w:spacing w:val="0"/>
          <w:sz w:val="24"/>
          <w:szCs w:val="24"/>
          <w:rtl/>
        </w:rPr>
        <w:t>ד' ביניש</w:t>
      </w:r>
      <w:r>
        <w:rPr>
          <w:rFonts w:cs="Miriam"/>
          <w:b/>
          <w:bCs/>
          <w:sz w:val="24"/>
          <w:szCs w:val="24"/>
          <w:rtl/>
        </w:rPr>
        <w:t xml:space="preserve">, </w:t>
      </w:r>
      <w:r>
        <w:rPr>
          <w:rFonts w:cs="Miriam"/>
          <w:b/>
          <w:bCs/>
          <w:sz w:val="24"/>
          <w:szCs w:val="24"/>
          <w:u w:val="single"/>
          <w:rtl/>
        </w:rPr>
        <w:t>המציאות השוררת בארץ המתבטאת בזמינותו של נשק חם ורב עוצמה שיש עמו פוטנציאל להסלמת האלימות העבריינית, מחייבת מתן ביטוי עונשי הולם והחמרה ברמת הענישה</w:t>
      </w:r>
      <w:r>
        <w:rPr>
          <w:rFonts w:cs="Miriam"/>
          <w:b/>
          <w:bCs/>
          <w:sz w:val="24"/>
          <w:szCs w:val="24"/>
          <w:rtl/>
        </w:rPr>
        <w:t xml:space="preserve"> (ראו </w:t>
      </w:r>
      <w:r w:rsidRPr="00F01A13">
        <w:rPr>
          <w:rFonts w:ascii="Times New Roman" w:hAnsi="Times New Roman" w:cs="Miriam"/>
          <w:b/>
          <w:bCs/>
          <w:color w:val="000000"/>
          <w:sz w:val="24"/>
          <w:szCs w:val="24"/>
          <w:rtl/>
        </w:rPr>
        <w:t>ע"פ 1332/04</w:t>
      </w:r>
      <w:r>
        <w:rPr>
          <w:rFonts w:cs="Miriam"/>
          <w:b/>
          <w:bCs/>
          <w:sz w:val="24"/>
          <w:szCs w:val="24"/>
          <w:rtl/>
        </w:rPr>
        <w:t xml:space="preserve"> </w:t>
      </w:r>
      <w:r>
        <w:rPr>
          <w:rFonts w:ascii="Times New Roman" w:hAnsi="Times New Roman" w:cs="Miriam"/>
          <w:b/>
          <w:bCs/>
          <w:spacing w:val="0"/>
          <w:sz w:val="24"/>
          <w:szCs w:val="24"/>
          <w:rtl/>
        </w:rPr>
        <w:t>מדינת ישראל נ' פס</w:t>
      </w:r>
      <w:r>
        <w:rPr>
          <w:rFonts w:cs="Miriam"/>
          <w:b/>
          <w:bCs/>
          <w:sz w:val="24"/>
          <w:szCs w:val="24"/>
          <w:rtl/>
        </w:rPr>
        <w:t xml:space="preserve">, </w:t>
      </w:r>
      <w:r>
        <w:rPr>
          <w:rFonts w:ascii="Times New Roman" w:hAnsi="Times New Roman" w:cs="Miriam"/>
          <w:spacing w:val="0"/>
          <w:szCs w:val="24"/>
          <w:rtl/>
        </w:rPr>
        <w:t xml:space="preserve">[פורסם בנבו] </w:t>
      </w:r>
      <w:r>
        <w:rPr>
          <w:rFonts w:cs="Miriam"/>
          <w:b/>
          <w:bCs/>
          <w:sz w:val="24"/>
          <w:szCs w:val="24"/>
          <w:rtl/>
        </w:rPr>
        <w:t>סעיף 4 (</w:t>
      </w:r>
      <w:r>
        <w:rPr>
          <w:rFonts w:ascii="Times New Roman" w:hAnsi="Times New Roman" w:cs="Miriam"/>
          <w:b/>
          <w:bCs/>
          <w:spacing w:val="0"/>
          <w:sz w:val="24"/>
          <w:szCs w:val="24"/>
          <w:rtl/>
        </w:rPr>
        <w:t>...</w:t>
      </w:r>
      <w:r>
        <w:rPr>
          <w:rFonts w:cs="Miriam"/>
          <w:b/>
          <w:bCs/>
          <w:sz w:val="24"/>
          <w:szCs w:val="24"/>
          <w:rtl/>
        </w:rPr>
        <w:t xml:space="preserve">)). </w:t>
      </w:r>
      <w:r>
        <w:rPr>
          <w:rFonts w:cs="Miriam"/>
          <w:b/>
          <w:bCs/>
          <w:sz w:val="24"/>
          <w:szCs w:val="24"/>
          <w:u w:val="single"/>
          <w:rtl/>
        </w:rPr>
        <w:t>יש לעשות כן עוד בטרם ייעשה באקדח שימוש קטלני, באמצעות הרחקת המחזיק בו מן החברה לפרק זמן, והעברת מסר מרתיע באמצעות עונש מאסר ממשי לריצוי בפועל</w:t>
      </w:r>
      <w:r>
        <w:rPr>
          <w:rFonts w:cs="Miriam"/>
          <w:b/>
          <w:bCs/>
          <w:sz w:val="24"/>
          <w:szCs w:val="24"/>
          <w:rtl/>
        </w:rPr>
        <w:t xml:space="preserve"> (ראו למשל </w:t>
      </w:r>
      <w:hyperlink r:id="rId23" w:history="1">
        <w:r w:rsidR="00476F10" w:rsidRPr="00476F10">
          <w:rPr>
            <w:rStyle w:val="Hyperlink"/>
            <w:rFonts w:cs="Miriam"/>
            <w:b/>
            <w:bCs/>
            <w:sz w:val="24"/>
            <w:szCs w:val="24"/>
            <w:rtl/>
          </w:rPr>
          <w:t>ע"פ 3361/08</w:t>
        </w:r>
      </w:hyperlink>
      <w:r>
        <w:rPr>
          <w:rFonts w:cs="Miriam"/>
          <w:b/>
          <w:bCs/>
          <w:sz w:val="24"/>
          <w:szCs w:val="24"/>
          <w:rtl/>
        </w:rPr>
        <w:t xml:space="preserve"> </w:t>
      </w:r>
      <w:r>
        <w:rPr>
          <w:rFonts w:ascii="Times New Roman" w:hAnsi="Times New Roman" w:cs="Miriam"/>
          <w:b/>
          <w:bCs/>
          <w:spacing w:val="0"/>
          <w:sz w:val="24"/>
          <w:szCs w:val="24"/>
          <w:rtl/>
        </w:rPr>
        <w:t xml:space="preserve">ליבוביץ' נ' מדינת ישראל </w:t>
      </w:r>
      <w:r>
        <w:rPr>
          <w:rFonts w:cs="Miriam"/>
          <w:b/>
          <w:bCs/>
          <w:sz w:val="24"/>
          <w:szCs w:val="24"/>
          <w:rtl/>
        </w:rPr>
        <w:t xml:space="preserve">(...) </w:t>
      </w:r>
      <w:r>
        <w:rPr>
          <w:rFonts w:ascii="Times New Roman" w:hAnsi="Times New Roman" w:cs="Miriam"/>
          <w:spacing w:val="0"/>
          <w:szCs w:val="24"/>
          <w:rtl/>
        </w:rPr>
        <w:t>[פורסם בנבו]</w:t>
      </w:r>
      <w:r>
        <w:rPr>
          <w:rFonts w:cs="Miriam"/>
          <w:b/>
          <w:bCs/>
          <w:sz w:val="24"/>
          <w:szCs w:val="24"/>
          <w:rtl/>
        </w:rPr>
        <w:t xml:space="preserve">; </w:t>
      </w:r>
      <w:hyperlink r:id="rId24" w:history="1">
        <w:r w:rsidR="00476F10" w:rsidRPr="00476F10">
          <w:rPr>
            <w:rStyle w:val="Hyperlink"/>
            <w:rFonts w:cs="Miriam"/>
            <w:b/>
            <w:bCs/>
            <w:sz w:val="24"/>
            <w:szCs w:val="24"/>
            <w:rtl/>
          </w:rPr>
          <w:t>ע"פ 5220/09</w:t>
        </w:r>
      </w:hyperlink>
      <w:r>
        <w:rPr>
          <w:rFonts w:cs="Miriam"/>
          <w:b/>
          <w:bCs/>
          <w:sz w:val="24"/>
          <w:szCs w:val="24"/>
          <w:rtl/>
        </w:rPr>
        <w:t xml:space="preserve"> </w:t>
      </w:r>
      <w:r>
        <w:rPr>
          <w:rFonts w:ascii="Times New Roman" w:hAnsi="Times New Roman" w:cs="Miriam"/>
          <w:b/>
          <w:bCs/>
          <w:spacing w:val="0"/>
          <w:sz w:val="24"/>
          <w:szCs w:val="24"/>
          <w:rtl/>
        </w:rPr>
        <w:t>עוואודה נ' מדינת ישראל</w:t>
      </w:r>
      <w:r>
        <w:rPr>
          <w:rFonts w:cs="Miriam"/>
          <w:b/>
          <w:bCs/>
          <w:sz w:val="24"/>
          <w:szCs w:val="24"/>
          <w:rtl/>
        </w:rPr>
        <w:t xml:space="preserve"> (</w:t>
      </w:r>
      <w:r>
        <w:rPr>
          <w:rFonts w:ascii="Times New Roman" w:hAnsi="Times New Roman" w:cs="Miriam"/>
          <w:b/>
          <w:bCs/>
          <w:spacing w:val="0"/>
          <w:sz w:val="24"/>
          <w:szCs w:val="24"/>
          <w:rtl/>
        </w:rPr>
        <w:t>...</w:t>
      </w:r>
      <w:r>
        <w:rPr>
          <w:rFonts w:cs="Miriam"/>
          <w:b/>
          <w:bCs/>
          <w:sz w:val="24"/>
          <w:szCs w:val="24"/>
          <w:rtl/>
        </w:rPr>
        <w:t xml:space="preserve">)" </w:t>
      </w:r>
      <w:r>
        <w:rPr>
          <w:rFonts w:ascii="Times New Roman" w:hAnsi="Times New Roman" w:cs="David"/>
          <w:spacing w:val="0"/>
          <w:szCs w:val="24"/>
          <w:rtl/>
        </w:rPr>
        <w:t xml:space="preserve">[פורסם בנבו] </w:t>
      </w:r>
      <w:r>
        <w:rPr>
          <w:rFonts w:cs="David"/>
          <w:b/>
          <w:bCs/>
          <w:sz w:val="24"/>
          <w:szCs w:val="24"/>
          <w:rtl/>
        </w:rPr>
        <w:t>[ההדגשה של</w:t>
      </w:r>
      <w:r>
        <w:rPr>
          <w:rFonts w:cs="David" w:hint="cs"/>
          <w:b/>
          <w:bCs/>
          <w:sz w:val="24"/>
          <w:szCs w:val="24"/>
          <w:rtl/>
        </w:rPr>
        <w:t>נו</w:t>
      </w:r>
      <w:r>
        <w:rPr>
          <w:rFonts w:cs="David"/>
          <w:b/>
          <w:bCs/>
          <w:sz w:val="24"/>
          <w:szCs w:val="24"/>
          <w:rtl/>
        </w:rPr>
        <w:t xml:space="preserve">]. </w:t>
      </w:r>
    </w:p>
    <w:p w14:paraId="2A433D61" w14:textId="77777777" w:rsidR="00E83854" w:rsidRDefault="00E83854">
      <w:pPr>
        <w:spacing w:line="360" w:lineRule="auto"/>
        <w:ind w:left="720"/>
        <w:jc w:val="both"/>
        <w:rPr>
          <w:rtl/>
        </w:rPr>
      </w:pPr>
    </w:p>
    <w:p w14:paraId="70967838" w14:textId="77777777" w:rsidR="00E83854" w:rsidRDefault="00E83854">
      <w:pPr>
        <w:spacing w:line="360" w:lineRule="auto"/>
        <w:ind w:left="720"/>
        <w:jc w:val="both"/>
        <w:rPr>
          <w:rtl/>
        </w:rPr>
      </w:pPr>
    </w:p>
    <w:p w14:paraId="578EEF35" w14:textId="77777777" w:rsidR="00E83854" w:rsidRDefault="00E83854">
      <w:pPr>
        <w:spacing w:line="360" w:lineRule="auto"/>
        <w:ind w:left="720"/>
        <w:jc w:val="both"/>
        <w:rPr>
          <w:rtl/>
        </w:rPr>
      </w:pPr>
    </w:p>
    <w:p w14:paraId="217BAFA1" w14:textId="77777777" w:rsidR="00E83854" w:rsidRDefault="00F04BE5">
      <w:pPr>
        <w:spacing w:line="360" w:lineRule="auto"/>
        <w:ind w:left="720"/>
        <w:jc w:val="both"/>
        <w:rPr>
          <w:b/>
          <w:bCs/>
          <w:rtl/>
        </w:rPr>
      </w:pPr>
      <w:r>
        <w:rPr>
          <w:rtl/>
        </w:rPr>
        <w:t>דברים דומים נאמרו ב</w:t>
      </w:r>
      <w:hyperlink r:id="rId25" w:history="1">
        <w:r w:rsidR="00476F10" w:rsidRPr="00476F10">
          <w:rPr>
            <w:rStyle w:val="Hyperlink"/>
            <w:b/>
            <w:bCs/>
            <w:rtl/>
          </w:rPr>
          <w:t>ע"פ 6671/06</w:t>
        </w:r>
      </w:hyperlink>
      <w:r>
        <w:rPr>
          <w:b/>
          <w:bCs/>
          <w:rtl/>
        </w:rPr>
        <w:t xml:space="preserve"> מדינת ישראל נ' מאדי סרור</w:t>
      </w:r>
      <w:r>
        <w:rPr>
          <w:rtl/>
        </w:rPr>
        <w:t xml:space="preserve"> </w:t>
      </w:r>
      <w:r>
        <w:rPr>
          <w:sz w:val="22"/>
          <w:rtl/>
        </w:rPr>
        <w:t xml:space="preserve">[פורסם בנבו] </w:t>
      </w:r>
      <w:r>
        <w:rPr>
          <w:rtl/>
        </w:rPr>
        <w:t>(</w:t>
      </w:r>
      <w:r>
        <w:rPr>
          <w:b/>
          <w:bCs/>
          <w:rtl/>
        </w:rPr>
        <w:t>פסק דין מיום 14.12.06, פורסם ב"דינים"):</w:t>
      </w:r>
    </w:p>
    <w:p w14:paraId="210D7221" w14:textId="77777777" w:rsidR="00E83854" w:rsidRDefault="00E83854">
      <w:pPr>
        <w:spacing w:line="360" w:lineRule="auto"/>
        <w:ind w:left="1440" w:hanging="720"/>
        <w:jc w:val="both"/>
        <w:rPr>
          <w:b/>
          <w:bCs/>
          <w:rtl/>
        </w:rPr>
      </w:pPr>
    </w:p>
    <w:p w14:paraId="1BE03023" w14:textId="77777777" w:rsidR="00E83854" w:rsidRDefault="00F04BE5">
      <w:pPr>
        <w:spacing w:line="360" w:lineRule="auto"/>
        <w:ind w:left="1701" w:right="900"/>
        <w:jc w:val="both"/>
        <w:rPr>
          <w:rFonts w:cs="Miriam"/>
          <w:b/>
          <w:bCs/>
          <w:rtl/>
        </w:rPr>
      </w:pPr>
      <w:r>
        <w:rPr>
          <w:rFonts w:cs="Miriam"/>
          <w:b/>
          <w:bCs/>
          <w:rtl/>
        </w:rPr>
        <w:t xml:space="preserve">"(...) החזקת נשק טעון מקרבת את הסיכון לאלימות קשה עד קטלנית. המציאות בארץ מחייבת מתן ביטוי עונשי הולם לאותה מסוכנות כמו גם לזמינותם ונפיצותם של כלי נשק למיניהם". </w:t>
      </w:r>
    </w:p>
    <w:p w14:paraId="02A36185" w14:textId="77777777" w:rsidR="00E83854" w:rsidRDefault="00E83854">
      <w:pPr>
        <w:spacing w:line="360" w:lineRule="auto"/>
        <w:ind w:left="2160" w:right="900"/>
        <w:jc w:val="both"/>
        <w:rPr>
          <w:b/>
          <w:bCs/>
          <w:highlight w:val="yellow"/>
          <w:rtl/>
        </w:rPr>
      </w:pPr>
    </w:p>
    <w:p w14:paraId="50E0E4A3" w14:textId="77777777" w:rsidR="00E83854" w:rsidRDefault="00F04BE5">
      <w:pPr>
        <w:spacing w:line="360" w:lineRule="auto"/>
        <w:ind w:left="720"/>
        <w:jc w:val="both"/>
        <w:rPr>
          <w:b/>
          <w:bCs/>
          <w:rtl/>
        </w:rPr>
      </w:pPr>
      <w:r>
        <w:rPr>
          <w:rtl/>
        </w:rPr>
        <w:t>ו</w:t>
      </w:r>
      <w:r>
        <w:rPr>
          <w:b/>
          <w:bCs/>
          <w:rtl/>
        </w:rPr>
        <w:t>ב</w:t>
      </w:r>
      <w:hyperlink r:id="rId26" w:history="1">
        <w:r w:rsidR="00476F10" w:rsidRPr="00476F10">
          <w:rPr>
            <w:rStyle w:val="Hyperlink"/>
            <w:b/>
            <w:bCs/>
            <w:rtl/>
          </w:rPr>
          <w:t>ע"פ 7955/06</w:t>
        </w:r>
      </w:hyperlink>
      <w:r>
        <w:rPr>
          <w:b/>
          <w:bCs/>
          <w:rtl/>
        </w:rPr>
        <w:t xml:space="preserve"> מיסור כרכור נ' מדינת ישראל (פסק דין מיום 1.1.07, פורסם באתר האינטרנט</w:t>
      </w:r>
      <w:r>
        <w:rPr>
          <w:rFonts w:hint="cs"/>
          <w:b/>
          <w:bCs/>
          <w:rtl/>
        </w:rPr>
        <w:t xml:space="preserve"> </w:t>
      </w:r>
      <w:r>
        <w:rPr>
          <w:b/>
          <w:bCs/>
          <w:rtl/>
        </w:rPr>
        <w:t xml:space="preserve">של בית המשפט העליון </w:t>
      </w:r>
      <w:r>
        <w:rPr>
          <w:sz w:val="22"/>
          <w:rtl/>
        </w:rPr>
        <w:t>[פורסם בנבו]</w:t>
      </w:r>
      <w:r>
        <w:rPr>
          <w:b/>
          <w:bCs/>
          <w:rtl/>
        </w:rPr>
        <w:t>)</w:t>
      </w:r>
      <w:r>
        <w:rPr>
          <w:rtl/>
        </w:rPr>
        <w:t xml:space="preserve"> אמר בית המשפט העליון כדלקמן:</w:t>
      </w:r>
    </w:p>
    <w:p w14:paraId="5EB01955" w14:textId="77777777" w:rsidR="00E83854" w:rsidRDefault="00E83854">
      <w:pPr>
        <w:spacing w:line="360" w:lineRule="auto"/>
        <w:ind w:left="1440" w:hanging="1440"/>
        <w:jc w:val="both"/>
        <w:rPr>
          <w:b/>
          <w:bCs/>
          <w:rtl/>
        </w:rPr>
      </w:pPr>
    </w:p>
    <w:p w14:paraId="24C8B3BD" w14:textId="77777777" w:rsidR="00E83854" w:rsidRDefault="00F04BE5">
      <w:pPr>
        <w:spacing w:line="360" w:lineRule="auto"/>
        <w:ind w:left="1701" w:right="900" w:hanging="2160"/>
        <w:jc w:val="both"/>
        <w:rPr>
          <w:rFonts w:cs="Miriam"/>
          <w:b/>
          <w:bCs/>
          <w:rtl/>
        </w:rPr>
      </w:pPr>
      <w:r>
        <w:rPr>
          <w:rFonts w:cs="Miriam"/>
          <w:b/>
          <w:bCs/>
          <w:rtl/>
        </w:rPr>
        <w:tab/>
        <w:t>"(...) החזקת נשק שלא כדין על ידי מי שלא הורשה לכך, היא עבירה לה נודע</w:t>
      </w:r>
      <w:r>
        <w:rPr>
          <w:rFonts w:cs="Miriam" w:hint="cs"/>
          <w:b/>
          <w:bCs/>
          <w:rtl/>
        </w:rPr>
        <w:t>ו</w:t>
      </w:r>
      <w:r>
        <w:rPr>
          <w:rFonts w:cs="Miriam"/>
          <w:b/>
          <w:bCs/>
          <w:rtl/>
        </w:rPr>
        <w:t>ת השלכות חמורות במיוחד בשנים האחרונות, כאשר עבריינים עושים שימוש תכוף בנשק חם כדי לבצע עבירות או כדי לחסל חשבונות עם יריבים. כתוצאה מכך נפגעו לא אחת אנשים חפים מפשע, ועל כך השקפת הפסיקה היא כי יש לגזור למבצעיהם של עבירות מסוג זה עונשי מאסר מתוך תקווה שבדרך זו ניתן יהיה לצמצם את מימדיה של התופעה".</w:t>
      </w:r>
    </w:p>
    <w:p w14:paraId="42A415AE" w14:textId="77777777" w:rsidR="00E83854" w:rsidRDefault="00E83854">
      <w:pPr>
        <w:pStyle w:val="Ruller40"/>
        <w:spacing w:line="240" w:lineRule="auto"/>
        <w:ind w:left="720"/>
        <w:rPr>
          <w:rFonts w:cs="Miriam"/>
          <w:sz w:val="24"/>
          <w:szCs w:val="24"/>
          <w:rtl/>
        </w:rPr>
      </w:pPr>
    </w:p>
    <w:p w14:paraId="2BE07AA5" w14:textId="77777777" w:rsidR="00E83854" w:rsidRDefault="00F04BE5">
      <w:pPr>
        <w:pStyle w:val="Ruller40"/>
        <w:numPr>
          <w:ilvl w:val="0"/>
          <w:numId w:val="1"/>
        </w:numPr>
        <w:rPr>
          <w:rFonts w:cs="David"/>
          <w:sz w:val="24"/>
          <w:szCs w:val="24"/>
        </w:rPr>
      </w:pPr>
      <w:r>
        <w:rPr>
          <w:rFonts w:cs="David" w:hint="cs"/>
          <w:sz w:val="24"/>
          <w:szCs w:val="24"/>
          <w:rtl/>
        </w:rPr>
        <w:t>לאור האמור לעיל אנו קובעים כי מתחם העונש ההולם עומד על עונש מאסר בפועל שבין 17 ל-24 שנות מאסר.</w:t>
      </w:r>
    </w:p>
    <w:p w14:paraId="5DCDDBE3" w14:textId="77777777" w:rsidR="00E83854" w:rsidRDefault="00E83854">
      <w:pPr>
        <w:pStyle w:val="Ruller40"/>
        <w:spacing w:line="240" w:lineRule="auto"/>
        <w:ind w:left="1440" w:right="720"/>
        <w:rPr>
          <w:rFonts w:cs="David"/>
          <w:sz w:val="24"/>
          <w:szCs w:val="24"/>
        </w:rPr>
      </w:pPr>
    </w:p>
    <w:p w14:paraId="3D798C66" w14:textId="77777777" w:rsidR="00E83854" w:rsidRDefault="00F04BE5">
      <w:pPr>
        <w:spacing w:line="360" w:lineRule="auto"/>
        <w:jc w:val="both"/>
        <w:rPr>
          <w:b/>
          <w:bCs/>
          <w:color w:val="000000"/>
          <w:u w:val="single"/>
          <w:rtl/>
        </w:rPr>
      </w:pPr>
      <w:r>
        <w:rPr>
          <w:b/>
          <w:bCs/>
          <w:rtl/>
        </w:rPr>
        <w:t>ז.</w:t>
      </w:r>
      <w:r>
        <w:rPr>
          <w:b/>
          <w:bCs/>
          <w:rtl/>
        </w:rPr>
        <w:tab/>
      </w:r>
      <w:r>
        <w:rPr>
          <w:b/>
          <w:bCs/>
          <w:u w:val="single"/>
          <w:rtl/>
        </w:rPr>
        <w:t>העונש המתאים</w:t>
      </w:r>
    </w:p>
    <w:p w14:paraId="7B0C0556" w14:textId="77777777" w:rsidR="00E83854" w:rsidRDefault="00E83854">
      <w:pPr>
        <w:jc w:val="both"/>
        <w:rPr>
          <w:b/>
          <w:bCs/>
          <w:color w:val="000000"/>
          <w:u w:val="single"/>
          <w:rtl/>
        </w:rPr>
      </w:pPr>
    </w:p>
    <w:p w14:paraId="17359DBE" w14:textId="77777777" w:rsidR="00E83854" w:rsidRDefault="00F04BE5">
      <w:pPr>
        <w:spacing w:line="360" w:lineRule="auto"/>
        <w:ind w:left="720"/>
        <w:jc w:val="both"/>
        <w:outlineLvl w:val="0"/>
        <w:rPr>
          <w:color w:val="000000"/>
          <w:rtl/>
        </w:rPr>
      </w:pPr>
      <w:r>
        <w:rPr>
          <w:rFonts w:hint="cs"/>
          <w:color w:val="000000"/>
          <w:rtl/>
        </w:rPr>
        <w:t>במקרה זה איננו רואים לחרוג ממתחם העונש ההולם. שאלת שיקום אינה עומדת על הפרק, ולאור האמור בתסקיר שרות המבחן ועברו הפלילי של הנאשם לא נראה שיש חשש למסוכנות בעתיד. לכך נוסיף כי אנו סבורים שיש לאמץ את הסדר הטיעון בהתאם לקריטריונים שנקבעו בפרשת פלוני (</w:t>
      </w:r>
      <w:hyperlink r:id="rId27" w:history="1">
        <w:r w:rsidR="00476F10" w:rsidRPr="00476F10">
          <w:rPr>
            <w:rStyle w:val="Hyperlink"/>
            <w:rFonts w:cs="David"/>
            <w:rtl/>
          </w:rPr>
          <w:t>ע"פ 1958/98 פלוני נ' מדינת ישראל, פ"ד נז</w:t>
        </w:r>
      </w:hyperlink>
      <w:r>
        <w:rPr>
          <w:rFonts w:hint="cs"/>
          <w:rtl/>
        </w:rPr>
        <w:t>(1) 577 (2002)</w:t>
      </w:r>
      <w:r>
        <w:rPr>
          <w:rFonts w:hint="cs"/>
          <w:color w:val="000000"/>
          <w:rtl/>
        </w:rPr>
        <w:t>).</w:t>
      </w:r>
    </w:p>
    <w:p w14:paraId="7EF15245" w14:textId="77777777" w:rsidR="00E83854" w:rsidRDefault="00E83854">
      <w:pPr>
        <w:spacing w:line="360" w:lineRule="auto"/>
        <w:ind w:left="720"/>
        <w:jc w:val="both"/>
        <w:outlineLvl w:val="0"/>
        <w:rPr>
          <w:color w:val="000000"/>
          <w:rtl/>
        </w:rPr>
      </w:pPr>
    </w:p>
    <w:p w14:paraId="0AEE0F84" w14:textId="77777777" w:rsidR="00E83854" w:rsidRDefault="00F04BE5">
      <w:pPr>
        <w:spacing w:line="360" w:lineRule="auto"/>
        <w:ind w:left="720"/>
        <w:jc w:val="both"/>
        <w:outlineLvl w:val="0"/>
        <w:rPr>
          <w:rtl/>
        </w:rPr>
      </w:pPr>
      <w:r>
        <w:rPr>
          <w:rFonts w:hint="cs"/>
          <w:rtl/>
        </w:rPr>
        <w:t xml:space="preserve">הנאשם הוא צעיר כבן 23. נטל אחריות על מעשיו, הביע צער וחרטה גם כלפי משפחת המנוח. עד לאירועי כתב האישום, חי הנאשם חיים נורמטיביים, סיים לימודי תיכון עם בגרות מלאה, הקים עסק ועבד בו במשך שנתיים עד מעצרו. הסתבכותו היחידה בעבר היתה בשל קטטה בה נטל חלק בעת שהיה תלמיד כיתה יב', בגינה נשפט בבית משפט לנוער, ללא הרשעה. </w:t>
      </w:r>
    </w:p>
    <w:p w14:paraId="69D5E489" w14:textId="77777777" w:rsidR="00E83854" w:rsidRDefault="00F04BE5">
      <w:pPr>
        <w:spacing w:line="360" w:lineRule="auto"/>
        <w:ind w:left="720"/>
        <w:jc w:val="both"/>
        <w:outlineLvl w:val="0"/>
        <w:rPr>
          <w:rtl/>
        </w:rPr>
      </w:pPr>
      <w:r>
        <w:rPr>
          <w:rFonts w:hint="cs"/>
          <w:rtl/>
        </w:rPr>
        <w:t xml:space="preserve">לאור תיקון עובדות כתב האישום המקורי והוראת החיקוק המקורית (רצח בכוונה תחילה), תיקון שנעשה במסגרת הסדר הטיעון, ניתן להבין מדוע ניהל הנאשם את המשפט עד לאותו מועד. כך גם ניתן לראות את ההפחתה מחומרת המעשים כפי שתוארו בעובדות כתב האישום המתוקן. </w:t>
      </w:r>
    </w:p>
    <w:p w14:paraId="4DAD54B4" w14:textId="77777777" w:rsidR="00E83854" w:rsidRDefault="00E83854">
      <w:pPr>
        <w:ind w:left="720"/>
        <w:jc w:val="both"/>
        <w:outlineLvl w:val="0"/>
        <w:rPr>
          <w:rtl/>
        </w:rPr>
      </w:pPr>
    </w:p>
    <w:p w14:paraId="0D975DAD" w14:textId="77777777" w:rsidR="00E83854" w:rsidRDefault="00F04BE5">
      <w:pPr>
        <w:spacing w:line="360" w:lineRule="auto"/>
        <w:ind w:left="720"/>
        <w:jc w:val="both"/>
        <w:outlineLvl w:val="0"/>
        <w:rPr>
          <w:rtl/>
        </w:rPr>
      </w:pPr>
      <w:r>
        <w:rPr>
          <w:rFonts w:hint="cs"/>
          <w:rtl/>
        </w:rPr>
        <w:t>עם זאת אנו סבורים כי בבואנו לקבוע את העונש הראוי במקרה זה עלינו לשוות לנגד עינינו את הצורך בהרתעת הרבים מפני ביצוע עבירות מסוג העבירות שביצע הנאשם. אנו מאמינים כי הענישה בעניינו של הנאשם תביא לתוצאה המקווה.</w:t>
      </w:r>
    </w:p>
    <w:p w14:paraId="02F178FD" w14:textId="77777777" w:rsidR="00E83854" w:rsidRDefault="00E83854">
      <w:pPr>
        <w:ind w:left="720"/>
        <w:jc w:val="both"/>
        <w:outlineLvl w:val="0"/>
        <w:rPr>
          <w:rtl/>
        </w:rPr>
      </w:pPr>
    </w:p>
    <w:p w14:paraId="04BB2BCD" w14:textId="77777777" w:rsidR="00E83854" w:rsidRDefault="00F04BE5">
      <w:pPr>
        <w:ind w:left="720" w:hanging="720"/>
        <w:jc w:val="both"/>
        <w:rPr>
          <w:b/>
          <w:bCs/>
          <w:u w:val="single"/>
          <w:rtl/>
        </w:rPr>
      </w:pPr>
      <w:r>
        <w:rPr>
          <w:b/>
          <w:bCs/>
          <w:rtl/>
        </w:rPr>
        <w:t>ח.</w:t>
      </w:r>
      <w:r>
        <w:rPr>
          <w:b/>
          <w:bCs/>
          <w:rtl/>
        </w:rPr>
        <w:tab/>
      </w:r>
      <w:r>
        <w:rPr>
          <w:b/>
          <w:bCs/>
          <w:u w:val="single"/>
          <w:rtl/>
        </w:rPr>
        <w:t>סיכום</w:t>
      </w:r>
    </w:p>
    <w:p w14:paraId="1B8BF932" w14:textId="77777777" w:rsidR="00E83854" w:rsidRDefault="00E83854">
      <w:pPr>
        <w:ind w:left="720" w:hanging="720"/>
        <w:jc w:val="both"/>
        <w:rPr>
          <w:b/>
          <w:bCs/>
          <w:u w:val="single"/>
          <w:rtl/>
        </w:rPr>
      </w:pPr>
    </w:p>
    <w:p w14:paraId="63E3B397" w14:textId="77777777" w:rsidR="00E83854" w:rsidRDefault="00F04BE5">
      <w:pPr>
        <w:spacing w:line="360" w:lineRule="auto"/>
        <w:ind w:left="714"/>
        <w:jc w:val="both"/>
        <w:rPr>
          <w:rtl/>
        </w:rPr>
      </w:pPr>
      <w:r>
        <w:rPr>
          <w:rFonts w:hint="cs"/>
          <w:rtl/>
        </w:rPr>
        <w:t>אשר על כן ו</w:t>
      </w:r>
      <w:r>
        <w:rPr>
          <w:rtl/>
        </w:rPr>
        <w:t>לאור כל האמור לעיל אנו מחליטים להטיל על הנאשם את העונשים הבאים:</w:t>
      </w:r>
    </w:p>
    <w:p w14:paraId="316DA0E7" w14:textId="77777777" w:rsidR="00E83854" w:rsidRDefault="00E83854">
      <w:pPr>
        <w:ind w:left="714"/>
        <w:jc w:val="both"/>
        <w:rPr>
          <w:rtl/>
        </w:rPr>
      </w:pPr>
    </w:p>
    <w:p w14:paraId="55C2956F" w14:textId="77777777" w:rsidR="00E83854" w:rsidRDefault="00F04BE5">
      <w:pPr>
        <w:spacing w:line="360" w:lineRule="auto"/>
        <w:ind w:left="714"/>
        <w:jc w:val="both"/>
        <w:rPr>
          <w:rtl/>
        </w:rPr>
      </w:pPr>
      <w:r>
        <w:rPr>
          <w:rFonts w:hint="cs"/>
          <w:u w:val="single"/>
          <w:rtl/>
        </w:rPr>
        <w:t>20</w:t>
      </w:r>
      <w:r>
        <w:rPr>
          <w:rFonts w:hint="cs"/>
          <w:rtl/>
        </w:rPr>
        <w:t xml:space="preserve"> שנות מאסר לריצוי בפועל. תקופת המאסר תחושב מן היום שבו נעצר הנאשם בקשר לתיק זה, 13.4.2012.</w:t>
      </w:r>
    </w:p>
    <w:p w14:paraId="24EBA329" w14:textId="77777777" w:rsidR="00E83854" w:rsidRDefault="00E83854">
      <w:pPr>
        <w:ind w:left="714"/>
        <w:jc w:val="both"/>
        <w:rPr>
          <w:highlight w:val="yellow"/>
          <w:rtl/>
        </w:rPr>
      </w:pPr>
    </w:p>
    <w:p w14:paraId="7EDF1B94" w14:textId="77777777" w:rsidR="00E83854" w:rsidRDefault="00F04BE5">
      <w:pPr>
        <w:spacing w:line="360" w:lineRule="auto"/>
        <w:ind w:left="714"/>
        <w:jc w:val="both"/>
        <w:rPr>
          <w:rtl/>
        </w:rPr>
      </w:pPr>
      <w:r>
        <w:rPr>
          <w:rFonts w:hint="cs"/>
          <w:rtl/>
        </w:rPr>
        <w:t>שנתיים מאסר על תנאי למשך 3 שנים והתנאי הוא שהנאשם לא יעבור בתקופה זו עבירת אלימות מסוג פשע, או עבירות בנשק, ויורשע עליה.</w:t>
      </w:r>
    </w:p>
    <w:p w14:paraId="50320C1A" w14:textId="77777777" w:rsidR="00E83854" w:rsidRDefault="00E83854">
      <w:pPr>
        <w:ind w:left="714"/>
        <w:jc w:val="both"/>
        <w:rPr>
          <w:highlight w:val="yellow"/>
          <w:rtl/>
        </w:rPr>
      </w:pPr>
    </w:p>
    <w:p w14:paraId="2B072DB8" w14:textId="77777777" w:rsidR="00E83854" w:rsidRDefault="00F04BE5">
      <w:pPr>
        <w:spacing w:line="360" w:lineRule="auto"/>
        <w:ind w:left="714"/>
        <w:jc w:val="both"/>
        <w:rPr>
          <w:rtl/>
        </w:rPr>
      </w:pPr>
      <w:r>
        <w:rPr>
          <w:rFonts w:hint="cs"/>
          <w:rtl/>
        </w:rPr>
        <w:t>אנו מחייבים את הנאשם לשלם לעיזבון המנוח, באמצעות הורי המנוח, פיצויים בסך 150,000 ₪. הנאשם יפקיד את הסכום האמור בקופת בית משפט עד ליום 1.5.2014. המאשימה תמסור למזכירות בית המשפט את הפרטים הדרושים לצורך קבלת התשלום.</w:t>
      </w:r>
    </w:p>
    <w:p w14:paraId="4D71B160" w14:textId="77777777" w:rsidR="00E83854" w:rsidRDefault="00E83854">
      <w:pPr>
        <w:ind w:left="714"/>
        <w:jc w:val="both"/>
        <w:rPr>
          <w:b/>
          <w:bCs/>
          <w:rtl/>
        </w:rPr>
      </w:pPr>
    </w:p>
    <w:p w14:paraId="1DAE9F4C" w14:textId="77777777" w:rsidR="00E83854" w:rsidRDefault="00F04BE5">
      <w:pPr>
        <w:ind w:left="714"/>
        <w:jc w:val="both"/>
        <w:rPr>
          <w:b/>
          <w:bCs/>
          <w:rtl/>
        </w:rPr>
      </w:pPr>
      <w:r>
        <w:rPr>
          <w:b/>
          <w:bCs/>
          <w:rtl/>
        </w:rPr>
        <w:t>זכות ערעור לבית המשפט העליון תוך 45 יום מהיום.</w:t>
      </w:r>
    </w:p>
    <w:p w14:paraId="4F21DDE8" w14:textId="77777777" w:rsidR="00E83854" w:rsidRDefault="00E83854">
      <w:pPr>
        <w:spacing w:line="360" w:lineRule="auto"/>
        <w:rPr>
          <w:rtl/>
        </w:rPr>
      </w:pPr>
    </w:p>
    <w:p w14:paraId="614AE911" w14:textId="77777777" w:rsidR="00E83854" w:rsidRDefault="00F04BE5">
      <w:pPr>
        <w:spacing w:line="360" w:lineRule="auto"/>
        <w:jc w:val="both"/>
        <w:rPr>
          <w:rFonts w:ascii="Arial" w:hAnsi="Arial"/>
          <w:rtl/>
        </w:rPr>
      </w:pPr>
      <w:r>
        <w:rPr>
          <w:rFonts w:ascii="Arial" w:hAnsi="Arial"/>
          <w:b/>
          <w:bCs/>
          <w:rtl/>
        </w:rPr>
        <w:t xml:space="preserve">ניתן היום, יג' י"ג תשרי תשע"ד, 17 ספטמבר 2013, במעמד באי כח הצדדים והנאשם.  </w:t>
      </w:r>
    </w:p>
    <w:p w14:paraId="11DC1E93" w14:textId="77777777" w:rsidR="00E83854" w:rsidRPr="00F04BE5" w:rsidRDefault="00F04BE5">
      <w:pPr>
        <w:spacing w:line="360" w:lineRule="auto"/>
        <w:jc w:val="both"/>
        <w:rPr>
          <w:rFonts w:ascii="Arial" w:hAnsi="Arial"/>
          <w:color w:val="FFFFFF"/>
          <w:sz w:val="2"/>
          <w:szCs w:val="2"/>
          <w:rtl/>
        </w:rPr>
      </w:pPr>
      <w:r w:rsidRPr="00F04BE5">
        <w:rPr>
          <w:rFonts w:ascii="Arial" w:hAnsi="Arial"/>
          <w:color w:val="FFFFFF"/>
          <w:sz w:val="2"/>
          <w:szCs w:val="2"/>
          <w:rtl/>
        </w:rPr>
        <w:t>5129371</w:t>
      </w:r>
    </w:p>
    <w:tbl>
      <w:tblPr>
        <w:bidiVisual/>
        <w:tblW w:w="0" w:type="auto"/>
        <w:tblLook w:val="01E0" w:firstRow="1" w:lastRow="1" w:firstColumn="1" w:lastColumn="1" w:noHBand="0" w:noVBand="0"/>
      </w:tblPr>
      <w:tblGrid>
        <w:gridCol w:w="2474"/>
        <w:gridCol w:w="360"/>
        <w:gridCol w:w="2392"/>
        <w:gridCol w:w="308"/>
        <w:gridCol w:w="2520"/>
      </w:tblGrid>
      <w:tr w:rsidR="00E83854" w14:paraId="187F43F4" w14:textId="77777777">
        <w:tc>
          <w:tcPr>
            <w:tcW w:w="2474" w:type="dxa"/>
            <w:tcBorders>
              <w:top w:val="nil"/>
              <w:left w:val="nil"/>
              <w:bottom w:val="single" w:sz="4" w:space="0" w:color="auto"/>
              <w:right w:val="nil"/>
            </w:tcBorders>
            <w:vAlign w:val="center"/>
          </w:tcPr>
          <w:p w14:paraId="448DA85F" w14:textId="77777777" w:rsidR="00E83854" w:rsidRPr="00F04BE5" w:rsidRDefault="00F04BE5">
            <w:pPr>
              <w:spacing w:line="360" w:lineRule="auto"/>
              <w:jc w:val="center"/>
              <w:rPr>
                <w:rFonts w:ascii="Courier New" w:hAnsi="Courier New"/>
                <w:b/>
                <w:bCs/>
                <w:color w:val="FFFFFF"/>
                <w:sz w:val="2"/>
                <w:szCs w:val="2"/>
              </w:rPr>
            </w:pPr>
            <w:bookmarkStart w:id="7" w:name="_GoBack"/>
            <w:bookmarkEnd w:id="7"/>
            <w:r w:rsidRPr="00F04BE5">
              <w:rPr>
                <w:rFonts w:ascii="Courier New" w:hAnsi="Courier New"/>
                <w:b/>
                <w:bCs/>
                <w:color w:val="FFFFFF"/>
                <w:sz w:val="2"/>
                <w:szCs w:val="2"/>
                <w:rtl/>
              </w:rPr>
              <w:t>54678313</w:t>
            </w:r>
          </w:p>
        </w:tc>
        <w:tc>
          <w:tcPr>
            <w:tcW w:w="360" w:type="dxa"/>
            <w:vAlign w:val="center"/>
          </w:tcPr>
          <w:p w14:paraId="09811C7B" w14:textId="77777777" w:rsidR="00E83854" w:rsidRDefault="00E83854">
            <w:pPr>
              <w:spacing w:line="360" w:lineRule="auto"/>
              <w:jc w:val="center"/>
              <w:rPr>
                <w:rFonts w:ascii="Courier New" w:hAnsi="Courier New"/>
                <w:b/>
                <w:bCs/>
              </w:rPr>
            </w:pPr>
          </w:p>
        </w:tc>
        <w:tc>
          <w:tcPr>
            <w:tcW w:w="2392" w:type="dxa"/>
            <w:tcBorders>
              <w:top w:val="nil"/>
              <w:left w:val="nil"/>
              <w:bottom w:val="single" w:sz="4" w:space="0" w:color="auto"/>
              <w:right w:val="nil"/>
            </w:tcBorders>
            <w:vAlign w:val="center"/>
          </w:tcPr>
          <w:p w14:paraId="392E579A" w14:textId="77777777" w:rsidR="00E83854" w:rsidRDefault="00E83854">
            <w:pPr>
              <w:spacing w:line="360" w:lineRule="auto"/>
              <w:jc w:val="center"/>
              <w:rPr>
                <w:rFonts w:ascii="Courier New" w:hAnsi="Courier New"/>
                <w:b/>
                <w:bCs/>
              </w:rPr>
            </w:pPr>
          </w:p>
        </w:tc>
        <w:tc>
          <w:tcPr>
            <w:tcW w:w="308" w:type="dxa"/>
            <w:vAlign w:val="center"/>
          </w:tcPr>
          <w:p w14:paraId="41E37C46" w14:textId="77777777" w:rsidR="00E83854" w:rsidRDefault="00E83854">
            <w:pPr>
              <w:spacing w:line="360" w:lineRule="auto"/>
              <w:jc w:val="center"/>
              <w:rPr>
                <w:rFonts w:ascii="Courier New" w:hAnsi="Courier New"/>
                <w:b/>
                <w:bCs/>
              </w:rPr>
            </w:pPr>
          </w:p>
        </w:tc>
        <w:tc>
          <w:tcPr>
            <w:tcW w:w="2520" w:type="dxa"/>
            <w:tcBorders>
              <w:top w:val="nil"/>
              <w:left w:val="nil"/>
              <w:bottom w:val="single" w:sz="4" w:space="0" w:color="auto"/>
              <w:right w:val="nil"/>
            </w:tcBorders>
            <w:vAlign w:val="center"/>
          </w:tcPr>
          <w:p w14:paraId="4F234E4A" w14:textId="77777777" w:rsidR="00E83854" w:rsidRDefault="00E83854">
            <w:pPr>
              <w:spacing w:line="360" w:lineRule="auto"/>
              <w:jc w:val="center"/>
              <w:rPr>
                <w:rFonts w:ascii="Courier New" w:hAnsi="Courier New"/>
                <w:b/>
                <w:bCs/>
              </w:rPr>
            </w:pPr>
          </w:p>
        </w:tc>
      </w:tr>
      <w:tr w:rsidR="00E83854" w14:paraId="4AC2235F" w14:textId="77777777">
        <w:tc>
          <w:tcPr>
            <w:tcW w:w="2474" w:type="dxa"/>
            <w:tcBorders>
              <w:top w:val="single" w:sz="4" w:space="0" w:color="auto"/>
              <w:left w:val="nil"/>
              <w:bottom w:val="nil"/>
              <w:right w:val="nil"/>
            </w:tcBorders>
          </w:tcPr>
          <w:p w14:paraId="655E9DA9" w14:textId="77777777" w:rsidR="00E83854" w:rsidRDefault="00F04BE5">
            <w:pPr>
              <w:spacing w:line="360" w:lineRule="auto"/>
              <w:jc w:val="center"/>
              <w:rPr>
                <w:b/>
                <w:bCs/>
                <w:noProof/>
                <w:sz w:val="28"/>
                <w:rtl/>
              </w:rPr>
            </w:pPr>
            <w:r>
              <w:rPr>
                <w:rFonts w:hint="cs"/>
                <w:b/>
                <w:bCs/>
                <w:sz w:val="28"/>
                <w:rtl/>
              </w:rPr>
              <w:t xml:space="preserve">י. אלרון </w:t>
            </w:r>
            <w:r>
              <w:rPr>
                <w:b/>
                <w:bCs/>
                <w:sz w:val="28"/>
                <w:rtl/>
              </w:rPr>
              <w:t>–</w:t>
            </w:r>
            <w:r>
              <w:rPr>
                <w:rFonts w:hint="cs"/>
                <w:b/>
                <w:bCs/>
                <w:sz w:val="28"/>
                <w:rtl/>
              </w:rPr>
              <w:t xml:space="preserve"> נשיא</w:t>
            </w:r>
          </w:p>
          <w:p w14:paraId="79D35B2C" w14:textId="77777777" w:rsidR="00E83854" w:rsidRDefault="00F04BE5">
            <w:pPr>
              <w:spacing w:line="360" w:lineRule="auto"/>
              <w:jc w:val="center"/>
              <w:rPr>
                <w:b/>
                <w:bCs/>
                <w:noProof/>
                <w:sz w:val="28"/>
              </w:rPr>
            </w:pPr>
            <w:r>
              <w:rPr>
                <w:rFonts w:hint="cs"/>
                <w:b/>
                <w:bCs/>
                <w:sz w:val="28"/>
                <w:rtl/>
              </w:rPr>
              <w:t>[אב"ד]</w:t>
            </w:r>
          </w:p>
        </w:tc>
        <w:tc>
          <w:tcPr>
            <w:tcW w:w="360" w:type="dxa"/>
          </w:tcPr>
          <w:p w14:paraId="3C5D8DB6" w14:textId="77777777" w:rsidR="00E83854" w:rsidRDefault="00E83854">
            <w:pPr>
              <w:spacing w:line="360" w:lineRule="auto"/>
              <w:jc w:val="center"/>
              <w:rPr>
                <w:b/>
                <w:bCs/>
                <w:noProof/>
                <w:color w:val="FF0000"/>
                <w:sz w:val="28"/>
              </w:rPr>
            </w:pPr>
          </w:p>
        </w:tc>
        <w:tc>
          <w:tcPr>
            <w:tcW w:w="2392" w:type="dxa"/>
            <w:tcBorders>
              <w:top w:val="single" w:sz="4" w:space="0" w:color="auto"/>
              <w:left w:val="nil"/>
              <w:bottom w:val="nil"/>
              <w:right w:val="nil"/>
            </w:tcBorders>
          </w:tcPr>
          <w:p w14:paraId="6C125A27" w14:textId="77777777" w:rsidR="00E83854" w:rsidRDefault="00F04BE5">
            <w:pPr>
              <w:pStyle w:val="3"/>
              <w:jc w:val="center"/>
              <w:rPr>
                <w:sz w:val="28"/>
              </w:rPr>
            </w:pPr>
            <w:r>
              <w:rPr>
                <w:rFonts w:hint="cs"/>
                <w:sz w:val="28"/>
                <w:rtl/>
              </w:rPr>
              <w:t>ע. גרשון, שופט</w:t>
            </w:r>
          </w:p>
        </w:tc>
        <w:tc>
          <w:tcPr>
            <w:tcW w:w="308" w:type="dxa"/>
          </w:tcPr>
          <w:p w14:paraId="17197E9C" w14:textId="77777777" w:rsidR="00E83854" w:rsidRDefault="00E83854">
            <w:pPr>
              <w:spacing w:line="360" w:lineRule="auto"/>
              <w:jc w:val="center"/>
              <w:rPr>
                <w:b/>
                <w:bCs/>
                <w:noProof/>
                <w:color w:val="FF0000"/>
                <w:sz w:val="28"/>
              </w:rPr>
            </w:pPr>
          </w:p>
        </w:tc>
        <w:tc>
          <w:tcPr>
            <w:tcW w:w="2520" w:type="dxa"/>
            <w:tcBorders>
              <w:top w:val="single" w:sz="4" w:space="0" w:color="auto"/>
              <w:left w:val="nil"/>
              <w:bottom w:val="nil"/>
              <w:right w:val="nil"/>
            </w:tcBorders>
          </w:tcPr>
          <w:p w14:paraId="481AE4A3" w14:textId="77777777" w:rsidR="00E83854" w:rsidRDefault="00F04BE5">
            <w:pPr>
              <w:spacing w:line="360" w:lineRule="auto"/>
              <w:jc w:val="center"/>
              <w:rPr>
                <w:b/>
                <w:bCs/>
                <w:noProof/>
                <w:sz w:val="28"/>
              </w:rPr>
            </w:pPr>
            <w:r>
              <w:rPr>
                <w:rFonts w:hint="cs"/>
                <w:b/>
                <w:bCs/>
                <w:sz w:val="28"/>
                <w:rtl/>
              </w:rPr>
              <w:t>א. אליקים, שופט</w:t>
            </w:r>
          </w:p>
        </w:tc>
      </w:tr>
    </w:tbl>
    <w:p w14:paraId="14D3CB68" w14:textId="77777777" w:rsidR="00E83854" w:rsidRDefault="00E83854">
      <w:pPr>
        <w:pStyle w:val="a3"/>
        <w:rPr>
          <w:rtl/>
        </w:rPr>
      </w:pPr>
    </w:p>
    <w:p w14:paraId="1C2F0ABB" w14:textId="77777777" w:rsidR="00F04BE5" w:rsidRPr="00F04BE5" w:rsidRDefault="00F04BE5" w:rsidP="00F04BE5">
      <w:pPr>
        <w:keepNext/>
        <w:rPr>
          <w:rFonts w:ascii="David" w:hAnsi="David"/>
          <w:color w:val="000000"/>
          <w:sz w:val="22"/>
          <w:szCs w:val="22"/>
          <w:rtl/>
        </w:rPr>
      </w:pPr>
    </w:p>
    <w:p w14:paraId="53BB7961" w14:textId="77777777" w:rsidR="00F04BE5" w:rsidRPr="00F04BE5" w:rsidRDefault="00F04BE5" w:rsidP="00F04BE5">
      <w:pPr>
        <w:keepNext/>
        <w:rPr>
          <w:rFonts w:ascii="David" w:hAnsi="David"/>
          <w:color w:val="000000"/>
          <w:sz w:val="22"/>
          <w:szCs w:val="22"/>
          <w:rtl/>
        </w:rPr>
      </w:pPr>
      <w:r w:rsidRPr="00F04BE5">
        <w:rPr>
          <w:rFonts w:ascii="David" w:hAnsi="David"/>
          <w:color w:val="000000"/>
          <w:sz w:val="22"/>
          <w:szCs w:val="22"/>
          <w:rtl/>
        </w:rPr>
        <w:t>יוסף אלרון 54678313</w:t>
      </w:r>
    </w:p>
    <w:p w14:paraId="5A2C6916" w14:textId="77777777" w:rsidR="00F04BE5" w:rsidRDefault="00F04BE5" w:rsidP="00F04BE5">
      <w:r w:rsidRPr="00F04BE5">
        <w:rPr>
          <w:color w:val="000000"/>
          <w:rtl/>
        </w:rPr>
        <w:t>נוסח מסמך זה כפוף לשינויי ניסוח ועריכה</w:t>
      </w:r>
    </w:p>
    <w:p w14:paraId="74C84B94" w14:textId="77777777" w:rsidR="00F04BE5" w:rsidRDefault="00F04BE5" w:rsidP="00F04BE5">
      <w:pPr>
        <w:rPr>
          <w:rtl/>
        </w:rPr>
      </w:pPr>
    </w:p>
    <w:p w14:paraId="43085DC2" w14:textId="77777777" w:rsidR="00F04BE5" w:rsidRDefault="00F04BE5" w:rsidP="00F04BE5">
      <w:pPr>
        <w:jc w:val="center"/>
        <w:rPr>
          <w:color w:val="0000FF"/>
          <w:u w:val="single"/>
        </w:rPr>
      </w:pPr>
      <w:r w:rsidRPr="00F01A13">
        <w:rPr>
          <w:color w:val="000000"/>
          <w:rtl/>
        </w:rPr>
        <w:t>בעניין עריכה ושינויים במסמכי פסיקה, חקיקה ועוד באתר נבו – הקש כאן</w:t>
      </w:r>
    </w:p>
    <w:p w14:paraId="3301B205" w14:textId="77777777" w:rsidR="00E83854" w:rsidRPr="00F04BE5" w:rsidRDefault="00E83854" w:rsidP="00F04BE5">
      <w:pPr>
        <w:jc w:val="center"/>
        <w:rPr>
          <w:color w:val="0000FF"/>
          <w:u w:val="single"/>
        </w:rPr>
      </w:pPr>
    </w:p>
    <w:sectPr w:rsidR="00E83854" w:rsidRPr="00F04BE5" w:rsidSect="00F04BE5">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D3865D" w14:textId="77777777" w:rsidR="00CE2181" w:rsidRPr="00A62AC0" w:rsidRDefault="00CE2181">
      <w:pPr>
        <w:rPr>
          <w:rFonts w:cs="Arial"/>
          <w:szCs w:val="20"/>
        </w:rPr>
      </w:pPr>
      <w:r>
        <w:separator/>
      </w:r>
    </w:p>
  </w:endnote>
  <w:endnote w:type="continuationSeparator" w:id="0">
    <w:p w14:paraId="1B4BA544" w14:textId="77777777" w:rsidR="00CE2181" w:rsidRPr="00A62AC0" w:rsidRDefault="00CE218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F1BD1" w14:textId="77777777" w:rsidR="001E0E7E" w:rsidRDefault="001E0E7E" w:rsidP="00F04BE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33B2F70" w14:textId="77777777" w:rsidR="001E0E7E" w:rsidRPr="00F04BE5" w:rsidRDefault="001E0E7E" w:rsidP="00F04BE5">
    <w:pPr>
      <w:pStyle w:val="a4"/>
      <w:pBdr>
        <w:top w:val="single" w:sz="4" w:space="1" w:color="auto"/>
        <w:between w:val="single" w:sz="4" w:space="0" w:color="auto"/>
      </w:pBdr>
      <w:spacing w:after="60"/>
      <w:jc w:val="center"/>
      <w:rPr>
        <w:rFonts w:ascii="FrankRuehl" w:hAnsi="FrankRuehl" w:cs="FrankRuehl"/>
        <w:color w:val="000000"/>
      </w:rPr>
    </w:pPr>
    <w:r w:rsidRPr="00F04BE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E4ADB8" w14:textId="77777777" w:rsidR="001E0E7E" w:rsidRDefault="001E0E7E" w:rsidP="00F04BE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B169F">
      <w:rPr>
        <w:rFonts w:ascii="FrankRuehl" w:hAnsi="FrankRuehl" w:cs="FrankRuehl"/>
        <w:noProof/>
        <w:rtl/>
      </w:rPr>
      <w:t>1</w:t>
    </w:r>
    <w:r>
      <w:rPr>
        <w:rFonts w:ascii="FrankRuehl" w:hAnsi="FrankRuehl" w:cs="FrankRuehl"/>
        <w:rtl/>
      </w:rPr>
      <w:fldChar w:fldCharType="end"/>
    </w:r>
  </w:p>
  <w:p w14:paraId="74E9339F" w14:textId="77777777" w:rsidR="001E0E7E" w:rsidRPr="00F04BE5" w:rsidRDefault="001E0E7E" w:rsidP="00F04BE5">
    <w:pPr>
      <w:pStyle w:val="a4"/>
      <w:pBdr>
        <w:top w:val="single" w:sz="4" w:space="1" w:color="auto"/>
        <w:between w:val="single" w:sz="4" w:space="0" w:color="auto"/>
      </w:pBdr>
      <w:spacing w:after="60"/>
      <w:jc w:val="center"/>
      <w:rPr>
        <w:rFonts w:ascii="FrankRuehl" w:hAnsi="FrankRuehl" w:cs="FrankRuehl"/>
        <w:color w:val="000000"/>
      </w:rPr>
    </w:pPr>
    <w:r w:rsidRPr="00F04BE5">
      <w:rPr>
        <w:rFonts w:ascii="FrankRuehl" w:hAnsi="FrankRuehl" w:cs="FrankRuehl"/>
        <w:color w:val="000000"/>
      </w:rPr>
      <w:pict w14:anchorId="6594AF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5D8349" w14:textId="77777777" w:rsidR="00CE2181" w:rsidRPr="00A62AC0" w:rsidRDefault="00CE2181">
      <w:pPr>
        <w:rPr>
          <w:rFonts w:cs="Arial"/>
          <w:szCs w:val="20"/>
        </w:rPr>
      </w:pPr>
      <w:r>
        <w:separator/>
      </w:r>
    </w:p>
  </w:footnote>
  <w:footnote w:type="continuationSeparator" w:id="0">
    <w:p w14:paraId="3BA7E897" w14:textId="77777777" w:rsidR="00CE2181" w:rsidRPr="00A62AC0" w:rsidRDefault="00CE2181">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73FCA" w14:textId="77777777" w:rsidR="001E0E7E" w:rsidRPr="00F04BE5" w:rsidRDefault="001E0E7E" w:rsidP="00F04BE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8398-05-12</w:t>
    </w:r>
    <w:r>
      <w:rPr>
        <w:rFonts w:ascii="David" w:hAnsi="David"/>
        <w:color w:val="000000"/>
        <w:sz w:val="22"/>
        <w:szCs w:val="22"/>
        <w:rtl/>
      </w:rPr>
      <w:tab/>
      <w:t xml:space="preserve"> מדינת ישראל נ' מופיד אבו מוך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1F851" w14:textId="77777777" w:rsidR="001E0E7E" w:rsidRPr="00F04BE5" w:rsidRDefault="001E0E7E" w:rsidP="00F04BE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8398-05-12</w:t>
    </w:r>
    <w:r>
      <w:rPr>
        <w:rFonts w:ascii="David" w:hAnsi="David"/>
        <w:color w:val="000000"/>
        <w:sz w:val="22"/>
        <w:szCs w:val="22"/>
        <w:rtl/>
      </w:rPr>
      <w:tab/>
      <w:t xml:space="preserve"> מדינת ישראל נ' מופיד אבו מוך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B876AC"/>
    <w:multiLevelType w:val="hybridMultilevel"/>
    <w:tmpl w:val="1ECA6D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01872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83854"/>
    <w:rsid w:val="000A1D06"/>
    <w:rsid w:val="000B169F"/>
    <w:rsid w:val="001E0E7E"/>
    <w:rsid w:val="00383933"/>
    <w:rsid w:val="00421A66"/>
    <w:rsid w:val="00476F10"/>
    <w:rsid w:val="006A33A2"/>
    <w:rsid w:val="007F3DE1"/>
    <w:rsid w:val="008B26B2"/>
    <w:rsid w:val="00917E60"/>
    <w:rsid w:val="00AF2ABB"/>
    <w:rsid w:val="00C12477"/>
    <w:rsid w:val="00CE2181"/>
    <w:rsid w:val="00E83854"/>
    <w:rsid w:val="00F01A13"/>
    <w:rsid w:val="00F04BE5"/>
    <w:rsid w:val="00F309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F774FC5"/>
  <w15:chartTrackingRefBased/>
  <w15:docId w15:val="{40F39172-D947-4A95-AA4D-597D79A5E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83854"/>
    <w:pPr>
      <w:bidi/>
    </w:pPr>
    <w:rPr>
      <w:rFonts w:cs="David"/>
      <w:sz w:val="24"/>
      <w:szCs w:val="24"/>
    </w:rPr>
  </w:style>
  <w:style w:type="paragraph" w:styleId="3">
    <w:name w:val="heading 3"/>
    <w:basedOn w:val="a"/>
    <w:next w:val="a"/>
    <w:link w:val="30"/>
    <w:qFormat/>
    <w:rsid w:val="00E83854"/>
    <w:pPr>
      <w:keepNext/>
      <w:spacing w:line="360" w:lineRule="auto"/>
      <w:jc w:val="both"/>
      <w:outlineLvl w:val="2"/>
    </w:pPr>
    <w:rPr>
      <w:b/>
      <w:bCs/>
      <w:noProof/>
      <w:sz w:val="20"/>
      <w:lang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E83854"/>
    <w:pPr>
      <w:tabs>
        <w:tab w:val="center" w:pos="4153"/>
        <w:tab w:val="right" w:pos="8306"/>
      </w:tabs>
    </w:pPr>
  </w:style>
  <w:style w:type="paragraph" w:styleId="a4">
    <w:name w:val="footer"/>
    <w:basedOn w:val="a"/>
    <w:rsid w:val="00E83854"/>
    <w:pPr>
      <w:tabs>
        <w:tab w:val="center" w:pos="4153"/>
        <w:tab w:val="right" w:pos="8306"/>
      </w:tabs>
    </w:pPr>
  </w:style>
  <w:style w:type="character" w:styleId="a5">
    <w:name w:val="page number"/>
    <w:basedOn w:val="a0"/>
    <w:rsid w:val="00E83854"/>
  </w:style>
  <w:style w:type="character" w:customStyle="1" w:styleId="30">
    <w:name w:val="כותרת 3 תו"/>
    <w:link w:val="3"/>
    <w:rsid w:val="00E83854"/>
    <w:rPr>
      <w:rFonts w:cs="David"/>
      <w:b/>
      <w:bCs/>
      <w:noProof/>
      <w:szCs w:val="24"/>
      <w:lang w:val="en-US" w:eastAsia="he-IL" w:bidi="he-IL"/>
    </w:rPr>
  </w:style>
  <w:style w:type="character" w:customStyle="1" w:styleId="Ruller4">
    <w:name w:val="Ruller4 תו"/>
    <w:link w:val="Ruller40"/>
    <w:locked/>
    <w:rsid w:val="00E83854"/>
    <w:rPr>
      <w:rFonts w:ascii="Arial TUR" w:hAnsi="Arial TUR"/>
      <w:spacing w:val="10"/>
      <w:sz w:val="28"/>
      <w:lang w:bidi="he-IL"/>
    </w:rPr>
  </w:style>
  <w:style w:type="paragraph" w:customStyle="1" w:styleId="Ruller40">
    <w:name w:val="Ruller4"/>
    <w:basedOn w:val="a"/>
    <w:link w:val="Ruller4"/>
    <w:rsid w:val="00E83854"/>
    <w:pPr>
      <w:tabs>
        <w:tab w:val="left" w:pos="800"/>
      </w:tabs>
      <w:overflowPunct w:val="0"/>
      <w:autoSpaceDE w:val="0"/>
      <w:autoSpaceDN w:val="0"/>
      <w:adjustRightInd w:val="0"/>
      <w:spacing w:line="360" w:lineRule="auto"/>
      <w:jc w:val="both"/>
    </w:pPr>
    <w:rPr>
      <w:rFonts w:ascii="Arial TUR" w:hAnsi="Arial TUR" w:cs="Times New Roman"/>
      <w:spacing w:val="10"/>
      <w:sz w:val="28"/>
      <w:szCs w:val="20"/>
    </w:rPr>
  </w:style>
  <w:style w:type="character" w:customStyle="1" w:styleId="default">
    <w:name w:val="default"/>
    <w:rsid w:val="00E83854"/>
    <w:rPr>
      <w:rFonts w:ascii="Times New Roman" w:hAnsi="Times New Roman"/>
      <w:sz w:val="26"/>
    </w:rPr>
  </w:style>
  <w:style w:type="paragraph" w:customStyle="1" w:styleId="David">
    <w:name w:val="סגנון (עברית ושפות אחרות) David מיושר לשני הצדדים מרווח בין שורות..."/>
    <w:basedOn w:val="a"/>
    <w:rsid w:val="00E83854"/>
    <w:pPr>
      <w:spacing w:line="360" w:lineRule="auto"/>
      <w:jc w:val="both"/>
    </w:pPr>
    <w:rPr>
      <w:rFonts w:eastAsia="David"/>
    </w:rPr>
  </w:style>
  <w:style w:type="character" w:styleId="Hyperlink">
    <w:name w:val="Hyperlink"/>
    <w:rsid w:val="00E83854"/>
    <w:rPr>
      <w:rFonts w:ascii="Times New Roman" w:hAnsi="Times New Roman"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29.a.2" TargetMode="External"/><Relationship Id="rId18" Type="http://schemas.openxmlformats.org/officeDocument/2006/relationships/hyperlink" Target="http://www.nevo.co.il/case/5826590" TargetMode="External"/><Relationship Id="rId26" Type="http://schemas.openxmlformats.org/officeDocument/2006/relationships/hyperlink" Target="http://www.nevo.co.il/case/6104546" TargetMode="External"/><Relationship Id="rId3" Type="http://schemas.openxmlformats.org/officeDocument/2006/relationships/settings" Target="settings.xml"/><Relationship Id="rId21" Type="http://schemas.openxmlformats.org/officeDocument/2006/relationships/hyperlink" Target="http://www.nevo.co.il/case/6151556"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298" TargetMode="External"/><Relationship Id="rId17" Type="http://schemas.openxmlformats.org/officeDocument/2006/relationships/hyperlink" Target="http://www.nevo.co.il/case/5578844" TargetMode="External"/><Relationship Id="rId25" Type="http://schemas.openxmlformats.org/officeDocument/2006/relationships/hyperlink" Target="http://www.nevo.co.il/case/6078308"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40jc.a" TargetMode="External"/><Relationship Id="rId20" Type="http://schemas.openxmlformats.org/officeDocument/2006/relationships/hyperlink" Target="http://www.nevo.co.il/case/5958231"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c.a" TargetMode="External"/><Relationship Id="rId24" Type="http://schemas.openxmlformats.org/officeDocument/2006/relationships/hyperlink" Target="http://www.nevo.co.il/case/6000182"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5891605" TargetMode="External"/><Relationship Id="rId28" Type="http://schemas.openxmlformats.org/officeDocument/2006/relationships/header" Target="header1.xml"/><Relationship Id="rId10" Type="http://schemas.openxmlformats.org/officeDocument/2006/relationships/hyperlink" Target="http://www.nevo.co.il/law/70301/329.a.2" TargetMode="External"/><Relationship Id="rId19" Type="http://schemas.openxmlformats.org/officeDocument/2006/relationships/hyperlink" Target="http://www.nevo.co.il/law/70301/329.a.2"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298"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5969313" TargetMode="External"/><Relationship Id="rId27" Type="http://schemas.openxmlformats.org/officeDocument/2006/relationships/hyperlink" Target="http://www.nevo.co.il/case/161892" TargetMode="External"/><Relationship Id="rId30" Type="http://schemas.openxmlformats.org/officeDocument/2006/relationships/footer" Target="footer1.xml"/><Relationship Id="rId8" Type="http://schemas.openxmlformats.org/officeDocument/2006/relationships/hyperlink" Target="http://www.nevo.co.il/law/70301/144.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2145</Words>
  <Characters>10725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12845</CharactersWithSpaces>
  <SharedDoc>false</SharedDoc>
  <HLinks>
    <vt:vector size="126" baseType="variant">
      <vt:variant>
        <vt:i4>589898</vt:i4>
      </vt:variant>
      <vt:variant>
        <vt:i4>60</vt:i4>
      </vt:variant>
      <vt:variant>
        <vt:i4>0</vt:i4>
      </vt:variant>
      <vt:variant>
        <vt:i4>5</vt:i4>
      </vt:variant>
      <vt:variant>
        <vt:lpwstr>http://www.nevo.co.il/case/161892</vt:lpwstr>
      </vt:variant>
      <vt:variant>
        <vt:lpwstr/>
      </vt:variant>
      <vt:variant>
        <vt:i4>3473525</vt:i4>
      </vt:variant>
      <vt:variant>
        <vt:i4>57</vt:i4>
      </vt:variant>
      <vt:variant>
        <vt:i4>0</vt:i4>
      </vt:variant>
      <vt:variant>
        <vt:i4>5</vt:i4>
      </vt:variant>
      <vt:variant>
        <vt:lpwstr>http://www.nevo.co.il/case/6104546</vt:lpwstr>
      </vt:variant>
      <vt:variant>
        <vt:lpwstr/>
      </vt:variant>
      <vt:variant>
        <vt:i4>3801212</vt:i4>
      </vt:variant>
      <vt:variant>
        <vt:i4>54</vt:i4>
      </vt:variant>
      <vt:variant>
        <vt:i4>0</vt:i4>
      </vt:variant>
      <vt:variant>
        <vt:i4>5</vt:i4>
      </vt:variant>
      <vt:variant>
        <vt:lpwstr>http://www.nevo.co.il/case/6078308</vt:lpwstr>
      </vt:variant>
      <vt:variant>
        <vt:lpwstr/>
      </vt:variant>
      <vt:variant>
        <vt:i4>3473532</vt:i4>
      </vt:variant>
      <vt:variant>
        <vt:i4>51</vt:i4>
      </vt:variant>
      <vt:variant>
        <vt:i4>0</vt:i4>
      </vt:variant>
      <vt:variant>
        <vt:i4>5</vt:i4>
      </vt:variant>
      <vt:variant>
        <vt:lpwstr>http://www.nevo.co.il/case/6000182</vt:lpwstr>
      </vt:variant>
      <vt:variant>
        <vt:lpwstr/>
      </vt:variant>
      <vt:variant>
        <vt:i4>4128893</vt:i4>
      </vt:variant>
      <vt:variant>
        <vt:i4>48</vt:i4>
      </vt:variant>
      <vt:variant>
        <vt:i4>0</vt:i4>
      </vt:variant>
      <vt:variant>
        <vt:i4>5</vt:i4>
      </vt:variant>
      <vt:variant>
        <vt:lpwstr>http://www.nevo.co.il/case/5891605</vt:lpwstr>
      </vt:variant>
      <vt:variant>
        <vt:lpwstr/>
      </vt:variant>
      <vt:variant>
        <vt:i4>3342453</vt:i4>
      </vt:variant>
      <vt:variant>
        <vt:i4>45</vt:i4>
      </vt:variant>
      <vt:variant>
        <vt:i4>0</vt:i4>
      </vt:variant>
      <vt:variant>
        <vt:i4>5</vt:i4>
      </vt:variant>
      <vt:variant>
        <vt:lpwstr>http://www.nevo.co.il/case/5969313</vt:lpwstr>
      </vt:variant>
      <vt:variant>
        <vt:lpwstr/>
      </vt:variant>
      <vt:variant>
        <vt:i4>3145841</vt:i4>
      </vt:variant>
      <vt:variant>
        <vt:i4>42</vt:i4>
      </vt:variant>
      <vt:variant>
        <vt:i4>0</vt:i4>
      </vt:variant>
      <vt:variant>
        <vt:i4>5</vt:i4>
      </vt:variant>
      <vt:variant>
        <vt:lpwstr>http://www.nevo.co.il/case/6151556</vt:lpwstr>
      </vt:variant>
      <vt:variant>
        <vt:lpwstr/>
      </vt:variant>
      <vt:variant>
        <vt:i4>3342454</vt:i4>
      </vt:variant>
      <vt:variant>
        <vt:i4>39</vt:i4>
      </vt:variant>
      <vt:variant>
        <vt:i4>0</vt:i4>
      </vt:variant>
      <vt:variant>
        <vt:i4>5</vt:i4>
      </vt:variant>
      <vt:variant>
        <vt:lpwstr>http://www.nevo.co.il/case/5958231</vt:lpwstr>
      </vt:variant>
      <vt:variant>
        <vt:lpwstr/>
      </vt:variant>
      <vt:variant>
        <vt:i4>6750270</vt:i4>
      </vt:variant>
      <vt:variant>
        <vt:i4>36</vt:i4>
      </vt:variant>
      <vt:variant>
        <vt:i4>0</vt:i4>
      </vt:variant>
      <vt:variant>
        <vt:i4>5</vt:i4>
      </vt:variant>
      <vt:variant>
        <vt:lpwstr>http://www.nevo.co.il/law/70301/329.a.2</vt:lpwstr>
      </vt:variant>
      <vt:variant>
        <vt:lpwstr/>
      </vt:variant>
      <vt:variant>
        <vt:i4>3276915</vt:i4>
      </vt:variant>
      <vt:variant>
        <vt:i4>33</vt:i4>
      </vt:variant>
      <vt:variant>
        <vt:i4>0</vt:i4>
      </vt:variant>
      <vt:variant>
        <vt:i4>5</vt:i4>
      </vt:variant>
      <vt:variant>
        <vt:lpwstr>http://www.nevo.co.il/case/5826590</vt:lpwstr>
      </vt:variant>
      <vt:variant>
        <vt:lpwstr/>
      </vt:variant>
      <vt:variant>
        <vt:i4>4063357</vt:i4>
      </vt:variant>
      <vt:variant>
        <vt:i4>30</vt:i4>
      </vt:variant>
      <vt:variant>
        <vt:i4>0</vt:i4>
      </vt:variant>
      <vt:variant>
        <vt:i4>5</vt:i4>
      </vt:variant>
      <vt:variant>
        <vt:lpwstr>http://www.nevo.co.il/case/5578844</vt:lpwstr>
      </vt:variant>
      <vt:variant>
        <vt:lpwstr/>
      </vt:variant>
      <vt:variant>
        <vt:i4>6750245</vt:i4>
      </vt:variant>
      <vt:variant>
        <vt:i4>27</vt:i4>
      </vt:variant>
      <vt:variant>
        <vt:i4>0</vt:i4>
      </vt:variant>
      <vt:variant>
        <vt:i4>5</vt:i4>
      </vt:variant>
      <vt:variant>
        <vt:lpwstr>http://www.nevo.co.il/law/70301/40jc.a</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6750270</vt:i4>
      </vt:variant>
      <vt:variant>
        <vt:i4>18</vt:i4>
      </vt:variant>
      <vt:variant>
        <vt:i4>0</vt:i4>
      </vt:variant>
      <vt:variant>
        <vt:i4>5</vt:i4>
      </vt:variant>
      <vt:variant>
        <vt:lpwstr>http://www.nevo.co.il/law/70301/329.a.2</vt:lpwstr>
      </vt:variant>
      <vt:variant>
        <vt:lpwstr/>
      </vt:variant>
      <vt:variant>
        <vt:i4>7077991</vt:i4>
      </vt:variant>
      <vt:variant>
        <vt:i4>15</vt:i4>
      </vt:variant>
      <vt:variant>
        <vt:i4>0</vt:i4>
      </vt:variant>
      <vt:variant>
        <vt:i4>5</vt:i4>
      </vt:variant>
      <vt:variant>
        <vt:lpwstr>http://www.nevo.co.il/law/70301/298</vt:lpwstr>
      </vt:variant>
      <vt:variant>
        <vt:lpwstr/>
      </vt:variant>
      <vt:variant>
        <vt:i4>6750245</vt:i4>
      </vt:variant>
      <vt:variant>
        <vt:i4>12</vt:i4>
      </vt:variant>
      <vt:variant>
        <vt:i4>0</vt:i4>
      </vt:variant>
      <vt:variant>
        <vt:i4>5</vt:i4>
      </vt:variant>
      <vt:variant>
        <vt:lpwstr>http://www.nevo.co.il/law/70301/40jc.a</vt:lpwstr>
      </vt:variant>
      <vt:variant>
        <vt:lpwstr/>
      </vt:variant>
      <vt:variant>
        <vt:i4>6750270</vt:i4>
      </vt:variant>
      <vt:variant>
        <vt:i4>9</vt:i4>
      </vt:variant>
      <vt:variant>
        <vt:i4>0</vt:i4>
      </vt:variant>
      <vt:variant>
        <vt:i4>5</vt:i4>
      </vt:variant>
      <vt:variant>
        <vt:lpwstr>http://www.nevo.co.il/law/70301/329.a.2</vt:lpwstr>
      </vt:variant>
      <vt:variant>
        <vt:lpwstr/>
      </vt:variant>
      <vt:variant>
        <vt:i4>7077991</vt:i4>
      </vt:variant>
      <vt:variant>
        <vt:i4>6</vt:i4>
      </vt:variant>
      <vt:variant>
        <vt:i4>0</vt:i4>
      </vt:variant>
      <vt:variant>
        <vt:i4>5</vt:i4>
      </vt:variant>
      <vt:variant>
        <vt:lpwstr>http://www.nevo.co.il/law/70301/298</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2025-01-19T15:43:00Z</dcterms:created>
  <dcterms:modified xsi:type="dcterms:W3CDTF">2025-01-19T15:43:00Z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8398</vt:lpwstr>
  </property>
  <property fmtid="{D5CDD505-2E9C-101B-9397-08002B2CF9AE}" pid="6" name="NEWPARTB">
    <vt:lpwstr>05</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מופיד אבו מוך</vt:lpwstr>
  </property>
  <property fmtid="{D5CDD505-2E9C-101B-9397-08002B2CF9AE}" pid="10" name="JUDGE">
    <vt:lpwstr>יוסף אלרון;עודד גרשון;אברהם אליקים</vt:lpwstr>
  </property>
  <property fmtid="{D5CDD505-2E9C-101B-9397-08002B2CF9AE}" pid="11" name="CITY">
    <vt:lpwstr>חי'</vt:lpwstr>
  </property>
  <property fmtid="{D5CDD505-2E9C-101B-9397-08002B2CF9AE}" pid="12" name="DATE">
    <vt:lpwstr>20130917</vt:lpwstr>
  </property>
  <property fmtid="{D5CDD505-2E9C-101B-9397-08002B2CF9AE}" pid="13" name="TYPE_N_DATE">
    <vt:lpwstr>39020130917</vt:lpwstr>
  </property>
  <property fmtid="{D5CDD505-2E9C-101B-9397-08002B2CF9AE}" pid="14" name="WORDNUMPAGES">
    <vt:lpwstr>8</vt:lpwstr>
  </property>
  <property fmtid="{D5CDD505-2E9C-101B-9397-08002B2CF9AE}" pid="15" name="TYPE_ABS_DATE">
    <vt:lpwstr>390020130917</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5578844;5826590;5958231;6151556;5969313;5891605;6000182;6078308;6104546;161892</vt:lpwstr>
  </property>
  <property fmtid="{D5CDD505-2E9C-101B-9397-08002B2CF9AE}" pid="36" name="CASENOTES1">
    <vt:lpwstr>ProcID=133;209&amp;PartA=1332&amp;PartC=04</vt:lpwstr>
  </property>
  <property fmtid="{D5CDD505-2E9C-101B-9397-08002B2CF9AE}" pid="37" name="LAWLISTTMP1">
    <vt:lpwstr>70301/298;329.a.2:2;144.b;40jc.a</vt:lpwstr>
  </property>
</Properties>
</file>