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672E11" w:rsidRPr="00DF7952" w14:paraId="70DC57EC" w14:textId="77777777">
        <w:trPr>
          <w:trHeight w:hRule="exact" w:val="418"/>
          <w:jc w:val="center"/>
        </w:trPr>
        <w:tc>
          <w:tcPr>
            <w:tcW w:w="8721" w:type="dxa"/>
          </w:tcPr>
          <w:p w14:paraId="578DAABF" w14:textId="77777777" w:rsidR="00672E11" w:rsidRPr="00DF7952" w:rsidRDefault="00DF7952">
            <w:pPr>
              <w:pStyle w:val="a3"/>
              <w:jc w:val="center"/>
              <w:rPr>
                <w:rFonts w:ascii="Tahoma" w:hAnsi="Tahoma" w:cs="Tahoma"/>
                <w:color w:val="000080"/>
                <w:rtl/>
              </w:rPr>
            </w:pPr>
            <w:r w:rsidRPr="00DF7952">
              <w:rPr>
                <w:rFonts w:ascii="Tahoma" w:hAnsi="Tahoma" w:cs="Tahoma"/>
                <w:b/>
                <w:bCs/>
                <w:color w:val="000080"/>
                <w:rtl/>
              </w:rPr>
              <w:t>בית המשפט המחוזי בחיפה</w:t>
            </w:r>
          </w:p>
        </w:tc>
      </w:tr>
      <w:tr w:rsidR="00A35168" w:rsidRPr="00DF7952" w14:paraId="58174B9C" w14:textId="77777777">
        <w:trPr>
          <w:trHeight w:val="337"/>
          <w:jc w:val="center"/>
        </w:trPr>
        <w:tc>
          <w:tcPr>
            <w:tcW w:w="8721" w:type="dxa"/>
          </w:tcPr>
          <w:p w14:paraId="5025E036" w14:textId="77777777" w:rsidR="00A35168" w:rsidRPr="00A35168" w:rsidRDefault="00A35168" w:rsidP="00A35168">
            <w:pPr>
              <w:pStyle w:val="a3"/>
              <w:rPr>
                <w:sz w:val="28"/>
                <w:szCs w:val="28"/>
                <w:rtl/>
              </w:rPr>
            </w:pPr>
            <w:r w:rsidRPr="00A35168">
              <w:rPr>
                <w:b/>
                <w:bCs/>
                <w:sz w:val="28"/>
                <w:szCs w:val="28"/>
                <w:rtl/>
              </w:rPr>
              <w:t>תפ"ח</w:t>
            </w:r>
            <w:r w:rsidRPr="00A35168">
              <w:rPr>
                <w:rFonts w:hint="cs"/>
                <w:b/>
                <w:bCs/>
                <w:sz w:val="28"/>
                <w:szCs w:val="28"/>
                <w:rtl/>
              </w:rPr>
              <w:t xml:space="preserve"> </w:t>
            </w:r>
            <w:r w:rsidRPr="00A35168">
              <w:rPr>
                <w:b/>
                <w:bCs/>
                <w:sz w:val="28"/>
                <w:szCs w:val="28"/>
                <w:rtl/>
              </w:rPr>
              <w:t>42731-07-12</w:t>
            </w:r>
            <w:r w:rsidRPr="00A35168">
              <w:rPr>
                <w:rFonts w:hint="cs"/>
                <w:b/>
                <w:bCs/>
                <w:sz w:val="28"/>
                <w:szCs w:val="28"/>
                <w:rtl/>
              </w:rPr>
              <w:t xml:space="preserve"> </w:t>
            </w:r>
            <w:r w:rsidRPr="00A35168">
              <w:rPr>
                <w:b/>
                <w:bCs/>
                <w:sz w:val="28"/>
                <w:szCs w:val="28"/>
                <w:rtl/>
              </w:rPr>
              <w:t>מדינת ישראל נ' זאהדה</w:t>
            </w:r>
            <w:r w:rsidRPr="00A35168">
              <w:rPr>
                <w:rFonts w:hint="cs"/>
                <w:b/>
                <w:bCs/>
                <w:sz w:val="28"/>
                <w:szCs w:val="28"/>
                <w:rtl/>
              </w:rPr>
              <w:t xml:space="preserve"> </w:t>
            </w:r>
            <w:r w:rsidRPr="00A35168">
              <w:rPr>
                <w:b/>
                <w:bCs/>
                <w:sz w:val="28"/>
                <w:szCs w:val="28"/>
                <w:rtl/>
              </w:rPr>
              <w:t>(עציר) ואח'</w:t>
            </w:r>
          </w:p>
        </w:tc>
      </w:tr>
    </w:tbl>
    <w:p w14:paraId="10BC9144" w14:textId="77777777" w:rsidR="00672E11" w:rsidRPr="00DF7952" w:rsidRDefault="00DF7952">
      <w:pPr>
        <w:pStyle w:val="a3"/>
        <w:rPr>
          <w:rtl/>
        </w:rPr>
      </w:pPr>
      <w:r w:rsidRPr="00DF795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672E11" w:rsidRPr="00DF7952" w14:paraId="45BF80A0" w14:textId="77777777">
        <w:trPr>
          <w:trHeight w:val="295"/>
          <w:jc w:val="center"/>
        </w:trPr>
        <w:tc>
          <w:tcPr>
            <w:tcW w:w="945" w:type="dxa"/>
            <w:tcBorders>
              <w:top w:val="nil"/>
              <w:left w:val="nil"/>
              <w:bottom w:val="nil"/>
              <w:right w:val="nil"/>
            </w:tcBorders>
          </w:tcPr>
          <w:p w14:paraId="2D1D9F44" w14:textId="77777777" w:rsidR="00672E11" w:rsidRPr="00A35168" w:rsidRDefault="00DF7952">
            <w:pPr>
              <w:spacing w:line="360" w:lineRule="auto"/>
              <w:jc w:val="both"/>
              <w:rPr>
                <w:rFonts w:ascii="Arial" w:hAnsi="Arial"/>
                <w:b/>
                <w:bCs/>
                <w:sz w:val="28"/>
                <w:szCs w:val="28"/>
              </w:rPr>
            </w:pPr>
            <w:bookmarkStart w:id="0" w:name="_GoBack"/>
            <w:bookmarkEnd w:id="0"/>
            <w:r w:rsidRPr="00A35168">
              <w:rPr>
                <w:rFonts w:ascii="Arial" w:hAnsi="Arial" w:hint="cs"/>
                <w:b/>
                <w:bCs/>
                <w:sz w:val="28"/>
                <w:szCs w:val="28"/>
                <w:rtl/>
              </w:rPr>
              <w:t>ב</w:t>
            </w:r>
            <w:r w:rsidRPr="00A35168">
              <w:rPr>
                <w:rFonts w:ascii="Arial" w:hAnsi="Arial"/>
                <w:b/>
                <w:bCs/>
                <w:sz w:val="28"/>
                <w:szCs w:val="28"/>
                <w:rtl/>
              </w:rPr>
              <w:t xml:space="preserve">פני </w:t>
            </w:r>
          </w:p>
        </w:tc>
        <w:tc>
          <w:tcPr>
            <w:tcW w:w="7875" w:type="dxa"/>
            <w:gridSpan w:val="2"/>
            <w:tcBorders>
              <w:top w:val="nil"/>
              <w:left w:val="nil"/>
              <w:bottom w:val="nil"/>
              <w:right w:val="nil"/>
            </w:tcBorders>
          </w:tcPr>
          <w:p w14:paraId="6473CB11" w14:textId="77777777" w:rsidR="00672E11" w:rsidRPr="00A35168" w:rsidRDefault="00DF7952">
            <w:pPr>
              <w:spacing w:line="360" w:lineRule="auto"/>
              <w:rPr>
                <w:rFonts w:ascii="Arial" w:hAnsi="Arial"/>
                <w:b/>
                <w:bCs/>
                <w:sz w:val="28"/>
                <w:szCs w:val="28"/>
                <w:rtl/>
              </w:rPr>
            </w:pPr>
            <w:r w:rsidRPr="00A35168">
              <w:rPr>
                <w:rFonts w:ascii="Arial" w:hAnsi="Arial" w:hint="cs"/>
                <w:b/>
                <w:bCs/>
                <w:sz w:val="28"/>
                <w:szCs w:val="28"/>
                <w:rtl/>
              </w:rPr>
              <w:t>כב' השופט יוסף אלרון, נשיא [אב"ד]</w:t>
            </w:r>
          </w:p>
          <w:p w14:paraId="4942436F" w14:textId="77777777" w:rsidR="00672E11" w:rsidRPr="00A35168" w:rsidRDefault="00DF7952">
            <w:pPr>
              <w:spacing w:line="360" w:lineRule="auto"/>
              <w:rPr>
                <w:rFonts w:ascii="Arial" w:hAnsi="Arial"/>
                <w:b/>
                <w:bCs/>
                <w:sz w:val="28"/>
                <w:szCs w:val="28"/>
                <w:rtl/>
              </w:rPr>
            </w:pPr>
            <w:r w:rsidRPr="00A35168">
              <w:rPr>
                <w:rFonts w:ascii="Arial" w:hAnsi="Arial" w:hint="cs"/>
                <w:b/>
                <w:bCs/>
                <w:sz w:val="28"/>
                <w:szCs w:val="28"/>
                <w:rtl/>
              </w:rPr>
              <w:t>כב' השופט משה גלעד</w:t>
            </w:r>
          </w:p>
          <w:p w14:paraId="0E21E79F" w14:textId="77777777" w:rsidR="00672E11" w:rsidRPr="00A35168" w:rsidRDefault="00DF7952">
            <w:pPr>
              <w:spacing w:line="360" w:lineRule="auto"/>
              <w:rPr>
                <w:rFonts w:ascii="Arial" w:hAnsi="Arial"/>
                <w:b/>
                <w:bCs/>
                <w:sz w:val="28"/>
                <w:szCs w:val="28"/>
              </w:rPr>
            </w:pPr>
            <w:r w:rsidRPr="00A35168">
              <w:rPr>
                <w:rFonts w:ascii="Arial" w:hAnsi="Arial" w:hint="cs"/>
                <w:b/>
                <w:bCs/>
                <w:sz w:val="28"/>
                <w:szCs w:val="28"/>
                <w:rtl/>
              </w:rPr>
              <w:t>כב' השופט ד"ר מנחם רניאל</w:t>
            </w:r>
          </w:p>
        </w:tc>
      </w:tr>
      <w:tr w:rsidR="00672E11" w:rsidRPr="00DF7952" w14:paraId="2F58A459" w14:textId="77777777">
        <w:trPr>
          <w:trHeight w:val="355"/>
          <w:jc w:val="center"/>
        </w:trPr>
        <w:tc>
          <w:tcPr>
            <w:tcW w:w="945" w:type="dxa"/>
            <w:tcBorders>
              <w:top w:val="nil"/>
              <w:left w:val="nil"/>
              <w:bottom w:val="nil"/>
              <w:right w:val="nil"/>
            </w:tcBorders>
          </w:tcPr>
          <w:p w14:paraId="5EB64700" w14:textId="77777777" w:rsidR="00672E11" w:rsidRPr="00A35168" w:rsidRDefault="00DF7952">
            <w:pPr>
              <w:spacing w:line="360" w:lineRule="auto"/>
              <w:jc w:val="both"/>
              <w:rPr>
                <w:rFonts w:ascii="Arial" w:hAnsi="Arial"/>
                <w:b/>
                <w:bCs/>
                <w:sz w:val="26"/>
                <w:szCs w:val="26"/>
              </w:rPr>
            </w:pPr>
            <w:bookmarkStart w:id="1" w:name="FirstAppellant"/>
            <w:bookmarkStart w:id="2" w:name="LastJudge"/>
            <w:bookmarkEnd w:id="2"/>
            <w:r w:rsidRPr="00A35168">
              <w:rPr>
                <w:rFonts w:ascii="Arial" w:hAnsi="Arial" w:hint="cs"/>
                <w:b/>
                <w:bCs/>
                <w:sz w:val="26"/>
                <w:szCs w:val="26"/>
                <w:rtl/>
              </w:rPr>
              <w:t>בעניין:</w:t>
            </w:r>
          </w:p>
        </w:tc>
        <w:tc>
          <w:tcPr>
            <w:tcW w:w="4114" w:type="dxa"/>
            <w:tcBorders>
              <w:top w:val="nil"/>
              <w:left w:val="nil"/>
              <w:bottom w:val="nil"/>
              <w:right w:val="nil"/>
            </w:tcBorders>
          </w:tcPr>
          <w:p w14:paraId="11CEB2C7" w14:textId="77777777" w:rsidR="00672E11" w:rsidRPr="00A35168" w:rsidRDefault="00DF7952">
            <w:pPr>
              <w:spacing w:line="360" w:lineRule="auto"/>
              <w:rPr>
                <w:b/>
                <w:bCs/>
                <w:sz w:val="26"/>
                <w:szCs w:val="26"/>
              </w:rPr>
            </w:pPr>
            <w:r w:rsidRPr="00A35168">
              <w:rPr>
                <w:rFonts w:hint="cs"/>
                <w:b/>
                <w:bCs/>
                <w:sz w:val="26"/>
                <w:szCs w:val="26"/>
                <w:rtl/>
              </w:rPr>
              <w:t>מדינת ישראל</w:t>
            </w:r>
          </w:p>
        </w:tc>
        <w:tc>
          <w:tcPr>
            <w:tcW w:w="3761" w:type="dxa"/>
            <w:tcBorders>
              <w:top w:val="nil"/>
              <w:left w:val="nil"/>
              <w:bottom w:val="nil"/>
              <w:right w:val="nil"/>
            </w:tcBorders>
          </w:tcPr>
          <w:p w14:paraId="41AD45B9" w14:textId="77777777" w:rsidR="00672E11" w:rsidRPr="00A35168" w:rsidRDefault="00672E11">
            <w:pPr>
              <w:spacing w:line="360" w:lineRule="auto"/>
              <w:jc w:val="both"/>
              <w:rPr>
                <w:rFonts w:ascii="Arial" w:hAnsi="Arial"/>
                <w:b/>
                <w:bCs/>
                <w:sz w:val="26"/>
                <w:szCs w:val="26"/>
              </w:rPr>
            </w:pPr>
          </w:p>
        </w:tc>
      </w:tr>
      <w:bookmarkEnd w:id="1"/>
      <w:tr w:rsidR="00672E11" w:rsidRPr="00DF7952" w14:paraId="33B94DD8" w14:textId="77777777">
        <w:trPr>
          <w:trHeight w:val="355"/>
          <w:jc w:val="center"/>
        </w:trPr>
        <w:tc>
          <w:tcPr>
            <w:tcW w:w="945" w:type="dxa"/>
            <w:tcBorders>
              <w:top w:val="nil"/>
              <w:left w:val="nil"/>
              <w:bottom w:val="nil"/>
              <w:right w:val="nil"/>
            </w:tcBorders>
          </w:tcPr>
          <w:p w14:paraId="76A5B183" w14:textId="77777777" w:rsidR="00672E11" w:rsidRPr="00A35168" w:rsidRDefault="00672E11">
            <w:pPr>
              <w:spacing w:line="360" w:lineRule="auto"/>
              <w:jc w:val="both"/>
              <w:rPr>
                <w:rFonts w:ascii="Arial" w:hAnsi="Arial"/>
                <w:b/>
                <w:bCs/>
                <w:sz w:val="26"/>
                <w:szCs w:val="26"/>
                <w:rtl/>
              </w:rPr>
            </w:pPr>
          </w:p>
        </w:tc>
        <w:tc>
          <w:tcPr>
            <w:tcW w:w="4114" w:type="dxa"/>
            <w:tcBorders>
              <w:top w:val="nil"/>
              <w:left w:val="nil"/>
              <w:bottom w:val="nil"/>
              <w:right w:val="nil"/>
            </w:tcBorders>
          </w:tcPr>
          <w:p w14:paraId="4D97DDDC" w14:textId="77777777" w:rsidR="00672E11" w:rsidRPr="00A35168" w:rsidRDefault="00672E11">
            <w:pPr>
              <w:spacing w:line="360" w:lineRule="auto"/>
              <w:jc w:val="both"/>
              <w:rPr>
                <w:b/>
                <w:bCs/>
                <w:sz w:val="26"/>
                <w:szCs w:val="26"/>
                <w:rtl/>
              </w:rPr>
            </w:pPr>
          </w:p>
        </w:tc>
        <w:tc>
          <w:tcPr>
            <w:tcW w:w="3761" w:type="dxa"/>
            <w:tcBorders>
              <w:top w:val="nil"/>
              <w:left w:val="nil"/>
              <w:bottom w:val="nil"/>
              <w:right w:val="nil"/>
            </w:tcBorders>
          </w:tcPr>
          <w:p w14:paraId="562710B8" w14:textId="77777777" w:rsidR="00672E11" w:rsidRPr="00A35168" w:rsidRDefault="00DF7952">
            <w:pPr>
              <w:spacing w:line="360" w:lineRule="auto"/>
              <w:rPr>
                <w:rFonts w:ascii="Arial" w:hAnsi="Arial"/>
                <w:b/>
                <w:bCs/>
                <w:sz w:val="26"/>
                <w:szCs w:val="26"/>
                <w:rtl/>
              </w:rPr>
            </w:pPr>
            <w:r w:rsidRPr="00A35168">
              <w:rPr>
                <w:rFonts w:ascii="Arial" w:hAnsi="Arial" w:hint="cs"/>
                <w:b/>
                <w:bCs/>
                <w:sz w:val="26"/>
                <w:szCs w:val="26"/>
                <w:rtl/>
              </w:rPr>
              <w:t>ה</w:t>
            </w:r>
            <w:r w:rsidRPr="00A35168">
              <w:rPr>
                <w:rFonts w:hint="cs"/>
                <w:b/>
                <w:bCs/>
                <w:sz w:val="26"/>
                <w:szCs w:val="26"/>
                <w:rtl/>
              </w:rPr>
              <w:t>מאשימה</w:t>
            </w:r>
          </w:p>
        </w:tc>
      </w:tr>
      <w:tr w:rsidR="00A35168" w:rsidRPr="00DF7952" w14:paraId="0AA01E3E" w14:textId="77777777">
        <w:trPr>
          <w:trHeight w:val="355"/>
          <w:jc w:val="center"/>
        </w:trPr>
        <w:tc>
          <w:tcPr>
            <w:tcW w:w="8820" w:type="dxa"/>
            <w:gridSpan w:val="3"/>
            <w:tcBorders>
              <w:top w:val="nil"/>
              <w:left w:val="nil"/>
              <w:bottom w:val="nil"/>
              <w:right w:val="nil"/>
            </w:tcBorders>
          </w:tcPr>
          <w:p w14:paraId="66EC19A1" w14:textId="77777777" w:rsidR="00A35168" w:rsidRPr="00A35168" w:rsidRDefault="00A35168" w:rsidP="00A35168">
            <w:pPr>
              <w:spacing w:before="240" w:after="240" w:line="360" w:lineRule="auto"/>
              <w:jc w:val="center"/>
              <w:rPr>
                <w:rFonts w:ascii="Arial" w:hAnsi="Arial" w:hint="cs"/>
                <w:b/>
                <w:bCs/>
                <w:sz w:val="26"/>
                <w:szCs w:val="26"/>
              </w:rPr>
            </w:pPr>
            <w:r w:rsidRPr="00A35168">
              <w:rPr>
                <w:rFonts w:ascii="Arial" w:hAnsi="Arial"/>
                <w:b/>
                <w:bCs/>
                <w:sz w:val="26"/>
                <w:szCs w:val="26"/>
                <w:rtl/>
              </w:rPr>
              <w:t>נגד</w:t>
            </w:r>
          </w:p>
        </w:tc>
      </w:tr>
      <w:tr w:rsidR="00672E11" w:rsidRPr="00DF7952" w14:paraId="4561D827" w14:textId="77777777">
        <w:trPr>
          <w:trHeight w:val="355"/>
          <w:jc w:val="center"/>
        </w:trPr>
        <w:tc>
          <w:tcPr>
            <w:tcW w:w="945" w:type="dxa"/>
            <w:tcBorders>
              <w:top w:val="nil"/>
              <w:left w:val="nil"/>
              <w:bottom w:val="nil"/>
              <w:right w:val="nil"/>
            </w:tcBorders>
          </w:tcPr>
          <w:p w14:paraId="3BB4E174" w14:textId="77777777" w:rsidR="00672E11" w:rsidRPr="00A35168" w:rsidRDefault="00672E11">
            <w:pPr>
              <w:spacing w:line="360" w:lineRule="auto"/>
              <w:rPr>
                <w:rFonts w:ascii="Arial" w:hAnsi="Arial"/>
                <w:b/>
                <w:bCs/>
                <w:sz w:val="26"/>
                <w:szCs w:val="26"/>
                <w:rtl/>
              </w:rPr>
            </w:pPr>
          </w:p>
        </w:tc>
        <w:tc>
          <w:tcPr>
            <w:tcW w:w="4114" w:type="dxa"/>
            <w:tcBorders>
              <w:top w:val="nil"/>
              <w:left w:val="nil"/>
              <w:bottom w:val="nil"/>
              <w:right w:val="nil"/>
            </w:tcBorders>
          </w:tcPr>
          <w:p w14:paraId="2539EA12" w14:textId="77777777" w:rsidR="00672E11" w:rsidRPr="00A35168" w:rsidRDefault="00DF7952">
            <w:pPr>
              <w:spacing w:line="360" w:lineRule="auto"/>
              <w:rPr>
                <w:b/>
                <w:bCs/>
                <w:sz w:val="26"/>
                <w:szCs w:val="26"/>
                <w:rtl/>
              </w:rPr>
            </w:pPr>
            <w:r w:rsidRPr="00A35168">
              <w:rPr>
                <w:rFonts w:hint="cs"/>
                <w:b/>
                <w:bCs/>
                <w:sz w:val="26"/>
                <w:szCs w:val="26"/>
                <w:rtl/>
              </w:rPr>
              <w:t>1</w:t>
            </w:r>
            <w:r w:rsidRPr="00A35168">
              <w:rPr>
                <w:rFonts w:ascii="Arial" w:hAnsi="Arial" w:hint="cs"/>
                <w:b/>
                <w:bCs/>
                <w:sz w:val="26"/>
                <w:szCs w:val="26"/>
                <w:rtl/>
              </w:rPr>
              <w:t>.</w:t>
            </w:r>
            <w:r w:rsidRPr="00A35168">
              <w:rPr>
                <w:rFonts w:hint="cs"/>
                <w:b/>
                <w:bCs/>
                <w:sz w:val="26"/>
                <w:szCs w:val="26"/>
                <w:rtl/>
              </w:rPr>
              <w:t>עדנאן זאהדה (עציר)</w:t>
            </w:r>
          </w:p>
          <w:p w14:paraId="39D58098" w14:textId="77777777" w:rsidR="00672E11" w:rsidRPr="00A35168" w:rsidRDefault="00DF7952">
            <w:pPr>
              <w:spacing w:line="360" w:lineRule="auto"/>
              <w:rPr>
                <w:b/>
                <w:bCs/>
                <w:sz w:val="26"/>
                <w:szCs w:val="26"/>
                <w:rtl/>
              </w:rPr>
            </w:pPr>
            <w:r w:rsidRPr="00A35168">
              <w:rPr>
                <w:rFonts w:hint="cs"/>
                <w:b/>
                <w:bCs/>
                <w:sz w:val="26"/>
                <w:szCs w:val="26"/>
                <w:rtl/>
              </w:rPr>
              <w:t>2</w:t>
            </w:r>
            <w:r w:rsidRPr="00A35168">
              <w:rPr>
                <w:rFonts w:ascii="Arial" w:hAnsi="Arial" w:hint="cs"/>
                <w:b/>
                <w:bCs/>
                <w:sz w:val="26"/>
                <w:szCs w:val="26"/>
                <w:rtl/>
              </w:rPr>
              <w:t>.</w:t>
            </w:r>
            <w:r w:rsidRPr="00A35168">
              <w:rPr>
                <w:rFonts w:hint="cs"/>
                <w:b/>
                <w:bCs/>
                <w:sz w:val="26"/>
                <w:szCs w:val="26"/>
                <w:rtl/>
              </w:rPr>
              <w:t>בהא בכרי (נדון)</w:t>
            </w:r>
          </w:p>
        </w:tc>
        <w:tc>
          <w:tcPr>
            <w:tcW w:w="3761" w:type="dxa"/>
            <w:tcBorders>
              <w:top w:val="nil"/>
              <w:left w:val="nil"/>
              <w:bottom w:val="nil"/>
              <w:right w:val="nil"/>
            </w:tcBorders>
          </w:tcPr>
          <w:p w14:paraId="4EB308B5" w14:textId="77777777" w:rsidR="00672E11" w:rsidRPr="00A35168" w:rsidRDefault="00672E11">
            <w:pPr>
              <w:spacing w:line="360" w:lineRule="auto"/>
              <w:jc w:val="right"/>
              <w:rPr>
                <w:rFonts w:ascii="Arial" w:hAnsi="Arial"/>
                <w:b/>
                <w:bCs/>
                <w:sz w:val="26"/>
                <w:szCs w:val="26"/>
              </w:rPr>
            </w:pPr>
          </w:p>
        </w:tc>
      </w:tr>
      <w:tr w:rsidR="00672E11" w:rsidRPr="00DF7952" w14:paraId="22D7A34D" w14:textId="77777777">
        <w:trPr>
          <w:trHeight w:val="355"/>
          <w:jc w:val="center"/>
        </w:trPr>
        <w:tc>
          <w:tcPr>
            <w:tcW w:w="945" w:type="dxa"/>
            <w:tcBorders>
              <w:top w:val="nil"/>
              <w:left w:val="nil"/>
              <w:bottom w:val="nil"/>
              <w:right w:val="nil"/>
            </w:tcBorders>
          </w:tcPr>
          <w:p w14:paraId="55AE262F" w14:textId="77777777" w:rsidR="00672E11" w:rsidRPr="00A35168" w:rsidRDefault="00672E11">
            <w:pPr>
              <w:spacing w:line="360" w:lineRule="auto"/>
              <w:jc w:val="both"/>
              <w:rPr>
                <w:rFonts w:ascii="Arial" w:hAnsi="Arial"/>
                <w:b/>
                <w:bCs/>
                <w:sz w:val="26"/>
                <w:szCs w:val="26"/>
                <w:rtl/>
              </w:rPr>
            </w:pPr>
          </w:p>
        </w:tc>
        <w:tc>
          <w:tcPr>
            <w:tcW w:w="4114" w:type="dxa"/>
            <w:tcBorders>
              <w:top w:val="nil"/>
              <w:left w:val="nil"/>
              <w:bottom w:val="nil"/>
              <w:right w:val="nil"/>
            </w:tcBorders>
          </w:tcPr>
          <w:p w14:paraId="14FBC6FF" w14:textId="77777777" w:rsidR="00672E11" w:rsidRPr="00A35168" w:rsidRDefault="00672E11">
            <w:pPr>
              <w:spacing w:line="360" w:lineRule="auto"/>
              <w:jc w:val="both"/>
              <w:rPr>
                <w:b/>
                <w:bCs/>
                <w:sz w:val="26"/>
                <w:szCs w:val="26"/>
                <w:rtl/>
              </w:rPr>
            </w:pPr>
          </w:p>
        </w:tc>
        <w:tc>
          <w:tcPr>
            <w:tcW w:w="3761" w:type="dxa"/>
            <w:tcBorders>
              <w:top w:val="nil"/>
              <w:left w:val="nil"/>
              <w:bottom w:val="nil"/>
              <w:right w:val="nil"/>
            </w:tcBorders>
          </w:tcPr>
          <w:p w14:paraId="1A0DEA06" w14:textId="77777777" w:rsidR="00672E11" w:rsidRPr="00A35168" w:rsidRDefault="00DF7952">
            <w:pPr>
              <w:spacing w:line="360" w:lineRule="auto"/>
              <w:rPr>
                <w:rFonts w:ascii="Arial" w:hAnsi="Arial"/>
                <w:b/>
                <w:bCs/>
                <w:sz w:val="26"/>
                <w:szCs w:val="26"/>
              </w:rPr>
            </w:pPr>
            <w:r w:rsidRPr="00A35168">
              <w:rPr>
                <w:rFonts w:ascii="Arial" w:hAnsi="Arial" w:hint="cs"/>
                <w:b/>
                <w:bCs/>
                <w:sz w:val="26"/>
                <w:szCs w:val="26"/>
                <w:rtl/>
              </w:rPr>
              <w:t>ה</w:t>
            </w:r>
            <w:r w:rsidRPr="00A35168">
              <w:rPr>
                <w:rFonts w:hint="cs"/>
                <w:b/>
                <w:bCs/>
                <w:sz w:val="26"/>
                <w:szCs w:val="26"/>
                <w:rtl/>
              </w:rPr>
              <w:t>נאשמים</w:t>
            </w:r>
          </w:p>
        </w:tc>
      </w:tr>
    </w:tbl>
    <w:p w14:paraId="45A08083" w14:textId="77777777" w:rsidR="00672E11" w:rsidRDefault="00672E11">
      <w:pPr>
        <w:spacing w:line="360" w:lineRule="auto"/>
        <w:rPr>
          <w:rFonts w:ascii="Arial" w:hAnsi="Arial" w:hint="cs"/>
          <w:rtl/>
        </w:rPr>
      </w:pPr>
      <w:bookmarkStart w:id="3" w:name="LawTable"/>
      <w:bookmarkStart w:id="4" w:name="LawTable_End"/>
      <w:bookmarkEnd w:id="3"/>
      <w:bookmarkEnd w:id="4"/>
    </w:p>
    <w:p w14:paraId="396EFCA1" w14:textId="77777777" w:rsidR="00A35168" w:rsidRPr="00A35168" w:rsidRDefault="00A35168" w:rsidP="00A35168">
      <w:pPr>
        <w:spacing w:after="120" w:line="240" w:lineRule="exact"/>
        <w:ind w:left="283" w:hanging="283"/>
        <w:jc w:val="both"/>
        <w:rPr>
          <w:rFonts w:ascii="FrankRuehl" w:hAnsi="FrankRuehl" w:cs="FrankRuehl"/>
          <w:rtl/>
        </w:rPr>
      </w:pPr>
      <w:r w:rsidRPr="00A35168">
        <w:rPr>
          <w:rFonts w:ascii="FrankRuehl" w:hAnsi="FrankRuehl" w:cs="FrankRuehl"/>
          <w:rtl/>
        </w:rPr>
        <w:t xml:space="preserve">חקיקה שאוזכרה: </w:t>
      </w:r>
    </w:p>
    <w:p w14:paraId="71DE7A90" w14:textId="77777777" w:rsidR="00A35168" w:rsidRPr="00A35168" w:rsidRDefault="00A35168" w:rsidP="00A35168">
      <w:pPr>
        <w:spacing w:after="120" w:line="240" w:lineRule="exact"/>
        <w:ind w:left="283" w:hanging="283"/>
        <w:jc w:val="both"/>
        <w:rPr>
          <w:rFonts w:ascii="FrankRuehl" w:hAnsi="FrankRuehl" w:cs="FrankRuehl"/>
          <w:rtl/>
        </w:rPr>
      </w:pPr>
      <w:hyperlink r:id="rId6" w:history="1">
        <w:r w:rsidRPr="00A35168">
          <w:rPr>
            <w:rFonts w:ascii="FrankRuehl" w:hAnsi="FrankRuehl" w:cs="FrankRuehl"/>
            <w:color w:val="0000FF"/>
            <w:u w:val="single"/>
            <w:rtl/>
          </w:rPr>
          <w:t>חוק העונשין, תשל"ז-1977</w:t>
        </w:r>
      </w:hyperlink>
      <w:r w:rsidRPr="00A35168">
        <w:rPr>
          <w:rFonts w:ascii="FrankRuehl" w:hAnsi="FrankRuehl" w:cs="FrankRuehl"/>
          <w:rtl/>
        </w:rPr>
        <w:t xml:space="preserve">: סע'  </w:t>
      </w:r>
      <w:hyperlink r:id="rId7" w:history="1">
        <w:r w:rsidRPr="00A35168">
          <w:rPr>
            <w:rFonts w:ascii="FrankRuehl" w:hAnsi="FrankRuehl" w:cs="FrankRuehl"/>
            <w:color w:val="0000FF"/>
            <w:u w:val="single"/>
            <w:rtl/>
          </w:rPr>
          <w:t>77</w:t>
        </w:r>
      </w:hyperlink>
      <w:r w:rsidRPr="00A35168">
        <w:rPr>
          <w:rFonts w:ascii="FrankRuehl" w:hAnsi="FrankRuehl" w:cs="FrankRuehl"/>
          <w:rtl/>
        </w:rPr>
        <w:t xml:space="preserve">, </w:t>
      </w:r>
      <w:hyperlink r:id="rId8" w:history="1">
        <w:r w:rsidRPr="00A35168">
          <w:rPr>
            <w:rFonts w:ascii="FrankRuehl" w:hAnsi="FrankRuehl" w:cs="FrankRuehl"/>
            <w:color w:val="0000FF"/>
            <w:u w:val="single"/>
            <w:rtl/>
          </w:rPr>
          <w:t>144.א.</w:t>
        </w:r>
      </w:hyperlink>
      <w:r w:rsidRPr="00A35168">
        <w:rPr>
          <w:rFonts w:ascii="FrankRuehl" w:hAnsi="FrankRuehl" w:cs="FrankRuehl"/>
          <w:rtl/>
        </w:rPr>
        <w:t xml:space="preserve">, </w:t>
      </w:r>
      <w:hyperlink r:id="rId9" w:history="1">
        <w:r w:rsidRPr="00A35168">
          <w:rPr>
            <w:rFonts w:ascii="FrankRuehl" w:hAnsi="FrankRuehl" w:cs="FrankRuehl"/>
            <w:color w:val="0000FF"/>
            <w:u w:val="single"/>
            <w:rtl/>
          </w:rPr>
          <w:t>144.ב.</w:t>
        </w:r>
      </w:hyperlink>
      <w:r w:rsidRPr="00A35168">
        <w:rPr>
          <w:rFonts w:ascii="FrankRuehl" w:hAnsi="FrankRuehl" w:cs="FrankRuehl"/>
          <w:rtl/>
        </w:rPr>
        <w:t xml:space="preserve">, </w:t>
      </w:r>
      <w:hyperlink r:id="rId10" w:history="1">
        <w:r w:rsidRPr="00A35168">
          <w:rPr>
            <w:rFonts w:ascii="FrankRuehl" w:hAnsi="FrankRuehl" w:cs="FrankRuehl"/>
            <w:color w:val="0000FF"/>
            <w:u w:val="single"/>
            <w:rtl/>
          </w:rPr>
          <w:t>300(א)</w:t>
        </w:r>
      </w:hyperlink>
      <w:r w:rsidRPr="00A35168">
        <w:rPr>
          <w:rFonts w:ascii="FrankRuehl" w:hAnsi="FrankRuehl" w:cs="FrankRuehl"/>
          <w:rtl/>
        </w:rPr>
        <w:t xml:space="preserve">, </w:t>
      </w:r>
      <w:hyperlink r:id="rId11" w:history="1">
        <w:r w:rsidRPr="00A35168">
          <w:rPr>
            <w:rFonts w:ascii="FrankRuehl" w:hAnsi="FrankRuehl" w:cs="FrankRuehl"/>
            <w:color w:val="0000FF"/>
            <w:u w:val="single"/>
            <w:rtl/>
          </w:rPr>
          <w:t>300(א)(2)</w:t>
        </w:r>
      </w:hyperlink>
      <w:r w:rsidRPr="00A35168">
        <w:rPr>
          <w:rFonts w:ascii="FrankRuehl" w:hAnsi="FrankRuehl" w:cs="FrankRuehl"/>
          <w:rtl/>
        </w:rPr>
        <w:t xml:space="preserve">, </w:t>
      </w:r>
      <w:hyperlink r:id="rId12" w:history="1">
        <w:r w:rsidRPr="00A35168">
          <w:rPr>
            <w:rFonts w:ascii="FrankRuehl" w:hAnsi="FrankRuehl" w:cs="FrankRuehl"/>
            <w:color w:val="0000FF"/>
            <w:u w:val="single"/>
            <w:rtl/>
          </w:rPr>
          <w:t>301</w:t>
        </w:r>
      </w:hyperlink>
    </w:p>
    <w:p w14:paraId="7F10CA7D" w14:textId="77777777" w:rsidR="00A35168" w:rsidRDefault="00A35168">
      <w:pPr>
        <w:spacing w:line="360" w:lineRule="auto"/>
        <w:rPr>
          <w:rFonts w:ascii="Arial" w:hAnsi="Arial" w:hint="cs"/>
          <w:rtl/>
        </w:rPr>
      </w:pPr>
    </w:p>
    <w:p w14:paraId="42351811" w14:textId="77777777" w:rsidR="00A35168" w:rsidRDefault="00A35168" w:rsidP="00A35168">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09E92B5B" w14:textId="77777777" w:rsidR="00A35168" w:rsidRPr="00A35168" w:rsidRDefault="00A35168" w:rsidP="00A35168">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35168">
        <w:rPr>
          <w:rFonts w:cs="FrankRuehl"/>
          <w:szCs w:val="26"/>
          <w:rtl/>
        </w:rPr>
        <w:t xml:space="preserve">בית המשפט גזר על הנאשם שהורשע בביצוע עבירת רצח עונש של מאסר עולם ובגין עבירות הנשק עונש של 24 חודשי מאסר בפועל. </w:t>
      </w:r>
    </w:p>
    <w:p w14:paraId="5130FA1B" w14:textId="77777777" w:rsidR="00A35168" w:rsidRDefault="00A35168" w:rsidP="00A35168">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5EF7B28D" w14:textId="77777777" w:rsidR="00A35168" w:rsidRDefault="00A35168" w:rsidP="00A35168">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עבירת רצח</w:t>
      </w:r>
    </w:p>
    <w:p w14:paraId="5F89B5C5" w14:textId="77777777" w:rsidR="00A35168" w:rsidRDefault="00A35168" w:rsidP="00A351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10F2BA5" w14:textId="77777777" w:rsidR="00A35168" w:rsidRPr="00A35168" w:rsidRDefault="00A35168" w:rsidP="00A35168">
      <w:pPr>
        <w:pBdr>
          <w:top w:val="single" w:sz="4" w:space="1" w:color="auto"/>
          <w:bottom w:val="single" w:sz="4" w:space="1" w:color="auto"/>
        </w:pBdr>
        <w:spacing w:after="120" w:line="320" w:lineRule="exact"/>
        <w:jc w:val="both"/>
        <w:rPr>
          <w:rFonts w:cs="FrankRuehl"/>
          <w:szCs w:val="26"/>
          <w:rtl/>
        </w:rPr>
      </w:pPr>
      <w:r w:rsidRPr="00A35168">
        <w:rPr>
          <w:rFonts w:cs="FrankRuehl"/>
          <w:szCs w:val="26"/>
          <w:rtl/>
        </w:rPr>
        <w:t>הנאשם הורשע בתום שמיעת ראיות בעבירת רצח, לפי סעיף 300(א)(2) + 301 ובעבירות נשק לפי סעיף 144 (א) + (ב) לחוק העונשין. בהכרעת הדין נקבע, כי הנאשם ירה במנוחה מטווח קצר בשני כדורי אקדח.</w:t>
      </w:r>
    </w:p>
    <w:p w14:paraId="7E0A340D" w14:textId="77777777" w:rsidR="00A35168" w:rsidRDefault="00A35168" w:rsidP="00A351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87BD221" w14:textId="77777777" w:rsidR="00A35168" w:rsidRPr="00A35168" w:rsidRDefault="00A35168" w:rsidP="00A35168">
      <w:pPr>
        <w:pBdr>
          <w:top w:val="single" w:sz="4" w:space="1" w:color="auto"/>
          <w:bottom w:val="single" w:sz="4" w:space="1" w:color="auto"/>
        </w:pBdr>
        <w:spacing w:after="120" w:line="320" w:lineRule="exact"/>
        <w:jc w:val="both"/>
        <w:rPr>
          <w:rFonts w:cs="FrankRuehl"/>
          <w:szCs w:val="26"/>
          <w:rtl/>
        </w:rPr>
      </w:pPr>
      <w:r w:rsidRPr="00A35168">
        <w:rPr>
          <w:rFonts w:cs="FrankRuehl"/>
          <w:szCs w:val="26"/>
          <w:rtl/>
        </w:rPr>
        <w:t>בית המשפט פסק כלהלן:</w:t>
      </w:r>
    </w:p>
    <w:p w14:paraId="71391C1E" w14:textId="77777777" w:rsidR="00A35168" w:rsidRPr="00A35168" w:rsidRDefault="00A35168" w:rsidP="00A35168">
      <w:pPr>
        <w:pBdr>
          <w:top w:val="single" w:sz="4" w:space="1" w:color="auto"/>
          <w:bottom w:val="single" w:sz="4" w:space="1" w:color="auto"/>
        </w:pBdr>
        <w:spacing w:after="120" w:line="320" w:lineRule="exact"/>
        <w:jc w:val="both"/>
        <w:rPr>
          <w:rFonts w:cs="FrankRuehl"/>
          <w:szCs w:val="26"/>
          <w:rtl/>
        </w:rPr>
      </w:pPr>
      <w:r w:rsidRPr="00A35168">
        <w:rPr>
          <w:rFonts w:cs="FrankRuehl"/>
          <w:szCs w:val="26"/>
          <w:rtl/>
        </w:rPr>
        <w:t xml:space="preserve">סעיף 300 (א) לחוק העונשין קובע כי אחת דינו של מי שמורשע בעבירת רצח בכוונה תחילה, מאסר עולם ולעונש זה בלבד. </w:t>
      </w:r>
    </w:p>
    <w:p w14:paraId="36F8ACD3" w14:textId="77777777" w:rsidR="00A35168" w:rsidRPr="00A35168" w:rsidRDefault="00A35168" w:rsidP="00A35168">
      <w:pPr>
        <w:pBdr>
          <w:top w:val="single" w:sz="4" w:space="1" w:color="auto"/>
          <w:bottom w:val="single" w:sz="4" w:space="1" w:color="auto"/>
        </w:pBdr>
        <w:spacing w:after="120" w:line="320" w:lineRule="exact"/>
        <w:jc w:val="both"/>
        <w:rPr>
          <w:rFonts w:cs="FrankRuehl"/>
          <w:szCs w:val="26"/>
          <w:rtl/>
        </w:rPr>
      </w:pPr>
      <w:r w:rsidRPr="00A35168">
        <w:rPr>
          <w:rFonts w:cs="FrankRuehl"/>
          <w:szCs w:val="26"/>
          <w:rtl/>
        </w:rPr>
        <w:t xml:space="preserve">באשר לעבירות של החזקת ונשיאת נשק, יש לקבוע מתחם עונש הולם בין 1 ל-3 שנות מאסר. במקרה דנן, יש להעמיד את עונשו של הנאשם בתוך מתחם זה, באופן שבגין העבירות בנשק יגזרו עליו שנתיים מאסר </w:t>
      </w:r>
      <w:r w:rsidRPr="00A35168">
        <w:rPr>
          <w:rFonts w:cs="FrankRuehl"/>
          <w:szCs w:val="26"/>
          <w:rtl/>
        </w:rPr>
        <w:lastRenderedPageBreak/>
        <w:t>בפועל, נוכח החומרה שבעבירות הנשק, והיותן עבירות נפרדות אשר יש בהן כדי לסכן את שלום הציבור ובטחונו. הסכנה התממשה בעניינה של המנוחה.</w:t>
      </w:r>
    </w:p>
    <w:p w14:paraId="7D0AF34A" w14:textId="77777777" w:rsidR="00A35168" w:rsidRPr="00A35168" w:rsidRDefault="00A35168" w:rsidP="00A35168">
      <w:pPr>
        <w:pBdr>
          <w:top w:val="single" w:sz="4" w:space="1" w:color="auto"/>
          <w:bottom w:val="single" w:sz="4" w:space="1" w:color="auto"/>
        </w:pBdr>
        <w:spacing w:after="120" w:line="320" w:lineRule="exact"/>
        <w:jc w:val="both"/>
        <w:rPr>
          <w:rFonts w:cs="FrankRuehl"/>
          <w:szCs w:val="26"/>
          <w:rtl/>
        </w:rPr>
      </w:pPr>
      <w:r w:rsidRPr="00A35168">
        <w:rPr>
          <w:rFonts w:cs="FrankRuehl"/>
          <w:szCs w:val="26"/>
          <w:rtl/>
        </w:rPr>
        <w:t xml:space="preserve">העונש המתאים לנאשם בגין העבירות  של החזקת ונשיאת נשק בתוך המתחם הנ"ל, הוא, 24 חודשי מאסר בפועל. אולם, עונש זה ירוצה בחופף לעונש מאסר העולם, וזאת, בשל היות העבירות בנשק שלובות בעבירת הרצח והואיל ונגזר על הנאשם העונש החמור ביות, הקבוע בספר חוקים, עונש של מאסר עולם. </w:t>
      </w:r>
    </w:p>
    <w:p w14:paraId="28245984" w14:textId="77777777" w:rsidR="00A35168" w:rsidRPr="00DF7952" w:rsidRDefault="00A35168">
      <w:pPr>
        <w:spacing w:line="360" w:lineRule="auto"/>
        <w:rPr>
          <w:rFonts w:ascii="Arial" w:hAnsi="Aria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72E11" w14:paraId="0D812E90" w14:textId="77777777">
        <w:trPr>
          <w:trHeight w:val="355"/>
          <w:jc w:val="center"/>
        </w:trPr>
        <w:tc>
          <w:tcPr>
            <w:tcW w:w="8820" w:type="dxa"/>
            <w:tcBorders>
              <w:top w:val="nil"/>
              <w:left w:val="nil"/>
              <w:bottom w:val="nil"/>
              <w:right w:val="nil"/>
            </w:tcBorders>
          </w:tcPr>
          <w:p w14:paraId="158AEBB5" w14:textId="77777777" w:rsidR="00672E11" w:rsidRPr="00DF7952" w:rsidRDefault="00DF7952" w:rsidP="00DF7952">
            <w:pPr>
              <w:spacing w:line="360" w:lineRule="auto"/>
              <w:jc w:val="center"/>
              <w:rPr>
                <w:rFonts w:ascii="Arial" w:hAnsi="Arial"/>
                <w:bCs/>
                <w:sz w:val="32"/>
                <w:szCs w:val="32"/>
                <w:u w:val="single"/>
                <w:rtl/>
              </w:rPr>
            </w:pPr>
            <w:bookmarkStart w:id="7" w:name="PsakDin" w:colFirst="0" w:colLast="0"/>
            <w:r w:rsidRPr="00DF7952">
              <w:rPr>
                <w:rFonts w:ascii="Arial" w:hAnsi="Arial"/>
                <w:b/>
                <w:bCs/>
                <w:sz w:val="32"/>
                <w:szCs w:val="32"/>
                <w:u w:val="single"/>
                <w:rtl/>
              </w:rPr>
              <w:t>גזר דין</w:t>
            </w:r>
          </w:p>
        </w:tc>
      </w:tr>
      <w:bookmarkEnd w:id="7"/>
    </w:tbl>
    <w:p w14:paraId="2FE3F972" w14:textId="77777777" w:rsidR="00672E11" w:rsidRDefault="00672E11">
      <w:pPr>
        <w:spacing w:line="360" w:lineRule="auto"/>
        <w:rPr>
          <w:rFonts w:ascii="Arial" w:hAnsi="Arial"/>
          <w:rtl/>
        </w:rPr>
      </w:pPr>
    </w:p>
    <w:p w14:paraId="57E5478E" w14:textId="77777777" w:rsidR="00672E11" w:rsidRDefault="00672E11">
      <w:pPr>
        <w:spacing w:line="360" w:lineRule="auto"/>
        <w:jc w:val="both"/>
        <w:rPr>
          <w:rtl/>
        </w:rPr>
      </w:pPr>
    </w:p>
    <w:p w14:paraId="11F6F4D2" w14:textId="77777777" w:rsidR="00672E11" w:rsidRDefault="00DF7952">
      <w:pPr>
        <w:spacing w:line="360" w:lineRule="auto"/>
        <w:jc w:val="both"/>
      </w:pPr>
      <w:r>
        <w:rPr>
          <w:rFonts w:hint="cs"/>
          <w:rtl/>
        </w:rPr>
        <w:t>הנאשם הורשע בתום שמיעת ראיות בעבירת</w:t>
      </w:r>
      <w:r>
        <w:rPr>
          <w:rFonts w:hint="cs"/>
          <w:b/>
          <w:bCs/>
          <w:rtl/>
        </w:rPr>
        <w:t xml:space="preserve"> </w:t>
      </w:r>
      <w:r>
        <w:rPr>
          <w:rFonts w:hint="cs"/>
          <w:rtl/>
        </w:rPr>
        <w:t xml:space="preserve">רצח, לפי </w:t>
      </w:r>
      <w:hyperlink r:id="rId13" w:history="1">
        <w:r w:rsidR="00A35168" w:rsidRPr="00A35168">
          <w:rPr>
            <w:color w:val="0000FF"/>
            <w:u w:val="single"/>
            <w:rtl/>
          </w:rPr>
          <w:t>סעיף 300(א)(2)</w:t>
        </w:r>
      </w:hyperlink>
      <w:r>
        <w:rPr>
          <w:rFonts w:hint="cs"/>
          <w:rtl/>
        </w:rPr>
        <w:t xml:space="preserve"> +</w:t>
      </w:r>
      <w:hyperlink r:id="rId14" w:history="1">
        <w:r w:rsidR="00A35168" w:rsidRPr="00A35168">
          <w:rPr>
            <w:color w:val="0000FF"/>
            <w:u w:val="single"/>
            <w:rtl/>
          </w:rPr>
          <w:t>301</w:t>
        </w:r>
      </w:hyperlink>
      <w:r>
        <w:rPr>
          <w:rFonts w:hint="cs"/>
          <w:rtl/>
        </w:rPr>
        <w:t xml:space="preserve"> ובעבירות נשק לפי </w:t>
      </w:r>
      <w:hyperlink r:id="rId15" w:history="1">
        <w:r w:rsidR="00A35168" w:rsidRPr="00A35168">
          <w:rPr>
            <w:color w:val="0000FF"/>
            <w:u w:val="single"/>
            <w:rtl/>
          </w:rPr>
          <w:t>סעיף 144(א)+(ב)</w:t>
        </w:r>
      </w:hyperlink>
      <w:r>
        <w:rPr>
          <w:rFonts w:hint="cs"/>
          <w:rtl/>
        </w:rPr>
        <w:t xml:space="preserve"> ל</w:t>
      </w:r>
      <w:hyperlink r:id="rId16" w:history="1">
        <w:r w:rsidRPr="00DF7952">
          <w:rPr>
            <w:color w:val="0000FF"/>
            <w:u w:val="single"/>
            <w:rtl/>
          </w:rPr>
          <w:t>חוק העונשין</w:t>
        </w:r>
      </w:hyperlink>
      <w:r>
        <w:rPr>
          <w:rFonts w:hint="cs"/>
          <w:rtl/>
        </w:rPr>
        <w:t xml:space="preserve">, התשל"ז – 1977 (להלן: </w:t>
      </w:r>
      <w:r>
        <w:rPr>
          <w:rFonts w:cs="Miriam" w:hint="cs"/>
          <w:rtl/>
        </w:rPr>
        <w:t>"חוק העונשין"</w:t>
      </w:r>
      <w:r>
        <w:rPr>
          <w:rFonts w:hint="cs"/>
          <w:rtl/>
        </w:rPr>
        <w:t>).</w:t>
      </w:r>
    </w:p>
    <w:p w14:paraId="4A1AD4C9" w14:textId="77777777" w:rsidR="00672E11" w:rsidRDefault="00672E11">
      <w:pPr>
        <w:spacing w:line="360" w:lineRule="auto"/>
        <w:jc w:val="both"/>
        <w:rPr>
          <w:rtl/>
        </w:rPr>
      </w:pPr>
    </w:p>
    <w:p w14:paraId="0261FB37" w14:textId="77777777" w:rsidR="00672E11" w:rsidRDefault="00DF7952">
      <w:pPr>
        <w:spacing w:line="360" w:lineRule="auto"/>
        <w:jc w:val="both"/>
        <w:rPr>
          <w:rFonts w:ascii="Arial" w:hAnsi="Arial"/>
          <w:rtl/>
        </w:rPr>
      </w:pPr>
      <w:r>
        <w:rPr>
          <w:rFonts w:hint="cs"/>
          <w:rtl/>
        </w:rPr>
        <w:t xml:space="preserve">לא נשוב על מכלול הפרטים שפורטו על ידינו בהרחבה בהכרעת הדין, נציין רק כי הנאשם הורשע  ברציחתה של </w:t>
      </w:r>
      <w:r>
        <w:rPr>
          <w:rFonts w:ascii="Arial" w:hAnsi="Arial" w:hint="cs"/>
          <w:rtl/>
        </w:rPr>
        <w:t xml:space="preserve">נסרין (מרלן) מוסראתי ז"ל ביום 28/05/12, בכך שירה בה מטווח קצר בשני כדורי אקדח </w:t>
      </w:r>
      <w:smartTag w:uri="urn:schemas-microsoft-com:office:smarttags" w:element="metricconverter">
        <w:smartTagPr>
          <w:attr w:name="ProductID" w:val="9 מ&quot;מ"/>
        </w:smartTagPr>
        <w:r>
          <w:rPr>
            <w:rFonts w:ascii="Arial" w:hAnsi="Arial" w:hint="cs"/>
            <w:rtl/>
          </w:rPr>
          <w:t>9 מ"מ</w:t>
        </w:r>
      </w:smartTag>
      <w:r>
        <w:rPr>
          <w:rFonts w:ascii="Arial" w:hAnsi="Arial" w:hint="cs"/>
          <w:rtl/>
        </w:rPr>
        <w:t xml:space="preserve">, בעת שהלכה במרכז כפר יאסיף. </w:t>
      </w:r>
    </w:p>
    <w:p w14:paraId="03EF1871" w14:textId="77777777" w:rsidR="00672E11" w:rsidRDefault="00672E11">
      <w:pPr>
        <w:spacing w:line="360" w:lineRule="auto"/>
        <w:jc w:val="both"/>
        <w:rPr>
          <w:rFonts w:ascii="Arial" w:hAnsi="Arial"/>
          <w:rtl/>
        </w:rPr>
      </w:pPr>
    </w:p>
    <w:p w14:paraId="06896805" w14:textId="77777777" w:rsidR="00672E11" w:rsidRDefault="00DF7952">
      <w:pPr>
        <w:spacing w:line="360" w:lineRule="auto"/>
        <w:jc w:val="both"/>
        <w:rPr>
          <w:rFonts w:ascii="Arial" w:hAnsi="Arial"/>
          <w:rtl/>
        </w:rPr>
      </w:pPr>
      <w:r>
        <w:rPr>
          <w:rFonts w:ascii="Arial" w:hAnsi="Arial" w:hint="cs"/>
          <w:rtl/>
        </w:rPr>
        <w:t xml:space="preserve">אחד הקליעים שירה הנאשם במנוחה פגע בצווארה משמאל, עבר דרך שרירי הצוואר וגרם לשבר מרוסק של בסיס הגולגולת מימין; הקליע האחר פגע בגב מצד שמאל ועבר דרך הריאה השמאלית, הלב והריאה הימנית. מותה של המנוחה נגרם מנזק חמור ללב ולריאות וממעבר קליע דרך הגוו. </w:t>
      </w:r>
    </w:p>
    <w:p w14:paraId="60683E6E" w14:textId="77777777" w:rsidR="00672E11" w:rsidRDefault="00672E11">
      <w:pPr>
        <w:spacing w:line="360" w:lineRule="auto"/>
        <w:jc w:val="both"/>
        <w:rPr>
          <w:rFonts w:ascii="Arial" w:hAnsi="Arial"/>
          <w:rtl/>
        </w:rPr>
      </w:pPr>
    </w:p>
    <w:p w14:paraId="1A2FDC81" w14:textId="77777777" w:rsidR="00672E11" w:rsidRDefault="00DF7952">
      <w:pPr>
        <w:spacing w:line="360" w:lineRule="auto"/>
        <w:jc w:val="both"/>
        <w:rPr>
          <w:rFonts w:ascii="Arial" w:hAnsi="Arial"/>
          <w:rtl/>
        </w:rPr>
      </w:pPr>
      <w:r>
        <w:rPr>
          <w:rFonts w:ascii="Arial" w:hAnsi="Arial" w:hint="cs"/>
          <w:rtl/>
        </w:rPr>
        <w:t xml:space="preserve">לאחר הירי נכנס הנאשם אל רכב של אדם אחר אשר מילטו אל מחוץ לכפר. </w:t>
      </w:r>
    </w:p>
    <w:p w14:paraId="392B0BF1" w14:textId="77777777" w:rsidR="00672E11" w:rsidRDefault="00672E11">
      <w:pPr>
        <w:spacing w:line="360" w:lineRule="auto"/>
        <w:jc w:val="both"/>
        <w:rPr>
          <w:rFonts w:ascii="Arial" w:hAnsi="Arial"/>
          <w:rtl/>
        </w:rPr>
      </w:pPr>
    </w:p>
    <w:p w14:paraId="4375F68A" w14:textId="77777777" w:rsidR="00672E11" w:rsidRDefault="00DF7952">
      <w:pPr>
        <w:spacing w:line="360" w:lineRule="auto"/>
        <w:jc w:val="both"/>
        <w:rPr>
          <w:rFonts w:ascii="Arial" w:hAnsi="Arial"/>
          <w:rtl/>
        </w:rPr>
      </w:pPr>
      <w:r>
        <w:rPr>
          <w:rFonts w:ascii="Arial" w:hAnsi="Arial" w:hint="cs"/>
          <w:rtl/>
        </w:rPr>
        <w:t>המנוחה הותירה אחריה שני ילדים רכים בשנים.</w:t>
      </w:r>
    </w:p>
    <w:p w14:paraId="1F7FEBBE" w14:textId="77777777" w:rsidR="00672E11" w:rsidRDefault="00DF7952">
      <w:pPr>
        <w:spacing w:line="360" w:lineRule="auto"/>
        <w:jc w:val="both"/>
        <w:rPr>
          <w:rFonts w:ascii="Arial" w:hAnsi="Arial"/>
          <w:rtl/>
        </w:rPr>
      </w:pPr>
      <w:r>
        <w:rPr>
          <w:rFonts w:ascii="Arial" w:hAnsi="Arial" w:hint="cs"/>
          <w:rtl/>
        </w:rPr>
        <w:t xml:space="preserve">בהכרעת הדין עמדנו על פרטים נוספים אשר סבבו את סיפור חייה של המנוחה, ובין היתר העובדה כי עובר לרציחתה, שהתה המנוחה במקלטים לנשים מוכות, בשל חשש לחייה, מצד משפחת בעלה, עורסאן מוסראתי, כאשר ילדיהם היו בחזקת משפחתו של זה האחרון שסירבו להחזירם לחזקת המנוחה. </w:t>
      </w:r>
    </w:p>
    <w:p w14:paraId="0983A92D" w14:textId="77777777" w:rsidR="00672E11" w:rsidRDefault="00672E11">
      <w:pPr>
        <w:spacing w:line="360" w:lineRule="auto"/>
        <w:jc w:val="both"/>
        <w:rPr>
          <w:rFonts w:ascii="Arial" w:hAnsi="Arial"/>
          <w:rtl/>
        </w:rPr>
      </w:pPr>
    </w:p>
    <w:p w14:paraId="1AFDCBF6" w14:textId="77777777" w:rsidR="00672E11" w:rsidRDefault="00DF7952">
      <w:pPr>
        <w:spacing w:line="360" w:lineRule="auto"/>
        <w:jc w:val="both"/>
        <w:rPr>
          <w:rFonts w:ascii="Arial" w:hAnsi="Arial"/>
          <w:rtl/>
        </w:rPr>
      </w:pPr>
      <w:r>
        <w:rPr>
          <w:rFonts w:ascii="Arial" w:hAnsi="Arial" w:hint="cs"/>
          <w:rtl/>
        </w:rPr>
        <w:t xml:space="preserve">עוד ציינו, כי בין המנוחה לבעלה עורסאן, התנהלו הליכי גירושין בבית הדין השרעי כאשר מתיק הרווחה בעניינה של המנוחה ניתן היה ללמוד על קיומו של סכסוך בין בעלה ומשפחתו לבין המנוחה, ועל אלימות פיזית ומילולית כלפי המנוחה, עובר לרציחתה. </w:t>
      </w:r>
    </w:p>
    <w:p w14:paraId="15866114" w14:textId="77777777" w:rsidR="00672E11" w:rsidRDefault="00672E11">
      <w:pPr>
        <w:spacing w:line="360" w:lineRule="auto"/>
        <w:jc w:val="both"/>
        <w:rPr>
          <w:rFonts w:ascii="Arial" w:hAnsi="Arial"/>
          <w:rtl/>
        </w:rPr>
      </w:pPr>
    </w:p>
    <w:p w14:paraId="5F470565" w14:textId="77777777" w:rsidR="00672E11" w:rsidRDefault="00DF7952">
      <w:pPr>
        <w:spacing w:line="360" w:lineRule="auto"/>
        <w:jc w:val="both"/>
        <w:rPr>
          <w:rFonts w:ascii="David" w:hAnsi="David"/>
          <w:rtl/>
        </w:rPr>
      </w:pPr>
      <w:r>
        <w:rPr>
          <w:rFonts w:hint="cs"/>
          <w:rtl/>
        </w:rPr>
        <w:t>בשלב הראיות לעונש, הוגשה הצהרת נפגע עבירה, מטעם אבי המנוחה, מר עלי מוסראתי (ט/3) אשר אף העיד בפנינו ותיאר את המנוחה בכאב רב ומן הראוי להביא את ליבת דבריו כלשונם:</w:t>
      </w:r>
    </w:p>
    <w:p w14:paraId="42A6D852" w14:textId="77777777" w:rsidR="00672E11" w:rsidRDefault="00672E11">
      <w:pPr>
        <w:spacing w:line="360" w:lineRule="auto"/>
        <w:jc w:val="both"/>
        <w:rPr>
          <w:rtl/>
        </w:rPr>
      </w:pPr>
    </w:p>
    <w:p w14:paraId="15C59975" w14:textId="77777777" w:rsidR="00672E11" w:rsidRDefault="00DF7952">
      <w:pPr>
        <w:spacing w:line="360" w:lineRule="auto"/>
        <w:ind w:left="800" w:right="993"/>
        <w:jc w:val="both"/>
        <w:rPr>
          <w:rFonts w:cs="Miriam"/>
          <w:rtl/>
        </w:rPr>
      </w:pPr>
      <w:r>
        <w:rPr>
          <w:rFonts w:cs="Miriam" w:hint="cs"/>
          <w:rtl/>
        </w:rPr>
        <w:t>"[...] ילדה שלי, אוהבת חיים, אמא של הילדים, אמא הכי יפה בעולם ורצחו אותה (מביט לעבר הנאשם בכאב) אני לא יודע למה רצחו אותה, כאב חזק מאד. מה שאני אדבר, היא לא תחזור...".</w:t>
      </w:r>
    </w:p>
    <w:p w14:paraId="589CE4E9" w14:textId="77777777" w:rsidR="00672E11" w:rsidRDefault="00672E11">
      <w:pPr>
        <w:spacing w:line="360" w:lineRule="auto"/>
        <w:jc w:val="both"/>
        <w:rPr>
          <w:rtl/>
        </w:rPr>
      </w:pPr>
    </w:p>
    <w:p w14:paraId="16069C75" w14:textId="77777777" w:rsidR="00672E11" w:rsidRDefault="00DF7952">
      <w:pPr>
        <w:spacing w:line="360" w:lineRule="auto"/>
        <w:jc w:val="both"/>
        <w:rPr>
          <w:rtl/>
        </w:rPr>
      </w:pPr>
      <w:r>
        <w:rPr>
          <w:rFonts w:hint="cs"/>
          <w:rtl/>
        </w:rPr>
        <w:t>ובהתייחס לנאשם:</w:t>
      </w:r>
    </w:p>
    <w:p w14:paraId="16ACF7DE" w14:textId="77777777" w:rsidR="00672E11" w:rsidRDefault="00672E11">
      <w:pPr>
        <w:spacing w:line="360" w:lineRule="auto"/>
        <w:jc w:val="both"/>
        <w:rPr>
          <w:rtl/>
        </w:rPr>
      </w:pPr>
    </w:p>
    <w:p w14:paraId="04ADBE71" w14:textId="77777777" w:rsidR="00672E11" w:rsidRDefault="00DF7952">
      <w:pPr>
        <w:spacing w:line="360" w:lineRule="auto"/>
        <w:ind w:left="800" w:right="851"/>
        <w:jc w:val="both"/>
        <w:rPr>
          <w:rtl/>
        </w:rPr>
      </w:pPr>
      <w:r>
        <w:rPr>
          <w:rFonts w:cs="Miriam" w:hint="cs"/>
          <w:rtl/>
        </w:rPr>
        <w:t>"[...] הוא יצא מהכלא פעם, אני מבקש עונש הכי חזק שיש"</w:t>
      </w:r>
      <w:r>
        <w:rPr>
          <w:rFonts w:hint="cs"/>
          <w:rtl/>
        </w:rPr>
        <w:t xml:space="preserve"> (עמ' 663 שור' 19-21 לפרו').</w:t>
      </w:r>
    </w:p>
    <w:p w14:paraId="186FB0C5" w14:textId="77777777" w:rsidR="00672E11" w:rsidRDefault="00672E11">
      <w:pPr>
        <w:spacing w:line="360" w:lineRule="auto"/>
        <w:jc w:val="both"/>
        <w:rPr>
          <w:rtl/>
        </w:rPr>
      </w:pPr>
    </w:p>
    <w:p w14:paraId="0FDD467E" w14:textId="77777777" w:rsidR="00672E11" w:rsidRDefault="00DF7952">
      <w:pPr>
        <w:spacing w:line="360" w:lineRule="auto"/>
        <w:jc w:val="both"/>
        <w:rPr>
          <w:rtl/>
        </w:rPr>
      </w:pPr>
      <w:r>
        <w:rPr>
          <w:rFonts w:hint="cs"/>
          <w:rtl/>
        </w:rPr>
        <w:t xml:space="preserve">בנוסף לכך סיפר כי כיום, ילדי המנוחה נמצאים אצל האב המונע ממנו לראותם. </w:t>
      </w:r>
    </w:p>
    <w:p w14:paraId="36E609D8" w14:textId="77777777" w:rsidR="00672E11" w:rsidRDefault="00672E11">
      <w:pPr>
        <w:spacing w:line="360" w:lineRule="auto"/>
        <w:jc w:val="both"/>
        <w:rPr>
          <w:rtl/>
        </w:rPr>
      </w:pPr>
    </w:p>
    <w:p w14:paraId="3214748B" w14:textId="77777777" w:rsidR="00672E11" w:rsidRDefault="00DF7952">
      <w:pPr>
        <w:spacing w:line="360" w:lineRule="auto"/>
        <w:jc w:val="both"/>
        <w:rPr>
          <w:rtl/>
        </w:rPr>
      </w:pPr>
      <w:r>
        <w:rPr>
          <w:rFonts w:hint="cs"/>
          <w:rtl/>
        </w:rPr>
        <w:t xml:space="preserve">בהצהרת נפגע העבירה (ט/3) ציין אבי המנוחה כי הרצח הותיר במשפחתו נזקים קשים ובלתי הפיכים כאשר מאז המעשה, הוא ובני משפחתו סובלים  ממצב נפשי קשה, הוא עצמו אינו מסוגל להירדם בלילות, סובל מסיוטים רבים וחלה הרעה במצבו הבריאותי, וביקש לפסוק לטובתו פיצויים במסגרת ההליך הפלילי. </w:t>
      </w:r>
    </w:p>
    <w:p w14:paraId="55C7C080" w14:textId="77777777" w:rsidR="00672E11" w:rsidRDefault="00672E11">
      <w:pPr>
        <w:spacing w:line="360" w:lineRule="auto"/>
        <w:jc w:val="both"/>
        <w:rPr>
          <w:rtl/>
        </w:rPr>
      </w:pPr>
    </w:p>
    <w:p w14:paraId="6B30DDB1" w14:textId="77777777" w:rsidR="00672E11" w:rsidRDefault="00DF7952">
      <w:pPr>
        <w:spacing w:line="360" w:lineRule="auto"/>
        <w:jc w:val="both"/>
        <w:rPr>
          <w:rtl/>
        </w:rPr>
      </w:pPr>
      <w:r>
        <w:rPr>
          <w:rFonts w:hint="cs"/>
          <w:rtl/>
        </w:rPr>
        <w:t>עוד הוגש גיליון הרישום הפלילי של הנאשם (ט/1), כתב אישום ופסק דין ב</w:t>
      </w:r>
      <w:hyperlink r:id="rId17" w:history="1">
        <w:r w:rsidRPr="00DF7952">
          <w:rPr>
            <w:color w:val="0000FF"/>
            <w:u w:val="single"/>
            <w:rtl/>
          </w:rPr>
          <w:t>תיק פלילי  14103-06-09</w:t>
        </w:r>
      </w:hyperlink>
      <w:r>
        <w:rPr>
          <w:rFonts w:hint="cs"/>
          <w:rtl/>
        </w:rPr>
        <w:t xml:space="preserve"> </w:t>
      </w:r>
      <w:r w:rsidR="00A35168" w:rsidRPr="00A35168">
        <w:rPr>
          <w:sz w:val="22"/>
          <w:rtl/>
        </w:rPr>
        <w:t xml:space="preserve">[פורסם בנבו] </w:t>
      </w:r>
      <w:r>
        <w:rPr>
          <w:rFonts w:hint="cs"/>
          <w:rtl/>
        </w:rPr>
        <w:t>(שלום חיפה – ט/2) ולפיו, תלוי ועומד כנגד הנאשם עונש מאסר מותנה של 7 חודשים לבל יעבור עבירת אלימות, לרבות איומים.</w:t>
      </w:r>
    </w:p>
    <w:p w14:paraId="4CB5BE6B" w14:textId="77777777" w:rsidR="00672E11" w:rsidRDefault="00672E11">
      <w:pPr>
        <w:spacing w:line="360" w:lineRule="auto"/>
        <w:jc w:val="both"/>
        <w:rPr>
          <w:rtl/>
        </w:rPr>
      </w:pPr>
    </w:p>
    <w:p w14:paraId="7356F718" w14:textId="77777777" w:rsidR="00672E11" w:rsidRDefault="00DF7952">
      <w:pPr>
        <w:spacing w:line="360" w:lineRule="auto"/>
        <w:jc w:val="both"/>
        <w:rPr>
          <w:rtl/>
        </w:rPr>
      </w:pPr>
      <w:r>
        <w:rPr>
          <w:rFonts w:hint="cs"/>
          <w:rtl/>
        </w:rPr>
        <w:t xml:space="preserve">באת כח המאשימה בטיעוניה לעונש בכתב (ט/4) ובעל פה, ציינה כי מדובר באחד ממקרי הרצח </w:t>
      </w:r>
      <w:r>
        <w:rPr>
          <w:rFonts w:cs="Miriam" w:hint="cs"/>
          <w:rtl/>
        </w:rPr>
        <w:t>"המחרידים שבוצעו לאור יום בלב כפר יאסיף"</w:t>
      </w:r>
      <w:r>
        <w:rPr>
          <w:rFonts w:hint="cs"/>
          <w:rtl/>
        </w:rPr>
        <w:t xml:space="preserve">, כהגדרתה. </w:t>
      </w:r>
    </w:p>
    <w:p w14:paraId="6A5246F5" w14:textId="77777777" w:rsidR="00672E11" w:rsidRDefault="00672E11">
      <w:pPr>
        <w:spacing w:line="360" w:lineRule="auto"/>
        <w:jc w:val="both"/>
        <w:rPr>
          <w:rtl/>
        </w:rPr>
      </w:pPr>
    </w:p>
    <w:p w14:paraId="71790CED" w14:textId="77777777" w:rsidR="00672E11" w:rsidRDefault="00DF7952">
      <w:pPr>
        <w:spacing w:line="360" w:lineRule="auto"/>
        <w:jc w:val="both"/>
        <w:rPr>
          <w:rtl/>
        </w:rPr>
      </w:pPr>
      <w:r>
        <w:rPr>
          <w:rFonts w:hint="cs"/>
          <w:rtl/>
        </w:rPr>
        <w:t xml:space="preserve">עוד הדגישה באת כח המאשימה כי הנאשם ארב למנוחה במשך מספר ימים עד שאיתר אותה, ולמעשה, </w:t>
      </w:r>
      <w:r>
        <w:rPr>
          <w:rFonts w:cs="Miriam" w:hint="cs"/>
          <w:rtl/>
        </w:rPr>
        <w:t>"הוציאה להורג"</w:t>
      </w:r>
      <w:r>
        <w:rPr>
          <w:rFonts w:hint="cs"/>
          <w:rtl/>
        </w:rPr>
        <w:t xml:space="preserve"> באמצע הכפר לאור היום, כשהוא יורה בראשה ובגבה, וכל זאת, מבלי שהיתה לו יריבות אישית כלשהי עימה.</w:t>
      </w:r>
    </w:p>
    <w:p w14:paraId="4BF1DDD4" w14:textId="77777777" w:rsidR="00672E11" w:rsidRDefault="00672E11">
      <w:pPr>
        <w:spacing w:line="360" w:lineRule="auto"/>
        <w:jc w:val="both"/>
        <w:rPr>
          <w:rtl/>
        </w:rPr>
      </w:pPr>
    </w:p>
    <w:p w14:paraId="18D7E011" w14:textId="77777777" w:rsidR="00672E11" w:rsidRDefault="00DF7952">
      <w:pPr>
        <w:spacing w:line="360" w:lineRule="auto"/>
        <w:jc w:val="both"/>
        <w:rPr>
          <w:rtl/>
        </w:rPr>
      </w:pPr>
      <w:r>
        <w:rPr>
          <w:rFonts w:hint="cs"/>
          <w:rtl/>
        </w:rPr>
        <w:t xml:space="preserve">באת כח המאשימה ביקשה לגזור על הנאשם את עונש החובה הקבוע  לצידה של הרשעה בעבירת רצח, קרי, מאסר עולם. כמו כן, לגזור על הנאשם עונש מאסר בפועל בנפרד בגין עבירות בנשק כאשר לשיטתה, מתחם העונש ההולם הינו בין 3 ל- 5 שנים. ב"כ המאשימה ביקשה כי העונש בתוך מתחם זה, ירוצה במצטבר לעונש מאסר העולם שייגזר עליו בגין עבירת הרצח. </w:t>
      </w:r>
    </w:p>
    <w:p w14:paraId="2CBB9BAF" w14:textId="77777777" w:rsidR="00672E11" w:rsidRDefault="00672E11">
      <w:pPr>
        <w:spacing w:line="360" w:lineRule="auto"/>
        <w:jc w:val="both"/>
        <w:rPr>
          <w:rtl/>
        </w:rPr>
      </w:pPr>
    </w:p>
    <w:p w14:paraId="34504232" w14:textId="77777777" w:rsidR="00672E11" w:rsidRDefault="00DF7952">
      <w:pPr>
        <w:spacing w:line="360" w:lineRule="auto"/>
        <w:jc w:val="both"/>
        <w:rPr>
          <w:rtl/>
        </w:rPr>
      </w:pPr>
      <w:r>
        <w:rPr>
          <w:rFonts w:hint="cs"/>
          <w:rtl/>
        </w:rPr>
        <w:t xml:space="preserve">בהתייחס לעבירות בנשק, ציינה כי עבירות אלה אינן "נבלעות" בעבירת הרצח מאחר והנאשם החזיק את הנשק שלא כדין, מספר ימים עובר לרצח, ועל כן, המדובר בעבירה עצמאית. </w:t>
      </w:r>
    </w:p>
    <w:p w14:paraId="060845CB" w14:textId="77777777" w:rsidR="00672E11" w:rsidRDefault="00672E11">
      <w:pPr>
        <w:spacing w:line="360" w:lineRule="auto"/>
        <w:jc w:val="both"/>
        <w:rPr>
          <w:rtl/>
        </w:rPr>
      </w:pPr>
    </w:p>
    <w:p w14:paraId="066A371E" w14:textId="77777777" w:rsidR="00672E11" w:rsidRDefault="00DF7952">
      <w:pPr>
        <w:spacing w:line="360" w:lineRule="auto"/>
        <w:jc w:val="both"/>
        <w:rPr>
          <w:rtl/>
        </w:rPr>
      </w:pPr>
      <w:r>
        <w:rPr>
          <w:rFonts w:hint="cs"/>
          <w:rtl/>
        </w:rPr>
        <w:t>בנוסף לאמור לעיל, הדגישה באת כח המאשימה כי הנשק במקרה דנן שבו עשה הנאשם שימוש, לא נתפס עד היום.</w:t>
      </w:r>
    </w:p>
    <w:p w14:paraId="33D1407B" w14:textId="77777777" w:rsidR="00672E11" w:rsidRDefault="00672E11">
      <w:pPr>
        <w:spacing w:line="360" w:lineRule="auto"/>
        <w:jc w:val="both"/>
        <w:rPr>
          <w:rtl/>
        </w:rPr>
      </w:pPr>
    </w:p>
    <w:p w14:paraId="7DA38C91" w14:textId="77777777" w:rsidR="00672E11" w:rsidRDefault="00DF7952">
      <w:pPr>
        <w:spacing w:line="360" w:lineRule="auto"/>
        <w:jc w:val="both"/>
        <w:rPr>
          <w:rtl/>
        </w:rPr>
      </w:pPr>
      <w:r>
        <w:rPr>
          <w:rFonts w:hint="cs"/>
          <w:rtl/>
        </w:rPr>
        <w:t xml:space="preserve">באשר לעונש המאסר המותנה בין 7 החודשים התלוי ועומד כנגד הנאשם, ביקשה להפעילו במצטבר לכל עונש אחר שייגזר עליו בתיק זה. </w:t>
      </w:r>
    </w:p>
    <w:p w14:paraId="0654875F" w14:textId="77777777" w:rsidR="00672E11" w:rsidRDefault="00672E11">
      <w:pPr>
        <w:spacing w:line="360" w:lineRule="auto"/>
        <w:jc w:val="both"/>
        <w:rPr>
          <w:rtl/>
        </w:rPr>
      </w:pPr>
    </w:p>
    <w:p w14:paraId="73DA022E" w14:textId="77777777" w:rsidR="00672E11" w:rsidRDefault="00DF7952">
      <w:pPr>
        <w:spacing w:line="360" w:lineRule="auto"/>
        <w:jc w:val="both"/>
        <w:rPr>
          <w:rtl/>
        </w:rPr>
      </w:pPr>
      <w:r>
        <w:rPr>
          <w:rFonts w:hint="cs"/>
          <w:rtl/>
        </w:rPr>
        <w:t xml:space="preserve">בנוסף, ביקשה לגזור על הנאשם פיצוי כספי למשפחת המנוחה והן ל- 2 ילדיה שנותרו יתומים. </w:t>
      </w:r>
    </w:p>
    <w:p w14:paraId="0D92812C" w14:textId="77777777" w:rsidR="00672E11" w:rsidRDefault="00672E11">
      <w:pPr>
        <w:spacing w:line="360" w:lineRule="auto"/>
        <w:jc w:val="both"/>
        <w:rPr>
          <w:rtl/>
        </w:rPr>
      </w:pPr>
    </w:p>
    <w:p w14:paraId="48721C2C" w14:textId="77777777" w:rsidR="00672E11" w:rsidRDefault="00DF7952">
      <w:pPr>
        <w:spacing w:line="360" w:lineRule="auto"/>
        <w:jc w:val="both"/>
        <w:rPr>
          <w:rtl/>
        </w:rPr>
      </w:pPr>
      <w:r>
        <w:rPr>
          <w:rFonts w:hint="cs"/>
          <w:b/>
          <w:bCs/>
          <w:rtl/>
        </w:rPr>
        <w:t>מנגד,</w:t>
      </w:r>
      <w:r>
        <w:rPr>
          <w:rFonts w:hint="cs"/>
          <w:rtl/>
        </w:rPr>
        <w:t xml:space="preserve"> ב"כ הנאשם בטיעוניו לעונש ציין כי אין לו מה לומר בהתייחס לעונש הסטטוטורי לצידה של הרשעה בעבירת רצח וכי הוא מכבד את הכרעת הדין, </w:t>
      </w:r>
      <w:r>
        <w:rPr>
          <w:rFonts w:cs="Miriam" w:hint="cs"/>
          <w:rtl/>
        </w:rPr>
        <w:t xml:space="preserve">"אך הנאשם טוען לחפותו" </w:t>
      </w:r>
      <w:r>
        <w:rPr>
          <w:rFonts w:hint="cs"/>
          <w:rtl/>
        </w:rPr>
        <w:t>(עמ' 664 שור' 25 לפרו').</w:t>
      </w:r>
    </w:p>
    <w:p w14:paraId="5CAF9DBF" w14:textId="77777777" w:rsidR="00672E11" w:rsidRDefault="00672E11">
      <w:pPr>
        <w:spacing w:line="360" w:lineRule="auto"/>
        <w:jc w:val="both"/>
        <w:rPr>
          <w:rtl/>
        </w:rPr>
      </w:pPr>
    </w:p>
    <w:p w14:paraId="58439974" w14:textId="77777777" w:rsidR="00672E11" w:rsidRDefault="00DF7952">
      <w:pPr>
        <w:spacing w:line="360" w:lineRule="auto"/>
        <w:jc w:val="both"/>
        <w:rPr>
          <w:rtl/>
        </w:rPr>
      </w:pPr>
      <w:r>
        <w:rPr>
          <w:rFonts w:hint="cs"/>
          <w:rtl/>
        </w:rPr>
        <w:t>לעניין בקשתה של ב"כ המאשימה לענישה מצטברת בגין העבירות בנשק, טען כי</w:t>
      </w:r>
      <w:r>
        <w:rPr>
          <w:rFonts w:cs="Miriam" w:hint="cs"/>
          <w:rtl/>
        </w:rPr>
        <w:t xml:space="preserve"> "המדובר במעשה אחד" </w:t>
      </w:r>
      <w:r>
        <w:rPr>
          <w:rFonts w:hint="cs"/>
          <w:rtl/>
        </w:rPr>
        <w:t xml:space="preserve">כלשון החוק וכי עבירת הנשק נבלעת בעבירה העיקרית, כך שיש לגזור עונש אחד. </w:t>
      </w:r>
    </w:p>
    <w:p w14:paraId="3462D4A7" w14:textId="77777777" w:rsidR="00672E11" w:rsidRDefault="00672E11">
      <w:pPr>
        <w:spacing w:line="360" w:lineRule="auto"/>
        <w:jc w:val="both"/>
        <w:rPr>
          <w:rtl/>
        </w:rPr>
      </w:pPr>
    </w:p>
    <w:p w14:paraId="4E84D885" w14:textId="77777777" w:rsidR="00672E11" w:rsidRDefault="00DF7952">
      <w:pPr>
        <w:spacing w:line="360" w:lineRule="auto"/>
        <w:jc w:val="both"/>
        <w:rPr>
          <w:rtl/>
        </w:rPr>
      </w:pPr>
      <w:r>
        <w:rPr>
          <w:rFonts w:hint="cs"/>
          <w:rtl/>
        </w:rPr>
        <w:t xml:space="preserve">באשר לנסיבותיו האישיות של הנאשם טען כי הינו בן 47, חסר אמצעים, השוהה מזה כשנתיים בכלא כאשר זמן קצר קודם לכן סיים לרצות עונש מאסר בפועל ושוחרר מהכלא וכי </w:t>
      </w:r>
      <w:r>
        <w:rPr>
          <w:rFonts w:cs="Miriam" w:hint="cs"/>
          <w:rtl/>
        </w:rPr>
        <w:t>"לטובת המנוחה נפסק גם פיצוי בתיק המקביל"</w:t>
      </w:r>
      <w:r>
        <w:rPr>
          <w:rFonts w:hint="cs"/>
          <w:rtl/>
        </w:rPr>
        <w:t>, כלשונו, ומכאן, לשיטתו אין מקום לפיצוי כולל שיעביר את הסכום המקסימאלי הקבוע בחוק.</w:t>
      </w:r>
    </w:p>
    <w:p w14:paraId="59733597" w14:textId="77777777" w:rsidR="00672E11" w:rsidRDefault="00672E11">
      <w:pPr>
        <w:spacing w:line="360" w:lineRule="auto"/>
        <w:jc w:val="both"/>
        <w:rPr>
          <w:rtl/>
        </w:rPr>
      </w:pPr>
    </w:p>
    <w:p w14:paraId="33DBC270" w14:textId="77777777" w:rsidR="00672E11" w:rsidRDefault="00DF7952">
      <w:pPr>
        <w:spacing w:line="360" w:lineRule="auto"/>
        <w:jc w:val="both"/>
        <w:rPr>
          <w:rtl/>
        </w:rPr>
      </w:pPr>
      <w:r>
        <w:rPr>
          <w:rFonts w:hint="cs"/>
          <w:rtl/>
        </w:rPr>
        <w:t xml:space="preserve">הנאשם בפנותו לבית המשפט טען כי הוא חף מפשע, אין לו "יד" ברציחתה </w:t>
      </w:r>
      <w:r>
        <w:rPr>
          <w:rFonts w:cs="Miriam" w:hint="cs"/>
          <w:rtl/>
        </w:rPr>
        <w:t xml:space="preserve">"לא מקרוב ולא מרחוק" </w:t>
      </w:r>
      <w:r>
        <w:rPr>
          <w:rFonts w:hint="cs"/>
          <w:rtl/>
        </w:rPr>
        <w:t>כלשונו, ובפנותו לאבי המנוחה באולם בית המשפט אמר:</w:t>
      </w:r>
    </w:p>
    <w:p w14:paraId="10BF21B3" w14:textId="77777777" w:rsidR="00672E11" w:rsidRDefault="00672E11">
      <w:pPr>
        <w:spacing w:line="360" w:lineRule="auto"/>
        <w:jc w:val="both"/>
        <w:rPr>
          <w:rtl/>
        </w:rPr>
      </w:pPr>
    </w:p>
    <w:p w14:paraId="0F7C8FCB" w14:textId="77777777" w:rsidR="00672E11" w:rsidRDefault="00DF7952">
      <w:pPr>
        <w:spacing w:line="360" w:lineRule="auto"/>
        <w:ind w:left="764" w:right="1080"/>
        <w:jc w:val="both"/>
        <w:rPr>
          <w:rtl/>
        </w:rPr>
      </w:pPr>
      <w:r>
        <w:rPr>
          <w:rFonts w:cs="Miriam" w:hint="cs"/>
          <w:rtl/>
        </w:rPr>
        <w:t xml:space="preserve">"אני לא עשיתי שום דבר לבת שלך, אם אתה רוצה לחפש מישהו, תחפש אתה. צריך לחפש מי רצח את הבת שלך, אתה צריך ללכת לחפש במקום לבוא לכאן" </w:t>
      </w:r>
      <w:r>
        <w:rPr>
          <w:rFonts w:hint="cs"/>
          <w:rtl/>
        </w:rPr>
        <w:t>(עמ' 665 שור' 14-17 לפרו').</w:t>
      </w:r>
    </w:p>
    <w:p w14:paraId="38A52854" w14:textId="77777777" w:rsidR="00672E11" w:rsidRDefault="00672E11">
      <w:pPr>
        <w:spacing w:line="360" w:lineRule="auto"/>
        <w:jc w:val="both"/>
        <w:rPr>
          <w:rtl/>
        </w:rPr>
      </w:pPr>
    </w:p>
    <w:p w14:paraId="3308E03B" w14:textId="77777777" w:rsidR="00672E11" w:rsidRDefault="00DF7952">
      <w:pPr>
        <w:spacing w:line="360" w:lineRule="auto"/>
        <w:jc w:val="both"/>
        <w:rPr>
          <w:rtl/>
        </w:rPr>
      </w:pPr>
      <w:r>
        <w:rPr>
          <w:rFonts w:hint="cs"/>
          <w:rtl/>
        </w:rPr>
        <w:t xml:space="preserve">הכרעת הדין נסבה בסוגיית האחריות לרצח המנוחה ומטבע הדברים, המנוחה, אישיותה ודמותה, לא עמדו במרכז הדיון. </w:t>
      </w:r>
    </w:p>
    <w:p w14:paraId="768EF65F" w14:textId="77777777" w:rsidR="00672E11" w:rsidRDefault="00672E11">
      <w:pPr>
        <w:spacing w:line="360" w:lineRule="auto"/>
        <w:jc w:val="both"/>
        <w:rPr>
          <w:rtl/>
        </w:rPr>
      </w:pPr>
    </w:p>
    <w:p w14:paraId="658E8A87" w14:textId="77777777" w:rsidR="00672E11" w:rsidRDefault="00DF7952">
      <w:pPr>
        <w:spacing w:line="360" w:lineRule="auto"/>
        <w:jc w:val="both"/>
        <w:rPr>
          <w:rtl/>
        </w:rPr>
      </w:pPr>
      <w:r>
        <w:rPr>
          <w:rFonts w:hint="cs"/>
          <w:rtl/>
        </w:rPr>
        <w:t xml:space="preserve">אולם, ללא ספק, בפנינו דמות טראגית של אישה שנישאה, ילדה שני ילדים בסוברה כי פתחה צוהר לחיים שמחים ומאושרים. תחת זאת, למעשה "פתחה" תיק ברשויות הרווחה, תיק ממנו ניתן ללמוד על חיים בצילו של חשש ופחד מבן זוגה שבאו לידי ביטוי בהתבטאותה לחשש לחייה משחרורו מהכלא בגין ריצוי עונש מאסר על הכאתה. </w:t>
      </w:r>
    </w:p>
    <w:p w14:paraId="28654C2A" w14:textId="77777777" w:rsidR="00672E11" w:rsidRDefault="00672E11">
      <w:pPr>
        <w:spacing w:line="360" w:lineRule="auto"/>
        <w:jc w:val="both"/>
        <w:rPr>
          <w:rtl/>
        </w:rPr>
      </w:pPr>
    </w:p>
    <w:p w14:paraId="5127A90B" w14:textId="77777777" w:rsidR="00672E11" w:rsidRDefault="00DF7952">
      <w:pPr>
        <w:spacing w:line="360" w:lineRule="auto"/>
        <w:jc w:val="both"/>
        <w:rPr>
          <w:rtl/>
        </w:rPr>
      </w:pPr>
      <w:r>
        <w:rPr>
          <w:rFonts w:hint="cs"/>
          <w:rtl/>
        </w:rPr>
        <w:t xml:space="preserve">המנוחה נמלטה על חייה ושהתה במקלט לנשים מוכות. לאחר מכן, בזהות שמית אחרת שהתה בכפר יאסיף, שם סברה כי תוכל לנהל את חייה ואת חיי שני ילדיה שלא תחת איום ופחד מתמיד. והנה, דווקא כאן השיגו אותה כדורי אקדחו של הנאשם במרכזו של כפר יאסיף, ובכך באו לקיצם חיים של אומללות מתמשכת. </w:t>
      </w:r>
    </w:p>
    <w:p w14:paraId="798CF744" w14:textId="77777777" w:rsidR="00672E11" w:rsidRDefault="00672E11">
      <w:pPr>
        <w:spacing w:line="360" w:lineRule="auto"/>
        <w:jc w:val="both"/>
        <w:rPr>
          <w:rtl/>
        </w:rPr>
      </w:pPr>
    </w:p>
    <w:p w14:paraId="2FF6D79A" w14:textId="77777777" w:rsidR="00672E11" w:rsidRDefault="00A35168">
      <w:pPr>
        <w:spacing w:line="360" w:lineRule="auto"/>
        <w:jc w:val="both"/>
        <w:rPr>
          <w:rtl/>
        </w:rPr>
      </w:pPr>
      <w:hyperlink r:id="rId18" w:history="1">
        <w:r w:rsidRPr="00A35168">
          <w:rPr>
            <w:color w:val="0000FF"/>
            <w:u w:val="single"/>
            <w:rtl/>
          </w:rPr>
          <w:t>סעיף 300(א)</w:t>
        </w:r>
      </w:hyperlink>
      <w:r w:rsidR="00DF7952">
        <w:rPr>
          <w:rFonts w:hint="cs"/>
          <w:rtl/>
        </w:rPr>
        <w:t xml:space="preserve"> ל</w:t>
      </w:r>
      <w:hyperlink r:id="rId19" w:history="1">
        <w:r w:rsidR="00DF7952" w:rsidRPr="00DF7952">
          <w:rPr>
            <w:color w:val="0000FF"/>
            <w:u w:val="single"/>
            <w:rtl/>
          </w:rPr>
          <w:t>חוק העונשין</w:t>
        </w:r>
      </w:hyperlink>
      <w:r w:rsidR="00DF7952">
        <w:rPr>
          <w:rFonts w:hint="cs"/>
          <w:rtl/>
        </w:rPr>
        <w:t xml:space="preserve"> התשל"ז - 1977, קובע כי אחת דינו של מי שמורשע בעבירת רצח בכוונה תחילה, מאסר עולה ולעונש זה לבד, וכך אנו גוזרים על הנאשם, בגין עבירת הרצח. </w:t>
      </w:r>
    </w:p>
    <w:p w14:paraId="2BB9F801" w14:textId="77777777" w:rsidR="00672E11" w:rsidRDefault="00672E11">
      <w:pPr>
        <w:spacing w:line="360" w:lineRule="auto"/>
        <w:jc w:val="both"/>
        <w:rPr>
          <w:rtl/>
        </w:rPr>
      </w:pPr>
    </w:p>
    <w:p w14:paraId="186BF5AA" w14:textId="77777777" w:rsidR="00672E11" w:rsidRDefault="00DF7952">
      <w:pPr>
        <w:spacing w:line="360" w:lineRule="auto"/>
        <w:jc w:val="both"/>
        <w:rPr>
          <w:rtl/>
        </w:rPr>
      </w:pPr>
      <w:r>
        <w:rPr>
          <w:rFonts w:hint="cs"/>
          <w:rtl/>
        </w:rPr>
        <w:t>באשר לעבירות של החזקת ונשיאת נשק, אנו קובעים מתחם עונש הולם בין 1 ל- 3 שנות מאסר. במקרה דנן, אנו מעמידים את עונשו של הנאשם בתוך מתחם זה, באופן שבגין העבירות בנשק יגזרו עליו שנתיים מאסר בפועל, נוכח החומרה שבעבירות הנשק, והיותן עבירות נפרדות אשר יש בהן כדי לסכן את שלום הציבור ובטחונו. הסכנה התממשה בעניינה של המנוחה ז"ל.</w:t>
      </w:r>
    </w:p>
    <w:p w14:paraId="00BC3030" w14:textId="77777777" w:rsidR="00672E11" w:rsidRDefault="00672E11">
      <w:pPr>
        <w:spacing w:line="360" w:lineRule="auto"/>
        <w:jc w:val="both"/>
        <w:rPr>
          <w:rtl/>
        </w:rPr>
      </w:pPr>
    </w:p>
    <w:p w14:paraId="4E91421B" w14:textId="77777777" w:rsidR="00672E11" w:rsidRDefault="00672E11">
      <w:pPr>
        <w:spacing w:line="360" w:lineRule="auto"/>
        <w:jc w:val="both"/>
        <w:rPr>
          <w:rtl/>
        </w:rPr>
      </w:pPr>
    </w:p>
    <w:p w14:paraId="35A1E724" w14:textId="77777777" w:rsidR="00672E11" w:rsidRDefault="00DF7952">
      <w:pPr>
        <w:spacing w:line="360" w:lineRule="auto"/>
        <w:jc w:val="both"/>
        <w:rPr>
          <w:rtl/>
        </w:rPr>
      </w:pPr>
      <w:r>
        <w:rPr>
          <w:rFonts w:hint="cs"/>
          <w:rtl/>
        </w:rPr>
        <w:t xml:space="preserve">הנאשם כאמור בן 47, ולו </w:t>
      </w:r>
      <w:r>
        <w:rPr>
          <w:rFonts w:hint="cs"/>
          <w:u w:val="single"/>
          <w:rtl/>
        </w:rPr>
        <w:t>12</w:t>
      </w:r>
      <w:r>
        <w:rPr>
          <w:rFonts w:hint="cs"/>
          <w:rtl/>
        </w:rPr>
        <w:t xml:space="preserve"> הרשעות קודמות בעבירות רכוש, אלימות ואיומים, ריצה עונש מאסר בפועל  וכן תלוי ועומד נגדו עונש מאסר מותנה בן 7 חודשים, בגין הכאתה של רעייתו.</w:t>
      </w:r>
    </w:p>
    <w:p w14:paraId="1F2D3383" w14:textId="77777777" w:rsidR="00672E11" w:rsidRDefault="00672E11">
      <w:pPr>
        <w:spacing w:line="360" w:lineRule="auto"/>
        <w:jc w:val="both"/>
        <w:rPr>
          <w:rtl/>
        </w:rPr>
      </w:pPr>
    </w:p>
    <w:p w14:paraId="241DDD7E" w14:textId="77777777" w:rsidR="00672E11" w:rsidRDefault="00DF7952">
      <w:pPr>
        <w:spacing w:line="360" w:lineRule="auto"/>
        <w:jc w:val="both"/>
        <w:rPr>
          <w:rtl/>
        </w:rPr>
      </w:pPr>
      <w:r>
        <w:rPr>
          <w:rFonts w:hint="cs"/>
          <w:rtl/>
        </w:rPr>
        <w:t>על כל אלה יש להוסיף את עובדת אי תפיסתו של האקדח אשר שימש לרצח המנוחה.</w:t>
      </w:r>
    </w:p>
    <w:p w14:paraId="28C6E764" w14:textId="77777777" w:rsidR="00672E11" w:rsidRDefault="00672E11">
      <w:pPr>
        <w:spacing w:line="360" w:lineRule="auto"/>
        <w:jc w:val="both"/>
        <w:rPr>
          <w:rtl/>
        </w:rPr>
      </w:pPr>
    </w:p>
    <w:p w14:paraId="71A7BF24" w14:textId="77777777" w:rsidR="00672E11" w:rsidRDefault="00DF7952">
      <w:pPr>
        <w:spacing w:line="360" w:lineRule="auto"/>
        <w:jc w:val="both"/>
        <w:rPr>
          <w:rtl/>
        </w:rPr>
      </w:pPr>
      <w:r>
        <w:rPr>
          <w:rFonts w:hint="cs"/>
          <w:rtl/>
        </w:rPr>
        <w:t xml:space="preserve">אנו קובעים כי ה"עונש המתאים" לנאשם בגין העבירות של החזקת ונשיאת נשק בתוך המתחם הנ"ל, הוא, 24 חודשי מאסר בפועל. אולם, עונש זה ירוצה בחופף לעונש מאסר העולם, וזאת, בשל היות העבירות בנשק שלובות בעבירת הרצח והואיל ונגזר על הנאשם העונש החמור ביותר, הקבוע בספר החוקים, עונש של מאסר עולם. </w:t>
      </w:r>
    </w:p>
    <w:p w14:paraId="4B5CC3C9" w14:textId="77777777" w:rsidR="00672E11" w:rsidRDefault="00672E11">
      <w:pPr>
        <w:spacing w:line="360" w:lineRule="auto"/>
        <w:jc w:val="both"/>
        <w:rPr>
          <w:rtl/>
        </w:rPr>
      </w:pPr>
    </w:p>
    <w:p w14:paraId="40CFCBAA" w14:textId="77777777" w:rsidR="00672E11" w:rsidRDefault="00DF7952">
      <w:pPr>
        <w:spacing w:line="360" w:lineRule="auto"/>
        <w:jc w:val="both"/>
        <w:rPr>
          <w:rtl/>
        </w:rPr>
      </w:pPr>
      <w:r>
        <w:rPr>
          <w:rFonts w:hint="cs"/>
          <w:rtl/>
        </w:rPr>
        <w:t>יחד עם זאת, אנו מפעילים את עונש המאסר המותנה בן 7 החודשים מיום 24/10/10 ב</w:t>
      </w:r>
      <w:hyperlink r:id="rId20" w:history="1">
        <w:r w:rsidRPr="00DF7952">
          <w:rPr>
            <w:color w:val="0000FF"/>
            <w:u w:val="single"/>
            <w:rtl/>
          </w:rPr>
          <w:t>תיק פלילי 14103-06-09</w:t>
        </w:r>
      </w:hyperlink>
      <w:r>
        <w:rPr>
          <w:rFonts w:hint="cs"/>
          <w:rtl/>
        </w:rPr>
        <w:t xml:space="preserve"> (שלום-חיפה) </w:t>
      </w:r>
      <w:r w:rsidR="00A35168" w:rsidRPr="00A35168">
        <w:rPr>
          <w:sz w:val="22"/>
          <w:rtl/>
        </w:rPr>
        <w:t xml:space="preserve">[פורסם בנבו] </w:t>
      </w:r>
      <w:r>
        <w:rPr>
          <w:rFonts w:hint="cs"/>
          <w:rtl/>
        </w:rPr>
        <w:t>באופן שירוצו במצטבר לעונש מאסר העולם חובה שנגזר עליו. הכלל הוא, כי מאסר על תנאי שהופעל ירוצה באופן מצטבר אלא, אם יש נימוקים מיוחדים שירשמו. לא מצאנו נימוקים כאלה במקרה זה.</w:t>
      </w:r>
    </w:p>
    <w:p w14:paraId="7EC503D5" w14:textId="77777777" w:rsidR="00672E11" w:rsidRDefault="00672E11">
      <w:pPr>
        <w:spacing w:line="360" w:lineRule="auto"/>
        <w:jc w:val="both"/>
        <w:rPr>
          <w:rtl/>
        </w:rPr>
      </w:pPr>
    </w:p>
    <w:p w14:paraId="673102BB" w14:textId="77777777" w:rsidR="00672E11" w:rsidRDefault="00DF7952">
      <w:pPr>
        <w:spacing w:line="360" w:lineRule="auto"/>
        <w:jc w:val="both"/>
        <w:rPr>
          <w:rtl/>
        </w:rPr>
      </w:pPr>
      <w:r>
        <w:rPr>
          <w:rFonts w:hint="cs"/>
          <w:rtl/>
        </w:rPr>
        <w:t xml:space="preserve">באשר לחיוב הנאשם בפיצוי כספי לפי </w:t>
      </w:r>
      <w:hyperlink r:id="rId21" w:history="1">
        <w:r w:rsidR="00A35168" w:rsidRPr="00A35168">
          <w:rPr>
            <w:color w:val="0000FF"/>
            <w:u w:val="single"/>
            <w:rtl/>
          </w:rPr>
          <w:t>סעיף 77</w:t>
        </w:r>
      </w:hyperlink>
      <w:r>
        <w:rPr>
          <w:rFonts w:hint="cs"/>
          <w:rtl/>
        </w:rPr>
        <w:t xml:space="preserve"> ל</w:t>
      </w:r>
      <w:hyperlink r:id="rId22" w:history="1">
        <w:r w:rsidRPr="00DF7952">
          <w:rPr>
            <w:color w:val="0000FF"/>
            <w:u w:val="single"/>
            <w:rtl/>
          </w:rPr>
          <w:t>חוק העונשין</w:t>
        </w:r>
      </w:hyperlink>
      <w:r>
        <w:rPr>
          <w:rFonts w:hint="cs"/>
          <w:rtl/>
        </w:rPr>
        <w:t>, אנו מחייבים אותו בתשלום פיצויים בסך של:</w:t>
      </w:r>
    </w:p>
    <w:p w14:paraId="5E429F9E" w14:textId="77777777" w:rsidR="00672E11" w:rsidRDefault="00672E11">
      <w:pPr>
        <w:spacing w:line="360" w:lineRule="auto"/>
        <w:jc w:val="both"/>
        <w:rPr>
          <w:rtl/>
        </w:rPr>
      </w:pPr>
    </w:p>
    <w:p w14:paraId="3CF24884" w14:textId="77777777" w:rsidR="00672E11" w:rsidRDefault="00DF7952">
      <w:pPr>
        <w:spacing w:line="360" w:lineRule="auto"/>
        <w:jc w:val="both"/>
        <w:rPr>
          <w:rtl/>
        </w:rPr>
      </w:pPr>
      <w:r>
        <w:rPr>
          <w:rFonts w:hint="cs"/>
          <w:rtl/>
        </w:rPr>
        <w:t xml:space="preserve">לכל אחד מילדי המנוחה – </w:t>
      </w:r>
      <w:r>
        <w:rPr>
          <w:rFonts w:hint="cs"/>
          <w:b/>
          <w:bCs/>
          <w:rtl/>
        </w:rPr>
        <w:t>תמאם ומוסטפא מוסראתי</w:t>
      </w:r>
      <w:r>
        <w:rPr>
          <w:rFonts w:hint="cs"/>
          <w:rtl/>
        </w:rPr>
        <w:t xml:space="preserve">, בסך של 75,000 ₪ שיופקדו בגזברות בית המשפט, ויועברו לחשבון נאמנות לטובת הקטינים - עד הגעת כל אחד מהם לגיל 21 שנה. </w:t>
      </w:r>
    </w:p>
    <w:p w14:paraId="35D4BACF" w14:textId="77777777" w:rsidR="00672E11" w:rsidRDefault="00672E11">
      <w:pPr>
        <w:spacing w:line="360" w:lineRule="auto"/>
        <w:jc w:val="both"/>
        <w:rPr>
          <w:rtl/>
        </w:rPr>
      </w:pPr>
    </w:p>
    <w:p w14:paraId="3D0F5C49" w14:textId="77777777" w:rsidR="00672E11" w:rsidRDefault="00DF7952">
      <w:pPr>
        <w:spacing w:line="360" w:lineRule="auto"/>
        <w:jc w:val="both"/>
        <w:rPr>
          <w:rtl/>
        </w:rPr>
      </w:pPr>
      <w:r>
        <w:rPr>
          <w:rFonts w:hint="cs"/>
          <w:rtl/>
        </w:rPr>
        <w:t>לאבי המנוחה, עלי מוסראתי, סך של 50,000 ₪ אשר יופקדו בגזברות בית המשפט המחוזי בחיפה, ויועבר לפקודת האב.</w:t>
      </w:r>
    </w:p>
    <w:p w14:paraId="11542222" w14:textId="77777777" w:rsidR="00672E11" w:rsidRDefault="00672E11">
      <w:pPr>
        <w:spacing w:line="360" w:lineRule="auto"/>
        <w:jc w:val="both"/>
        <w:rPr>
          <w:rtl/>
        </w:rPr>
      </w:pPr>
    </w:p>
    <w:p w14:paraId="63AE1C03" w14:textId="77777777" w:rsidR="00672E11" w:rsidRDefault="00DF7952">
      <w:pPr>
        <w:spacing w:line="360" w:lineRule="auto"/>
        <w:jc w:val="both"/>
        <w:rPr>
          <w:rtl/>
        </w:rPr>
      </w:pPr>
      <w:r>
        <w:rPr>
          <w:rFonts w:hint="cs"/>
          <w:rtl/>
        </w:rPr>
        <w:t>סכומי הפיצוי הנ"ל ישולמו על ידי הנאשם -  עד לא יאוחר מיום 01/01/15.</w:t>
      </w:r>
    </w:p>
    <w:p w14:paraId="297578A1" w14:textId="77777777" w:rsidR="00672E11" w:rsidRDefault="00672E11">
      <w:pPr>
        <w:spacing w:line="360" w:lineRule="auto"/>
        <w:jc w:val="both"/>
        <w:rPr>
          <w:rtl/>
        </w:rPr>
      </w:pPr>
    </w:p>
    <w:p w14:paraId="1AA194A7" w14:textId="77777777" w:rsidR="00672E11" w:rsidRDefault="00DF7952">
      <w:pPr>
        <w:spacing w:line="360" w:lineRule="auto"/>
        <w:jc w:val="both"/>
        <w:rPr>
          <w:rtl/>
        </w:rPr>
      </w:pPr>
      <w:r>
        <w:rPr>
          <w:rFonts w:hint="cs"/>
          <w:rtl/>
        </w:rPr>
        <w:t xml:space="preserve">לעניין טענות ב"כ הנאשם באשר לאי יכולתו הכספית של הנאשם לעמוד בתשלום הפיצויים, נאמר כי הלכה היא מלפני בית המשפט כי בקביעת פיצוי כספי, אין להתחשב במצבו הכלכלי של הנאשם, וביכולתו לעמוד בפיצוי הכספי. </w:t>
      </w:r>
    </w:p>
    <w:p w14:paraId="43D08E2E" w14:textId="77777777" w:rsidR="00672E11" w:rsidRDefault="00672E11">
      <w:pPr>
        <w:spacing w:line="360" w:lineRule="auto"/>
        <w:jc w:val="both"/>
        <w:rPr>
          <w:rtl/>
        </w:rPr>
      </w:pPr>
    </w:p>
    <w:p w14:paraId="32EB4770" w14:textId="77777777" w:rsidR="00672E11" w:rsidRDefault="00672E11">
      <w:pPr>
        <w:spacing w:line="360" w:lineRule="auto"/>
        <w:jc w:val="both"/>
        <w:rPr>
          <w:rtl/>
        </w:rPr>
      </w:pPr>
    </w:p>
    <w:p w14:paraId="07206D88" w14:textId="77777777" w:rsidR="00672E11" w:rsidRDefault="00DF7952">
      <w:pPr>
        <w:spacing w:line="360" w:lineRule="auto"/>
        <w:jc w:val="both"/>
        <w:rPr>
          <w:rtl/>
        </w:rPr>
      </w:pPr>
      <w:r>
        <w:rPr>
          <w:rFonts w:hint="cs"/>
          <w:rtl/>
        </w:rPr>
        <w:t xml:space="preserve">במאמר מוסגר נעיר כי בעניינו של הנאשם למדנו, וכך טען אף במהלך חקירתו ועדותו כי היתה לו יכולת כספית עם שחרורו מהכלא (ראה לעניין זה עדותה של בתו חיריה ורעייתו קארין). </w:t>
      </w:r>
    </w:p>
    <w:p w14:paraId="0216A5B8" w14:textId="77777777" w:rsidR="00672E11" w:rsidRDefault="00672E11">
      <w:pPr>
        <w:spacing w:line="360" w:lineRule="auto"/>
        <w:jc w:val="both"/>
        <w:rPr>
          <w:rtl/>
        </w:rPr>
      </w:pPr>
    </w:p>
    <w:p w14:paraId="39E036DF" w14:textId="77777777" w:rsidR="00672E11" w:rsidRDefault="00DF7952">
      <w:pPr>
        <w:spacing w:line="360" w:lineRule="auto"/>
        <w:jc w:val="both"/>
        <w:rPr>
          <w:rtl/>
        </w:rPr>
      </w:pPr>
      <w:r>
        <w:rPr>
          <w:rFonts w:hint="cs"/>
          <w:rtl/>
        </w:rPr>
        <w:t>סיכומו של דבר, אנו גוזרים על הנאשם את העונשים כדלקמן:</w:t>
      </w:r>
    </w:p>
    <w:p w14:paraId="69A5D73D" w14:textId="77777777" w:rsidR="00672E11" w:rsidRDefault="00672E11">
      <w:pPr>
        <w:spacing w:line="360" w:lineRule="auto"/>
        <w:jc w:val="both"/>
        <w:rPr>
          <w:rtl/>
        </w:rPr>
      </w:pPr>
    </w:p>
    <w:p w14:paraId="1A3F21EB" w14:textId="77777777" w:rsidR="00672E11" w:rsidRDefault="00DF7952">
      <w:pPr>
        <w:spacing w:line="360" w:lineRule="auto"/>
        <w:ind w:left="720" w:hanging="720"/>
        <w:jc w:val="both"/>
        <w:rPr>
          <w:rtl/>
        </w:rPr>
      </w:pPr>
      <w:r>
        <w:rPr>
          <w:rFonts w:hint="cs"/>
          <w:rtl/>
        </w:rPr>
        <w:t>א.</w:t>
      </w:r>
      <w:r>
        <w:rPr>
          <w:rFonts w:hint="cs"/>
          <w:rtl/>
        </w:rPr>
        <w:tab/>
        <w:t xml:space="preserve">עונש מאסר עולם בגין עבירת הרצח. </w:t>
      </w:r>
    </w:p>
    <w:p w14:paraId="0304F749" w14:textId="77777777" w:rsidR="00672E11" w:rsidRDefault="00672E11">
      <w:pPr>
        <w:spacing w:line="360" w:lineRule="auto"/>
        <w:ind w:left="720" w:hanging="720"/>
        <w:jc w:val="both"/>
        <w:rPr>
          <w:rtl/>
        </w:rPr>
      </w:pPr>
    </w:p>
    <w:p w14:paraId="708F66DC" w14:textId="77777777" w:rsidR="00672E11" w:rsidRDefault="00DF7952">
      <w:pPr>
        <w:spacing w:line="360" w:lineRule="auto"/>
        <w:ind w:left="720" w:hanging="720"/>
        <w:jc w:val="both"/>
        <w:rPr>
          <w:rtl/>
        </w:rPr>
      </w:pPr>
      <w:r>
        <w:rPr>
          <w:rFonts w:hint="cs"/>
          <w:rtl/>
        </w:rPr>
        <w:t>ב.</w:t>
      </w:r>
      <w:r>
        <w:rPr>
          <w:rFonts w:hint="cs"/>
          <w:rtl/>
        </w:rPr>
        <w:tab/>
        <w:t xml:space="preserve">24 חודשי מאסר בפועל בגין העבירות בנשק, אשר ירוצו בחופף לעונש מאסר העולם שנגזר על הנאשם. </w:t>
      </w:r>
    </w:p>
    <w:p w14:paraId="486A00BB" w14:textId="77777777" w:rsidR="00672E11" w:rsidRDefault="00672E11">
      <w:pPr>
        <w:spacing w:line="360" w:lineRule="auto"/>
        <w:ind w:left="720" w:hanging="720"/>
        <w:jc w:val="both"/>
        <w:rPr>
          <w:rtl/>
        </w:rPr>
      </w:pPr>
    </w:p>
    <w:p w14:paraId="25AAEB9D" w14:textId="77777777" w:rsidR="00672E11" w:rsidRDefault="00DF7952">
      <w:pPr>
        <w:spacing w:line="360" w:lineRule="auto"/>
        <w:ind w:left="720" w:hanging="720"/>
        <w:jc w:val="both"/>
        <w:rPr>
          <w:rtl/>
        </w:rPr>
      </w:pPr>
      <w:r>
        <w:rPr>
          <w:rFonts w:hint="cs"/>
          <w:rtl/>
        </w:rPr>
        <w:t>ג.</w:t>
      </w:r>
      <w:r>
        <w:rPr>
          <w:rFonts w:hint="cs"/>
          <w:rtl/>
        </w:rPr>
        <w:tab/>
        <w:t xml:space="preserve">12 חודשי מאסר על תנאי למשך 3 שנים לבל יעבור עבירת אלימות או נשק מסוג פשע. </w:t>
      </w:r>
    </w:p>
    <w:p w14:paraId="291DAC2B" w14:textId="77777777" w:rsidR="00672E11" w:rsidRDefault="00672E11">
      <w:pPr>
        <w:spacing w:line="360" w:lineRule="auto"/>
        <w:ind w:left="720" w:hanging="720"/>
        <w:jc w:val="both"/>
        <w:rPr>
          <w:rtl/>
        </w:rPr>
      </w:pPr>
    </w:p>
    <w:p w14:paraId="7262C80F" w14:textId="77777777" w:rsidR="00672E11" w:rsidRDefault="00DF7952">
      <w:pPr>
        <w:spacing w:line="360" w:lineRule="auto"/>
        <w:ind w:left="720" w:hanging="720"/>
        <w:jc w:val="both"/>
      </w:pPr>
      <w:r>
        <w:rPr>
          <w:rFonts w:hint="cs"/>
          <w:rtl/>
        </w:rPr>
        <w:t xml:space="preserve">ד.  </w:t>
      </w:r>
      <w:r>
        <w:rPr>
          <w:rFonts w:hint="cs"/>
          <w:rtl/>
        </w:rPr>
        <w:tab/>
        <w:t>הפעלת עונש מאסר מותנה בן 7 חודשים מ</w:t>
      </w:r>
      <w:hyperlink r:id="rId23" w:history="1">
        <w:r w:rsidRPr="00DF7952">
          <w:rPr>
            <w:color w:val="0000FF"/>
            <w:u w:val="single"/>
            <w:rtl/>
          </w:rPr>
          <w:t>תיק פלילי 14103-06-09</w:t>
        </w:r>
      </w:hyperlink>
      <w:r>
        <w:rPr>
          <w:rFonts w:hint="cs"/>
          <w:rtl/>
        </w:rPr>
        <w:t xml:space="preserve"> (שלום חיפה) </w:t>
      </w:r>
      <w:r w:rsidR="00A35168" w:rsidRPr="00A35168">
        <w:rPr>
          <w:sz w:val="22"/>
          <w:rtl/>
        </w:rPr>
        <w:t xml:space="preserve">[פורסם בנבו] </w:t>
      </w:r>
      <w:r>
        <w:rPr>
          <w:rFonts w:hint="cs"/>
          <w:rtl/>
        </w:rPr>
        <w:t xml:space="preserve">במצטבר לעונש מאסר העולם אשר נגזר על הנאשם בתיק זה. </w:t>
      </w:r>
    </w:p>
    <w:p w14:paraId="52A1CA81" w14:textId="77777777" w:rsidR="00672E11" w:rsidRDefault="00672E11">
      <w:pPr>
        <w:spacing w:line="360" w:lineRule="auto"/>
        <w:jc w:val="both"/>
      </w:pPr>
    </w:p>
    <w:p w14:paraId="23E295CD" w14:textId="77777777" w:rsidR="00672E11" w:rsidRDefault="00DF7952">
      <w:pPr>
        <w:spacing w:line="360" w:lineRule="auto"/>
        <w:jc w:val="both"/>
        <w:rPr>
          <w:rtl/>
        </w:rPr>
      </w:pPr>
      <w:r>
        <w:rPr>
          <w:rFonts w:hint="cs"/>
          <w:rtl/>
        </w:rPr>
        <w:t>לצורך מניין תקופת המאסר, תימנה תקופת שהייתו במעצר מיום 20/06/12.</w:t>
      </w:r>
    </w:p>
    <w:p w14:paraId="46999245" w14:textId="77777777" w:rsidR="00672E11" w:rsidRDefault="00672E11">
      <w:pPr>
        <w:spacing w:line="360" w:lineRule="auto"/>
        <w:jc w:val="both"/>
        <w:rPr>
          <w:rtl/>
        </w:rPr>
      </w:pPr>
    </w:p>
    <w:p w14:paraId="0C8D2EC5" w14:textId="77777777" w:rsidR="00672E11" w:rsidRDefault="00DF7952">
      <w:pPr>
        <w:spacing w:line="360" w:lineRule="auto"/>
        <w:jc w:val="both"/>
        <w:rPr>
          <w:rtl/>
        </w:rPr>
      </w:pPr>
      <w:r>
        <w:rPr>
          <w:rFonts w:hint="cs"/>
          <w:rtl/>
        </w:rPr>
        <w:t xml:space="preserve">זכות ערעור לבית המשפט העליון תוך 45 יום מהיום. </w:t>
      </w:r>
    </w:p>
    <w:p w14:paraId="1F47FCE8" w14:textId="77777777" w:rsidR="00672E11" w:rsidRDefault="00672E11">
      <w:pPr>
        <w:spacing w:line="360" w:lineRule="auto"/>
        <w:rPr>
          <w:rtl/>
        </w:rPr>
      </w:pPr>
    </w:p>
    <w:p w14:paraId="27BE12BF" w14:textId="77777777" w:rsidR="00672E11" w:rsidRPr="00A35168" w:rsidRDefault="00DF7952">
      <w:pPr>
        <w:spacing w:line="360" w:lineRule="auto"/>
        <w:jc w:val="both"/>
        <w:rPr>
          <w:rFonts w:ascii="Arial" w:hAnsi="Arial"/>
          <w:b/>
          <w:bCs/>
          <w:rtl/>
        </w:rPr>
      </w:pPr>
      <w:r w:rsidRPr="00A35168">
        <w:rPr>
          <w:rFonts w:ascii="Arial" w:hAnsi="Arial"/>
          <w:b/>
          <w:bCs/>
          <w:rtl/>
        </w:rPr>
        <w:t xml:space="preserve">ניתן היום,  ו' תשרי תשע"ה, 30 ספטמבר 2014, במעמד באי כח הצדדים והנאשם.  </w:t>
      </w:r>
    </w:p>
    <w:p w14:paraId="41E1E149" w14:textId="77777777" w:rsidR="00672E11" w:rsidRPr="00DF7952" w:rsidRDefault="00DF7952">
      <w:pPr>
        <w:spacing w:line="360" w:lineRule="auto"/>
        <w:jc w:val="both"/>
        <w:rPr>
          <w:rFonts w:ascii="Arial" w:hAnsi="Arial"/>
          <w:color w:val="FFFFFF"/>
          <w:sz w:val="2"/>
          <w:szCs w:val="2"/>
          <w:rtl/>
        </w:rPr>
      </w:pPr>
      <w:r w:rsidRPr="00DF7952">
        <w:rPr>
          <w:rFonts w:ascii="Arial" w:hAnsi="Arial"/>
          <w:color w:val="FFFFFF"/>
          <w:sz w:val="2"/>
          <w:szCs w:val="2"/>
          <w:rtl/>
        </w:rPr>
        <w:t>5129371</w:t>
      </w:r>
    </w:p>
    <w:tbl>
      <w:tblPr>
        <w:bidiVisual/>
        <w:tblW w:w="0" w:type="auto"/>
        <w:tblLook w:val="01E0" w:firstRow="1" w:lastRow="1" w:firstColumn="1" w:lastColumn="1" w:noHBand="0" w:noVBand="0"/>
      </w:tblPr>
      <w:tblGrid>
        <w:gridCol w:w="2474"/>
        <w:gridCol w:w="360"/>
        <w:gridCol w:w="2392"/>
        <w:gridCol w:w="308"/>
        <w:gridCol w:w="2520"/>
      </w:tblGrid>
      <w:tr w:rsidR="00672E11" w14:paraId="14BC5900" w14:textId="77777777">
        <w:tc>
          <w:tcPr>
            <w:tcW w:w="2474" w:type="dxa"/>
            <w:tcBorders>
              <w:top w:val="single" w:sz="4" w:space="0" w:color="auto"/>
              <w:left w:val="nil"/>
              <w:bottom w:val="nil"/>
              <w:right w:val="nil"/>
            </w:tcBorders>
          </w:tcPr>
          <w:p w14:paraId="118C7454" w14:textId="77777777" w:rsidR="00672E11" w:rsidRDefault="00DF7952">
            <w:pPr>
              <w:jc w:val="center"/>
              <w:rPr>
                <w:b/>
                <w:bCs/>
                <w:noProof/>
                <w:sz w:val="28"/>
                <w:rtl/>
              </w:rPr>
            </w:pPr>
            <w:r>
              <w:rPr>
                <w:rFonts w:hint="cs"/>
                <w:b/>
                <w:bCs/>
                <w:sz w:val="28"/>
                <w:rtl/>
              </w:rPr>
              <w:t>י. אלרון - נשיא</w:t>
            </w:r>
          </w:p>
          <w:p w14:paraId="545786F1" w14:textId="77777777" w:rsidR="00672E11" w:rsidRDefault="00DF7952">
            <w:pPr>
              <w:jc w:val="center"/>
              <w:rPr>
                <w:b/>
                <w:bCs/>
                <w:noProof/>
                <w:sz w:val="28"/>
              </w:rPr>
            </w:pPr>
            <w:r>
              <w:rPr>
                <w:rFonts w:hint="cs"/>
                <w:b/>
                <w:bCs/>
                <w:sz w:val="28"/>
                <w:rtl/>
              </w:rPr>
              <w:t>[אב"ד]</w:t>
            </w:r>
          </w:p>
        </w:tc>
        <w:tc>
          <w:tcPr>
            <w:tcW w:w="360" w:type="dxa"/>
          </w:tcPr>
          <w:p w14:paraId="3CE0AFE1" w14:textId="77777777" w:rsidR="00672E11" w:rsidRDefault="00672E11">
            <w:pPr>
              <w:jc w:val="center"/>
              <w:rPr>
                <w:b/>
                <w:bCs/>
                <w:noProof/>
                <w:color w:val="FF0000"/>
                <w:sz w:val="28"/>
              </w:rPr>
            </w:pPr>
          </w:p>
        </w:tc>
        <w:tc>
          <w:tcPr>
            <w:tcW w:w="2392" w:type="dxa"/>
            <w:tcBorders>
              <w:top w:val="single" w:sz="4" w:space="0" w:color="auto"/>
              <w:left w:val="nil"/>
              <w:bottom w:val="nil"/>
              <w:right w:val="nil"/>
            </w:tcBorders>
          </w:tcPr>
          <w:p w14:paraId="12C82CE6" w14:textId="77777777" w:rsidR="00672E11" w:rsidRDefault="00DF7952">
            <w:pPr>
              <w:pStyle w:val="3"/>
              <w:jc w:val="center"/>
              <w:rPr>
                <w:sz w:val="28"/>
              </w:rPr>
            </w:pPr>
            <w:r>
              <w:rPr>
                <w:rFonts w:hint="cs"/>
                <w:sz w:val="28"/>
                <w:rtl/>
              </w:rPr>
              <w:t>מ. גלעד, שופט</w:t>
            </w:r>
          </w:p>
        </w:tc>
        <w:tc>
          <w:tcPr>
            <w:tcW w:w="308" w:type="dxa"/>
          </w:tcPr>
          <w:p w14:paraId="246F2516" w14:textId="77777777" w:rsidR="00672E11" w:rsidRDefault="00672E11">
            <w:pPr>
              <w:jc w:val="center"/>
              <w:rPr>
                <w:b/>
                <w:bCs/>
                <w:noProof/>
                <w:color w:val="FF0000"/>
                <w:sz w:val="28"/>
              </w:rPr>
            </w:pPr>
          </w:p>
        </w:tc>
        <w:tc>
          <w:tcPr>
            <w:tcW w:w="2520" w:type="dxa"/>
            <w:tcBorders>
              <w:top w:val="single" w:sz="4" w:space="0" w:color="auto"/>
              <w:left w:val="nil"/>
              <w:bottom w:val="nil"/>
              <w:right w:val="nil"/>
            </w:tcBorders>
          </w:tcPr>
          <w:p w14:paraId="56EE72F1" w14:textId="77777777" w:rsidR="00672E11" w:rsidRDefault="00DF7952">
            <w:pPr>
              <w:jc w:val="center"/>
              <w:rPr>
                <w:b/>
                <w:bCs/>
                <w:noProof/>
                <w:sz w:val="28"/>
                <w:rtl/>
              </w:rPr>
            </w:pPr>
            <w:r>
              <w:rPr>
                <w:rFonts w:hint="cs"/>
                <w:b/>
                <w:bCs/>
                <w:sz w:val="28"/>
                <w:rtl/>
              </w:rPr>
              <w:t>דר' מ. רניאל, שופט</w:t>
            </w:r>
          </w:p>
        </w:tc>
      </w:tr>
    </w:tbl>
    <w:p w14:paraId="18AF197D" w14:textId="77777777" w:rsidR="00672E11" w:rsidRDefault="00672E11">
      <w:pPr>
        <w:jc w:val="center"/>
      </w:pPr>
    </w:p>
    <w:p w14:paraId="107184A3" w14:textId="77777777" w:rsidR="00672E11" w:rsidRDefault="00DF7952">
      <w:pPr>
        <w:rPr>
          <w:sz w:val="20"/>
          <w:szCs w:val="20"/>
        </w:rPr>
      </w:pPr>
      <w:r>
        <w:rPr>
          <w:rFonts w:hint="cs"/>
          <w:sz w:val="20"/>
          <w:szCs w:val="20"/>
          <w:rtl/>
        </w:rPr>
        <w:t>אתי עטיאס</w:t>
      </w:r>
    </w:p>
    <w:p w14:paraId="6DFA2BD7" w14:textId="77777777" w:rsidR="00DF7952" w:rsidRPr="00DF7952" w:rsidRDefault="00DF7952" w:rsidP="00DF7952">
      <w:pPr>
        <w:keepNext/>
        <w:rPr>
          <w:rFonts w:ascii="David" w:hAnsi="David"/>
          <w:color w:val="000000"/>
          <w:sz w:val="22"/>
          <w:szCs w:val="22"/>
          <w:rtl/>
        </w:rPr>
      </w:pPr>
    </w:p>
    <w:p w14:paraId="3170D403" w14:textId="77777777" w:rsidR="00DF7952" w:rsidRPr="00DF7952" w:rsidRDefault="00DF7952" w:rsidP="00DF7952">
      <w:pPr>
        <w:keepNext/>
        <w:rPr>
          <w:rFonts w:ascii="David" w:hAnsi="David"/>
          <w:color w:val="000000"/>
          <w:sz w:val="22"/>
          <w:szCs w:val="22"/>
          <w:rtl/>
        </w:rPr>
      </w:pPr>
      <w:r w:rsidRPr="00DF7952">
        <w:rPr>
          <w:rFonts w:ascii="David" w:hAnsi="David"/>
          <w:color w:val="000000"/>
          <w:sz w:val="22"/>
          <w:szCs w:val="22"/>
          <w:rtl/>
        </w:rPr>
        <w:t>יוסף אלרון 54678313</w:t>
      </w:r>
    </w:p>
    <w:p w14:paraId="50824923" w14:textId="77777777" w:rsidR="00DF7952" w:rsidRDefault="00DF7952" w:rsidP="00DF7952">
      <w:r w:rsidRPr="00DF7952">
        <w:rPr>
          <w:color w:val="000000"/>
          <w:rtl/>
        </w:rPr>
        <w:t>נוסח מסמך זה כפוף לשינויי ניסוח ועריכה</w:t>
      </w:r>
    </w:p>
    <w:p w14:paraId="313C9995" w14:textId="77777777" w:rsidR="00DF7952" w:rsidRDefault="00DF7952" w:rsidP="00DF7952">
      <w:pPr>
        <w:rPr>
          <w:rtl/>
        </w:rPr>
      </w:pPr>
    </w:p>
    <w:p w14:paraId="7CDCC91C" w14:textId="77777777" w:rsidR="00DF7952" w:rsidRDefault="00DF7952" w:rsidP="00DF7952">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D1C2B29" w14:textId="77777777" w:rsidR="00672E11" w:rsidRPr="00DF7952" w:rsidRDefault="00672E11" w:rsidP="00DF7952">
      <w:pPr>
        <w:jc w:val="center"/>
        <w:rPr>
          <w:color w:val="0000FF"/>
          <w:u w:val="single"/>
        </w:rPr>
      </w:pPr>
    </w:p>
    <w:sectPr w:rsidR="00672E11" w:rsidRPr="00DF7952" w:rsidSect="00DF7952">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4B7D9" w14:textId="77777777" w:rsidR="00D65C87" w:rsidRDefault="00D65C87">
      <w:r>
        <w:separator/>
      </w:r>
    </w:p>
  </w:endnote>
  <w:endnote w:type="continuationSeparator" w:id="0">
    <w:p w14:paraId="1988CCA5" w14:textId="77777777" w:rsidR="00D65C87" w:rsidRDefault="00D6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4F52A" w14:textId="77777777" w:rsidR="00D85871" w:rsidRDefault="00D85871" w:rsidP="00DF79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A8E1577" w14:textId="77777777" w:rsidR="00D85871" w:rsidRPr="00DF7952" w:rsidRDefault="00D85871" w:rsidP="00DF7952">
    <w:pPr>
      <w:pStyle w:val="a4"/>
      <w:pBdr>
        <w:top w:val="single" w:sz="4" w:space="1" w:color="auto"/>
        <w:between w:val="single" w:sz="4" w:space="0" w:color="auto"/>
      </w:pBdr>
      <w:spacing w:after="60"/>
      <w:jc w:val="center"/>
      <w:rPr>
        <w:rFonts w:ascii="FrankRuehl" w:hAnsi="FrankRuehl" w:cs="FrankRuehl"/>
        <w:color w:val="000000"/>
      </w:rPr>
    </w:pPr>
    <w:r w:rsidRPr="00DF79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817C6" w14:textId="77777777" w:rsidR="00D85871" w:rsidRDefault="00D85871" w:rsidP="00DF79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1F24F514" w14:textId="77777777" w:rsidR="00D85871" w:rsidRPr="00DF7952" w:rsidRDefault="00D85871" w:rsidP="00DF7952">
    <w:pPr>
      <w:pStyle w:val="a4"/>
      <w:pBdr>
        <w:top w:val="single" w:sz="4" w:space="1" w:color="auto"/>
        <w:between w:val="single" w:sz="4" w:space="0" w:color="auto"/>
      </w:pBdr>
      <w:spacing w:after="60"/>
      <w:jc w:val="center"/>
      <w:rPr>
        <w:rFonts w:ascii="FrankRuehl" w:hAnsi="FrankRuehl" w:cs="FrankRuehl"/>
        <w:color w:val="000000"/>
      </w:rPr>
    </w:pPr>
    <w:r w:rsidRPr="00DF7952">
      <w:rPr>
        <w:rFonts w:ascii="FrankRuehl" w:hAnsi="FrankRuehl" w:cs="FrankRuehl"/>
        <w:color w:val="000000"/>
      </w:rPr>
      <w:pict w14:anchorId="3DA76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87B13" w14:textId="77777777" w:rsidR="00D65C87" w:rsidRDefault="00D65C87">
      <w:r>
        <w:separator/>
      </w:r>
    </w:p>
  </w:footnote>
  <w:footnote w:type="continuationSeparator" w:id="0">
    <w:p w14:paraId="4241C2AB" w14:textId="77777777" w:rsidR="00D65C87" w:rsidRDefault="00D65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A38F3" w14:textId="77777777" w:rsidR="00D85871" w:rsidRPr="00DF7952" w:rsidRDefault="00D85871" w:rsidP="00DF79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42731-07-12</w:t>
    </w:r>
    <w:r>
      <w:rPr>
        <w:rFonts w:ascii="David" w:hAnsi="David"/>
        <w:color w:val="000000"/>
        <w:sz w:val="22"/>
        <w:szCs w:val="22"/>
        <w:rtl/>
      </w:rPr>
      <w:tab/>
      <w:t xml:space="preserve"> מדינת ישראל נ' עדנאן זאהדה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B7D08" w14:textId="77777777" w:rsidR="00D85871" w:rsidRPr="00DF7952" w:rsidRDefault="00D85871" w:rsidP="00DF79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42731-07-12</w:t>
    </w:r>
    <w:r>
      <w:rPr>
        <w:rFonts w:ascii="David" w:hAnsi="David"/>
        <w:color w:val="000000"/>
        <w:sz w:val="22"/>
        <w:szCs w:val="22"/>
        <w:rtl/>
      </w:rPr>
      <w:tab/>
      <w:t xml:space="preserve"> מדינת ישראל נ' עדנאן זאהדה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2E11"/>
    <w:rsid w:val="004E61C8"/>
    <w:rsid w:val="00672E11"/>
    <w:rsid w:val="00A35168"/>
    <w:rsid w:val="00D65C87"/>
    <w:rsid w:val="00D85871"/>
    <w:rsid w:val="00D91AE5"/>
    <w:rsid w:val="00DF79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6B78B08"/>
  <w15:chartTrackingRefBased/>
  <w15:docId w15:val="{48F08965-607F-48FE-83AA-C84EE9A3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2E11"/>
    <w:pPr>
      <w:bidi/>
    </w:pPr>
    <w:rPr>
      <w:rFonts w:cs="David"/>
      <w:sz w:val="24"/>
      <w:szCs w:val="24"/>
    </w:rPr>
  </w:style>
  <w:style w:type="paragraph" w:styleId="3">
    <w:name w:val="heading 3"/>
    <w:basedOn w:val="a"/>
    <w:next w:val="a"/>
    <w:link w:val="30"/>
    <w:qFormat/>
    <w:rsid w:val="00672E11"/>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72E11"/>
    <w:pPr>
      <w:tabs>
        <w:tab w:val="center" w:pos="4153"/>
        <w:tab w:val="right" w:pos="8306"/>
      </w:tabs>
    </w:pPr>
  </w:style>
  <w:style w:type="paragraph" w:styleId="a4">
    <w:name w:val="footer"/>
    <w:basedOn w:val="a"/>
    <w:rsid w:val="00672E11"/>
    <w:pPr>
      <w:tabs>
        <w:tab w:val="center" w:pos="4153"/>
        <w:tab w:val="right" w:pos="8306"/>
      </w:tabs>
    </w:pPr>
  </w:style>
  <w:style w:type="character" w:styleId="a5">
    <w:name w:val="page number"/>
    <w:basedOn w:val="a0"/>
    <w:rsid w:val="00672E11"/>
  </w:style>
  <w:style w:type="character" w:customStyle="1" w:styleId="30">
    <w:name w:val="כותרת 3 תו"/>
    <w:basedOn w:val="a0"/>
    <w:link w:val="3"/>
    <w:rsid w:val="00672E11"/>
    <w:rPr>
      <w:rFonts w:cs="David"/>
      <w:b/>
      <w:bCs/>
      <w:noProof/>
      <w:szCs w:val="24"/>
      <w:lang w:val="en-US" w:eastAsia="he-IL" w:bidi="he-IL"/>
    </w:rPr>
  </w:style>
  <w:style w:type="character" w:styleId="Hyperlink">
    <w:name w:val="Hyperlink"/>
    <w:basedOn w:val="a0"/>
    <w:rsid w:val="00DF7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300.a.2." TargetMode="External"/><Relationship Id="rId18" Type="http://schemas.openxmlformats.org/officeDocument/2006/relationships/hyperlink" Target="http://www.nevo.co.il/law/70301/300.a."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70301/77" TargetMode="External"/><Relationship Id="rId7" Type="http://schemas.openxmlformats.org/officeDocument/2006/relationships/hyperlink" Target="http://www.nevo.co.il/law/70301/77" TargetMode="External"/><Relationship Id="rId12" Type="http://schemas.openxmlformats.org/officeDocument/2006/relationships/hyperlink" Target="http://www.nevo.co.il/law/70301/301" TargetMode="External"/><Relationship Id="rId17" Type="http://schemas.openxmlformats.org/officeDocument/2006/relationships/hyperlink" Target="http://www.nevo.co.il/case/4732333"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4732333"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00.a.2."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144.a.;144.b." TargetMode="External"/><Relationship Id="rId23" Type="http://schemas.openxmlformats.org/officeDocument/2006/relationships/hyperlink" Target="http://www.nevo.co.il/case/4732333" TargetMode="External"/><Relationship Id="rId28" Type="http://schemas.openxmlformats.org/officeDocument/2006/relationships/footer" Target="footer2.xml"/><Relationship Id="rId10" Type="http://schemas.openxmlformats.org/officeDocument/2006/relationships/hyperlink" Target="http://www.nevo.co.il/law/70301/300.a."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301" TargetMode="External"/><Relationship Id="rId22" Type="http://schemas.openxmlformats.org/officeDocument/2006/relationships/hyperlink" Target="http://www.nevo.co.il/law/7030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1707</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10227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3604594</vt:i4>
      </vt:variant>
      <vt:variant>
        <vt:i4>51</vt:i4>
      </vt:variant>
      <vt:variant>
        <vt:i4>0</vt:i4>
      </vt:variant>
      <vt:variant>
        <vt:i4>5</vt:i4>
      </vt:variant>
      <vt:variant>
        <vt:lpwstr>http://www.nevo.co.il/case/4732333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6422626</vt:i4>
      </vt:variant>
      <vt:variant>
        <vt:i4>45</vt:i4>
      </vt:variant>
      <vt:variant>
        <vt:i4>0</vt:i4>
      </vt:variant>
      <vt:variant>
        <vt:i4>5</vt:i4>
      </vt:variant>
      <vt:variant>
        <vt:lpwstr>http://www.nevo.co.il/law/70301/77</vt:lpwstr>
      </vt:variant>
      <vt:variant>
        <vt:lpwstr/>
      </vt:variant>
      <vt:variant>
        <vt:i4>3604594</vt:i4>
      </vt:variant>
      <vt:variant>
        <vt:i4>42</vt:i4>
      </vt:variant>
      <vt:variant>
        <vt:i4>0</vt:i4>
      </vt:variant>
      <vt:variant>
        <vt:i4>5</vt:i4>
      </vt:variant>
      <vt:variant>
        <vt:lpwstr>http://www.nevo.co.il/case/4732333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6619191</vt:i4>
      </vt:variant>
      <vt:variant>
        <vt:i4>36</vt:i4>
      </vt:variant>
      <vt:variant>
        <vt:i4>0</vt:i4>
      </vt:variant>
      <vt:variant>
        <vt:i4>5</vt:i4>
      </vt:variant>
      <vt:variant>
        <vt:lpwstr>http://www.nevo.co.il/law/70301/300.a.</vt:lpwstr>
      </vt:variant>
      <vt:variant>
        <vt:lpwstr/>
      </vt:variant>
      <vt:variant>
        <vt:i4>3604594</vt:i4>
      </vt:variant>
      <vt:variant>
        <vt:i4>33</vt:i4>
      </vt:variant>
      <vt:variant>
        <vt:i4>0</vt:i4>
      </vt:variant>
      <vt:variant>
        <vt:i4>5</vt:i4>
      </vt:variant>
      <vt:variant>
        <vt:lpwstr>http://www.nevo.co.il/case/4732333</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393232</vt:i4>
      </vt:variant>
      <vt:variant>
        <vt:i4>27</vt:i4>
      </vt:variant>
      <vt:variant>
        <vt:i4>0</vt:i4>
      </vt:variant>
      <vt:variant>
        <vt:i4>5</vt:i4>
      </vt:variant>
      <vt:variant>
        <vt:lpwstr>http://www.nevo.co.il/law/70301/144.a.;144.b.</vt:lpwstr>
      </vt:variant>
      <vt:variant>
        <vt:lpwstr/>
      </vt:variant>
      <vt:variant>
        <vt:i4>6619238</vt:i4>
      </vt:variant>
      <vt:variant>
        <vt:i4>24</vt:i4>
      </vt:variant>
      <vt:variant>
        <vt:i4>0</vt:i4>
      </vt:variant>
      <vt:variant>
        <vt:i4>5</vt:i4>
      </vt:variant>
      <vt:variant>
        <vt:lpwstr>http://www.nevo.co.il/law/70301/301</vt:lpwstr>
      </vt:variant>
      <vt:variant>
        <vt:lpwstr/>
      </vt:variant>
      <vt:variant>
        <vt:i4>4915205</vt:i4>
      </vt:variant>
      <vt:variant>
        <vt:i4>21</vt:i4>
      </vt:variant>
      <vt:variant>
        <vt:i4>0</vt:i4>
      </vt:variant>
      <vt:variant>
        <vt:i4>5</vt:i4>
      </vt:variant>
      <vt:variant>
        <vt:lpwstr>http://www.nevo.co.il/law/70301/300.a.2.</vt:lpwstr>
      </vt:variant>
      <vt:variant>
        <vt:lpwstr/>
      </vt:variant>
      <vt:variant>
        <vt:i4>6619238</vt:i4>
      </vt:variant>
      <vt:variant>
        <vt:i4>18</vt:i4>
      </vt:variant>
      <vt:variant>
        <vt:i4>0</vt:i4>
      </vt:variant>
      <vt:variant>
        <vt:i4>5</vt:i4>
      </vt:variant>
      <vt:variant>
        <vt:lpwstr>http://www.nevo.co.il/law/70301/301</vt:lpwstr>
      </vt:variant>
      <vt:variant>
        <vt:lpwstr/>
      </vt:variant>
      <vt:variant>
        <vt:i4>4915205</vt:i4>
      </vt:variant>
      <vt:variant>
        <vt:i4>15</vt:i4>
      </vt:variant>
      <vt:variant>
        <vt:i4>0</vt:i4>
      </vt:variant>
      <vt:variant>
        <vt:i4>5</vt:i4>
      </vt:variant>
      <vt:variant>
        <vt:lpwstr>http://www.nevo.co.il/law/70301/300.a.2.</vt:lpwstr>
      </vt:variant>
      <vt:variant>
        <vt:lpwstr/>
      </vt:variant>
      <vt:variant>
        <vt:i4>6619191</vt:i4>
      </vt:variant>
      <vt:variant>
        <vt:i4>12</vt:i4>
      </vt:variant>
      <vt:variant>
        <vt:i4>0</vt:i4>
      </vt:variant>
      <vt:variant>
        <vt:i4>5</vt:i4>
      </vt:variant>
      <vt:variant>
        <vt:lpwstr>http://www.nevo.co.il/law/70301/300.a.</vt:lpwstr>
      </vt:variant>
      <vt:variant>
        <vt:lpwstr/>
      </vt:variant>
      <vt:variant>
        <vt:i4>6357042</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6422626</vt:i4>
      </vt:variant>
      <vt:variant>
        <vt:i4>3</vt:i4>
      </vt:variant>
      <vt:variant>
        <vt:i4>0</vt:i4>
      </vt:variant>
      <vt:variant>
        <vt:i4>5</vt:i4>
      </vt:variant>
      <vt:variant>
        <vt:lpwstr>http://www.nevo.co.il/law/70301/77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42731</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עדנאן זאהדה;בהא בכרי</vt:lpwstr>
  </property>
  <property fmtid="{D5CDD505-2E9C-101B-9397-08002B2CF9AE}" pid="10" name="JUDGE">
    <vt:lpwstr>יוסף אלרון;משה גלעד;ד#ר מנחם רניאל</vt:lpwstr>
  </property>
  <property fmtid="{D5CDD505-2E9C-101B-9397-08002B2CF9AE}" pid="11" name="CITY">
    <vt:lpwstr>חי'</vt:lpwstr>
  </property>
  <property fmtid="{D5CDD505-2E9C-101B-9397-08002B2CF9AE}" pid="12" name="DATE">
    <vt:lpwstr>20140930</vt:lpwstr>
  </property>
  <property fmtid="{D5CDD505-2E9C-101B-9397-08002B2CF9AE}" pid="13" name="TYPE_N_DATE">
    <vt:lpwstr>39020140930</vt:lpwstr>
  </property>
  <property fmtid="{D5CDD505-2E9C-101B-9397-08002B2CF9AE}" pid="14" name="CASESLISTTMP1">
    <vt:lpwstr>4732333:3</vt:lpwstr>
  </property>
  <property fmtid="{D5CDD505-2E9C-101B-9397-08002B2CF9AE}" pid="15" name="WORDNUMPAGES">
    <vt:lpwstr>7</vt:lpwstr>
  </property>
  <property fmtid="{D5CDD505-2E9C-101B-9397-08002B2CF9AE}" pid="16" name="TYPE_ABS_DATE">
    <vt:lpwstr>390120140930</vt:lpwstr>
  </property>
  <property fmtid="{D5CDD505-2E9C-101B-9397-08002B2CF9AE}" pid="17" name="METAKZER">
    <vt:lpwstr>עומרי</vt:lpwstr>
  </property>
  <property fmtid="{D5CDD505-2E9C-101B-9397-08002B2CF9AE}" pid="18" name="NOSE1ID">
    <vt:lpwstr>77;77</vt:lpwstr>
  </property>
  <property fmtid="{D5CDD505-2E9C-101B-9397-08002B2CF9AE}" pid="19" name="NOSE2ID">
    <vt:lpwstr>1446;1446</vt:lpwstr>
  </property>
  <property fmtid="{D5CDD505-2E9C-101B-9397-08002B2CF9AE}" pid="20" name="NOSE3ID">
    <vt:lpwstr>13800;14615</vt:lpwstr>
  </property>
  <property fmtid="{D5CDD505-2E9C-101B-9397-08002B2CF9AE}" pid="21" name="NOSE11">
    <vt:lpwstr>עונשין</vt:lpwstr>
  </property>
  <property fmtid="{D5CDD505-2E9C-101B-9397-08002B2CF9AE}" pid="22" name="NOSE21">
    <vt:lpwstr>ענישה</vt:lpwstr>
  </property>
  <property fmtid="{D5CDD505-2E9C-101B-9397-08002B2CF9AE}" pid="23" name="NOSE31">
    <vt:lpwstr>מדיניות ענישה: עבירות נשק</vt:lpwstr>
  </property>
  <property fmtid="{D5CDD505-2E9C-101B-9397-08002B2CF9AE}" pid="24" name="NOSE12">
    <vt:lpwstr>עונשין</vt:lpwstr>
  </property>
  <property fmtid="{D5CDD505-2E9C-101B-9397-08002B2CF9AE}" pid="25" name="NOSE22">
    <vt:lpwstr>ענישה</vt:lpwstr>
  </property>
  <property fmtid="{D5CDD505-2E9C-101B-9397-08002B2CF9AE}" pid="26" name="NOSE32">
    <vt:lpwstr>מדיניות ענישה: עבירת רצח</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LAWYER">
    <vt:lpwstr/>
  </property>
  <property fmtid="{D5CDD505-2E9C-101B-9397-08002B2CF9AE}" pid="52" name="APPELLANT1">
    <vt:lpwstr/>
  </property>
  <property fmtid="{D5CDD505-2E9C-101B-9397-08002B2CF9AE}" pid="53" name="APPELLANT2">
    <vt:lpwstr/>
  </property>
  <property fmtid="{D5CDD505-2E9C-101B-9397-08002B2CF9AE}" pid="54" name="APPELLEE1">
    <vt:lpwstr/>
  </property>
  <property fmtid="{D5CDD505-2E9C-101B-9397-08002B2CF9AE}" pid="55" name="APPELLEE2">
    <vt:lpwstr/>
  </property>
  <property fmtid="{D5CDD505-2E9C-101B-9397-08002B2CF9AE}" pid="56" name="PROCESS">
    <vt:lpwstr/>
  </property>
  <property fmtid="{D5CDD505-2E9C-101B-9397-08002B2CF9AE}" pid="57" name="PROCNUM">
    <vt:lpwstr/>
  </property>
  <property fmtid="{D5CDD505-2E9C-101B-9397-08002B2CF9AE}" pid="58" name="PROCYEAR">
    <vt:lpwstr/>
  </property>
  <property fmtid="{D5CDD505-2E9C-101B-9397-08002B2CF9AE}" pid="59" name="VOLUME">
    <vt:lpwstr/>
  </property>
  <property fmtid="{D5CDD505-2E9C-101B-9397-08002B2CF9AE}" pid="60" name="PART">
    <vt:lpwstr/>
  </property>
  <property fmtid="{D5CDD505-2E9C-101B-9397-08002B2CF9AE}" pid="61" name="PAGE">
    <vt:lpwstr/>
  </property>
  <property fmtid="{D5CDD505-2E9C-101B-9397-08002B2CF9AE}" pid="62" name="PADIMAIL">
    <vt:lpwstr>YES</vt:lpwstr>
  </property>
  <property fmtid="{D5CDD505-2E9C-101B-9397-08002B2CF9AE}" pid="63" name="DELEMATA">
    <vt:lpwstr/>
  </property>
  <property fmtid="{D5CDD505-2E9C-101B-9397-08002B2CF9AE}" pid="64" name="LINKK1">
    <vt:lpwstr/>
  </property>
  <property fmtid="{D5CDD505-2E9C-101B-9397-08002B2CF9AE}" pid="65" name="LINKK2">
    <vt:lpwstr/>
  </property>
  <property fmtid="{D5CDD505-2E9C-101B-9397-08002B2CF9AE}" pid="66" name="LINKK3">
    <vt:lpwstr/>
  </property>
  <property fmtid="{D5CDD505-2E9C-101B-9397-08002B2CF9AE}" pid="67" name="LINKK4">
    <vt:lpwstr/>
  </property>
  <property fmtid="{D5CDD505-2E9C-101B-9397-08002B2CF9AE}" pid="68" name="LINKK5">
    <vt:lpwstr/>
  </property>
  <property fmtid="{D5CDD505-2E9C-101B-9397-08002B2CF9AE}" pid="69" name="ISABSTRACT">
    <vt:lpwstr>Y</vt:lpwstr>
  </property>
  <property fmtid="{D5CDD505-2E9C-101B-9397-08002B2CF9AE}" pid="70" name="PADIDATE">
    <vt:lpwstr>20141005</vt:lpwstr>
  </property>
  <property fmtid="{D5CDD505-2E9C-101B-9397-08002B2CF9AE}" pid="71" name="LAWLISTTMP1">
    <vt:lpwstr>70301/300.a.2.;301;144.a.;144.b.;300.a.;077</vt:lpwstr>
  </property>
</Properties>
</file>