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BD7B45" w:rsidRPr="00493D07" w14:paraId="2719B12E" w14:textId="77777777">
        <w:trPr>
          <w:trHeight w:hRule="exact" w:val="418"/>
          <w:jc w:val="center"/>
        </w:trPr>
        <w:tc>
          <w:tcPr>
            <w:tcW w:w="8721" w:type="dxa"/>
            <w:gridSpan w:val="2"/>
          </w:tcPr>
          <w:p w14:paraId="5366BAD0" w14:textId="77777777" w:rsidR="00BD7B45" w:rsidRPr="00493D07" w:rsidRDefault="00493D07">
            <w:pPr>
              <w:pStyle w:val="a3"/>
              <w:jc w:val="center"/>
              <w:rPr>
                <w:rFonts w:ascii="Tahoma" w:hAnsi="Tahoma" w:cs="Tahoma"/>
                <w:noProof w:val="0"/>
                <w:color w:val="000080"/>
                <w:rtl/>
              </w:rPr>
            </w:pPr>
            <w:bookmarkStart w:id="0" w:name="FirstLawyer"/>
            <w:bookmarkStart w:id="1" w:name="LastJudge"/>
            <w:r w:rsidRPr="00493D07">
              <w:rPr>
                <w:rFonts w:ascii="Tahoma" w:hAnsi="Tahoma" w:cs="Tahoma"/>
                <w:b/>
                <w:bCs/>
                <w:noProof w:val="0"/>
                <w:color w:val="000080"/>
                <w:rtl/>
              </w:rPr>
              <w:t>בית המשפט המחוזי בתל אביב - יפו</w:t>
            </w:r>
          </w:p>
        </w:tc>
      </w:tr>
      <w:tr w:rsidR="00BD7B45" w:rsidRPr="00493D07" w14:paraId="24666E5E" w14:textId="77777777">
        <w:trPr>
          <w:trHeight w:val="337"/>
          <w:jc w:val="center"/>
        </w:trPr>
        <w:tc>
          <w:tcPr>
            <w:tcW w:w="5047" w:type="dxa"/>
          </w:tcPr>
          <w:p w14:paraId="1FAEEF9B" w14:textId="77777777" w:rsidR="00BD7B45" w:rsidRPr="00493D07" w:rsidRDefault="00BD7B45">
            <w:pPr>
              <w:rPr>
                <w:b/>
                <w:bCs/>
                <w:noProof w:val="0"/>
                <w:sz w:val="26"/>
                <w:szCs w:val="26"/>
                <w:rtl/>
              </w:rPr>
            </w:pPr>
          </w:p>
        </w:tc>
        <w:tc>
          <w:tcPr>
            <w:tcW w:w="3674" w:type="dxa"/>
          </w:tcPr>
          <w:p w14:paraId="152AC223" w14:textId="77777777" w:rsidR="00BD7B45" w:rsidRPr="00493D07" w:rsidRDefault="00493D07">
            <w:pPr>
              <w:pStyle w:val="a3"/>
              <w:jc w:val="right"/>
              <w:rPr>
                <w:b/>
                <w:bCs/>
                <w:noProof w:val="0"/>
                <w:sz w:val="26"/>
                <w:szCs w:val="26"/>
                <w:rtl/>
              </w:rPr>
            </w:pPr>
            <w:r w:rsidRPr="00493D07">
              <w:rPr>
                <w:b/>
                <w:bCs/>
                <w:noProof w:val="0"/>
                <w:sz w:val="26"/>
                <w:szCs w:val="26"/>
                <w:rtl/>
              </w:rPr>
              <w:t>1</w:t>
            </w:r>
            <w:r w:rsidRPr="00493D07">
              <w:rPr>
                <w:rFonts w:hint="cs"/>
                <w:b/>
                <w:bCs/>
                <w:noProof w:val="0"/>
                <w:sz w:val="26"/>
                <w:szCs w:val="26"/>
                <w:rtl/>
              </w:rPr>
              <w:t>7</w:t>
            </w:r>
            <w:r w:rsidRPr="00493D07">
              <w:rPr>
                <w:b/>
                <w:bCs/>
                <w:noProof w:val="0"/>
                <w:sz w:val="26"/>
                <w:szCs w:val="26"/>
                <w:rtl/>
              </w:rPr>
              <w:t xml:space="preserve"> ינואר 2013</w:t>
            </w:r>
          </w:p>
        </w:tc>
      </w:tr>
      <w:tr w:rsidR="00BD7B45" w:rsidRPr="00493D07" w14:paraId="0452BF68" w14:textId="77777777">
        <w:trPr>
          <w:trHeight w:val="337"/>
          <w:jc w:val="center"/>
        </w:trPr>
        <w:tc>
          <w:tcPr>
            <w:tcW w:w="8721" w:type="dxa"/>
            <w:gridSpan w:val="2"/>
          </w:tcPr>
          <w:p w14:paraId="08A4C1BA" w14:textId="77777777" w:rsidR="00BD7B45" w:rsidRPr="00493D07" w:rsidRDefault="00493D07">
            <w:pPr>
              <w:rPr>
                <w:b/>
                <w:bCs/>
                <w:noProof w:val="0"/>
                <w:sz w:val="26"/>
                <w:szCs w:val="26"/>
                <w:rtl/>
              </w:rPr>
            </w:pPr>
            <w:r w:rsidRPr="00493D07">
              <w:rPr>
                <w:b/>
                <w:bCs/>
                <w:noProof w:val="0"/>
                <w:sz w:val="26"/>
                <w:szCs w:val="26"/>
                <w:rtl/>
              </w:rPr>
              <w:t>ת"פ 13706-08-12 מדינת ישראל נ' אדרי(עציר)</w:t>
            </w:r>
          </w:p>
          <w:p w14:paraId="33A8AB2D" w14:textId="77777777" w:rsidR="00BD7B45" w:rsidRPr="00493D07" w:rsidRDefault="00BD7B45">
            <w:pPr>
              <w:rPr>
                <w:rtl/>
              </w:rPr>
            </w:pPr>
          </w:p>
          <w:p w14:paraId="68BBB66F" w14:textId="77777777" w:rsidR="00BD7B45" w:rsidRPr="00493D07" w:rsidRDefault="00BD7B45"/>
        </w:tc>
      </w:tr>
    </w:tbl>
    <w:p w14:paraId="7585AEA7" w14:textId="77777777" w:rsidR="00BD7B45" w:rsidRPr="00493D07" w:rsidRDefault="00493D07">
      <w:pPr>
        <w:pStyle w:val="a3"/>
        <w:rPr>
          <w:noProof w:val="0"/>
          <w:rtl/>
        </w:rPr>
      </w:pPr>
      <w:r w:rsidRPr="00493D07">
        <w:rPr>
          <w:noProof w:val="0"/>
          <w:rtl/>
        </w:rPr>
        <w:t xml:space="preserve"> </w:t>
      </w:r>
    </w:p>
    <w:p w14:paraId="248A2D83" w14:textId="77777777" w:rsidR="00BD7B45" w:rsidRPr="00493D07" w:rsidRDefault="00BD7B45">
      <w:pPr>
        <w:rPr>
          <w:rtl/>
        </w:rPr>
      </w:pPr>
    </w:p>
    <w:tbl>
      <w:tblPr>
        <w:bidiVisual/>
        <w:tblW w:w="8820" w:type="dxa"/>
        <w:jc w:val="center"/>
        <w:tblLook w:val="01E0" w:firstRow="1" w:lastRow="1" w:firstColumn="1" w:lastColumn="1" w:noHBand="0" w:noVBand="0"/>
      </w:tblPr>
      <w:tblGrid>
        <w:gridCol w:w="743"/>
        <w:gridCol w:w="2506"/>
        <w:gridCol w:w="1800"/>
        <w:gridCol w:w="3771"/>
      </w:tblGrid>
      <w:tr w:rsidR="00BD7B45" w:rsidRPr="00493D07" w14:paraId="0C52EF1F" w14:textId="77777777">
        <w:trPr>
          <w:gridAfter w:val="1"/>
          <w:wAfter w:w="3771" w:type="dxa"/>
          <w:trHeight w:val="295"/>
          <w:jc w:val="center"/>
        </w:trPr>
        <w:tc>
          <w:tcPr>
            <w:tcW w:w="5049" w:type="dxa"/>
            <w:gridSpan w:val="3"/>
            <w:shd w:val="clear" w:color="auto" w:fill="auto"/>
          </w:tcPr>
          <w:p w14:paraId="6400C358" w14:textId="77777777" w:rsidR="00BD7B45" w:rsidRPr="00493D07" w:rsidRDefault="00BD7B45">
            <w:pPr>
              <w:rPr>
                <w:rFonts w:ascii="Arial" w:hAnsi="Arial"/>
                <w:b/>
                <w:bCs/>
                <w:noProof w:val="0"/>
                <w:sz w:val="26"/>
                <w:szCs w:val="26"/>
                <w:rtl/>
              </w:rPr>
            </w:pPr>
          </w:p>
        </w:tc>
      </w:tr>
      <w:tr w:rsidR="00BD7B45" w:rsidRPr="00493D07" w14:paraId="63D1D02C" w14:textId="77777777">
        <w:trPr>
          <w:jc w:val="center"/>
        </w:trPr>
        <w:tc>
          <w:tcPr>
            <w:tcW w:w="743" w:type="dxa"/>
            <w:shd w:val="clear" w:color="auto" w:fill="auto"/>
          </w:tcPr>
          <w:p w14:paraId="64AC3E2B" w14:textId="77777777" w:rsidR="00BD7B45" w:rsidRPr="00493D07" w:rsidRDefault="00493D07">
            <w:pPr>
              <w:jc w:val="both"/>
              <w:rPr>
                <w:rFonts w:ascii="Arial" w:hAnsi="Arial"/>
                <w:b/>
                <w:bCs/>
              </w:rPr>
            </w:pPr>
            <w:r w:rsidRPr="00493D07">
              <w:rPr>
                <w:rFonts w:ascii="Arial" w:hAnsi="Arial" w:hint="cs"/>
                <w:b/>
                <w:bCs/>
                <w:rtl/>
              </w:rPr>
              <w:t>ב</w:t>
            </w:r>
            <w:r w:rsidRPr="00493D07">
              <w:rPr>
                <w:rFonts w:ascii="Arial" w:hAnsi="Arial"/>
                <w:b/>
                <w:bCs/>
                <w:rtl/>
              </w:rPr>
              <w:t xml:space="preserve">פני </w:t>
            </w:r>
          </w:p>
        </w:tc>
        <w:tc>
          <w:tcPr>
            <w:tcW w:w="8077" w:type="dxa"/>
            <w:gridSpan w:val="3"/>
            <w:shd w:val="clear" w:color="auto" w:fill="auto"/>
          </w:tcPr>
          <w:p w14:paraId="3ED9E385" w14:textId="77777777" w:rsidR="00BD7B45" w:rsidRPr="00493D07" w:rsidRDefault="00493D07">
            <w:pPr>
              <w:rPr>
                <w:rFonts w:ascii="Arial" w:hAnsi="Arial"/>
                <w:b/>
                <w:bCs/>
                <w:rtl/>
              </w:rPr>
            </w:pPr>
            <w:r w:rsidRPr="00493D07">
              <w:rPr>
                <w:rFonts w:ascii="Arial" w:hAnsi="Arial" w:hint="cs"/>
                <w:b/>
                <w:bCs/>
                <w:rtl/>
              </w:rPr>
              <w:t>כב' השופט הבכיר</w:t>
            </w:r>
            <w:r w:rsidRPr="00493D07">
              <w:rPr>
                <w:rFonts w:hint="cs"/>
                <w:rtl/>
              </w:rPr>
              <w:t xml:space="preserve"> צבי גורפינקל</w:t>
            </w:r>
          </w:p>
          <w:p w14:paraId="47FA2E5F" w14:textId="77777777" w:rsidR="00BD7B45" w:rsidRPr="00493D07" w:rsidRDefault="00BD7B45">
            <w:pPr>
              <w:rPr>
                <w:rFonts w:ascii="Arial" w:hAnsi="Arial" w:cs="FrankRuehl"/>
                <w:sz w:val="28"/>
                <w:szCs w:val="28"/>
                <w:highlight w:val="yellow"/>
              </w:rPr>
            </w:pPr>
          </w:p>
        </w:tc>
      </w:tr>
      <w:tr w:rsidR="00BD7B45" w:rsidRPr="00493D07" w14:paraId="7F4E83B3" w14:textId="77777777">
        <w:trPr>
          <w:jc w:val="center"/>
        </w:trPr>
        <w:tc>
          <w:tcPr>
            <w:tcW w:w="3249" w:type="dxa"/>
            <w:gridSpan w:val="2"/>
            <w:shd w:val="clear" w:color="auto" w:fill="auto"/>
          </w:tcPr>
          <w:p w14:paraId="032C03C7" w14:textId="77777777" w:rsidR="00BD7B45" w:rsidRPr="00493D07" w:rsidRDefault="00493D07">
            <w:pPr>
              <w:bidi w:val="0"/>
              <w:jc w:val="right"/>
              <w:rPr>
                <w:rFonts w:ascii="Arial" w:hAnsi="Arial"/>
                <w:b/>
                <w:bCs/>
                <w:noProof w:val="0"/>
                <w:sz w:val="26"/>
                <w:szCs w:val="26"/>
                <w:rtl/>
              </w:rPr>
            </w:pPr>
            <w:bookmarkStart w:id="2" w:name="FirstAppellant"/>
            <w:r w:rsidRPr="00493D07">
              <w:rPr>
                <w:rFonts w:hint="cs"/>
                <w:rtl/>
              </w:rPr>
              <w:t xml:space="preserve">מאשימה </w:t>
            </w:r>
          </w:p>
        </w:tc>
        <w:tc>
          <w:tcPr>
            <w:tcW w:w="5571" w:type="dxa"/>
            <w:gridSpan w:val="2"/>
            <w:shd w:val="clear" w:color="auto" w:fill="auto"/>
          </w:tcPr>
          <w:p w14:paraId="4A9989F6" w14:textId="77777777" w:rsidR="00BD7B45" w:rsidRPr="00493D07" w:rsidRDefault="00493D07">
            <w:pPr>
              <w:rPr>
                <w:b/>
                <w:bCs/>
                <w:noProof w:val="0"/>
                <w:sz w:val="26"/>
                <w:szCs w:val="26"/>
              </w:rPr>
            </w:pPr>
            <w:r w:rsidRPr="00493D07">
              <w:rPr>
                <w:rFonts w:hint="cs"/>
                <w:rtl/>
              </w:rPr>
              <w:t>מדינת ישראל</w:t>
            </w:r>
            <w:r w:rsidRPr="00493D07">
              <w:rPr>
                <w:rFonts w:hint="cs"/>
                <w:rtl/>
              </w:rPr>
              <w:br/>
              <w:t>ע"י ב"כ עו "ד רוסו</w:t>
            </w:r>
          </w:p>
        </w:tc>
      </w:tr>
      <w:bookmarkEnd w:id="2"/>
      <w:tr w:rsidR="00BD7B45" w:rsidRPr="00493D07" w14:paraId="361FD900" w14:textId="77777777">
        <w:trPr>
          <w:jc w:val="center"/>
        </w:trPr>
        <w:tc>
          <w:tcPr>
            <w:tcW w:w="8820" w:type="dxa"/>
            <w:gridSpan w:val="4"/>
            <w:shd w:val="clear" w:color="auto" w:fill="auto"/>
          </w:tcPr>
          <w:p w14:paraId="021F5900" w14:textId="77777777" w:rsidR="00BD7B45" w:rsidRPr="00493D07" w:rsidRDefault="00BD7B45">
            <w:pPr>
              <w:rPr>
                <w:rFonts w:ascii="Arial" w:hAnsi="Arial"/>
                <w:b/>
                <w:bCs/>
                <w:noProof w:val="0"/>
                <w:sz w:val="26"/>
                <w:szCs w:val="26"/>
                <w:rtl/>
              </w:rPr>
            </w:pPr>
          </w:p>
          <w:p w14:paraId="07A608EE" w14:textId="77777777" w:rsidR="00BD7B45" w:rsidRPr="00493D07" w:rsidRDefault="00493D07">
            <w:pPr>
              <w:jc w:val="center"/>
              <w:rPr>
                <w:rFonts w:ascii="Arial" w:hAnsi="Arial"/>
                <w:b/>
                <w:bCs/>
                <w:noProof w:val="0"/>
                <w:sz w:val="26"/>
                <w:szCs w:val="26"/>
                <w:rtl/>
              </w:rPr>
            </w:pPr>
            <w:r w:rsidRPr="00493D07">
              <w:rPr>
                <w:rFonts w:ascii="Arial" w:hAnsi="Arial"/>
                <w:b/>
                <w:bCs/>
                <w:noProof w:val="0"/>
                <w:sz w:val="26"/>
                <w:szCs w:val="26"/>
                <w:rtl/>
              </w:rPr>
              <w:t>נגד</w:t>
            </w:r>
          </w:p>
          <w:p w14:paraId="07B14139" w14:textId="77777777" w:rsidR="00BD7B45" w:rsidRPr="00493D07" w:rsidRDefault="00BD7B45">
            <w:pPr>
              <w:rPr>
                <w:rFonts w:ascii="Arial" w:hAnsi="Arial"/>
                <w:b/>
                <w:bCs/>
                <w:noProof w:val="0"/>
                <w:sz w:val="26"/>
                <w:szCs w:val="26"/>
              </w:rPr>
            </w:pPr>
          </w:p>
        </w:tc>
      </w:tr>
      <w:tr w:rsidR="00BD7B45" w:rsidRPr="00493D07" w14:paraId="73A5558D" w14:textId="77777777">
        <w:trPr>
          <w:jc w:val="center"/>
        </w:trPr>
        <w:tc>
          <w:tcPr>
            <w:tcW w:w="3249" w:type="dxa"/>
            <w:gridSpan w:val="2"/>
            <w:shd w:val="clear" w:color="auto" w:fill="auto"/>
          </w:tcPr>
          <w:p w14:paraId="7ED4B382" w14:textId="77777777" w:rsidR="00BD7B45" w:rsidRPr="00493D07" w:rsidRDefault="00BD7B45">
            <w:pPr>
              <w:rPr>
                <w:rFonts w:ascii="Arial" w:hAnsi="Arial"/>
                <w:b/>
                <w:bCs/>
                <w:noProof w:val="0"/>
                <w:sz w:val="26"/>
                <w:szCs w:val="26"/>
                <w:rtl/>
              </w:rPr>
            </w:pPr>
          </w:p>
          <w:p w14:paraId="40F78BB8" w14:textId="77777777" w:rsidR="00BD7B45" w:rsidRPr="00493D07" w:rsidRDefault="00493D07">
            <w:pPr>
              <w:rPr>
                <w:rFonts w:ascii="Arial" w:hAnsi="Arial"/>
                <w:b/>
                <w:bCs/>
                <w:noProof w:val="0"/>
                <w:sz w:val="26"/>
                <w:szCs w:val="26"/>
              </w:rPr>
            </w:pPr>
            <w:r w:rsidRPr="00493D07">
              <w:rPr>
                <w:rFonts w:hint="cs"/>
                <w:rtl/>
              </w:rPr>
              <w:t xml:space="preserve">נאשם </w:t>
            </w:r>
          </w:p>
        </w:tc>
        <w:tc>
          <w:tcPr>
            <w:tcW w:w="5571" w:type="dxa"/>
            <w:gridSpan w:val="2"/>
            <w:shd w:val="clear" w:color="auto" w:fill="auto"/>
          </w:tcPr>
          <w:p w14:paraId="73B7F7AB" w14:textId="77777777" w:rsidR="00BD7B45" w:rsidRPr="00493D07" w:rsidRDefault="00493D07">
            <w:pPr>
              <w:rPr>
                <w:b/>
                <w:bCs/>
                <w:noProof w:val="0"/>
                <w:sz w:val="26"/>
                <w:szCs w:val="26"/>
                <w:rtl/>
              </w:rPr>
            </w:pPr>
            <w:r w:rsidRPr="00493D07">
              <w:rPr>
                <w:rFonts w:hint="cs"/>
                <w:rtl/>
              </w:rPr>
              <w:t xml:space="preserve">ארז אדרי </w:t>
            </w:r>
            <w:r w:rsidRPr="00493D07">
              <w:rPr>
                <w:rFonts w:hint="cs"/>
                <w:rtl/>
              </w:rPr>
              <w:br/>
              <w:t>ע"י ב"כ עו"ד נודל</w:t>
            </w:r>
          </w:p>
        </w:tc>
      </w:tr>
    </w:tbl>
    <w:p w14:paraId="28CFFAEF" w14:textId="77777777" w:rsidR="00BD7B45" w:rsidRPr="00493D07" w:rsidRDefault="00BD7B45"/>
    <w:p w14:paraId="4DDA6E47" w14:textId="77777777" w:rsidR="00BD7B45" w:rsidRPr="00493D07" w:rsidRDefault="00BD7B45"/>
    <w:tbl>
      <w:tblPr>
        <w:bidiVisual/>
        <w:tblW w:w="8820" w:type="dxa"/>
        <w:jc w:val="center"/>
        <w:tblLook w:val="01E0" w:firstRow="1" w:lastRow="1" w:firstColumn="1" w:lastColumn="1" w:noHBand="0" w:noVBand="0"/>
      </w:tblPr>
      <w:tblGrid>
        <w:gridCol w:w="8820"/>
      </w:tblGrid>
      <w:tr w:rsidR="00BD7B45" w14:paraId="4BB853FD" w14:textId="77777777">
        <w:trPr>
          <w:jc w:val="center"/>
        </w:trPr>
        <w:tc>
          <w:tcPr>
            <w:tcW w:w="8820" w:type="dxa"/>
            <w:shd w:val="clear" w:color="auto" w:fill="auto"/>
          </w:tcPr>
          <w:p w14:paraId="4FC57042" w14:textId="77777777" w:rsidR="00493D07" w:rsidRPr="00493D07" w:rsidRDefault="00493D07" w:rsidP="00493D07">
            <w:pPr>
              <w:bidi w:val="0"/>
              <w:jc w:val="center"/>
              <w:rPr>
                <w:rFonts w:ascii="Arial" w:hAnsi="Arial"/>
                <w:b/>
                <w:bCs/>
                <w:noProof w:val="0"/>
                <w:sz w:val="36"/>
                <w:szCs w:val="36"/>
                <w:u w:val="single"/>
                <w:rtl/>
              </w:rPr>
            </w:pPr>
            <w:bookmarkStart w:id="3" w:name="PsakDin" w:colFirst="0" w:colLast="0"/>
            <w:bookmarkEnd w:id="0"/>
            <w:bookmarkEnd w:id="1"/>
            <w:r w:rsidRPr="00493D07">
              <w:rPr>
                <w:rFonts w:ascii="Arial" w:hAnsi="Arial"/>
                <w:b/>
                <w:bCs/>
                <w:noProof w:val="0"/>
                <w:sz w:val="36"/>
                <w:szCs w:val="36"/>
                <w:u w:val="single"/>
                <w:rtl/>
              </w:rPr>
              <w:t>גזר דין</w:t>
            </w:r>
          </w:p>
          <w:p w14:paraId="64708557" w14:textId="77777777" w:rsidR="00BD7B45" w:rsidRPr="00493D07" w:rsidRDefault="00BD7B45" w:rsidP="00493D07">
            <w:pPr>
              <w:bidi w:val="0"/>
              <w:jc w:val="center"/>
              <w:rPr>
                <w:rFonts w:ascii="Arial" w:hAnsi="Arial"/>
                <w:b/>
                <w:bCs/>
                <w:noProof w:val="0"/>
                <w:sz w:val="36"/>
                <w:szCs w:val="36"/>
                <w:u w:val="single"/>
              </w:rPr>
            </w:pPr>
          </w:p>
        </w:tc>
      </w:tr>
      <w:bookmarkEnd w:id="3"/>
    </w:tbl>
    <w:p w14:paraId="797AF4A3" w14:textId="77777777" w:rsidR="00BD7B45" w:rsidRDefault="00BD7B45">
      <w:pPr>
        <w:spacing w:line="360" w:lineRule="auto"/>
        <w:jc w:val="both"/>
        <w:rPr>
          <w:rFonts w:ascii="Arial" w:hAnsi="Arial"/>
          <w:noProof w:val="0"/>
          <w:rtl/>
        </w:rPr>
      </w:pPr>
    </w:p>
    <w:p w14:paraId="7D080859" w14:textId="77777777" w:rsidR="00BD7B45" w:rsidRDefault="00BD7B45">
      <w:pPr>
        <w:spacing w:line="360" w:lineRule="auto"/>
        <w:jc w:val="both"/>
        <w:rPr>
          <w:rFonts w:ascii="Arial" w:hAnsi="Arial"/>
          <w:noProof w:val="0"/>
          <w:rtl/>
        </w:rPr>
      </w:pPr>
    </w:p>
    <w:p w14:paraId="38353758" w14:textId="77777777" w:rsidR="00BD7B45" w:rsidRDefault="00BD7B45">
      <w:pPr>
        <w:spacing w:line="360" w:lineRule="auto"/>
        <w:jc w:val="both"/>
        <w:rPr>
          <w:rFonts w:ascii="Arial" w:hAnsi="Arial"/>
          <w:noProof w:val="0"/>
          <w:rtl/>
        </w:rPr>
      </w:pPr>
    </w:p>
    <w:p w14:paraId="6C98EBEE" w14:textId="77777777" w:rsidR="00BD7B45" w:rsidRDefault="00493D07">
      <w:pPr>
        <w:spacing w:line="360" w:lineRule="auto"/>
        <w:jc w:val="both"/>
        <w:rPr>
          <w:sz w:val="28"/>
          <w:szCs w:val="28"/>
          <w:rtl/>
        </w:rPr>
      </w:pPr>
      <w:bookmarkStart w:id="4" w:name="ABSTRACT_START"/>
      <w:bookmarkEnd w:id="4"/>
      <w:r>
        <w:rPr>
          <w:rFonts w:hint="cs"/>
          <w:sz w:val="28"/>
          <w:szCs w:val="28"/>
          <w:rtl/>
        </w:rPr>
        <w:t xml:space="preserve">בתאריך 18.1.12 נפרץ ביתו של ירון חתוכה בר"ג, ונגנב משם אקדח. בסמוך לאחר מכן, רכש הנאשם את האקדח והחזיקו שלא כדין. </w:t>
      </w:r>
    </w:p>
    <w:p w14:paraId="419FF5CF" w14:textId="77777777" w:rsidR="00BD7B45" w:rsidRDefault="00493D07">
      <w:pPr>
        <w:spacing w:line="360" w:lineRule="auto"/>
        <w:jc w:val="both"/>
        <w:rPr>
          <w:sz w:val="28"/>
          <w:szCs w:val="28"/>
          <w:rtl/>
        </w:rPr>
      </w:pPr>
      <w:r>
        <w:rPr>
          <w:rFonts w:hint="cs"/>
          <w:sz w:val="28"/>
          <w:szCs w:val="28"/>
          <w:rtl/>
        </w:rPr>
        <w:t>ביום 29.7.12 לאחר חצות, נסע הנאשם עם שניים אחרים ברכב בכביש 461 כשעל גופו האקדח עם מחסנית טעונה ב- 10 כדורים. כאשר הרכב התקרב למחסום משטרה, 70 מ' לפני צומת מסובים, סימן הנאשם לנהג הרכב לעצור בצד הדרך, עטף את האקדח במגבת, יצא מהרכב והשליך את האקדח כדי להעלימו.</w:t>
      </w:r>
    </w:p>
    <w:p w14:paraId="30A5D2DA" w14:textId="77777777" w:rsidR="00BD7B45" w:rsidRDefault="00493D07">
      <w:pPr>
        <w:spacing w:line="360" w:lineRule="auto"/>
        <w:jc w:val="both"/>
        <w:rPr>
          <w:sz w:val="28"/>
          <w:szCs w:val="28"/>
          <w:rtl/>
        </w:rPr>
      </w:pPr>
      <w:bookmarkStart w:id="5" w:name="ABSTRACT_END"/>
      <w:bookmarkEnd w:id="5"/>
      <w:r>
        <w:rPr>
          <w:rFonts w:hint="cs"/>
          <w:sz w:val="28"/>
          <w:szCs w:val="28"/>
          <w:rtl/>
        </w:rPr>
        <w:t>בגין זאת הורשע הנאשם על פי הודאתו בעבירות של רכישה והחזקת נשק לפי סע' 144(א) רישא ל</w:t>
      </w:r>
      <w:hyperlink r:id="rId6" w:history="1">
        <w:r w:rsidRPr="00493D07">
          <w:rPr>
            <w:color w:val="0000FF"/>
            <w:sz w:val="28"/>
            <w:szCs w:val="28"/>
            <w:u w:val="single"/>
            <w:rtl/>
          </w:rPr>
          <w:t>חוק העונשין</w:t>
        </w:r>
      </w:hyperlink>
      <w:r>
        <w:rPr>
          <w:rFonts w:hint="cs"/>
          <w:sz w:val="28"/>
          <w:szCs w:val="28"/>
          <w:rtl/>
        </w:rPr>
        <w:t xml:space="preserve">, תשל"ז-1977, נשיאת נשק ותחמושת לפי סע' 144(ב) לחוק העונשין, ושיבוש מהלכי משפט לפי סע' 244 לחוק העונשין. </w:t>
      </w:r>
    </w:p>
    <w:p w14:paraId="6496C810" w14:textId="77777777" w:rsidR="00BD7B45" w:rsidRDefault="00BD7B45">
      <w:pPr>
        <w:spacing w:line="360" w:lineRule="auto"/>
        <w:jc w:val="both"/>
        <w:rPr>
          <w:sz w:val="28"/>
          <w:szCs w:val="28"/>
          <w:rtl/>
        </w:rPr>
      </w:pPr>
    </w:p>
    <w:p w14:paraId="078609F9" w14:textId="77777777" w:rsidR="00BD7B45" w:rsidRDefault="00493D07">
      <w:pPr>
        <w:spacing w:line="360" w:lineRule="auto"/>
        <w:jc w:val="both"/>
        <w:rPr>
          <w:sz w:val="28"/>
          <w:szCs w:val="28"/>
          <w:rtl/>
        </w:rPr>
      </w:pPr>
      <w:r>
        <w:rPr>
          <w:rFonts w:hint="cs"/>
          <w:sz w:val="28"/>
          <w:szCs w:val="28"/>
          <w:rtl/>
        </w:rPr>
        <w:t xml:space="preserve">מיד כאשר נעצר הנאשם הוא הובא לחקירה, בהודעתו הראשונה שתק ולא הגיב לשאלות, בהודעה שניה סיפר שביקש טרמפ  מחבר כדי שיסיעו יחד עם חברתו ברכב, אולם לא התייחס כלל לנושא האקדח, ולא השיב על שאלות בענין, בהודעתו השלישית סיפר כי ביקש מנהג הרכב לעצור ע"מ להתפנות, ולא התייחס לנושא הנשק, ורק בהודעה רביעית סיפר כי רכש את הנשק ששה חודשים קודם לארוע כיוון שהוזהר ע"י המשטרה שחייו בסכנה, בעקבות רצח של חברו. גם אחיו קיבל אזהרה כי חייו בסכנה. </w:t>
      </w:r>
    </w:p>
    <w:p w14:paraId="3C39481C" w14:textId="77777777" w:rsidR="00BD7B45" w:rsidRDefault="00493D07">
      <w:pPr>
        <w:spacing w:line="360" w:lineRule="auto"/>
        <w:jc w:val="both"/>
        <w:rPr>
          <w:sz w:val="28"/>
          <w:szCs w:val="28"/>
          <w:rtl/>
        </w:rPr>
      </w:pPr>
      <w:r>
        <w:rPr>
          <w:rFonts w:hint="cs"/>
          <w:sz w:val="28"/>
          <w:szCs w:val="28"/>
          <w:rtl/>
        </w:rPr>
        <w:lastRenderedPageBreak/>
        <w:t xml:space="preserve">לחובת הנאשם 6 הרשעות קודמות בעבירות של החזקת סכין, החזקת סמים, איומים, תקיפת שוטר, חבלה במזיד ברכב ופריצה לרכב. </w:t>
      </w:r>
    </w:p>
    <w:p w14:paraId="7C902BEA" w14:textId="77777777" w:rsidR="00BD7B45" w:rsidRDefault="00493D07">
      <w:pPr>
        <w:spacing w:line="360" w:lineRule="auto"/>
        <w:jc w:val="both"/>
        <w:rPr>
          <w:sz w:val="28"/>
          <w:szCs w:val="28"/>
          <w:rtl/>
        </w:rPr>
      </w:pPr>
      <w:r>
        <w:rPr>
          <w:rFonts w:hint="cs"/>
          <w:sz w:val="28"/>
          <w:szCs w:val="28"/>
          <w:rtl/>
        </w:rPr>
        <w:t xml:space="preserve">התביעה התייחסה לגרסת הנאשם והציגה פסיקה שבעבירות דומות נגזרו על נאשמים עונשים של שנתיים מאסר בפועל, 20 חודשי מאסר בפועל ו- 15 חודשי מאסר בפועל. </w:t>
      </w:r>
    </w:p>
    <w:p w14:paraId="41F1B6BB" w14:textId="77777777" w:rsidR="00BD7B45" w:rsidRDefault="00493D07">
      <w:pPr>
        <w:spacing w:line="360" w:lineRule="auto"/>
        <w:jc w:val="both"/>
        <w:rPr>
          <w:sz w:val="28"/>
          <w:szCs w:val="28"/>
          <w:rtl/>
        </w:rPr>
      </w:pPr>
      <w:r>
        <w:rPr>
          <w:rFonts w:hint="cs"/>
          <w:sz w:val="28"/>
          <w:szCs w:val="28"/>
          <w:rtl/>
        </w:rPr>
        <w:t xml:space="preserve">הסניגור מצידו הציג פסיקה שעל פיה גם בעבירות חמורות יותר של החזקת נשק אוטומטי, ומטעני חבלה, נגזרו עונשים של מאסר בעבודות שירות ועד לעונשים של 7, 9, 10 או 13 חודשי מאסר בפועל. </w:t>
      </w:r>
    </w:p>
    <w:p w14:paraId="70FBEE2F" w14:textId="77777777" w:rsidR="00BD7B45" w:rsidRDefault="00BD7B45">
      <w:pPr>
        <w:spacing w:line="360" w:lineRule="auto"/>
        <w:jc w:val="both"/>
        <w:rPr>
          <w:sz w:val="28"/>
          <w:szCs w:val="28"/>
          <w:rtl/>
        </w:rPr>
      </w:pPr>
    </w:p>
    <w:p w14:paraId="0BED8181" w14:textId="77777777" w:rsidR="00BD7B45" w:rsidRDefault="00493D07">
      <w:pPr>
        <w:spacing w:line="360" w:lineRule="auto"/>
        <w:jc w:val="both"/>
        <w:rPr>
          <w:sz w:val="28"/>
          <w:szCs w:val="28"/>
          <w:rtl/>
        </w:rPr>
      </w:pPr>
      <w:r>
        <w:rPr>
          <w:rFonts w:hint="cs"/>
          <w:sz w:val="28"/>
          <w:szCs w:val="28"/>
          <w:rtl/>
        </w:rPr>
        <w:t xml:space="preserve">העיקרון המנחה בענישה הוא קיומו של יחס הולם בין חומרת מעשי העבירה בנסיבותיו ומידת אשמו של הנאשם, ובין סוג ומידת העונש המוטל עליו. </w:t>
      </w:r>
    </w:p>
    <w:p w14:paraId="318DF23A" w14:textId="77777777" w:rsidR="00BD7B45" w:rsidRDefault="00493D07">
      <w:pPr>
        <w:spacing w:line="360" w:lineRule="auto"/>
        <w:jc w:val="both"/>
        <w:rPr>
          <w:sz w:val="28"/>
          <w:szCs w:val="28"/>
          <w:rtl/>
        </w:rPr>
      </w:pPr>
      <w:r>
        <w:rPr>
          <w:rFonts w:hint="cs"/>
          <w:sz w:val="28"/>
          <w:szCs w:val="28"/>
          <w:rtl/>
        </w:rPr>
        <w:t xml:space="preserve">על ביהמ"ש לקבוע מתחם עונש הולם תוך התחשבות בערך החברתי שנפגע, במידת הפגיעה, במדיניות הענישה הנהוגה ובנסיבות הקשורות לביצוע העבירה. </w:t>
      </w:r>
    </w:p>
    <w:p w14:paraId="2D927609" w14:textId="77777777" w:rsidR="00BD7B45" w:rsidRDefault="00493D07">
      <w:pPr>
        <w:spacing w:line="360" w:lineRule="auto"/>
        <w:jc w:val="both"/>
        <w:rPr>
          <w:sz w:val="28"/>
          <w:szCs w:val="28"/>
          <w:rtl/>
        </w:rPr>
      </w:pPr>
      <w:r>
        <w:rPr>
          <w:rFonts w:hint="cs"/>
          <w:sz w:val="28"/>
          <w:szCs w:val="28"/>
          <w:rtl/>
        </w:rPr>
        <w:t>פגיעתה של העבירה של נשיאת נשק ושל החזקתו שלא כדין, רבה, ויש בה משום סיכון משמעותי לשלום הציבור כאשר יריות נורות ברחובות הערים לשם חיסול חשבונות בין עבריינים, כאשר אין עוד גבולות בענין, וגם אזרחים תמימים נפגעים כאשר הם נקלעים לקו הירי.</w:t>
      </w:r>
    </w:p>
    <w:p w14:paraId="66C6FE60" w14:textId="77777777" w:rsidR="00BD7B45" w:rsidRDefault="00493D07">
      <w:pPr>
        <w:spacing w:line="360" w:lineRule="auto"/>
        <w:jc w:val="both"/>
        <w:rPr>
          <w:sz w:val="28"/>
          <w:szCs w:val="28"/>
          <w:rtl/>
        </w:rPr>
      </w:pPr>
      <w:r>
        <w:rPr>
          <w:rFonts w:hint="cs"/>
          <w:sz w:val="28"/>
          <w:szCs w:val="28"/>
          <w:rtl/>
        </w:rPr>
        <w:t>לפיכך על ביהמ"ש להחמיר בענישה לצורך הרתעה ונראה כי יש לקבוע מתחם עונש שבין שנה ל- 4 שנות מאסר בעבירות של החזקה או נשיאת נשק בנסיבות דומות.</w:t>
      </w:r>
    </w:p>
    <w:p w14:paraId="7B19912C" w14:textId="77777777" w:rsidR="00BD7B45" w:rsidRDefault="00493D07">
      <w:pPr>
        <w:spacing w:line="360" w:lineRule="auto"/>
        <w:jc w:val="both"/>
        <w:rPr>
          <w:sz w:val="28"/>
          <w:szCs w:val="28"/>
          <w:rtl/>
        </w:rPr>
      </w:pPr>
      <w:r>
        <w:rPr>
          <w:rFonts w:hint="cs"/>
          <w:sz w:val="28"/>
          <w:szCs w:val="28"/>
          <w:rtl/>
        </w:rPr>
        <w:t>במסגרת מתחם הענישה, נוטה הפסיקה לראות בהחזקת נשק לצורך הגנה עצמית כהחזקה בנסיבות מקלות יחסית, אולם למרות העובדה שהנאשם קיבל אמנם איומים על חייו ועל חיי אחיו, כנטען על ידו, הרי הסמיכות של רכישת האקדח לפריצה שבמהלכה נגנב, והודעותיו של הנאשם, מטילים ספק בחוזק הטענה של החזקת נשק לצורך הגנה עצמית.</w:t>
      </w:r>
    </w:p>
    <w:p w14:paraId="1EE33F32" w14:textId="77777777" w:rsidR="00BD7B45" w:rsidRDefault="00493D07">
      <w:pPr>
        <w:spacing w:line="360" w:lineRule="auto"/>
        <w:jc w:val="both"/>
        <w:rPr>
          <w:sz w:val="28"/>
          <w:szCs w:val="28"/>
          <w:rtl/>
        </w:rPr>
      </w:pPr>
      <w:r>
        <w:rPr>
          <w:rFonts w:hint="cs"/>
          <w:sz w:val="28"/>
          <w:szCs w:val="28"/>
          <w:rtl/>
        </w:rPr>
        <w:t>מי שמחזיק נשק בעקבות איומים על חייו, אינו מתנער מאחריותו להחזקה, וגם אם ניתן להבין את השלכת האקדח כדי שלא יתפס ע"י המשטרה, הרי התנהגותו של הנאשם בחקירה כאשר רק בהודעה הרביעית סיפר לראשונה על נסיבות החזקת האקדח לצורך הגנה עצמית, אינה מאפשרת להתייחס במהימנות יתרה לגרסה זו. יחד עם זאת בהיעדר גירסה נוגדת, יש לאמץ את טענת הנאשם ולכן יש להעמיד את הענישה ברף התחתון של נסיבות החזקת נשק.</w:t>
      </w:r>
    </w:p>
    <w:p w14:paraId="0EFC1E89" w14:textId="77777777" w:rsidR="00BD7B45" w:rsidRDefault="00BD7B45">
      <w:pPr>
        <w:spacing w:line="360" w:lineRule="auto"/>
        <w:jc w:val="both"/>
        <w:rPr>
          <w:sz w:val="28"/>
          <w:szCs w:val="28"/>
          <w:rtl/>
        </w:rPr>
      </w:pPr>
    </w:p>
    <w:p w14:paraId="792C182D" w14:textId="77777777" w:rsidR="00BD7B45" w:rsidRDefault="00493D07">
      <w:pPr>
        <w:spacing w:line="360" w:lineRule="auto"/>
        <w:jc w:val="both"/>
        <w:rPr>
          <w:sz w:val="28"/>
          <w:szCs w:val="28"/>
          <w:rtl/>
        </w:rPr>
      </w:pPr>
      <w:r>
        <w:rPr>
          <w:rFonts w:hint="cs"/>
          <w:sz w:val="28"/>
          <w:szCs w:val="28"/>
          <w:rtl/>
        </w:rPr>
        <w:t>מאחר שעבירות הנשק התרבו וחילופי אש בין עבריינים ברחובות הערים, הפכו למרבה הצער לשגרה, לא ניתן לאמץ את העונשים הקלים שנגזרו בפסיקה שצוטטה ויש מקום להעלות את רף הענישה במסגרת מתחם העונש, ע"מ להגן על הציבור.</w:t>
      </w:r>
    </w:p>
    <w:p w14:paraId="2BA86F35" w14:textId="77777777" w:rsidR="00BD7B45" w:rsidRDefault="00493D07">
      <w:pPr>
        <w:spacing w:line="360" w:lineRule="auto"/>
        <w:jc w:val="both"/>
        <w:rPr>
          <w:sz w:val="28"/>
          <w:szCs w:val="28"/>
          <w:rtl/>
        </w:rPr>
      </w:pPr>
      <w:r>
        <w:rPr>
          <w:rFonts w:hint="cs"/>
          <w:sz w:val="28"/>
          <w:szCs w:val="28"/>
          <w:rtl/>
        </w:rPr>
        <w:lastRenderedPageBreak/>
        <w:t xml:space="preserve">בתוך מתחם העונש, לא ניתן להתעלם מנסיבותיו האישיות של הנאשם שהוא גרוש ואב לילדה בת 5, בנסיבות של החזקת הנשק שלא נסתרו, ועל כן לאחר שיקול כל הנסיבות, אני מחליט לגזור על הנאשם 18 חודשי מאסר בפועל, החל מיום מעצרו </w:t>
      </w:r>
      <w:r>
        <w:rPr>
          <w:sz w:val="28"/>
          <w:szCs w:val="28"/>
          <w:rtl/>
        </w:rPr>
        <w:t>–</w:t>
      </w:r>
      <w:r>
        <w:rPr>
          <w:rFonts w:hint="cs"/>
          <w:sz w:val="28"/>
          <w:szCs w:val="28"/>
          <w:rtl/>
        </w:rPr>
        <w:t xml:space="preserve"> 29.7.12, וכן גוזר עליו שנה מאסר ע"ת שלא יעבור תוך 3 שנים עבירה שמהותה רכישה, החזקה, נשיאה או שימוש בנשק שלא כדין.</w:t>
      </w:r>
    </w:p>
    <w:p w14:paraId="77BF1DA4" w14:textId="77777777" w:rsidR="00BD7B45" w:rsidRDefault="00BD7B45">
      <w:pPr>
        <w:spacing w:line="360" w:lineRule="auto"/>
        <w:jc w:val="both"/>
        <w:rPr>
          <w:sz w:val="28"/>
          <w:szCs w:val="28"/>
          <w:rtl/>
        </w:rPr>
      </w:pPr>
    </w:p>
    <w:p w14:paraId="79E1112A" w14:textId="77777777" w:rsidR="00BD7B45" w:rsidRDefault="00493D07">
      <w:pPr>
        <w:spacing w:line="360" w:lineRule="auto"/>
        <w:jc w:val="both"/>
        <w:rPr>
          <w:rFonts w:ascii="Arial" w:hAnsi="Arial"/>
          <w:noProof w:val="0"/>
          <w:sz w:val="28"/>
          <w:szCs w:val="28"/>
          <w:rtl/>
        </w:rPr>
      </w:pPr>
      <w:r>
        <w:rPr>
          <w:rFonts w:hint="cs"/>
          <w:sz w:val="28"/>
          <w:szCs w:val="28"/>
          <w:rtl/>
        </w:rPr>
        <w:t xml:space="preserve">זכות ערעור תוך 45 ימים. </w:t>
      </w:r>
    </w:p>
    <w:p w14:paraId="4A5C6A60" w14:textId="77777777" w:rsidR="00BD7B45" w:rsidRDefault="00BD7B45">
      <w:pPr>
        <w:spacing w:line="360" w:lineRule="auto"/>
        <w:jc w:val="both"/>
        <w:rPr>
          <w:rFonts w:ascii="Arial" w:hAnsi="Arial"/>
          <w:noProof w:val="0"/>
          <w:sz w:val="28"/>
          <w:szCs w:val="28"/>
          <w:rtl/>
        </w:rPr>
      </w:pPr>
    </w:p>
    <w:p w14:paraId="5669B0ED" w14:textId="77777777" w:rsidR="00BD7B45" w:rsidRDefault="00BD7B45">
      <w:pPr>
        <w:spacing w:line="360" w:lineRule="auto"/>
        <w:jc w:val="both"/>
        <w:rPr>
          <w:rFonts w:ascii="Arial" w:hAnsi="Arial"/>
          <w:noProof w:val="0"/>
          <w:sz w:val="28"/>
          <w:szCs w:val="28"/>
          <w:rtl/>
        </w:rPr>
      </w:pPr>
    </w:p>
    <w:p w14:paraId="2FB55BF3" w14:textId="77777777" w:rsidR="00BD7B45" w:rsidRDefault="00493D07">
      <w:pPr>
        <w:spacing w:line="360" w:lineRule="auto"/>
        <w:jc w:val="both"/>
        <w:rPr>
          <w:rFonts w:ascii="Arial" w:hAnsi="Arial"/>
          <w:noProof w:val="0"/>
          <w:sz w:val="28"/>
          <w:szCs w:val="28"/>
          <w:rtl/>
        </w:rPr>
      </w:pPr>
      <w:r>
        <w:rPr>
          <w:rFonts w:ascii="Arial" w:hAnsi="Arial"/>
          <w:noProof w:val="0"/>
          <w:sz w:val="28"/>
          <w:szCs w:val="28"/>
          <w:rtl/>
        </w:rPr>
        <w:t xml:space="preserve">ניתן היום,  ו' בשבט תשע"ג, 17 ינואר 2013, במעמד הצדדים. </w:t>
      </w:r>
    </w:p>
    <w:p w14:paraId="5B9549AD" w14:textId="77777777" w:rsidR="00BD7B45" w:rsidRDefault="00493D07">
      <w:pPr>
        <w:spacing w:line="360" w:lineRule="auto"/>
        <w:jc w:val="both"/>
        <w:rPr>
          <w:rFonts w:ascii="Arial" w:hAnsi="Arial"/>
          <w:noProof w:val="0"/>
          <w:sz w:val="28"/>
          <w:szCs w:val="28"/>
          <w:rtl/>
        </w:rPr>
      </w:pPr>
      <w:r w:rsidRPr="00493D07">
        <w:rPr>
          <w:rFonts w:ascii="Arial" w:hAnsi="Arial"/>
          <w:noProof w:val="0"/>
          <w:color w:val="FFFFFF"/>
          <w:sz w:val="2"/>
          <w:szCs w:val="2"/>
          <w:rtl/>
        </w:rPr>
        <w:t>5129371</w:t>
      </w:r>
      <w:r>
        <w:rPr>
          <w:rFonts w:ascii="Arial" w:hAnsi="Arial" w:hint="cs"/>
          <w:noProof w:val="0"/>
          <w:sz w:val="28"/>
          <w:szCs w:val="28"/>
          <w:rtl/>
        </w:rPr>
        <w:tab/>
      </w:r>
      <w:r>
        <w:rPr>
          <w:rFonts w:ascii="Arial" w:hAnsi="Arial" w:hint="cs"/>
          <w:noProof w:val="0"/>
          <w:sz w:val="28"/>
          <w:szCs w:val="28"/>
          <w:rtl/>
        </w:rPr>
        <w:tab/>
      </w:r>
      <w:r>
        <w:rPr>
          <w:rFonts w:ascii="Arial" w:hAnsi="Arial" w:hint="cs"/>
          <w:noProof w:val="0"/>
          <w:sz w:val="28"/>
          <w:szCs w:val="28"/>
          <w:rtl/>
        </w:rPr>
        <w:tab/>
      </w:r>
      <w:r>
        <w:rPr>
          <w:rFonts w:ascii="Arial" w:hAnsi="Arial" w:hint="cs"/>
          <w:noProof w:val="0"/>
          <w:sz w:val="28"/>
          <w:szCs w:val="28"/>
          <w:rtl/>
        </w:rPr>
        <w:tab/>
      </w:r>
      <w:r>
        <w:rPr>
          <w:rFonts w:ascii="Arial" w:hAnsi="Arial" w:hint="cs"/>
          <w:noProof w:val="0"/>
          <w:sz w:val="28"/>
          <w:szCs w:val="28"/>
          <w:rtl/>
        </w:rPr>
        <w:tab/>
      </w:r>
      <w:r>
        <w:rPr>
          <w:rFonts w:ascii="Arial" w:hAnsi="Arial" w:hint="cs"/>
          <w:noProof w:val="0"/>
          <w:sz w:val="28"/>
          <w:szCs w:val="28"/>
          <w:rtl/>
        </w:rPr>
        <w:tab/>
        <w:t xml:space="preserve">      _______________________</w:t>
      </w:r>
    </w:p>
    <w:p w14:paraId="093847DE" w14:textId="77777777" w:rsidR="00493D07" w:rsidRPr="00493D07" w:rsidRDefault="00493D07" w:rsidP="00493D07">
      <w:pPr>
        <w:keepNext/>
        <w:spacing w:line="360" w:lineRule="auto"/>
        <w:rPr>
          <w:rFonts w:ascii="David" w:hAnsi="David"/>
          <w:noProof w:val="0"/>
          <w:color w:val="000000"/>
          <w:sz w:val="22"/>
          <w:szCs w:val="22"/>
          <w:rtl/>
        </w:rPr>
      </w:pPr>
    </w:p>
    <w:p w14:paraId="4F29D734" w14:textId="77777777" w:rsidR="00493D07" w:rsidRPr="00493D07" w:rsidRDefault="00493D07" w:rsidP="00493D07">
      <w:pPr>
        <w:keepNext/>
        <w:spacing w:line="360" w:lineRule="auto"/>
        <w:rPr>
          <w:rFonts w:ascii="David" w:hAnsi="David"/>
          <w:noProof w:val="0"/>
          <w:color w:val="000000"/>
          <w:sz w:val="22"/>
          <w:szCs w:val="22"/>
          <w:rtl/>
        </w:rPr>
      </w:pPr>
      <w:r w:rsidRPr="00493D07">
        <w:rPr>
          <w:rFonts w:ascii="David" w:hAnsi="David"/>
          <w:noProof w:val="0"/>
          <w:color w:val="000000"/>
          <w:sz w:val="22"/>
          <w:szCs w:val="22"/>
          <w:rtl/>
        </w:rPr>
        <w:t>צבי גורפינקל 54678313</w:t>
      </w:r>
    </w:p>
    <w:p w14:paraId="1331D1A4" w14:textId="77777777" w:rsidR="00BD7B45" w:rsidRDefault="00493D07">
      <w:pPr>
        <w:spacing w:line="360" w:lineRule="auto"/>
        <w:jc w:val="both"/>
        <w:rPr>
          <w:rFonts w:ascii="Arial" w:hAnsi="Arial"/>
          <w:noProof w:val="0"/>
          <w:sz w:val="28"/>
          <w:szCs w:val="28"/>
          <w:rtl/>
        </w:rPr>
      </w:pPr>
      <w:r w:rsidRPr="00493D07">
        <w:rPr>
          <w:rFonts w:ascii="Arial" w:hAnsi="Arial"/>
          <w:noProof w:val="0"/>
          <w:color w:val="FFFFFF"/>
          <w:sz w:val="2"/>
          <w:szCs w:val="2"/>
          <w:rtl/>
        </w:rPr>
        <w:t>54678313</w:t>
      </w:r>
      <w:r>
        <w:rPr>
          <w:rFonts w:ascii="Arial" w:hAnsi="Arial" w:hint="cs"/>
          <w:noProof w:val="0"/>
          <w:sz w:val="28"/>
          <w:szCs w:val="28"/>
          <w:rtl/>
        </w:rPr>
        <w:tab/>
      </w:r>
      <w:r>
        <w:rPr>
          <w:rFonts w:ascii="Arial" w:hAnsi="Arial" w:hint="cs"/>
          <w:noProof w:val="0"/>
          <w:sz w:val="28"/>
          <w:szCs w:val="28"/>
          <w:rtl/>
        </w:rPr>
        <w:tab/>
      </w:r>
      <w:r>
        <w:rPr>
          <w:rFonts w:ascii="Arial" w:hAnsi="Arial" w:hint="cs"/>
          <w:noProof w:val="0"/>
          <w:sz w:val="28"/>
          <w:szCs w:val="28"/>
          <w:rtl/>
        </w:rPr>
        <w:tab/>
      </w:r>
      <w:r>
        <w:rPr>
          <w:rFonts w:ascii="Arial" w:hAnsi="Arial" w:hint="cs"/>
          <w:noProof w:val="0"/>
          <w:sz w:val="28"/>
          <w:szCs w:val="28"/>
          <w:rtl/>
        </w:rPr>
        <w:tab/>
      </w:r>
      <w:r>
        <w:rPr>
          <w:rFonts w:ascii="Arial" w:hAnsi="Arial" w:hint="cs"/>
          <w:noProof w:val="0"/>
          <w:sz w:val="28"/>
          <w:szCs w:val="28"/>
          <w:rtl/>
        </w:rPr>
        <w:tab/>
      </w:r>
      <w:r>
        <w:rPr>
          <w:rFonts w:ascii="Arial" w:hAnsi="Arial" w:hint="cs"/>
          <w:noProof w:val="0"/>
          <w:sz w:val="28"/>
          <w:szCs w:val="28"/>
          <w:rtl/>
        </w:rPr>
        <w:tab/>
      </w:r>
      <w:r>
        <w:rPr>
          <w:rFonts w:ascii="Arial" w:hAnsi="Arial" w:hint="cs"/>
          <w:noProof w:val="0"/>
          <w:sz w:val="28"/>
          <w:szCs w:val="28"/>
          <w:rtl/>
        </w:rPr>
        <w:tab/>
        <w:t xml:space="preserve">  צבי גורפינקל, שופט בכיר</w:t>
      </w:r>
    </w:p>
    <w:p w14:paraId="79443BB2" w14:textId="77777777" w:rsidR="00493D07" w:rsidRDefault="00493D07" w:rsidP="00493D07">
      <w:r w:rsidRPr="00493D07">
        <w:rPr>
          <w:color w:val="000000"/>
          <w:rtl/>
        </w:rPr>
        <w:t>נוסח מסמך זה כפוף לשינויי ניסוח ועריכה</w:t>
      </w:r>
    </w:p>
    <w:p w14:paraId="49B30191" w14:textId="77777777" w:rsidR="00493D07" w:rsidRDefault="00493D07" w:rsidP="00493D07">
      <w:pPr>
        <w:rPr>
          <w:rtl/>
        </w:rPr>
      </w:pPr>
    </w:p>
    <w:p w14:paraId="734FF2B6" w14:textId="77777777" w:rsidR="00493D07" w:rsidRDefault="00493D07" w:rsidP="00493D07">
      <w:pPr>
        <w:jc w:val="center"/>
        <w:rPr>
          <w:color w:val="0000FF"/>
          <w:u w:val="single"/>
        </w:rPr>
      </w:pPr>
      <w:hyperlink r:id="rId7" w:history="1">
        <w:r>
          <w:rPr>
            <w:color w:val="0000FF"/>
            <w:u w:val="single"/>
            <w:rtl/>
          </w:rPr>
          <w:t>בעניין עריכה ושינויים במסמכי פסיקה, חקיקה ועוד באתר נבו – הקש כאן</w:t>
        </w:r>
      </w:hyperlink>
    </w:p>
    <w:p w14:paraId="5D1F248E" w14:textId="77777777" w:rsidR="00BD7B45" w:rsidRPr="00493D07" w:rsidRDefault="00BD7B45" w:rsidP="00493D07">
      <w:pPr>
        <w:jc w:val="center"/>
        <w:rPr>
          <w:color w:val="0000FF"/>
          <w:u w:val="single"/>
        </w:rPr>
      </w:pPr>
    </w:p>
    <w:sectPr w:rsidR="00BD7B45" w:rsidRPr="00493D07" w:rsidSect="00493D07">
      <w:headerReference w:type="even" r:id="rId8"/>
      <w:headerReference w:type="default" r:id="rId9"/>
      <w:footerReference w:type="even" r:id="rId10"/>
      <w:footerReference w:type="default" r:id="rId11"/>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E0C1F1" w14:textId="77777777" w:rsidR="00EA4C62" w:rsidRPr="00031188" w:rsidRDefault="00EA4C62">
      <w:pPr>
        <w:rPr>
          <w:rFonts w:cs="Arial"/>
          <w:szCs w:val="20"/>
        </w:rPr>
      </w:pPr>
      <w:r>
        <w:separator/>
      </w:r>
    </w:p>
  </w:endnote>
  <w:endnote w:type="continuationSeparator" w:id="0">
    <w:p w14:paraId="20002EF9" w14:textId="77777777" w:rsidR="00EA4C62" w:rsidRPr="00031188" w:rsidRDefault="00EA4C6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CD0BA" w14:textId="77777777" w:rsidR="00493D07" w:rsidRDefault="00493D07" w:rsidP="00493D0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10</w:t>
    </w:r>
    <w:r>
      <w:rPr>
        <w:rFonts w:ascii="FrankRuehl" w:hAnsi="FrankRuehl" w:cs="FrankRuehl"/>
        <w:rtl/>
      </w:rPr>
      <w:fldChar w:fldCharType="end"/>
    </w:r>
  </w:p>
  <w:p w14:paraId="27B034CE" w14:textId="77777777" w:rsidR="00493D07" w:rsidRPr="00493D07" w:rsidRDefault="00493D07" w:rsidP="00493D07">
    <w:pPr>
      <w:pStyle w:val="a4"/>
      <w:pBdr>
        <w:top w:val="single" w:sz="4" w:space="1" w:color="auto"/>
        <w:between w:val="single" w:sz="4" w:space="0" w:color="auto"/>
      </w:pBdr>
      <w:spacing w:after="60"/>
      <w:jc w:val="center"/>
      <w:rPr>
        <w:rFonts w:ascii="FrankRuehl" w:hAnsi="FrankRuehl" w:cs="FrankRuehl"/>
        <w:color w:val="000000"/>
      </w:rPr>
    </w:pPr>
    <w:r w:rsidRPr="00493D0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3F563" w14:textId="77777777" w:rsidR="00493D07" w:rsidRDefault="00493D07" w:rsidP="00493D0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14287">
      <w:rPr>
        <w:rFonts w:ascii="FrankRuehl" w:hAnsi="FrankRuehl" w:cs="FrankRuehl"/>
        <w:rtl/>
      </w:rPr>
      <w:t>1</w:t>
    </w:r>
    <w:r>
      <w:rPr>
        <w:rFonts w:ascii="FrankRuehl" w:hAnsi="FrankRuehl" w:cs="FrankRuehl"/>
        <w:rtl/>
      </w:rPr>
      <w:fldChar w:fldCharType="end"/>
    </w:r>
  </w:p>
  <w:p w14:paraId="38898AE4" w14:textId="77777777" w:rsidR="00493D07" w:rsidRPr="00493D07" w:rsidRDefault="00493D07" w:rsidP="00493D07">
    <w:pPr>
      <w:pStyle w:val="a4"/>
      <w:pBdr>
        <w:top w:val="single" w:sz="4" w:space="1" w:color="auto"/>
        <w:between w:val="single" w:sz="4" w:space="0" w:color="auto"/>
      </w:pBdr>
      <w:spacing w:after="60"/>
      <w:jc w:val="center"/>
      <w:rPr>
        <w:rFonts w:ascii="FrankRuehl" w:hAnsi="FrankRuehl" w:cs="FrankRuehl"/>
        <w:color w:val="000000"/>
      </w:rPr>
    </w:pPr>
    <w:r w:rsidRPr="00493D07">
      <w:rPr>
        <w:rFonts w:ascii="FrankRuehl" w:hAnsi="FrankRuehl" w:cs="FrankRuehl"/>
        <w:color w:val="000000"/>
      </w:rPr>
      <w:pict w14:anchorId="636491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02D62B" w14:textId="77777777" w:rsidR="00EA4C62" w:rsidRPr="00031188" w:rsidRDefault="00EA4C62">
      <w:pPr>
        <w:rPr>
          <w:rFonts w:cs="Arial"/>
          <w:szCs w:val="20"/>
        </w:rPr>
      </w:pPr>
      <w:r>
        <w:separator/>
      </w:r>
    </w:p>
  </w:footnote>
  <w:footnote w:type="continuationSeparator" w:id="0">
    <w:p w14:paraId="0C704B1F" w14:textId="77777777" w:rsidR="00EA4C62" w:rsidRPr="00031188" w:rsidRDefault="00EA4C62">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29421" w14:textId="77777777" w:rsidR="00493D07" w:rsidRPr="00493D07" w:rsidRDefault="00493D07" w:rsidP="00493D0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13706-08-12</w:t>
    </w:r>
    <w:r>
      <w:rPr>
        <w:rFonts w:ascii="David" w:hAnsi="David"/>
        <w:color w:val="000000"/>
        <w:sz w:val="22"/>
        <w:szCs w:val="22"/>
        <w:rtl/>
      </w:rPr>
      <w:tab/>
      <w:t xml:space="preserve"> מדינת ישראל נ' ארז אדרי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EBA9E" w14:textId="77777777" w:rsidR="00493D07" w:rsidRPr="00493D07" w:rsidRDefault="00493D07" w:rsidP="00493D0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13706-08-12</w:t>
    </w:r>
    <w:r>
      <w:rPr>
        <w:rFonts w:ascii="David" w:hAnsi="David"/>
        <w:color w:val="000000"/>
        <w:sz w:val="22"/>
        <w:szCs w:val="22"/>
        <w:rtl/>
      </w:rPr>
      <w:tab/>
      <w:t xml:space="preserve"> מדינת ישראל נ' ארז אדרי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D7B45"/>
    <w:rsid w:val="002B455B"/>
    <w:rsid w:val="00371858"/>
    <w:rsid w:val="00493D07"/>
    <w:rsid w:val="00514287"/>
    <w:rsid w:val="00BD7B45"/>
    <w:rsid w:val="00D13016"/>
    <w:rsid w:val="00EA4C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713DB4F"/>
  <w15:chartTrackingRefBased/>
  <w15:docId w15:val="{65B39A5A-3A39-4AC4-9CAF-E43AE81D9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7B45"/>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D7B45"/>
    <w:pPr>
      <w:tabs>
        <w:tab w:val="center" w:pos="4153"/>
        <w:tab w:val="right" w:pos="8306"/>
      </w:tabs>
    </w:pPr>
  </w:style>
  <w:style w:type="paragraph" w:styleId="a4">
    <w:name w:val="footer"/>
    <w:basedOn w:val="a"/>
    <w:rsid w:val="00BD7B45"/>
    <w:pPr>
      <w:tabs>
        <w:tab w:val="center" w:pos="4153"/>
        <w:tab w:val="right" w:pos="8306"/>
      </w:tabs>
    </w:pPr>
  </w:style>
  <w:style w:type="character" w:styleId="a5">
    <w:name w:val="line number"/>
    <w:basedOn w:val="a0"/>
    <w:rsid w:val="00BD7B45"/>
  </w:style>
  <w:style w:type="character" w:styleId="a6">
    <w:name w:val="page number"/>
    <w:basedOn w:val="a0"/>
    <w:rsid w:val="00493D07"/>
  </w:style>
  <w:style w:type="character" w:styleId="Hyperlink">
    <w:name w:val="Hyperlink"/>
    <w:basedOn w:val="a0"/>
    <w:rsid w:val="00493D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html/law01/073_002.htm"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בית המשפט המחוזי בתל אביב - יפו</vt:lpstr>
    </vt:vector>
  </TitlesOfParts>
  <Company> </Company>
  <LinksUpToDate>false</LinksUpToDate>
  <CharactersWithSpaces>3940</CharactersWithSpaces>
  <SharedDoc>false</SharedDoc>
  <HLinks>
    <vt:vector size="12" baseType="variant">
      <vt:variant>
        <vt:i4>393283</vt:i4>
      </vt:variant>
      <vt:variant>
        <vt:i4>3</vt:i4>
      </vt:variant>
      <vt:variant>
        <vt:i4>0</vt:i4>
      </vt:variant>
      <vt:variant>
        <vt:i4>5</vt:i4>
      </vt:variant>
      <vt:variant>
        <vt:lpwstr>http://www.nevo.co.il/advertisements/nevo-100.doc</vt:lpwstr>
      </vt:variant>
      <vt:variant>
        <vt:lpwstr/>
      </vt:variant>
      <vt:variant>
        <vt:i4>3932214</vt:i4>
      </vt:variant>
      <vt:variant>
        <vt:i4>0</vt:i4>
      </vt:variant>
      <vt:variant>
        <vt:i4>0</vt:i4>
      </vt:variant>
      <vt:variant>
        <vt:i4>5</vt:i4>
      </vt:variant>
      <vt:variant>
        <vt:lpwstr>http://www.nevo.co.il/law_html/law01/073_002.htm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בית המשפט המחוזי בתל אביב - יפו</dc:title>
  <dc:subject> </dc:subject>
  <dc:creator> </dc:creator>
  <cp:keywords/>
  <dc:description/>
  <cp:lastModifiedBy>Tal Klein</cp:lastModifiedBy>
  <cp:revision>2</cp:revision>
  <dcterms:created xsi:type="dcterms:W3CDTF">2025-04-25T10:28:00Z</dcterms:created>
  <dcterms:modified xsi:type="dcterms:W3CDTF">2025-04-25T10:28:00Z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13706</vt:lpwstr>
  </property>
  <property fmtid="{D5CDD505-2E9C-101B-9397-08002B2CF9AE}" pid="6" name="NEWPARTB">
    <vt:lpwstr>08</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ארז אדרי</vt:lpwstr>
  </property>
  <property fmtid="{D5CDD505-2E9C-101B-9397-08002B2CF9AE}" pid="10" name="LAWYER">
    <vt:lpwstr>;עו "ד רוסו;אדרי;נודל</vt:lpwstr>
  </property>
  <property fmtid="{D5CDD505-2E9C-101B-9397-08002B2CF9AE}" pid="11" name="JUDGE">
    <vt:lpwstr>צבי גורפינקל</vt:lpwstr>
  </property>
  <property fmtid="{D5CDD505-2E9C-101B-9397-08002B2CF9AE}" pid="12" name="CITY">
    <vt:lpwstr>ת"א</vt:lpwstr>
  </property>
  <property fmtid="{D5CDD505-2E9C-101B-9397-08002B2CF9AE}" pid="13" name="DATE">
    <vt:lpwstr>20130117</vt:lpwstr>
  </property>
  <property fmtid="{D5CDD505-2E9C-101B-9397-08002B2CF9AE}" pid="14" name="TYPE_N_DATE">
    <vt:lpwstr>39020130117</vt:lpwstr>
  </property>
  <property fmtid="{D5CDD505-2E9C-101B-9397-08002B2CF9AE}" pid="15" name="WORDNUMPAGES">
    <vt:lpwstr>3</vt:lpwstr>
  </property>
  <property fmtid="{D5CDD505-2E9C-101B-9397-08002B2CF9AE}" pid="16" name="TYPE_ABS_DATE">
    <vt:lpwstr>390020130117</vt:lpwstr>
  </property>
  <property fmtid="{D5CDD505-2E9C-101B-9397-08002B2CF9AE}" pid="17" name="ISABSTRACT">
    <vt:lpwstr>Y</vt:lpwstr>
  </property>
</Properties>
</file>