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2"/>
        <w:gridCol w:w="3669"/>
      </w:tblGrid>
      <w:tr w:rsidR="00536913" w:rsidRPr="00536913" w14:paraId="43987A80" w14:textId="77777777">
        <w:trPr>
          <w:trHeight w:hRule="exact" w:val="418"/>
          <w:jc w:val="center"/>
        </w:trPr>
        <w:tc>
          <w:tcPr>
            <w:tcW w:w="8721" w:type="dxa"/>
            <w:gridSpan w:val="2"/>
          </w:tcPr>
          <w:p w14:paraId="61F9B4C3" w14:textId="77777777" w:rsidR="00536913" w:rsidRPr="00536913" w:rsidRDefault="00536913" w:rsidP="00536913">
            <w:pPr>
              <w:pStyle w:val="a3"/>
              <w:jc w:val="center"/>
              <w:rPr>
                <w:rFonts w:ascii="Tahoma" w:hAnsi="Tahoma" w:cs="Tahoma"/>
                <w:color w:val="000080"/>
              </w:rPr>
            </w:pPr>
            <w:bookmarkStart w:id="0" w:name="LastJudge"/>
            <w:r w:rsidRPr="00536913">
              <w:rPr>
                <w:rFonts w:ascii="Tahoma" w:hAnsi="Tahoma" w:cs="Tahoma"/>
                <w:b/>
                <w:bCs/>
                <w:color w:val="000080"/>
                <w:rtl/>
              </w:rPr>
              <w:t>בית המשפט המחוזי בחיפה</w:t>
            </w:r>
          </w:p>
        </w:tc>
      </w:tr>
      <w:tr w:rsidR="00536913" w:rsidRPr="00536913" w14:paraId="76581C91" w14:textId="77777777">
        <w:trPr>
          <w:trHeight w:val="337"/>
          <w:jc w:val="center"/>
        </w:trPr>
        <w:tc>
          <w:tcPr>
            <w:tcW w:w="5052" w:type="dxa"/>
          </w:tcPr>
          <w:p w14:paraId="4BA05C49" w14:textId="77777777" w:rsidR="00536913" w:rsidRPr="00060400" w:rsidRDefault="00536913" w:rsidP="00536913">
            <w:pPr>
              <w:rPr>
                <w:b/>
                <w:bCs/>
                <w:sz w:val="26"/>
                <w:szCs w:val="26"/>
                <w:rtl/>
              </w:rPr>
            </w:pPr>
            <w:r w:rsidRPr="00060400">
              <w:rPr>
                <w:b/>
                <w:bCs/>
                <w:sz w:val="26"/>
                <w:szCs w:val="26"/>
                <w:rtl/>
              </w:rPr>
              <w:t>ת"פ</w:t>
            </w:r>
            <w:r w:rsidR="00060400" w:rsidRPr="00060400">
              <w:rPr>
                <w:rFonts w:hint="cs"/>
                <w:b/>
                <w:bCs/>
                <w:sz w:val="26"/>
                <w:szCs w:val="26"/>
                <w:rtl/>
              </w:rPr>
              <w:t xml:space="preserve"> </w:t>
            </w:r>
            <w:r w:rsidRPr="00060400">
              <w:rPr>
                <w:b/>
                <w:bCs/>
                <w:sz w:val="26"/>
                <w:szCs w:val="26"/>
                <w:rtl/>
              </w:rPr>
              <w:t>8641-08-12</w:t>
            </w:r>
            <w:r w:rsidRPr="00060400">
              <w:rPr>
                <w:rFonts w:hint="cs"/>
                <w:b/>
                <w:bCs/>
                <w:sz w:val="26"/>
                <w:szCs w:val="26"/>
                <w:rtl/>
              </w:rPr>
              <w:t xml:space="preserve"> </w:t>
            </w:r>
            <w:r w:rsidRPr="00060400">
              <w:rPr>
                <w:b/>
                <w:bCs/>
                <w:sz w:val="26"/>
                <w:szCs w:val="26"/>
                <w:rtl/>
              </w:rPr>
              <w:t>מדינת ישראל נ' עזב</w:t>
            </w:r>
          </w:p>
          <w:p w14:paraId="620149EA" w14:textId="77777777" w:rsidR="00536913" w:rsidRPr="00060400" w:rsidRDefault="00536913" w:rsidP="00536913">
            <w:pPr>
              <w:pStyle w:val="a3"/>
              <w:rPr>
                <w:b/>
                <w:bCs/>
                <w:sz w:val="26"/>
                <w:szCs w:val="26"/>
              </w:rPr>
            </w:pPr>
          </w:p>
        </w:tc>
        <w:tc>
          <w:tcPr>
            <w:tcW w:w="3669" w:type="dxa"/>
          </w:tcPr>
          <w:p w14:paraId="667D7756" w14:textId="77777777" w:rsidR="00536913" w:rsidRPr="00060400" w:rsidRDefault="00536913" w:rsidP="00536913">
            <w:pPr>
              <w:pStyle w:val="a3"/>
              <w:jc w:val="right"/>
              <w:rPr>
                <w:rFonts w:hint="cs"/>
                <w:b/>
                <w:bCs/>
                <w:sz w:val="26"/>
                <w:szCs w:val="26"/>
                <w:rtl/>
              </w:rPr>
            </w:pPr>
            <w:r w:rsidRPr="00060400">
              <w:rPr>
                <w:b/>
                <w:bCs/>
                <w:sz w:val="26"/>
                <w:szCs w:val="26"/>
                <w:rtl/>
              </w:rPr>
              <w:t xml:space="preserve">16 מאי 2013 </w:t>
            </w:r>
          </w:p>
        </w:tc>
      </w:tr>
    </w:tbl>
    <w:p w14:paraId="2D4CF052" w14:textId="77777777" w:rsidR="00536913" w:rsidRPr="00536913" w:rsidRDefault="00536913" w:rsidP="00536913">
      <w:pPr>
        <w:pStyle w:val="a3"/>
        <w:rPr>
          <w:rtl/>
        </w:rPr>
      </w:pPr>
    </w:p>
    <w:tbl>
      <w:tblPr>
        <w:bidiVisual/>
        <w:tblW w:w="8591" w:type="dxa"/>
        <w:tblLayout w:type="fixed"/>
        <w:tblCellMar>
          <w:left w:w="107" w:type="dxa"/>
          <w:right w:w="107" w:type="dxa"/>
        </w:tblCellMar>
        <w:tblLook w:val="0000" w:firstRow="0" w:lastRow="0" w:firstColumn="0" w:lastColumn="0" w:noHBand="0" w:noVBand="0"/>
      </w:tblPr>
      <w:tblGrid>
        <w:gridCol w:w="1362"/>
        <w:gridCol w:w="1473"/>
        <w:gridCol w:w="3119"/>
        <w:gridCol w:w="2637"/>
      </w:tblGrid>
      <w:tr w:rsidR="00536913" w:rsidRPr="00536913" w14:paraId="2F6E3A96" w14:textId="77777777">
        <w:tc>
          <w:tcPr>
            <w:tcW w:w="1362" w:type="dxa"/>
          </w:tcPr>
          <w:p w14:paraId="7BAC4730" w14:textId="77777777" w:rsidR="00536913" w:rsidRPr="00060400" w:rsidRDefault="00536913" w:rsidP="00536913">
            <w:pPr>
              <w:pStyle w:val="aa"/>
              <w:rPr>
                <w:sz w:val="26"/>
                <w:szCs w:val="26"/>
              </w:rPr>
            </w:pPr>
            <w:bookmarkStart w:id="1" w:name="שם_א" w:colFirst="1" w:colLast="1"/>
            <w:bookmarkStart w:id="2" w:name="FirstAppellant"/>
            <w:bookmarkStart w:id="3" w:name="FirstLawyer"/>
            <w:r w:rsidRPr="00060400">
              <w:rPr>
                <w:sz w:val="26"/>
                <w:szCs w:val="26"/>
                <w:rtl/>
              </w:rPr>
              <w:t>בעניין:</w:t>
            </w:r>
          </w:p>
        </w:tc>
        <w:tc>
          <w:tcPr>
            <w:tcW w:w="4592" w:type="dxa"/>
            <w:gridSpan w:val="2"/>
          </w:tcPr>
          <w:p w14:paraId="1B33EEA1" w14:textId="77777777" w:rsidR="00536913" w:rsidRPr="00060400" w:rsidRDefault="00536913" w:rsidP="00536913">
            <w:pPr>
              <w:pStyle w:val="aa"/>
              <w:rPr>
                <w:sz w:val="26"/>
                <w:szCs w:val="26"/>
                <w:rtl/>
              </w:rPr>
            </w:pPr>
            <w:r w:rsidRPr="00060400">
              <w:rPr>
                <w:sz w:val="26"/>
                <w:szCs w:val="26"/>
                <w:rtl/>
              </w:rPr>
              <w:t>מדינת ישראל</w:t>
            </w:r>
          </w:p>
          <w:p w14:paraId="3256696F" w14:textId="77777777" w:rsidR="00536913" w:rsidRPr="00060400" w:rsidRDefault="00536913" w:rsidP="00536913">
            <w:pPr>
              <w:pStyle w:val="aa"/>
              <w:rPr>
                <w:sz w:val="26"/>
                <w:szCs w:val="26"/>
                <w:rtl/>
              </w:rPr>
            </w:pPr>
            <w:r w:rsidRPr="00060400">
              <w:rPr>
                <w:sz w:val="26"/>
                <w:szCs w:val="26"/>
                <w:rtl/>
              </w:rPr>
              <w:t>באמצעות פרקליטות מחוז חיפה – פלילי</w:t>
            </w:r>
          </w:p>
          <w:p w14:paraId="3817A416" w14:textId="77777777" w:rsidR="00536913" w:rsidRPr="00060400" w:rsidRDefault="00536913" w:rsidP="00536913">
            <w:pPr>
              <w:pStyle w:val="aa"/>
              <w:rPr>
                <w:sz w:val="26"/>
                <w:szCs w:val="26"/>
              </w:rPr>
            </w:pPr>
            <w:r w:rsidRPr="00060400">
              <w:rPr>
                <w:sz w:val="26"/>
                <w:szCs w:val="26"/>
                <w:rtl/>
              </w:rPr>
              <w:t>ע"י ב"כ עוה"ד ערן בר</w:t>
            </w:r>
          </w:p>
        </w:tc>
        <w:tc>
          <w:tcPr>
            <w:tcW w:w="2637" w:type="dxa"/>
          </w:tcPr>
          <w:p w14:paraId="7DFEB4E2" w14:textId="77777777" w:rsidR="00536913" w:rsidRPr="00060400" w:rsidRDefault="00536913" w:rsidP="00536913">
            <w:pPr>
              <w:pStyle w:val="aa"/>
              <w:rPr>
                <w:sz w:val="26"/>
                <w:szCs w:val="26"/>
              </w:rPr>
            </w:pPr>
          </w:p>
        </w:tc>
      </w:tr>
      <w:bookmarkEnd w:id="1"/>
      <w:bookmarkEnd w:id="2"/>
      <w:bookmarkEnd w:id="3"/>
      <w:tr w:rsidR="00536913" w:rsidRPr="00536913" w14:paraId="4C0F2B5F" w14:textId="77777777">
        <w:trPr>
          <w:cantSplit/>
        </w:trPr>
        <w:tc>
          <w:tcPr>
            <w:tcW w:w="1362" w:type="dxa"/>
          </w:tcPr>
          <w:p w14:paraId="32CA6954" w14:textId="77777777" w:rsidR="00536913" w:rsidRPr="00060400" w:rsidRDefault="00536913" w:rsidP="00536913">
            <w:pPr>
              <w:pStyle w:val="aa"/>
              <w:rPr>
                <w:sz w:val="26"/>
                <w:szCs w:val="26"/>
              </w:rPr>
            </w:pPr>
          </w:p>
        </w:tc>
        <w:tc>
          <w:tcPr>
            <w:tcW w:w="4592" w:type="dxa"/>
            <w:gridSpan w:val="2"/>
          </w:tcPr>
          <w:p w14:paraId="1A379761" w14:textId="77777777" w:rsidR="00536913" w:rsidRPr="00060400" w:rsidRDefault="00536913" w:rsidP="00536913">
            <w:pPr>
              <w:rPr>
                <w:b/>
                <w:bCs/>
                <w:sz w:val="26"/>
                <w:szCs w:val="26"/>
              </w:rPr>
            </w:pPr>
          </w:p>
        </w:tc>
        <w:tc>
          <w:tcPr>
            <w:tcW w:w="2637" w:type="dxa"/>
          </w:tcPr>
          <w:p w14:paraId="61B7323D" w14:textId="77777777" w:rsidR="00536913" w:rsidRPr="00060400" w:rsidRDefault="00536913" w:rsidP="00536913">
            <w:pPr>
              <w:rPr>
                <w:b/>
                <w:bCs/>
                <w:sz w:val="26"/>
                <w:szCs w:val="26"/>
              </w:rPr>
            </w:pPr>
            <w:r w:rsidRPr="00060400">
              <w:rPr>
                <w:b/>
                <w:bCs/>
                <w:sz w:val="26"/>
                <w:szCs w:val="26"/>
                <w:rtl/>
              </w:rPr>
              <w:t>המאשימה</w:t>
            </w:r>
          </w:p>
        </w:tc>
      </w:tr>
      <w:tr w:rsidR="00536913" w:rsidRPr="00536913" w14:paraId="7C17921E" w14:textId="77777777">
        <w:tc>
          <w:tcPr>
            <w:tcW w:w="1362" w:type="dxa"/>
          </w:tcPr>
          <w:p w14:paraId="7CFFB3D9" w14:textId="77777777" w:rsidR="00536913" w:rsidRPr="00060400" w:rsidRDefault="00536913" w:rsidP="00536913">
            <w:pPr>
              <w:pStyle w:val="aa"/>
              <w:rPr>
                <w:sz w:val="26"/>
                <w:szCs w:val="26"/>
              </w:rPr>
            </w:pPr>
          </w:p>
        </w:tc>
        <w:tc>
          <w:tcPr>
            <w:tcW w:w="4592" w:type="dxa"/>
            <w:gridSpan w:val="2"/>
          </w:tcPr>
          <w:p w14:paraId="78A391F3" w14:textId="77777777" w:rsidR="00536913" w:rsidRPr="00060400" w:rsidRDefault="00536913" w:rsidP="00536913">
            <w:pPr>
              <w:pStyle w:val="aa"/>
              <w:jc w:val="center"/>
              <w:rPr>
                <w:sz w:val="26"/>
                <w:szCs w:val="26"/>
              </w:rPr>
            </w:pPr>
            <w:r w:rsidRPr="00060400">
              <w:rPr>
                <w:sz w:val="26"/>
                <w:szCs w:val="26"/>
                <w:rtl/>
              </w:rPr>
              <w:t xml:space="preserve">- נ ג ד - </w:t>
            </w:r>
          </w:p>
        </w:tc>
        <w:tc>
          <w:tcPr>
            <w:tcW w:w="2637" w:type="dxa"/>
          </w:tcPr>
          <w:p w14:paraId="36231CE0" w14:textId="77777777" w:rsidR="00536913" w:rsidRPr="00060400" w:rsidRDefault="00536913" w:rsidP="00536913">
            <w:pPr>
              <w:pStyle w:val="aa"/>
              <w:rPr>
                <w:sz w:val="26"/>
                <w:szCs w:val="26"/>
              </w:rPr>
            </w:pPr>
          </w:p>
        </w:tc>
      </w:tr>
      <w:tr w:rsidR="00536913" w:rsidRPr="00536913" w14:paraId="1C1031B1" w14:textId="77777777">
        <w:tc>
          <w:tcPr>
            <w:tcW w:w="1362" w:type="dxa"/>
          </w:tcPr>
          <w:p w14:paraId="2F4D7373" w14:textId="77777777" w:rsidR="00536913" w:rsidRPr="00060400" w:rsidRDefault="00536913" w:rsidP="00536913">
            <w:pPr>
              <w:pStyle w:val="aa"/>
              <w:rPr>
                <w:sz w:val="26"/>
                <w:szCs w:val="26"/>
              </w:rPr>
            </w:pPr>
            <w:bookmarkStart w:id="4" w:name="שם_ב" w:colFirst="1" w:colLast="1"/>
          </w:p>
        </w:tc>
        <w:tc>
          <w:tcPr>
            <w:tcW w:w="4592" w:type="dxa"/>
            <w:gridSpan w:val="2"/>
          </w:tcPr>
          <w:p w14:paraId="4952C1A4" w14:textId="77777777" w:rsidR="00536913" w:rsidRPr="00060400" w:rsidRDefault="00536913" w:rsidP="00536913">
            <w:pPr>
              <w:pStyle w:val="aa"/>
              <w:rPr>
                <w:sz w:val="26"/>
                <w:szCs w:val="26"/>
                <w:rtl/>
              </w:rPr>
            </w:pPr>
            <w:r w:rsidRPr="00060400">
              <w:rPr>
                <w:sz w:val="26"/>
                <w:szCs w:val="26"/>
                <w:rtl/>
              </w:rPr>
              <w:t>חסן עזב (בן רפיק)</w:t>
            </w:r>
          </w:p>
          <w:p w14:paraId="06DB99A2" w14:textId="77777777" w:rsidR="00536913" w:rsidRPr="00060400" w:rsidRDefault="00536913" w:rsidP="00536913">
            <w:pPr>
              <w:pStyle w:val="aa"/>
              <w:rPr>
                <w:sz w:val="26"/>
                <w:szCs w:val="26"/>
              </w:rPr>
            </w:pPr>
            <w:r w:rsidRPr="00060400">
              <w:rPr>
                <w:sz w:val="26"/>
                <w:szCs w:val="26"/>
                <w:rtl/>
              </w:rPr>
              <w:t>ע"י ב"כ עוה"ד עלאא עתאמנה</w:t>
            </w:r>
          </w:p>
        </w:tc>
        <w:tc>
          <w:tcPr>
            <w:tcW w:w="2637" w:type="dxa"/>
          </w:tcPr>
          <w:p w14:paraId="31A1824A" w14:textId="77777777" w:rsidR="00536913" w:rsidRPr="00060400" w:rsidRDefault="00536913" w:rsidP="00536913">
            <w:pPr>
              <w:pStyle w:val="aa"/>
              <w:rPr>
                <w:sz w:val="26"/>
                <w:szCs w:val="26"/>
              </w:rPr>
            </w:pPr>
          </w:p>
        </w:tc>
      </w:tr>
      <w:tr w:rsidR="00536913" w:rsidRPr="00536913" w14:paraId="0797AC94" w14:textId="77777777">
        <w:tc>
          <w:tcPr>
            <w:tcW w:w="1362" w:type="dxa"/>
          </w:tcPr>
          <w:p w14:paraId="344F20DA" w14:textId="77777777" w:rsidR="00536913" w:rsidRPr="00060400" w:rsidRDefault="00536913" w:rsidP="00536913">
            <w:pPr>
              <w:pStyle w:val="aa"/>
              <w:rPr>
                <w:sz w:val="26"/>
                <w:szCs w:val="26"/>
              </w:rPr>
            </w:pPr>
            <w:bookmarkStart w:id="5" w:name="בא_כוח_ב" w:colFirst="2" w:colLast="2"/>
            <w:bookmarkEnd w:id="4"/>
          </w:p>
        </w:tc>
        <w:tc>
          <w:tcPr>
            <w:tcW w:w="1473" w:type="dxa"/>
          </w:tcPr>
          <w:p w14:paraId="5AAC24F5" w14:textId="77777777" w:rsidR="00536913" w:rsidRPr="00060400" w:rsidRDefault="00536913" w:rsidP="00536913">
            <w:pPr>
              <w:pStyle w:val="aa"/>
              <w:rPr>
                <w:sz w:val="26"/>
                <w:szCs w:val="26"/>
              </w:rPr>
            </w:pPr>
          </w:p>
        </w:tc>
        <w:tc>
          <w:tcPr>
            <w:tcW w:w="3119" w:type="dxa"/>
          </w:tcPr>
          <w:p w14:paraId="1912BC13" w14:textId="77777777" w:rsidR="00536913" w:rsidRPr="00060400" w:rsidRDefault="00536913" w:rsidP="00536913">
            <w:pPr>
              <w:pStyle w:val="aa"/>
              <w:rPr>
                <w:sz w:val="26"/>
                <w:szCs w:val="26"/>
              </w:rPr>
            </w:pPr>
          </w:p>
        </w:tc>
        <w:tc>
          <w:tcPr>
            <w:tcW w:w="2637" w:type="dxa"/>
          </w:tcPr>
          <w:p w14:paraId="7EC5DC0C" w14:textId="77777777" w:rsidR="00536913" w:rsidRPr="00060400" w:rsidRDefault="00536913" w:rsidP="00536913">
            <w:pPr>
              <w:pStyle w:val="aa"/>
              <w:rPr>
                <w:sz w:val="26"/>
                <w:szCs w:val="26"/>
              </w:rPr>
            </w:pPr>
            <w:r w:rsidRPr="00060400">
              <w:rPr>
                <w:sz w:val="26"/>
                <w:szCs w:val="26"/>
                <w:rtl/>
              </w:rPr>
              <w:t>הנאשם</w:t>
            </w:r>
          </w:p>
        </w:tc>
      </w:tr>
    </w:tbl>
    <w:p w14:paraId="60C452C0" w14:textId="77777777" w:rsidR="00D20D85" w:rsidRDefault="00D20D85">
      <w:pPr>
        <w:rPr>
          <w:rtl/>
        </w:rPr>
      </w:pPr>
      <w:bookmarkStart w:id="6" w:name="LawTable"/>
      <w:bookmarkEnd w:id="5"/>
      <w:bookmarkEnd w:id="6"/>
    </w:p>
    <w:p w14:paraId="66A7774D" w14:textId="77777777" w:rsidR="00D20D85" w:rsidRPr="00D20D85" w:rsidRDefault="00D20D85" w:rsidP="00D20D85">
      <w:pPr>
        <w:spacing w:after="120" w:line="240" w:lineRule="exact"/>
        <w:ind w:left="283" w:hanging="283"/>
        <w:jc w:val="both"/>
        <w:rPr>
          <w:rFonts w:ascii="FrankRuehl" w:hAnsi="FrankRuehl" w:cs="FrankRuehl"/>
          <w:rtl/>
        </w:rPr>
      </w:pPr>
    </w:p>
    <w:p w14:paraId="41989FDC" w14:textId="77777777" w:rsidR="00D20D85" w:rsidRPr="00D20D85" w:rsidRDefault="00D20D85" w:rsidP="00D20D85">
      <w:pPr>
        <w:spacing w:after="120" w:line="240" w:lineRule="exact"/>
        <w:ind w:left="283" w:hanging="283"/>
        <w:jc w:val="both"/>
        <w:rPr>
          <w:rFonts w:ascii="FrankRuehl" w:hAnsi="FrankRuehl" w:cs="FrankRuehl"/>
          <w:rtl/>
        </w:rPr>
      </w:pPr>
      <w:r w:rsidRPr="00D20D85">
        <w:rPr>
          <w:rFonts w:ascii="FrankRuehl" w:hAnsi="FrankRuehl" w:cs="FrankRuehl"/>
          <w:rtl/>
        </w:rPr>
        <w:t xml:space="preserve">חקיקה שאוזכרה: </w:t>
      </w:r>
    </w:p>
    <w:p w14:paraId="1739A16D" w14:textId="77777777" w:rsidR="00D20D85" w:rsidRPr="00D20D85" w:rsidRDefault="00D20D85" w:rsidP="00D20D85">
      <w:pPr>
        <w:spacing w:after="120" w:line="240" w:lineRule="exact"/>
        <w:ind w:left="283" w:hanging="283"/>
        <w:jc w:val="both"/>
        <w:rPr>
          <w:rFonts w:ascii="FrankRuehl" w:hAnsi="FrankRuehl" w:cs="FrankRuehl"/>
          <w:rtl/>
        </w:rPr>
      </w:pPr>
      <w:hyperlink r:id="rId7" w:history="1">
        <w:r w:rsidRPr="00D20D85">
          <w:rPr>
            <w:rFonts w:ascii="FrankRuehl" w:hAnsi="FrankRuehl" w:cs="FrankRuehl"/>
            <w:color w:val="0000FF"/>
            <w:u w:val="single"/>
            <w:rtl/>
          </w:rPr>
          <w:t>חוק העונשין, תשל"ז-1977</w:t>
        </w:r>
      </w:hyperlink>
      <w:r w:rsidRPr="00D20D85">
        <w:rPr>
          <w:rFonts w:ascii="FrankRuehl" w:hAnsi="FrankRuehl" w:cs="FrankRuehl"/>
          <w:rtl/>
        </w:rPr>
        <w:t xml:space="preserve">: סע'  </w:t>
      </w:r>
      <w:hyperlink r:id="rId8" w:history="1">
        <w:r w:rsidRPr="00D20D85">
          <w:rPr>
            <w:rFonts w:ascii="FrankRuehl" w:hAnsi="FrankRuehl" w:cs="FrankRuehl"/>
            <w:color w:val="0000FF"/>
            <w:u w:val="single"/>
            <w:rtl/>
          </w:rPr>
          <w:t>40ג.(א)</w:t>
        </w:r>
      </w:hyperlink>
      <w:r w:rsidRPr="00D20D85">
        <w:rPr>
          <w:rFonts w:ascii="FrankRuehl" w:hAnsi="FrankRuehl" w:cs="FrankRuehl"/>
          <w:rtl/>
        </w:rPr>
        <w:t xml:space="preserve">, </w:t>
      </w:r>
      <w:hyperlink r:id="rId9" w:history="1">
        <w:r w:rsidRPr="00D20D85">
          <w:rPr>
            <w:rFonts w:ascii="FrankRuehl" w:hAnsi="FrankRuehl" w:cs="FrankRuehl"/>
            <w:color w:val="0000FF"/>
            <w:u w:val="single"/>
            <w:rtl/>
          </w:rPr>
          <w:t>40ו.</w:t>
        </w:r>
      </w:hyperlink>
      <w:r w:rsidRPr="00D20D85">
        <w:rPr>
          <w:rFonts w:ascii="FrankRuehl" w:hAnsi="FrankRuehl" w:cs="FrankRuehl"/>
          <w:rtl/>
        </w:rPr>
        <w:t xml:space="preserve">, </w:t>
      </w:r>
      <w:hyperlink r:id="rId10" w:history="1">
        <w:r w:rsidRPr="00D20D85">
          <w:rPr>
            <w:rFonts w:ascii="FrankRuehl" w:hAnsi="FrankRuehl" w:cs="FrankRuehl"/>
            <w:color w:val="0000FF"/>
            <w:u w:val="single"/>
            <w:rtl/>
          </w:rPr>
          <w:t>40ז</w:t>
        </w:r>
      </w:hyperlink>
      <w:r w:rsidRPr="00D20D85">
        <w:rPr>
          <w:rFonts w:ascii="FrankRuehl" w:hAnsi="FrankRuehl" w:cs="FrankRuehl"/>
          <w:rtl/>
        </w:rPr>
        <w:t xml:space="preserve">, </w:t>
      </w:r>
      <w:hyperlink r:id="rId11" w:history="1">
        <w:r w:rsidRPr="00D20D85">
          <w:rPr>
            <w:rFonts w:ascii="FrankRuehl" w:hAnsi="FrankRuehl" w:cs="FrankRuehl"/>
            <w:color w:val="0000FF"/>
            <w:u w:val="single"/>
            <w:rtl/>
          </w:rPr>
          <w:t>40ט.</w:t>
        </w:r>
      </w:hyperlink>
      <w:r w:rsidRPr="00D20D85">
        <w:rPr>
          <w:rFonts w:ascii="FrankRuehl" w:hAnsi="FrankRuehl" w:cs="FrankRuehl"/>
          <w:rtl/>
        </w:rPr>
        <w:t xml:space="preserve">, </w:t>
      </w:r>
      <w:hyperlink r:id="rId12" w:history="1">
        <w:r w:rsidRPr="00D20D85">
          <w:rPr>
            <w:rFonts w:ascii="FrankRuehl" w:hAnsi="FrankRuehl" w:cs="FrankRuehl"/>
            <w:color w:val="0000FF"/>
            <w:u w:val="single"/>
            <w:rtl/>
          </w:rPr>
          <w:t>144 (ב)</w:t>
        </w:r>
      </w:hyperlink>
      <w:r w:rsidRPr="00D20D85">
        <w:rPr>
          <w:rFonts w:ascii="FrankRuehl" w:hAnsi="FrankRuehl" w:cs="FrankRuehl"/>
          <w:rtl/>
        </w:rPr>
        <w:t xml:space="preserve">, </w:t>
      </w:r>
      <w:hyperlink r:id="rId13" w:history="1">
        <w:r w:rsidRPr="00D20D85">
          <w:rPr>
            <w:rFonts w:ascii="FrankRuehl" w:hAnsi="FrankRuehl" w:cs="FrankRuehl"/>
            <w:color w:val="0000FF"/>
            <w:u w:val="single"/>
            <w:rtl/>
          </w:rPr>
          <w:t>192</w:t>
        </w:r>
      </w:hyperlink>
      <w:r w:rsidRPr="00D20D85">
        <w:rPr>
          <w:rFonts w:ascii="FrankRuehl" w:hAnsi="FrankRuehl" w:cs="FrankRuehl"/>
          <w:rtl/>
        </w:rPr>
        <w:t xml:space="preserve">, </w:t>
      </w:r>
      <w:hyperlink r:id="rId14" w:history="1">
        <w:r w:rsidRPr="00D20D85">
          <w:rPr>
            <w:rFonts w:ascii="FrankRuehl" w:hAnsi="FrankRuehl" w:cs="FrankRuehl"/>
            <w:color w:val="0000FF"/>
            <w:u w:val="single"/>
            <w:rtl/>
          </w:rPr>
          <w:t>413ה</w:t>
        </w:r>
      </w:hyperlink>
    </w:p>
    <w:p w14:paraId="18F298A9" w14:textId="77777777" w:rsidR="00D20D85" w:rsidRPr="00D20D85" w:rsidRDefault="00D20D85" w:rsidP="00D20D85">
      <w:pPr>
        <w:spacing w:after="120" w:line="240" w:lineRule="exact"/>
        <w:ind w:left="283" w:hanging="283"/>
        <w:jc w:val="both"/>
        <w:rPr>
          <w:rFonts w:ascii="FrankRuehl" w:hAnsi="FrankRuehl" w:cs="FrankRuehl"/>
          <w:rtl/>
        </w:rPr>
      </w:pPr>
    </w:p>
    <w:p w14:paraId="2DD73881" w14:textId="77777777" w:rsidR="00D20D85" w:rsidRPr="00D20D85" w:rsidRDefault="00D20D85">
      <w:pPr>
        <w:rPr>
          <w:rtl/>
        </w:rPr>
      </w:pPr>
      <w:bookmarkStart w:id="7" w:name="LawTable_End"/>
      <w:bookmarkEnd w:id="7"/>
    </w:p>
    <w:p w14:paraId="349F6DAD" w14:textId="77777777" w:rsidR="00AA2AF7" w:rsidRPr="00AA2AF7" w:rsidRDefault="00AA2AF7">
      <w:pPr>
        <w:rPr>
          <w:rtl/>
        </w:rPr>
      </w:pPr>
    </w:p>
    <w:p w14:paraId="633F6441" w14:textId="77777777" w:rsidR="00FC6325" w:rsidRPr="00AA2AF7" w:rsidRDefault="00FC6325">
      <w:pPr>
        <w:rPr>
          <w:rFonts w:hint="cs"/>
          <w:rtl/>
        </w:rPr>
      </w:pPr>
    </w:p>
    <w:p w14:paraId="11F60CB9" w14:textId="77777777" w:rsidR="00060400" w:rsidRDefault="00060400" w:rsidP="00060400">
      <w:pPr>
        <w:pBdr>
          <w:top w:val="single" w:sz="4" w:space="1" w:color="auto"/>
          <w:bottom w:val="single" w:sz="4" w:space="1" w:color="auto"/>
        </w:pBdr>
        <w:spacing w:after="120" w:line="320" w:lineRule="exact"/>
        <w:jc w:val="both"/>
        <w:rPr>
          <w:rFonts w:cs="FrankRuehl" w:hint="cs"/>
          <w:szCs w:val="26"/>
          <w:rtl/>
        </w:rPr>
      </w:pPr>
      <w:bookmarkStart w:id="8" w:name="ABSTRACT_START"/>
      <w:bookmarkEnd w:id="8"/>
      <w:r>
        <w:rPr>
          <w:rFonts w:cs="FrankRuehl"/>
          <w:szCs w:val="26"/>
          <w:rtl/>
        </w:rPr>
        <w:t>מיני-רציו:</w:t>
      </w:r>
    </w:p>
    <w:p w14:paraId="2752D965" w14:textId="77777777" w:rsidR="00060400" w:rsidRPr="00060400" w:rsidRDefault="00060400" w:rsidP="00060400">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060400">
        <w:rPr>
          <w:rFonts w:cs="FrankRuehl"/>
          <w:szCs w:val="26"/>
          <w:rtl/>
        </w:rPr>
        <w:t>עצם השגת נשק "בלתי חוקי" ונשיאתו בציבור על-ידי אדם בלתי מורשה מסָכּנים, סיכון ממשי את שלום הציבור ובטחונו ועל כן, ככל שעסקינן בעבירות בנשק, ייסוגו נסיבותיו האישיות של נאשם מפני שיקולים של אינטרס הציבור.</w:t>
      </w:r>
    </w:p>
    <w:p w14:paraId="306AB668" w14:textId="77777777" w:rsidR="005324C8" w:rsidRDefault="00060400" w:rsidP="00060400">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08E48EE6" w14:textId="77777777" w:rsidR="00060400" w:rsidRDefault="00060400" w:rsidP="0006040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34ABC3C" w14:textId="77777777" w:rsidR="005324C8" w:rsidRPr="00060400" w:rsidRDefault="005324C8" w:rsidP="00060400">
      <w:pPr>
        <w:pBdr>
          <w:top w:val="single" w:sz="4" w:space="1" w:color="auto"/>
          <w:bottom w:val="single" w:sz="4" w:space="1" w:color="auto"/>
        </w:pBdr>
        <w:spacing w:after="120" w:line="320" w:lineRule="exact"/>
        <w:jc w:val="both"/>
        <w:rPr>
          <w:rFonts w:cs="FrankRuehl"/>
          <w:szCs w:val="26"/>
          <w:rtl/>
        </w:rPr>
      </w:pPr>
      <w:r w:rsidRPr="00060400">
        <w:rPr>
          <w:rFonts w:cs="FrankRuehl"/>
          <w:szCs w:val="26"/>
          <w:rtl/>
        </w:rPr>
        <w:t>בית המשפט נדרש לגזור את דינו הנאשם שהורשע במסגרת הסדר טיעון בביצוע העבירות שיוחסו לו, כדלקמן: נשיאת נשק ותחמושת, איומים וחבלה במזיד לרכב.</w:t>
      </w:r>
    </w:p>
    <w:p w14:paraId="252429DB" w14:textId="77777777" w:rsidR="005324C8" w:rsidRPr="00060400" w:rsidRDefault="00060400" w:rsidP="0006040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7668B26" w14:textId="77777777" w:rsidR="005324C8" w:rsidRPr="00060400" w:rsidRDefault="005324C8" w:rsidP="00060400">
      <w:pPr>
        <w:pBdr>
          <w:top w:val="single" w:sz="4" w:space="1" w:color="auto"/>
          <w:bottom w:val="single" w:sz="4" w:space="1" w:color="auto"/>
        </w:pBdr>
        <w:spacing w:after="120" w:line="320" w:lineRule="exact"/>
        <w:jc w:val="both"/>
        <w:rPr>
          <w:rFonts w:cs="FrankRuehl"/>
          <w:szCs w:val="26"/>
          <w:rtl/>
        </w:rPr>
      </w:pPr>
      <w:r w:rsidRPr="00060400">
        <w:rPr>
          <w:rFonts w:cs="FrankRuehl"/>
          <w:szCs w:val="26"/>
          <w:rtl/>
        </w:rPr>
        <w:t>בית המשפט פסק כלהלן:</w:t>
      </w:r>
    </w:p>
    <w:p w14:paraId="33F533C8" w14:textId="77777777" w:rsidR="005324C8" w:rsidRPr="00060400" w:rsidRDefault="005324C8" w:rsidP="00060400">
      <w:pPr>
        <w:pBdr>
          <w:top w:val="single" w:sz="4" w:space="1" w:color="auto"/>
          <w:bottom w:val="single" w:sz="4" w:space="1" w:color="auto"/>
        </w:pBdr>
        <w:tabs>
          <w:tab w:val="left" w:pos="1962"/>
          <w:tab w:val="center" w:pos="4156"/>
        </w:tabs>
        <w:spacing w:after="120" w:line="320" w:lineRule="exact"/>
        <w:jc w:val="both"/>
        <w:rPr>
          <w:rFonts w:cs="FrankRuehl"/>
          <w:szCs w:val="26"/>
          <w:rtl/>
        </w:rPr>
      </w:pPr>
      <w:r w:rsidRPr="00060400">
        <w:rPr>
          <w:rFonts w:cs="FrankRuehl"/>
          <w:szCs w:val="26"/>
          <w:rtl/>
        </w:rPr>
        <w:t xml:space="preserve">במסגרת הענישה, יש ליתן משקל בכורה לאינטרס הציבורי ולהגנה על הציבור, בשל הסכנה הרבה הנשקפת מעבירות אלה לחיי אדם וביטחון הציבור, ואף לצורך בהרתעת עבריינים מלבצע עבירות דומות, בשים לב לפוטנציאל הקטלני הגלום בעצם השימוש בנשק. </w:t>
      </w:r>
      <w:r w:rsidRPr="00060400">
        <w:rPr>
          <w:rFonts w:cs="FrankRuehl"/>
          <w:szCs w:val="26"/>
          <w:rtl/>
        </w:rPr>
        <w:tab/>
      </w:r>
      <w:r w:rsidRPr="00060400">
        <w:rPr>
          <w:rFonts w:cs="FrankRuehl"/>
          <w:szCs w:val="26"/>
          <w:rtl/>
        </w:rPr>
        <w:br/>
        <w:t xml:space="preserve">החזקת נשק או נשיאתו ללא רישיון, גם על ידי מי שאין לחובתו הרשעות קודמות, מחייבת הטלת עונש </w:t>
      </w:r>
      <w:r w:rsidRPr="00060400">
        <w:rPr>
          <w:rFonts w:cs="FrankRuehl"/>
          <w:szCs w:val="26"/>
          <w:rtl/>
        </w:rPr>
        <w:lastRenderedPageBreak/>
        <w:t>מאסר בפועל מאחורי סורג ובריח וזאת, הן בשל הפוטנציאל הטמון בהחזקת נשק שלא כדין והן בשל הצורך בהרתעה</w:t>
      </w:r>
    </w:p>
    <w:p w14:paraId="60D0469D" w14:textId="77777777" w:rsidR="005324C8" w:rsidRPr="00060400" w:rsidRDefault="005324C8" w:rsidP="00060400">
      <w:pPr>
        <w:pBdr>
          <w:top w:val="single" w:sz="4" w:space="1" w:color="auto"/>
          <w:bottom w:val="single" w:sz="4" w:space="1" w:color="auto"/>
        </w:pBdr>
        <w:spacing w:after="120" w:line="320" w:lineRule="exact"/>
        <w:jc w:val="both"/>
        <w:rPr>
          <w:rFonts w:cs="FrankRuehl"/>
          <w:szCs w:val="26"/>
          <w:rtl/>
        </w:rPr>
      </w:pPr>
      <w:r w:rsidRPr="00060400">
        <w:rPr>
          <w:rFonts w:cs="FrankRuehl"/>
          <w:szCs w:val="26"/>
          <w:rtl/>
        </w:rPr>
        <w:t>עצם השגת נשק "בלתי חוקי" ונשיאתו בציבור על-ידי אדם בלתי מורשה מסָכּנים, סיכון ממשי את שלום הציבור ובטחונו ועל כן, ככל שעסקינן בעבירות בנשק, ייסוגו נסיבותיו האישיות של נאשם מפני שיקולים של אינטרס הציבור.</w:t>
      </w:r>
    </w:p>
    <w:p w14:paraId="3131CF66" w14:textId="77777777" w:rsidR="005324C8" w:rsidRPr="00060400" w:rsidRDefault="005324C8" w:rsidP="00060400">
      <w:pPr>
        <w:pStyle w:val="normal-p"/>
        <w:pBdr>
          <w:top w:val="single" w:sz="4" w:space="1" w:color="auto"/>
          <w:bottom w:val="single" w:sz="4" w:space="1" w:color="auto"/>
        </w:pBdr>
        <w:bidi/>
        <w:spacing w:before="0" w:beforeAutospacing="0" w:after="120" w:afterAutospacing="0" w:line="320" w:lineRule="exact"/>
        <w:jc w:val="both"/>
        <w:rPr>
          <w:rFonts w:cs="FrankRuehl"/>
          <w:szCs w:val="26"/>
          <w:rtl/>
        </w:rPr>
      </w:pPr>
      <w:r w:rsidRPr="00060400">
        <w:rPr>
          <w:rFonts w:cs="FrankRuehl"/>
          <w:szCs w:val="26"/>
          <w:rtl/>
        </w:rPr>
        <w:t xml:space="preserve">על אחת כמה וכמה יש להחמיר עם מי שלא רק מחזיק או נושא נשק, אלא אף עושה בו שימוש, בירי מספר כדורים באזור מגורים צפוף. ודוק. רק כדור אחד ירה הנאשם "באויר" ומבין שאר הכדורים שירה, אחד פגע ברכב ובנס ניצלו היושבים בו, לרבות קטין, מפגיעתם. </w:t>
      </w:r>
    </w:p>
    <w:p w14:paraId="5EEE5824" w14:textId="77777777" w:rsidR="005324C8" w:rsidRPr="00060400" w:rsidRDefault="005324C8" w:rsidP="00060400">
      <w:pPr>
        <w:pBdr>
          <w:top w:val="single" w:sz="4" w:space="1" w:color="auto"/>
          <w:bottom w:val="single" w:sz="4" w:space="1" w:color="auto"/>
        </w:pBdr>
        <w:spacing w:after="120" w:line="320" w:lineRule="exact"/>
        <w:jc w:val="both"/>
        <w:rPr>
          <w:rFonts w:cs="FrankRuehl"/>
          <w:szCs w:val="26"/>
          <w:rtl/>
        </w:rPr>
      </w:pPr>
      <w:r w:rsidRPr="00060400">
        <w:rPr>
          <w:rFonts w:cs="FrankRuehl"/>
          <w:szCs w:val="26"/>
          <w:rtl/>
        </w:rPr>
        <w:t>אין מדובר במקרה ספונטאני כי אם במעשה מתוכנן, כאשר הנאשם הגיע אל המקום בו היה המתלונן כשהוא מצויד בנשק חם, ביקש ממנו לצאת מן המקום ואז החל לאיים עליו כי "ישחט את ילדיו" וירה באוויר. גם כשהחל המתלונן להימלט, המשיך הנאשם לירות מספר כדורים נוספים.</w:t>
      </w:r>
    </w:p>
    <w:p w14:paraId="78B83FFB" w14:textId="77777777" w:rsidR="005324C8" w:rsidRPr="00060400" w:rsidRDefault="005324C8" w:rsidP="00060400">
      <w:pPr>
        <w:pBdr>
          <w:top w:val="single" w:sz="4" w:space="1" w:color="auto"/>
          <w:bottom w:val="single" w:sz="4" w:space="1" w:color="auto"/>
        </w:pBdr>
        <w:spacing w:after="120" w:line="320" w:lineRule="exact"/>
        <w:jc w:val="both"/>
        <w:rPr>
          <w:rFonts w:cs="FrankRuehl"/>
          <w:szCs w:val="26"/>
          <w:rtl/>
        </w:rPr>
      </w:pPr>
      <w:r w:rsidRPr="00060400">
        <w:rPr>
          <w:rFonts w:cs="FrankRuehl"/>
          <w:szCs w:val="26"/>
          <w:rtl/>
        </w:rPr>
        <w:t xml:space="preserve">מתחם העונש ההולם בעבירות הנשק בהן הורשע הנאשם, על נסיבות ביצוען, נע בין 15 חודשי מאסר ל – 4 שנות מאסר בפועל. </w:t>
      </w:r>
    </w:p>
    <w:p w14:paraId="4F7B7765" w14:textId="77777777" w:rsidR="005324C8" w:rsidRPr="00060400" w:rsidRDefault="005324C8" w:rsidP="00060400">
      <w:pPr>
        <w:pBdr>
          <w:top w:val="single" w:sz="4" w:space="1" w:color="auto"/>
          <w:bottom w:val="single" w:sz="4" w:space="1" w:color="auto"/>
        </w:pBdr>
        <w:spacing w:after="120" w:line="320" w:lineRule="exact"/>
        <w:jc w:val="both"/>
        <w:rPr>
          <w:rFonts w:cs="FrankRuehl"/>
          <w:szCs w:val="26"/>
          <w:rtl/>
        </w:rPr>
      </w:pPr>
      <w:r w:rsidRPr="00060400">
        <w:rPr>
          <w:rFonts w:cs="FrankRuehl"/>
          <w:szCs w:val="26"/>
          <w:rtl/>
        </w:rPr>
        <w:t xml:space="preserve">לצורך קביעת העונש בתוך מסגרת מתחם העונש ההולם, יש להתחשב לחומרא, בהתרשמות שרות המבחן בדבר הסיכון העתידי הנשקף מהנאשם, שהינו ברמה "בינונית-גבוהה". </w:t>
      </w:r>
    </w:p>
    <w:p w14:paraId="4EA0373B" w14:textId="77777777" w:rsidR="005324C8" w:rsidRPr="00536913" w:rsidRDefault="005324C8">
      <w:pPr>
        <w:rPr>
          <w:rFonts w:hint="cs"/>
          <w:rtl/>
        </w:rPr>
      </w:pPr>
      <w:bookmarkStart w:id="9" w:name="ABSTRACT_END"/>
      <w:bookmarkEnd w:id="9"/>
    </w:p>
    <w:p w14:paraId="7373AE98" w14:textId="77777777" w:rsidR="00536913" w:rsidRPr="00536913" w:rsidRDefault="00536913" w:rsidP="00536913">
      <w:pPr>
        <w:jc w:val="center"/>
        <w:rPr>
          <w:b/>
          <w:bCs/>
          <w:sz w:val="32"/>
          <w:szCs w:val="32"/>
          <w:u w:val="single"/>
          <w:rtl/>
        </w:rPr>
      </w:pPr>
      <w:bookmarkStart w:id="10" w:name="PsakDin"/>
      <w:bookmarkEnd w:id="0"/>
      <w:r w:rsidRPr="00536913">
        <w:rPr>
          <w:b/>
          <w:bCs/>
          <w:sz w:val="32"/>
          <w:szCs w:val="32"/>
          <w:u w:val="single"/>
          <w:rtl/>
        </w:rPr>
        <w:t>גזר דין</w:t>
      </w:r>
    </w:p>
    <w:bookmarkEnd w:id="10"/>
    <w:p w14:paraId="37FDE718" w14:textId="77777777" w:rsidR="00FC6325" w:rsidRPr="00B05847" w:rsidRDefault="00FC6325">
      <w:pPr>
        <w:rPr>
          <w:rtl/>
        </w:rPr>
      </w:pPr>
    </w:p>
    <w:p w14:paraId="22975086" w14:textId="77777777" w:rsidR="00FC6325" w:rsidRDefault="00FC6325">
      <w:pPr>
        <w:rPr>
          <w:rtl/>
        </w:rPr>
      </w:pPr>
    </w:p>
    <w:p w14:paraId="21F8DF20" w14:textId="77777777" w:rsidR="00FC6325" w:rsidRPr="002A483F" w:rsidRDefault="00FC6325" w:rsidP="00E763A4">
      <w:pPr>
        <w:spacing w:line="360" w:lineRule="auto"/>
        <w:jc w:val="both"/>
        <w:rPr>
          <w:b/>
          <w:bCs/>
          <w:sz w:val="26"/>
          <w:szCs w:val="26"/>
          <w:u w:val="single"/>
          <w:rtl/>
        </w:rPr>
      </w:pPr>
      <w:r w:rsidRPr="002A483F">
        <w:rPr>
          <w:b/>
          <w:bCs/>
          <w:sz w:val="26"/>
          <w:szCs w:val="26"/>
          <w:u w:val="single"/>
          <w:rtl/>
        </w:rPr>
        <w:t>כללי</w:t>
      </w:r>
    </w:p>
    <w:p w14:paraId="63949C2D" w14:textId="77777777" w:rsidR="00FC6325" w:rsidRPr="002A483F" w:rsidRDefault="00FC6325" w:rsidP="00E763A4">
      <w:pPr>
        <w:spacing w:line="360" w:lineRule="auto"/>
        <w:jc w:val="both"/>
        <w:rPr>
          <w:sz w:val="26"/>
          <w:szCs w:val="26"/>
          <w:rtl/>
        </w:rPr>
      </w:pPr>
      <w:r w:rsidRPr="002A483F">
        <w:rPr>
          <w:sz w:val="26"/>
          <w:szCs w:val="26"/>
          <w:rtl/>
        </w:rPr>
        <w:t>ביום 5.12.12 הגיעו הצדדים להסדר טיעון</w:t>
      </w:r>
      <w:r>
        <w:rPr>
          <w:sz w:val="26"/>
          <w:szCs w:val="26"/>
          <w:rtl/>
        </w:rPr>
        <w:t>,</w:t>
      </w:r>
      <w:r w:rsidRPr="002A483F">
        <w:rPr>
          <w:sz w:val="26"/>
          <w:szCs w:val="26"/>
          <w:rtl/>
        </w:rPr>
        <w:t xml:space="preserve"> במסגרתו הוגש כתב אישום מתוקן (ט/1) והנאשם הורשע בביצוע העבירות שיוחסו לו, כ</w:t>
      </w:r>
      <w:r>
        <w:rPr>
          <w:sz w:val="26"/>
          <w:szCs w:val="26"/>
          <w:rtl/>
        </w:rPr>
        <w:t>דל</w:t>
      </w:r>
      <w:r w:rsidRPr="002A483F">
        <w:rPr>
          <w:sz w:val="26"/>
          <w:szCs w:val="26"/>
          <w:rtl/>
        </w:rPr>
        <w:t xml:space="preserve">קמן: </w:t>
      </w:r>
      <w:r w:rsidRPr="002A483F">
        <w:rPr>
          <w:b/>
          <w:bCs/>
          <w:sz w:val="26"/>
          <w:szCs w:val="26"/>
          <w:rtl/>
        </w:rPr>
        <w:t>נשיאת נשק ותחמושת</w:t>
      </w:r>
      <w:r w:rsidRPr="002A483F">
        <w:rPr>
          <w:sz w:val="26"/>
          <w:szCs w:val="26"/>
          <w:rtl/>
        </w:rPr>
        <w:t xml:space="preserve"> – עבירה לפי סעיפים </w:t>
      </w:r>
      <w:hyperlink r:id="rId15" w:history="1">
        <w:r w:rsidR="00D20D85" w:rsidRPr="00D20D85">
          <w:rPr>
            <w:color w:val="0000FF"/>
            <w:sz w:val="26"/>
            <w:szCs w:val="26"/>
            <w:u w:val="single"/>
            <w:rtl/>
          </w:rPr>
          <w:t>144 (ב)</w:t>
        </w:r>
      </w:hyperlink>
      <w:r w:rsidRPr="002A483F">
        <w:rPr>
          <w:sz w:val="26"/>
          <w:szCs w:val="26"/>
          <w:rtl/>
        </w:rPr>
        <w:t xml:space="preserve"> רישא +סיפא ל</w:t>
      </w:r>
      <w:hyperlink r:id="rId16" w:history="1">
        <w:r w:rsidR="00AA2AF7" w:rsidRPr="00AA2AF7">
          <w:rPr>
            <w:rStyle w:val="Hyperlink"/>
            <w:sz w:val="26"/>
            <w:szCs w:val="26"/>
            <w:rtl/>
          </w:rPr>
          <w:t>חוק העונשין</w:t>
        </w:r>
      </w:hyperlink>
      <w:r w:rsidRPr="002A483F">
        <w:rPr>
          <w:sz w:val="26"/>
          <w:szCs w:val="26"/>
          <w:rtl/>
        </w:rPr>
        <w:t>, התשל"ז-1977</w:t>
      </w:r>
      <w:r>
        <w:rPr>
          <w:sz w:val="26"/>
          <w:szCs w:val="26"/>
          <w:rtl/>
        </w:rPr>
        <w:t xml:space="preserve"> (להלן: "חוק העונשין")</w:t>
      </w:r>
      <w:r w:rsidRPr="002A483F">
        <w:rPr>
          <w:sz w:val="26"/>
          <w:szCs w:val="26"/>
          <w:rtl/>
        </w:rPr>
        <w:t xml:space="preserve">, </w:t>
      </w:r>
      <w:r w:rsidRPr="002A483F">
        <w:rPr>
          <w:b/>
          <w:bCs/>
          <w:sz w:val="26"/>
          <w:szCs w:val="26"/>
          <w:rtl/>
        </w:rPr>
        <w:t>איומים</w:t>
      </w:r>
      <w:r w:rsidRPr="002A483F">
        <w:rPr>
          <w:sz w:val="26"/>
          <w:szCs w:val="26"/>
          <w:rtl/>
        </w:rPr>
        <w:t xml:space="preserve"> – עבירה לפי </w:t>
      </w:r>
      <w:hyperlink r:id="rId17" w:history="1">
        <w:r w:rsidR="00D20D85" w:rsidRPr="00D20D85">
          <w:rPr>
            <w:color w:val="0000FF"/>
            <w:sz w:val="26"/>
            <w:szCs w:val="26"/>
            <w:u w:val="single"/>
            <w:rtl/>
          </w:rPr>
          <w:t>סעיף 192</w:t>
        </w:r>
      </w:hyperlink>
      <w:r w:rsidRPr="002A483F">
        <w:rPr>
          <w:sz w:val="26"/>
          <w:szCs w:val="26"/>
          <w:rtl/>
        </w:rPr>
        <w:t xml:space="preserve"> לחוק העונשין </w:t>
      </w:r>
      <w:r w:rsidRPr="002A483F">
        <w:rPr>
          <w:b/>
          <w:bCs/>
          <w:sz w:val="26"/>
          <w:szCs w:val="26"/>
          <w:rtl/>
        </w:rPr>
        <w:t>וחבלה במזיד לרכב</w:t>
      </w:r>
      <w:r w:rsidRPr="002A483F">
        <w:rPr>
          <w:sz w:val="26"/>
          <w:szCs w:val="26"/>
          <w:rtl/>
        </w:rPr>
        <w:t xml:space="preserve"> – עבירה לפי </w:t>
      </w:r>
      <w:hyperlink r:id="rId18" w:history="1">
        <w:r w:rsidR="00D20D85" w:rsidRPr="00D20D85">
          <w:rPr>
            <w:color w:val="0000FF"/>
            <w:sz w:val="26"/>
            <w:szCs w:val="26"/>
            <w:u w:val="single"/>
            <w:rtl/>
          </w:rPr>
          <w:t>סעיף 413ה</w:t>
        </w:r>
      </w:hyperlink>
      <w:r w:rsidRPr="002A483F">
        <w:rPr>
          <w:sz w:val="26"/>
          <w:szCs w:val="26"/>
          <w:rtl/>
        </w:rPr>
        <w:t xml:space="preserve"> לחוק העונשין. </w:t>
      </w:r>
    </w:p>
    <w:p w14:paraId="5738441C" w14:textId="77777777" w:rsidR="00FC6325" w:rsidRPr="002A483F" w:rsidRDefault="00FC6325" w:rsidP="00E763A4">
      <w:pPr>
        <w:spacing w:line="360" w:lineRule="auto"/>
        <w:jc w:val="both"/>
        <w:rPr>
          <w:sz w:val="26"/>
          <w:szCs w:val="26"/>
          <w:rtl/>
        </w:rPr>
      </w:pPr>
    </w:p>
    <w:p w14:paraId="2499D73E" w14:textId="77777777" w:rsidR="00FC6325" w:rsidRPr="002A483F" w:rsidRDefault="00FC6325" w:rsidP="00E763A4">
      <w:pPr>
        <w:pStyle w:val="normal-p"/>
        <w:bidi/>
        <w:spacing w:line="360" w:lineRule="auto"/>
        <w:jc w:val="both"/>
        <w:rPr>
          <w:rFonts w:cs="David"/>
          <w:sz w:val="26"/>
          <w:szCs w:val="26"/>
          <w:rtl/>
        </w:rPr>
      </w:pPr>
      <w:r w:rsidRPr="002A483F">
        <w:rPr>
          <w:rFonts w:cs="David"/>
          <w:sz w:val="26"/>
          <w:szCs w:val="26"/>
          <w:rtl/>
        </w:rPr>
        <w:t>הסדר הטיעון לא כלל הסכמה לעניין העונש.</w:t>
      </w:r>
    </w:p>
    <w:p w14:paraId="3CE31CAC"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על פי עובדות כתב האישום המתוקן, ביום 22.7.12 סמוך לשעה 19.00, בכפר קרע, נשא הנאשם בלא רשות על פי דין אקדח ובו מחסנית שהכילה כדורים (להלן: "הנשק").</w:t>
      </w:r>
    </w:p>
    <w:p w14:paraId="6FCFC055" w14:textId="77777777" w:rsidR="00FC6325" w:rsidRPr="002A483F" w:rsidRDefault="00FC6325" w:rsidP="00E763A4">
      <w:pPr>
        <w:tabs>
          <w:tab w:val="left" w:pos="1962"/>
          <w:tab w:val="center" w:pos="4156"/>
        </w:tabs>
        <w:spacing w:line="360" w:lineRule="auto"/>
        <w:jc w:val="both"/>
        <w:rPr>
          <w:sz w:val="26"/>
          <w:szCs w:val="26"/>
          <w:rtl/>
        </w:rPr>
      </w:pPr>
    </w:p>
    <w:p w14:paraId="10127285" w14:textId="77777777" w:rsidR="00FC6325" w:rsidRDefault="00FC6325" w:rsidP="00E763A4">
      <w:pPr>
        <w:tabs>
          <w:tab w:val="left" w:pos="1962"/>
          <w:tab w:val="center" w:pos="4156"/>
        </w:tabs>
        <w:spacing w:line="360" w:lineRule="auto"/>
        <w:jc w:val="both"/>
        <w:rPr>
          <w:sz w:val="26"/>
          <w:szCs w:val="26"/>
          <w:rtl/>
        </w:rPr>
      </w:pPr>
      <w:r w:rsidRPr="002A483F">
        <w:rPr>
          <w:sz w:val="26"/>
          <w:szCs w:val="26"/>
          <w:rtl/>
        </w:rPr>
        <w:t xml:space="preserve">בעוד הנאשם נושא את הנשק, קרא לאברהים גהגאה (להלן: "המתלונן") לצאת מהקיוסק של משפחת זייד בכפר קרע, והחל לקללו. </w:t>
      </w:r>
    </w:p>
    <w:p w14:paraId="2EC012B0" w14:textId="77777777" w:rsidR="00FC6325" w:rsidRPr="002A483F" w:rsidRDefault="00FC6325" w:rsidP="00336AE5">
      <w:pPr>
        <w:tabs>
          <w:tab w:val="left" w:pos="1962"/>
          <w:tab w:val="center" w:pos="4156"/>
        </w:tabs>
        <w:jc w:val="both"/>
        <w:rPr>
          <w:sz w:val="26"/>
          <w:szCs w:val="26"/>
          <w:rtl/>
        </w:rPr>
      </w:pPr>
    </w:p>
    <w:p w14:paraId="1999B086" w14:textId="77777777" w:rsidR="00FC6325" w:rsidRDefault="00FC6325" w:rsidP="00E763A4">
      <w:pPr>
        <w:tabs>
          <w:tab w:val="left" w:pos="1962"/>
          <w:tab w:val="center" w:pos="4156"/>
        </w:tabs>
        <w:spacing w:line="360" w:lineRule="auto"/>
        <w:jc w:val="both"/>
        <w:rPr>
          <w:sz w:val="26"/>
          <w:szCs w:val="26"/>
          <w:rtl/>
        </w:rPr>
      </w:pPr>
      <w:r w:rsidRPr="002A483F">
        <w:rPr>
          <w:sz w:val="26"/>
          <w:szCs w:val="26"/>
          <w:rtl/>
        </w:rPr>
        <w:lastRenderedPageBreak/>
        <w:t xml:space="preserve">משיצא המתלונן מהקיוסק, איים </w:t>
      </w:r>
      <w:r>
        <w:rPr>
          <w:sz w:val="26"/>
          <w:szCs w:val="26"/>
          <w:rtl/>
        </w:rPr>
        <w:t xml:space="preserve">עליו הנאשם כי ישחט את ילדיו וירה כדור אחד באוויר. </w:t>
      </w:r>
    </w:p>
    <w:p w14:paraId="3815BC34" w14:textId="77777777" w:rsidR="00FC6325" w:rsidRDefault="00FC6325" w:rsidP="00336AE5">
      <w:pPr>
        <w:tabs>
          <w:tab w:val="left" w:pos="1962"/>
          <w:tab w:val="center" w:pos="4156"/>
        </w:tabs>
        <w:jc w:val="both"/>
        <w:rPr>
          <w:sz w:val="26"/>
          <w:szCs w:val="26"/>
          <w:rtl/>
        </w:rPr>
      </w:pPr>
    </w:p>
    <w:p w14:paraId="34E1E138" w14:textId="77777777" w:rsidR="00FC6325" w:rsidRPr="002A483F" w:rsidRDefault="00FC6325" w:rsidP="00E763A4">
      <w:pPr>
        <w:tabs>
          <w:tab w:val="left" w:pos="1962"/>
          <w:tab w:val="center" w:pos="4156"/>
        </w:tabs>
        <w:spacing w:line="360" w:lineRule="auto"/>
        <w:jc w:val="both"/>
        <w:rPr>
          <w:sz w:val="26"/>
          <w:szCs w:val="26"/>
          <w:rtl/>
        </w:rPr>
      </w:pPr>
      <w:r>
        <w:rPr>
          <w:sz w:val="26"/>
          <w:szCs w:val="26"/>
          <w:rtl/>
        </w:rPr>
        <w:t xml:space="preserve">המתלונן החל לברוח והנאשם רדף אחריו בתוך שכונת מגורים, </w:t>
      </w:r>
      <w:r w:rsidRPr="002A483F">
        <w:rPr>
          <w:sz w:val="26"/>
          <w:szCs w:val="26"/>
          <w:rtl/>
        </w:rPr>
        <w:t>תוך שהוא מוסיף ויורה מספר כדורים</w:t>
      </w:r>
      <w:r>
        <w:rPr>
          <w:sz w:val="26"/>
          <w:szCs w:val="26"/>
          <w:rtl/>
        </w:rPr>
        <w:t>,</w:t>
      </w:r>
      <w:r w:rsidRPr="002A483F">
        <w:rPr>
          <w:sz w:val="26"/>
          <w:szCs w:val="26"/>
          <w:rtl/>
        </w:rPr>
        <w:t xml:space="preserve"> בכוונה להפחיד</w:t>
      </w:r>
      <w:r>
        <w:rPr>
          <w:sz w:val="26"/>
          <w:szCs w:val="26"/>
          <w:rtl/>
        </w:rPr>
        <w:t xml:space="preserve">ו או להקניטו, </w:t>
      </w:r>
      <w:r w:rsidRPr="002A483F">
        <w:rPr>
          <w:sz w:val="26"/>
          <w:szCs w:val="26"/>
          <w:rtl/>
        </w:rPr>
        <w:t>עד שהגיע המתלונן אל ביתו.</w:t>
      </w:r>
    </w:p>
    <w:p w14:paraId="588A0260" w14:textId="77777777" w:rsidR="00FC6325" w:rsidRPr="002A483F" w:rsidRDefault="00FC6325" w:rsidP="00E763A4">
      <w:pPr>
        <w:tabs>
          <w:tab w:val="left" w:pos="1962"/>
          <w:tab w:val="center" w:pos="4156"/>
        </w:tabs>
        <w:spacing w:line="360" w:lineRule="auto"/>
        <w:jc w:val="both"/>
        <w:rPr>
          <w:sz w:val="26"/>
          <w:szCs w:val="26"/>
          <w:rtl/>
        </w:rPr>
      </w:pPr>
    </w:p>
    <w:p w14:paraId="4189FF55"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כתוצאה מהירי נפגע רכב "האמר", מ.ר. 8779961 (להלן: "הרכב"), אשר עמד בסמוך לנתיב בריחתו של המתלונן, שמשתו האחורית התנפצה, וזאת כאשר ברכב שהו שני אנשים ובהם קטין בן 12.</w:t>
      </w:r>
    </w:p>
    <w:p w14:paraId="66152D47" w14:textId="77777777" w:rsidR="00FC6325" w:rsidRPr="002A483F" w:rsidRDefault="00FC6325" w:rsidP="00E763A4">
      <w:pPr>
        <w:tabs>
          <w:tab w:val="left" w:pos="1962"/>
          <w:tab w:val="center" w:pos="4156"/>
        </w:tabs>
        <w:spacing w:line="360" w:lineRule="auto"/>
        <w:jc w:val="both"/>
        <w:rPr>
          <w:sz w:val="26"/>
          <w:szCs w:val="26"/>
          <w:rtl/>
        </w:rPr>
      </w:pPr>
    </w:p>
    <w:p w14:paraId="5576EEFC"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האקדח שהחזיק הנאשם הינו כלי נשק שסוגל לירות כדור או קל</w:t>
      </w:r>
      <w:r>
        <w:rPr>
          <w:sz w:val="26"/>
          <w:szCs w:val="26"/>
          <w:rtl/>
        </w:rPr>
        <w:t>י</w:t>
      </w:r>
      <w:r w:rsidRPr="002A483F">
        <w:rPr>
          <w:sz w:val="26"/>
          <w:szCs w:val="26"/>
          <w:rtl/>
        </w:rPr>
        <w:t>ע שבכוחו להמית אדם. כדורי האקדח והמחסנית שהחזיק הנאשם הינם תחמושת ואב</w:t>
      </w:r>
      <w:r>
        <w:rPr>
          <w:sz w:val="26"/>
          <w:szCs w:val="26"/>
          <w:rtl/>
        </w:rPr>
        <w:t>י</w:t>
      </w:r>
      <w:r w:rsidRPr="002A483F">
        <w:rPr>
          <w:sz w:val="26"/>
          <w:szCs w:val="26"/>
          <w:rtl/>
        </w:rPr>
        <w:t xml:space="preserve">זר של כלי נשק שבכוחו להמית אדם. </w:t>
      </w:r>
    </w:p>
    <w:p w14:paraId="4EBB0C7E" w14:textId="77777777" w:rsidR="00FC6325" w:rsidRPr="002A483F" w:rsidRDefault="00FC6325" w:rsidP="00E763A4">
      <w:pPr>
        <w:tabs>
          <w:tab w:val="left" w:pos="1962"/>
          <w:tab w:val="center" w:pos="4156"/>
        </w:tabs>
        <w:spacing w:line="360" w:lineRule="auto"/>
        <w:jc w:val="both"/>
        <w:rPr>
          <w:sz w:val="26"/>
          <w:szCs w:val="26"/>
          <w:rtl/>
        </w:rPr>
      </w:pPr>
    </w:p>
    <w:p w14:paraId="78DB1A88" w14:textId="77777777" w:rsidR="00FC6325" w:rsidRPr="002A483F" w:rsidRDefault="00FC6325" w:rsidP="00E763A4">
      <w:pPr>
        <w:tabs>
          <w:tab w:val="left" w:pos="1962"/>
          <w:tab w:val="center" w:pos="4156"/>
        </w:tabs>
        <w:spacing w:line="360" w:lineRule="auto"/>
        <w:jc w:val="both"/>
        <w:rPr>
          <w:sz w:val="26"/>
          <w:szCs w:val="26"/>
          <w:rtl/>
        </w:rPr>
      </w:pPr>
      <w:r>
        <w:rPr>
          <w:sz w:val="26"/>
          <w:szCs w:val="26"/>
          <w:rtl/>
        </w:rPr>
        <w:t xml:space="preserve">לסיכום נטען, כי </w:t>
      </w:r>
      <w:r w:rsidRPr="002A483F">
        <w:rPr>
          <w:sz w:val="26"/>
          <w:szCs w:val="26"/>
          <w:rtl/>
        </w:rPr>
        <w:t>במעשיו נשא הנאשם נשק ותחמושת</w:t>
      </w:r>
      <w:r>
        <w:rPr>
          <w:sz w:val="26"/>
          <w:szCs w:val="26"/>
          <w:rtl/>
        </w:rPr>
        <w:t>,</w:t>
      </w:r>
      <w:r w:rsidRPr="002A483F">
        <w:rPr>
          <w:sz w:val="26"/>
          <w:szCs w:val="26"/>
          <w:rtl/>
        </w:rPr>
        <w:t xml:space="preserve"> בלא רשות על פי דין לנשיאתם, איים על המתלונן</w:t>
      </w:r>
      <w:r>
        <w:rPr>
          <w:sz w:val="26"/>
          <w:szCs w:val="26"/>
          <w:rtl/>
        </w:rPr>
        <w:t xml:space="preserve"> בפגיעה בגופו במילים ובירי, </w:t>
      </w:r>
      <w:r w:rsidRPr="002A483F">
        <w:rPr>
          <w:sz w:val="26"/>
          <w:szCs w:val="26"/>
          <w:rtl/>
        </w:rPr>
        <w:t>בכוונה להפחידו או להקניטו, וכן פגע במזיד ברכב</w:t>
      </w:r>
      <w:r>
        <w:rPr>
          <w:sz w:val="26"/>
          <w:szCs w:val="26"/>
          <w:rtl/>
        </w:rPr>
        <w:t>.</w:t>
      </w:r>
    </w:p>
    <w:p w14:paraId="0895CEAB" w14:textId="77777777" w:rsidR="00FC6325" w:rsidRPr="002A483F" w:rsidRDefault="00FC6325" w:rsidP="00E763A4">
      <w:pPr>
        <w:tabs>
          <w:tab w:val="left" w:pos="1962"/>
          <w:tab w:val="center" w:pos="4156"/>
        </w:tabs>
        <w:spacing w:line="360" w:lineRule="auto"/>
        <w:jc w:val="both"/>
        <w:rPr>
          <w:sz w:val="26"/>
          <w:szCs w:val="26"/>
          <w:rtl/>
        </w:rPr>
      </w:pPr>
    </w:p>
    <w:p w14:paraId="762621F3" w14:textId="77777777" w:rsidR="00FC6325" w:rsidRPr="002A483F" w:rsidRDefault="00FC6325" w:rsidP="00E763A4">
      <w:pPr>
        <w:tabs>
          <w:tab w:val="left" w:pos="1962"/>
          <w:tab w:val="center" w:pos="4156"/>
        </w:tabs>
        <w:spacing w:line="360" w:lineRule="auto"/>
        <w:jc w:val="both"/>
        <w:rPr>
          <w:b/>
          <w:bCs/>
          <w:sz w:val="26"/>
          <w:szCs w:val="26"/>
          <w:u w:val="single"/>
          <w:rtl/>
        </w:rPr>
      </w:pPr>
      <w:r w:rsidRPr="002A483F">
        <w:rPr>
          <w:b/>
          <w:bCs/>
          <w:sz w:val="26"/>
          <w:szCs w:val="26"/>
          <w:u w:val="single"/>
          <w:rtl/>
        </w:rPr>
        <w:t>תסקיר שרות המבחן</w:t>
      </w:r>
    </w:p>
    <w:p w14:paraId="2FF17172" w14:textId="77777777" w:rsidR="00FC6325" w:rsidRPr="002A483F" w:rsidRDefault="00FC6325" w:rsidP="00336AE5">
      <w:pPr>
        <w:tabs>
          <w:tab w:val="left" w:pos="1962"/>
          <w:tab w:val="center" w:pos="4156"/>
        </w:tabs>
        <w:spacing w:line="360" w:lineRule="auto"/>
        <w:jc w:val="both"/>
        <w:rPr>
          <w:sz w:val="26"/>
          <w:szCs w:val="26"/>
          <w:rtl/>
        </w:rPr>
      </w:pPr>
      <w:r w:rsidRPr="002A483F">
        <w:rPr>
          <w:sz w:val="26"/>
          <w:szCs w:val="26"/>
          <w:rtl/>
        </w:rPr>
        <w:t xml:space="preserve">מהתסקיר עולה כי הנאשם בן 31, רווק, עומד לפני אירוסים. מזה כשנתיים יש ברשותו מוסך וקיוסק בסמוך לבית מגוריו. עם שחרורו ממעצר, לאחר תקופה של כחודש ימים, היה נתון במעצר </w:t>
      </w:r>
      <w:r>
        <w:rPr>
          <w:sz w:val="26"/>
          <w:szCs w:val="26"/>
          <w:rtl/>
        </w:rPr>
        <w:t xml:space="preserve">בית </w:t>
      </w:r>
      <w:r w:rsidRPr="002A483F">
        <w:rPr>
          <w:sz w:val="26"/>
          <w:szCs w:val="26"/>
          <w:rtl/>
        </w:rPr>
        <w:t xml:space="preserve">בהרחקה מביתו </w:t>
      </w:r>
      <w:r>
        <w:rPr>
          <w:sz w:val="26"/>
          <w:szCs w:val="26"/>
          <w:rtl/>
        </w:rPr>
        <w:t>(</w:t>
      </w:r>
      <w:r w:rsidRPr="002A483F">
        <w:rPr>
          <w:sz w:val="26"/>
          <w:szCs w:val="26"/>
          <w:rtl/>
        </w:rPr>
        <w:t>כ -4 חודשים</w:t>
      </w:r>
      <w:r>
        <w:rPr>
          <w:sz w:val="26"/>
          <w:szCs w:val="26"/>
          <w:rtl/>
        </w:rPr>
        <w:t>)</w:t>
      </w:r>
      <w:r w:rsidRPr="002A483F">
        <w:rPr>
          <w:sz w:val="26"/>
          <w:szCs w:val="26"/>
          <w:rtl/>
        </w:rPr>
        <w:t xml:space="preserve"> וכעת הוא שוהה בתנאים מגבילים בביתו והותר לו להמשיך לעבוד. </w:t>
      </w:r>
    </w:p>
    <w:p w14:paraId="5C99FA27" w14:textId="77777777" w:rsidR="00FC6325" w:rsidRPr="002A483F" w:rsidRDefault="00FC6325" w:rsidP="00E763A4">
      <w:pPr>
        <w:tabs>
          <w:tab w:val="left" w:pos="1962"/>
          <w:tab w:val="center" w:pos="4156"/>
        </w:tabs>
        <w:spacing w:line="360" w:lineRule="auto"/>
        <w:jc w:val="both"/>
        <w:rPr>
          <w:sz w:val="26"/>
          <w:szCs w:val="26"/>
          <w:rtl/>
        </w:rPr>
      </w:pPr>
    </w:p>
    <w:p w14:paraId="1A1E9EE9"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לדברי</w:t>
      </w:r>
      <w:r>
        <w:rPr>
          <w:sz w:val="26"/>
          <w:szCs w:val="26"/>
          <w:rtl/>
        </w:rPr>
        <w:t xml:space="preserve"> הנאשם</w:t>
      </w:r>
      <w:r w:rsidRPr="002A483F">
        <w:rPr>
          <w:sz w:val="26"/>
          <w:szCs w:val="26"/>
          <w:rtl/>
        </w:rPr>
        <w:t>, למד במשך 13 שנים במגמת מכונאות בבית הספר בערערה, בהמשך חייו השלים קורס מכונאות מתקדם ב"מכללת עתיד" ועבד במספר מוסכים עד שפתח מוסך משלו.</w:t>
      </w:r>
    </w:p>
    <w:p w14:paraId="23C303F9" w14:textId="77777777" w:rsidR="00FC6325" w:rsidRPr="002A483F" w:rsidRDefault="00FC6325" w:rsidP="00E763A4">
      <w:pPr>
        <w:tabs>
          <w:tab w:val="left" w:pos="1962"/>
          <w:tab w:val="center" w:pos="4156"/>
        </w:tabs>
        <w:spacing w:line="360" w:lineRule="auto"/>
        <w:jc w:val="both"/>
        <w:rPr>
          <w:sz w:val="26"/>
          <w:szCs w:val="26"/>
          <w:rtl/>
        </w:rPr>
      </w:pPr>
    </w:p>
    <w:p w14:paraId="0B7C2B32" w14:textId="77777777" w:rsidR="00FC6325" w:rsidRDefault="00FC6325" w:rsidP="00E763A4">
      <w:pPr>
        <w:tabs>
          <w:tab w:val="left" w:pos="1962"/>
          <w:tab w:val="center" w:pos="4156"/>
        </w:tabs>
        <w:spacing w:line="360" w:lineRule="auto"/>
        <w:jc w:val="both"/>
        <w:rPr>
          <w:sz w:val="26"/>
          <w:szCs w:val="26"/>
          <w:rtl/>
        </w:rPr>
      </w:pPr>
      <w:r w:rsidRPr="002A483F">
        <w:rPr>
          <w:sz w:val="26"/>
          <w:szCs w:val="26"/>
          <w:rtl/>
        </w:rPr>
        <w:t>הנאשם הוא הבן הבכור מבין 7 אחים. הוריו בשנות ה-60 לחייהם, אביו עובד ב</w:t>
      </w:r>
      <w:r>
        <w:rPr>
          <w:sz w:val="26"/>
          <w:szCs w:val="26"/>
          <w:rtl/>
        </w:rPr>
        <w:t>תחום ה</w:t>
      </w:r>
      <w:r w:rsidRPr="002A483F">
        <w:rPr>
          <w:sz w:val="26"/>
          <w:szCs w:val="26"/>
          <w:rtl/>
        </w:rPr>
        <w:t>בניה ובמוסך של הנאשם, ואמו עקרת בית. תיאר משפחה מלוכדת, קרובה ומעורבת.</w:t>
      </w:r>
    </w:p>
    <w:p w14:paraId="3591D86F" w14:textId="77777777" w:rsidR="00FC6325" w:rsidRPr="002A483F" w:rsidRDefault="00FC6325" w:rsidP="00E763A4">
      <w:pPr>
        <w:tabs>
          <w:tab w:val="left" w:pos="1962"/>
          <w:tab w:val="center" w:pos="4156"/>
        </w:tabs>
        <w:spacing w:line="360" w:lineRule="auto"/>
        <w:jc w:val="both"/>
        <w:rPr>
          <w:sz w:val="26"/>
          <w:szCs w:val="26"/>
          <w:rtl/>
        </w:rPr>
      </w:pPr>
    </w:p>
    <w:p w14:paraId="3728E7CD"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הנאשם שלל שימוש בסמים אך ציין כי הוא נוהג לצרוך אלכוהול בסופי השבוע. ללא עבר פלילי. </w:t>
      </w:r>
    </w:p>
    <w:p w14:paraId="37517645" w14:textId="77777777" w:rsidR="00FC6325" w:rsidRPr="002A483F" w:rsidRDefault="00FC6325" w:rsidP="00E763A4">
      <w:pPr>
        <w:tabs>
          <w:tab w:val="left" w:pos="1962"/>
          <w:tab w:val="center" w:pos="4156"/>
        </w:tabs>
        <w:spacing w:line="360" w:lineRule="auto"/>
        <w:jc w:val="both"/>
        <w:rPr>
          <w:sz w:val="26"/>
          <w:szCs w:val="26"/>
          <w:rtl/>
        </w:rPr>
      </w:pPr>
    </w:p>
    <w:p w14:paraId="4B3303E4"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הנאשם</w:t>
      </w:r>
      <w:r>
        <w:rPr>
          <w:sz w:val="26"/>
          <w:szCs w:val="26"/>
          <w:rtl/>
        </w:rPr>
        <w:t xml:space="preserve"> טען</w:t>
      </w:r>
      <w:r w:rsidRPr="002A483F">
        <w:rPr>
          <w:sz w:val="26"/>
          <w:szCs w:val="26"/>
          <w:rtl/>
        </w:rPr>
        <w:t xml:space="preserve"> כי ירה בנשק, אך לא התכוון לפגוע במתלונן באופן ממשי אלא רק להרתיעו ולמנוע הסלמה. הוא תיאר את התנהגותו בעבירה כפועל יוצא של ריב עם המתלונן, אשר לפי תפיסתו פגע בכבודו. לטענתו, לא היה מודע לכך שפגע ברכב.</w:t>
      </w:r>
    </w:p>
    <w:p w14:paraId="7F291EF6" w14:textId="77777777" w:rsidR="00FC6325" w:rsidRPr="002A483F" w:rsidRDefault="00FC6325" w:rsidP="00E763A4">
      <w:pPr>
        <w:tabs>
          <w:tab w:val="left" w:pos="1962"/>
          <w:tab w:val="center" w:pos="4156"/>
        </w:tabs>
        <w:spacing w:line="360" w:lineRule="auto"/>
        <w:jc w:val="both"/>
        <w:rPr>
          <w:sz w:val="26"/>
          <w:szCs w:val="26"/>
          <w:rtl/>
        </w:rPr>
      </w:pPr>
    </w:p>
    <w:p w14:paraId="6795BB1A"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הנאשם הביע חרטה על מעשיו וביטא הבנה לחומרתם. לדבריו, פעל מתוך כעס </w:t>
      </w:r>
      <w:r>
        <w:rPr>
          <w:sz w:val="26"/>
          <w:szCs w:val="26"/>
          <w:rtl/>
        </w:rPr>
        <w:t>מבלי ש</w:t>
      </w:r>
      <w:r w:rsidRPr="002A483F">
        <w:rPr>
          <w:sz w:val="26"/>
          <w:szCs w:val="26"/>
          <w:rtl/>
        </w:rPr>
        <w:t>הפעיל שיקול דעת רציונ</w:t>
      </w:r>
      <w:r>
        <w:rPr>
          <w:sz w:val="26"/>
          <w:szCs w:val="26"/>
          <w:rtl/>
        </w:rPr>
        <w:t>א</w:t>
      </w:r>
      <w:r w:rsidRPr="002A483F">
        <w:rPr>
          <w:sz w:val="26"/>
          <w:szCs w:val="26"/>
          <w:rtl/>
        </w:rPr>
        <w:t>לי וציין כי היה עליו לערב גורמי חוק ולא לפעול בעצמו.</w:t>
      </w:r>
    </w:p>
    <w:p w14:paraId="7637B879" w14:textId="77777777" w:rsidR="00FC6325" w:rsidRPr="002A483F" w:rsidRDefault="00FC6325" w:rsidP="00E763A4">
      <w:pPr>
        <w:tabs>
          <w:tab w:val="left" w:pos="1962"/>
          <w:tab w:val="center" w:pos="4156"/>
        </w:tabs>
        <w:spacing w:line="360" w:lineRule="auto"/>
        <w:jc w:val="both"/>
        <w:rPr>
          <w:sz w:val="26"/>
          <w:szCs w:val="26"/>
          <w:rtl/>
        </w:rPr>
      </w:pPr>
    </w:p>
    <w:p w14:paraId="52ACE69A"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הנאשם שלל הצדקה לשימוש בהתנהגות אלימה כאמצעי לפתרון</w:t>
      </w:r>
      <w:r>
        <w:rPr>
          <w:sz w:val="26"/>
          <w:szCs w:val="26"/>
          <w:rtl/>
        </w:rPr>
        <w:t xml:space="preserve"> סכסוכים</w:t>
      </w:r>
      <w:r w:rsidRPr="002A483F">
        <w:rPr>
          <w:sz w:val="26"/>
          <w:szCs w:val="26"/>
          <w:rtl/>
        </w:rPr>
        <w:t xml:space="preserve">, ראה עצמו כבעל שליטה עצמית וטען כי לא יחזור על התנהגותו. </w:t>
      </w:r>
      <w:r>
        <w:rPr>
          <w:sz w:val="26"/>
          <w:szCs w:val="26"/>
          <w:rtl/>
        </w:rPr>
        <w:t>נוכח האמור</w:t>
      </w:r>
      <w:r w:rsidRPr="002A483F">
        <w:rPr>
          <w:sz w:val="26"/>
          <w:szCs w:val="26"/>
          <w:rtl/>
        </w:rPr>
        <w:t xml:space="preserve">, שלל נזקקות טיפולית. </w:t>
      </w:r>
    </w:p>
    <w:p w14:paraId="4E178A78"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הנאשם הציג הסכם סולחה עם המתלונן והצהיר כי הוא מחויב להסכם הסולחה, המהווה עבורו גורם לריסון עצמי.</w:t>
      </w:r>
    </w:p>
    <w:p w14:paraId="78280657" w14:textId="77777777" w:rsidR="00FC6325" w:rsidRPr="002A483F" w:rsidRDefault="00FC6325" w:rsidP="00E763A4">
      <w:pPr>
        <w:tabs>
          <w:tab w:val="left" w:pos="1962"/>
          <w:tab w:val="center" w:pos="4156"/>
        </w:tabs>
        <w:spacing w:line="360" w:lineRule="auto"/>
        <w:jc w:val="both"/>
        <w:rPr>
          <w:sz w:val="26"/>
          <w:szCs w:val="26"/>
          <w:rtl/>
        </w:rPr>
      </w:pPr>
    </w:p>
    <w:p w14:paraId="32883543"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שרות המבחן התרשם, כי למרות שהנאשם מקיים אורח חיים נורמטיבי, הוא בעל מודעות עצמית נמוכה ואינו מחובר לתוקפנותו ולמניעים הרגשיים שהובילו אותו לפעול באלימות. הוא השליך את האחריות על הקורבן ולא גילה אמפטיה ממשית כלפיו.</w:t>
      </w:r>
    </w:p>
    <w:p w14:paraId="2E701658" w14:textId="77777777" w:rsidR="00FC6325" w:rsidRPr="002A483F" w:rsidRDefault="00FC6325" w:rsidP="00E763A4">
      <w:pPr>
        <w:tabs>
          <w:tab w:val="left" w:pos="1962"/>
          <w:tab w:val="center" w:pos="4156"/>
        </w:tabs>
        <w:spacing w:line="360" w:lineRule="auto"/>
        <w:jc w:val="both"/>
        <w:rPr>
          <w:sz w:val="26"/>
          <w:szCs w:val="26"/>
          <w:rtl/>
        </w:rPr>
      </w:pPr>
    </w:p>
    <w:p w14:paraId="1D1600FE" w14:textId="77777777" w:rsidR="00FC6325" w:rsidRPr="002A483F" w:rsidRDefault="00FC6325" w:rsidP="00E763A4">
      <w:pPr>
        <w:tabs>
          <w:tab w:val="left" w:pos="1962"/>
          <w:tab w:val="center" w:pos="4156"/>
        </w:tabs>
        <w:spacing w:line="360" w:lineRule="auto"/>
        <w:jc w:val="both"/>
        <w:rPr>
          <w:sz w:val="26"/>
          <w:szCs w:val="26"/>
          <w:rtl/>
        </w:rPr>
      </w:pPr>
      <w:r w:rsidRPr="009D18F0">
        <w:rPr>
          <w:sz w:val="26"/>
          <w:szCs w:val="26"/>
          <w:u w:val="single"/>
          <w:rtl/>
        </w:rPr>
        <w:t>להערכת שרות המבחן הסיכון להישנות התנהגות אלימה, במידה ויחווה פגיעה בערכו ודימויו בחברה, ורמת המסוכנות של התנהגות מעין זאת אם תתרחש היא בחומרה בינונית עד גבוהה</w:t>
      </w:r>
      <w:r w:rsidRPr="002A483F">
        <w:rPr>
          <w:sz w:val="26"/>
          <w:szCs w:val="26"/>
          <w:rtl/>
        </w:rPr>
        <w:t>.</w:t>
      </w:r>
    </w:p>
    <w:p w14:paraId="7030CDA3" w14:textId="77777777" w:rsidR="00FC6325" w:rsidRPr="002A483F" w:rsidRDefault="00FC6325" w:rsidP="00E763A4">
      <w:pPr>
        <w:tabs>
          <w:tab w:val="left" w:pos="1962"/>
          <w:tab w:val="center" w:pos="4156"/>
        </w:tabs>
        <w:spacing w:line="360" w:lineRule="auto"/>
        <w:jc w:val="both"/>
        <w:rPr>
          <w:sz w:val="26"/>
          <w:szCs w:val="26"/>
          <w:rtl/>
        </w:rPr>
      </w:pPr>
    </w:p>
    <w:p w14:paraId="1B4DDD5A"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לנוכח כל האמור, </w:t>
      </w:r>
      <w:r>
        <w:rPr>
          <w:sz w:val="26"/>
          <w:szCs w:val="26"/>
          <w:rtl/>
        </w:rPr>
        <w:t xml:space="preserve">העריך </w:t>
      </w:r>
      <w:r w:rsidRPr="002A483F">
        <w:rPr>
          <w:sz w:val="26"/>
          <w:szCs w:val="26"/>
          <w:rtl/>
        </w:rPr>
        <w:t xml:space="preserve">שרות המבחן כי בשלב זה של חייו הנאשם אינו בשל להליך טיפולי </w:t>
      </w:r>
      <w:r w:rsidRPr="009D18F0">
        <w:rPr>
          <w:sz w:val="26"/>
          <w:szCs w:val="26"/>
          <w:u w:val="single"/>
          <w:rtl/>
        </w:rPr>
        <w:t>ונמנע מהמלצה טיפולית בעניינו</w:t>
      </w:r>
      <w:r w:rsidRPr="002A483F">
        <w:rPr>
          <w:sz w:val="26"/>
          <w:szCs w:val="26"/>
          <w:rtl/>
        </w:rPr>
        <w:t>.</w:t>
      </w:r>
    </w:p>
    <w:p w14:paraId="15319858" w14:textId="77777777" w:rsidR="00FC6325" w:rsidRDefault="00FC6325" w:rsidP="00E763A4">
      <w:pPr>
        <w:tabs>
          <w:tab w:val="left" w:pos="1962"/>
          <w:tab w:val="center" w:pos="4156"/>
        </w:tabs>
        <w:spacing w:line="360" w:lineRule="auto"/>
        <w:jc w:val="both"/>
        <w:rPr>
          <w:sz w:val="26"/>
          <w:szCs w:val="26"/>
          <w:rtl/>
        </w:rPr>
      </w:pPr>
    </w:p>
    <w:p w14:paraId="2AAE28DC" w14:textId="77777777" w:rsidR="00FC6325" w:rsidRDefault="00FC6325" w:rsidP="00E763A4">
      <w:pPr>
        <w:tabs>
          <w:tab w:val="left" w:pos="1962"/>
          <w:tab w:val="center" w:pos="4156"/>
        </w:tabs>
        <w:spacing w:line="360" w:lineRule="auto"/>
        <w:jc w:val="both"/>
        <w:rPr>
          <w:b/>
          <w:bCs/>
          <w:sz w:val="26"/>
          <w:szCs w:val="26"/>
          <w:u w:val="single"/>
          <w:rtl/>
        </w:rPr>
      </w:pPr>
    </w:p>
    <w:p w14:paraId="76623EEF" w14:textId="77777777" w:rsidR="00FC6325" w:rsidRPr="002A483F" w:rsidRDefault="00FC6325" w:rsidP="00E763A4">
      <w:pPr>
        <w:tabs>
          <w:tab w:val="left" w:pos="1962"/>
          <w:tab w:val="center" w:pos="4156"/>
        </w:tabs>
        <w:spacing w:line="360" w:lineRule="auto"/>
        <w:jc w:val="both"/>
        <w:rPr>
          <w:b/>
          <w:bCs/>
          <w:sz w:val="26"/>
          <w:szCs w:val="26"/>
          <w:u w:val="single"/>
          <w:rtl/>
        </w:rPr>
      </w:pPr>
      <w:r w:rsidRPr="002A483F">
        <w:rPr>
          <w:b/>
          <w:bCs/>
          <w:sz w:val="26"/>
          <w:szCs w:val="26"/>
          <w:u w:val="single"/>
          <w:rtl/>
        </w:rPr>
        <w:t>ראיות לעונש</w:t>
      </w:r>
    </w:p>
    <w:p w14:paraId="32154DD0"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ב"כ המאשימה הגיש את תמונות הרכב שניזוק (ט/1).</w:t>
      </w:r>
    </w:p>
    <w:p w14:paraId="7656E91E" w14:textId="77777777" w:rsidR="00FC6325" w:rsidRPr="002A483F" w:rsidRDefault="00FC6325" w:rsidP="00E763A4">
      <w:pPr>
        <w:tabs>
          <w:tab w:val="left" w:pos="1962"/>
          <w:tab w:val="center" w:pos="4156"/>
        </w:tabs>
        <w:spacing w:line="360" w:lineRule="auto"/>
        <w:jc w:val="both"/>
        <w:rPr>
          <w:sz w:val="26"/>
          <w:szCs w:val="26"/>
          <w:rtl/>
        </w:rPr>
      </w:pPr>
    </w:p>
    <w:p w14:paraId="7F3A2BD1" w14:textId="77777777" w:rsidR="00FC6325" w:rsidRPr="002A483F" w:rsidRDefault="00FC6325" w:rsidP="00336AE5">
      <w:pPr>
        <w:tabs>
          <w:tab w:val="left" w:pos="1962"/>
          <w:tab w:val="center" w:pos="4156"/>
        </w:tabs>
        <w:spacing w:line="360" w:lineRule="auto"/>
        <w:jc w:val="both"/>
        <w:rPr>
          <w:sz w:val="26"/>
          <w:szCs w:val="26"/>
          <w:rtl/>
        </w:rPr>
      </w:pPr>
      <w:r>
        <w:rPr>
          <w:sz w:val="26"/>
          <w:szCs w:val="26"/>
          <w:rtl/>
        </w:rPr>
        <w:t xml:space="preserve">מטעם הנאשם </w:t>
      </w:r>
      <w:r w:rsidRPr="002A483F">
        <w:rPr>
          <w:sz w:val="26"/>
          <w:szCs w:val="26"/>
          <w:rtl/>
        </w:rPr>
        <w:t xml:space="preserve">העיד ראש המועצה המקומית כפר קרע, </w:t>
      </w:r>
      <w:r w:rsidRPr="002A483F">
        <w:rPr>
          <w:b/>
          <w:bCs/>
          <w:sz w:val="26"/>
          <w:szCs w:val="26"/>
          <w:rtl/>
        </w:rPr>
        <w:t xml:space="preserve">עו"ד מאזי מסארוה, </w:t>
      </w:r>
      <w:r w:rsidRPr="002A483F">
        <w:rPr>
          <w:sz w:val="26"/>
          <w:szCs w:val="26"/>
          <w:rtl/>
        </w:rPr>
        <w:t>אשר טען כי הוא מכיר את הנאשם ו</w:t>
      </w:r>
      <w:r>
        <w:rPr>
          <w:sz w:val="26"/>
          <w:szCs w:val="26"/>
          <w:rtl/>
        </w:rPr>
        <w:t xml:space="preserve">את </w:t>
      </w:r>
      <w:r w:rsidRPr="002A483F">
        <w:rPr>
          <w:sz w:val="26"/>
          <w:szCs w:val="26"/>
          <w:rtl/>
        </w:rPr>
        <w:t>בני משפחתו כ-27 שנים ומעולם לא התעוררה כל בעיה סביב המשפחה.לדבריו, בשנים האחרונות נקלעה המשפחה לקשיים כלכליים משום שאבי המשפחה הפסיק לעבוד</w:t>
      </w:r>
      <w:r>
        <w:rPr>
          <w:sz w:val="26"/>
          <w:szCs w:val="26"/>
          <w:rtl/>
        </w:rPr>
        <w:t>,</w:t>
      </w:r>
      <w:r w:rsidRPr="002A483F">
        <w:rPr>
          <w:sz w:val="26"/>
          <w:szCs w:val="26"/>
          <w:rtl/>
        </w:rPr>
        <w:t xml:space="preserve"> ופרנסת המשפחה המונה 2 אחים ו-5 אחיות שכולם אינם נשואים, הוטלה על שכמו של הנאשם בלבד. כן ציין מר מסארוה, כי קיימת רגישות מיוחדת משום שבנות המשפחה טרם נישאו, חרף גילן, ונושא זה הוא שהיווה את הרקע לאירוע.</w:t>
      </w:r>
    </w:p>
    <w:p w14:paraId="75AFDDF2"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עוד </w:t>
      </w:r>
      <w:r>
        <w:rPr>
          <w:sz w:val="26"/>
          <w:szCs w:val="26"/>
          <w:rtl/>
        </w:rPr>
        <w:t>ט</w:t>
      </w:r>
      <w:r w:rsidRPr="002A483F">
        <w:rPr>
          <w:sz w:val="26"/>
          <w:szCs w:val="26"/>
          <w:rtl/>
        </w:rPr>
        <w:t xml:space="preserve">ען כי נעשתה סולחה בין הצדדים, </w:t>
      </w:r>
      <w:r>
        <w:rPr>
          <w:sz w:val="26"/>
          <w:szCs w:val="26"/>
          <w:rtl/>
        </w:rPr>
        <w:t>שקיבלה ביטוי גם בהסכם בכתב</w:t>
      </w:r>
      <w:r w:rsidRPr="002A483F">
        <w:rPr>
          <w:sz w:val="26"/>
          <w:szCs w:val="26"/>
          <w:rtl/>
        </w:rPr>
        <w:t xml:space="preserve"> (ס/1) ומאז היחסים בין הצדדים תקינים ומתקיימים ביקורים הדדיים. </w:t>
      </w:r>
    </w:p>
    <w:p w14:paraId="76E271D7" w14:textId="77777777" w:rsidR="00FC6325" w:rsidRPr="002A483F" w:rsidRDefault="00FC6325" w:rsidP="00E763A4">
      <w:pPr>
        <w:tabs>
          <w:tab w:val="left" w:pos="1962"/>
          <w:tab w:val="center" w:pos="4156"/>
        </w:tabs>
        <w:spacing w:line="360" w:lineRule="auto"/>
        <w:jc w:val="both"/>
        <w:rPr>
          <w:sz w:val="26"/>
          <w:szCs w:val="26"/>
          <w:rtl/>
        </w:rPr>
      </w:pPr>
    </w:p>
    <w:p w14:paraId="683638B8" w14:textId="77777777" w:rsidR="00FC6325" w:rsidRPr="002A483F" w:rsidRDefault="00FC6325" w:rsidP="00336AE5">
      <w:pPr>
        <w:tabs>
          <w:tab w:val="left" w:pos="1962"/>
          <w:tab w:val="center" w:pos="4156"/>
        </w:tabs>
        <w:spacing w:line="360" w:lineRule="auto"/>
        <w:jc w:val="both"/>
        <w:rPr>
          <w:sz w:val="26"/>
          <w:szCs w:val="26"/>
          <w:rtl/>
        </w:rPr>
      </w:pPr>
      <w:r w:rsidRPr="002A483F">
        <w:rPr>
          <w:sz w:val="26"/>
          <w:szCs w:val="26"/>
          <w:rtl/>
        </w:rPr>
        <w:t>לטענתו, מדובר במעידה חד פעמית והנאשם מצטער ומתחרט על מעשיו</w:t>
      </w:r>
      <w:r>
        <w:rPr>
          <w:sz w:val="26"/>
          <w:szCs w:val="26"/>
          <w:rtl/>
        </w:rPr>
        <w:t xml:space="preserve"> וחש </w:t>
      </w:r>
      <w:r w:rsidRPr="002A483F">
        <w:rPr>
          <w:sz w:val="26"/>
          <w:szCs w:val="26"/>
          <w:rtl/>
        </w:rPr>
        <w:t xml:space="preserve">צער על משפחתו, אשר מאז המקרה הגיעו לשפל כלכלי. </w:t>
      </w:r>
    </w:p>
    <w:p w14:paraId="032ACF2D" w14:textId="77777777" w:rsidR="00FC6325" w:rsidRPr="002A483F" w:rsidRDefault="00FC6325" w:rsidP="00E763A4">
      <w:pPr>
        <w:tabs>
          <w:tab w:val="left" w:pos="1962"/>
          <w:tab w:val="center" w:pos="4156"/>
        </w:tabs>
        <w:spacing w:line="360" w:lineRule="auto"/>
        <w:jc w:val="both"/>
        <w:rPr>
          <w:sz w:val="26"/>
          <w:szCs w:val="26"/>
          <w:rtl/>
        </w:rPr>
      </w:pPr>
    </w:p>
    <w:p w14:paraId="1C5AAD25" w14:textId="77777777" w:rsidR="00FC6325" w:rsidRPr="002A483F" w:rsidRDefault="00FC6325" w:rsidP="00336AE5">
      <w:pPr>
        <w:tabs>
          <w:tab w:val="left" w:pos="1962"/>
          <w:tab w:val="center" w:pos="4156"/>
        </w:tabs>
        <w:spacing w:line="360" w:lineRule="auto"/>
        <w:jc w:val="both"/>
        <w:rPr>
          <w:sz w:val="26"/>
          <w:szCs w:val="26"/>
          <w:rtl/>
        </w:rPr>
      </w:pPr>
      <w:r w:rsidRPr="002A483F">
        <w:rPr>
          <w:sz w:val="26"/>
          <w:szCs w:val="26"/>
          <w:rtl/>
        </w:rPr>
        <w:t>מר מסארוה</w:t>
      </w:r>
      <w:r>
        <w:rPr>
          <w:sz w:val="26"/>
          <w:szCs w:val="26"/>
          <w:rtl/>
        </w:rPr>
        <w:t xml:space="preserve"> ביקש </w:t>
      </w:r>
      <w:r w:rsidRPr="002A483F">
        <w:rPr>
          <w:sz w:val="26"/>
          <w:szCs w:val="26"/>
          <w:rtl/>
        </w:rPr>
        <w:t xml:space="preserve">להתחשב בחרטה של הנאשם ובמצבה הכלכלי של המשפחה. העד טען, כי לא ניתן פיצוי למתלונן במסגרת הסולחה משום </w:t>
      </w:r>
      <w:r>
        <w:rPr>
          <w:sz w:val="26"/>
          <w:szCs w:val="26"/>
          <w:rtl/>
        </w:rPr>
        <w:t>ש</w:t>
      </w:r>
      <w:r w:rsidRPr="002A483F">
        <w:rPr>
          <w:sz w:val="26"/>
          <w:szCs w:val="26"/>
          <w:rtl/>
        </w:rPr>
        <w:t>לא נגרם בסופו של דבר נזק, פרט לשמשת הרכב.</w:t>
      </w:r>
    </w:p>
    <w:p w14:paraId="5DB115F8" w14:textId="77777777" w:rsidR="00FC6325" w:rsidRPr="002A483F" w:rsidRDefault="00FC6325" w:rsidP="00E763A4">
      <w:pPr>
        <w:tabs>
          <w:tab w:val="left" w:pos="1962"/>
          <w:tab w:val="center" w:pos="4156"/>
        </w:tabs>
        <w:spacing w:line="360" w:lineRule="auto"/>
        <w:jc w:val="both"/>
        <w:rPr>
          <w:sz w:val="26"/>
          <w:szCs w:val="26"/>
          <w:rtl/>
        </w:rPr>
      </w:pPr>
    </w:p>
    <w:p w14:paraId="6DA4BE68" w14:textId="77777777" w:rsidR="00FC6325" w:rsidRPr="002A483F" w:rsidRDefault="00FC6325" w:rsidP="00E763A4">
      <w:pPr>
        <w:tabs>
          <w:tab w:val="left" w:pos="1962"/>
          <w:tab w:val="center" w:pos="4156"/>
        </w:tabs>
        <w:spacing w:line="360" w:lineRule="auto"/>
        <w:jc w:val="both"/>
        <w:rPr>
          <w:b/>
          <w:bCs/>
          <w:sz w:val="26"/>
          <w:szCs w:val="26"/>
          <w:u w:val="single"/>
          <w:rtl/>
        </w:rPr>
      </w:pPr>
      <w:r w:rsidRPr="002A483F">
        <w:rPr>
          <w:b/>
          <w:bCs/>
          <w:sz w:val="26"/>
          <w:szCs w:val="26"/>
          <w:u w:val="single"/>
          <w:rtl/>
        </w:rPr>
        <w:t>טיעונים לעונש</w:t>
      </w:r>
    </w:p>
    <w:p w14:paraId="64298A86" w14:textId="77777777" w:rsidR="00FC6325" w:rsidRPr="002A483F" w:rsidRDefault="00FC6325" w:rsidP="00E763A4">
      <w:pPr>
        <w:tabs>
          <w:tab w:val="left" w:pos="1962"/>
          <w:tab w:val="center" w:pos="4156"/>
        </w:tabs>
        <w:spacing w:line="360" w:lineRule="auto"/>
        <w:jc w:val="both"/>
        <w:rPr>
          <w:sz w:val="26"/>
          <w:szCs w:val="26"/>
          <w:rtl/>
        </w:rPr>
      </w:pPr>
      <w:r w:rsidRPr="002A483F">
        <w:rPr>
          <w:b/>
          <w:bCs/>
          <w:sz w:val="26"/>
          <w:szCs w:val="26"/>
          <w:rtl/>
        </w:rPr>
        <w:t xml:space="preserve">ב"כ המאשימה </w:t>
      </w:r>
      <w:r w:rsidRPr="002A483F">
        <w:rPr>
          <w:sz w:val="26"/>
          <w:szCs w:val="26"/>
          <w:rtl/>
        </w:rPr>
        <w:t>בטיעוניו בכתב (ט/2) ובעל פה, הטעים את חומרתן של עבירות הנשק בשל פוטנציאל הסיכון הגלום בהן, כשבמקרה זה הסיכון התממש משעשה הנאשם שימוש בנשק, תוך שהוא יורה מספר כדורים באזור מגורים צפוף.</w:t>
      </w:r>
    </w:p>
    <w:p w14:paraId="28B42281" w14:textId="77777777" w:rsidR="00FC6325" w:rsidRPr="002A483F" w:rsidRDefault="00FC6325" w:rsidP="00E763A4">
      <w:pPr>
        <w:tabs>
          <w:tab w:val="left" w:pos="1962"/>
          <w:tab w:val="center" w:pos="4156"/>
        </w:tabs>
        <w:spacing w:line="360" w:lineRule="auto"/>
        <w:jc w:val="both"/>
        <w:rPr>
          <w:sz w:val="26"/>
          <w:szCs w:val="26"/>
          <w:rtl/>
        </w:rPr>
      </w:pPr>
    </w:p>
    <w:p w14:paraId="219C70F4"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לטענתו, העובדה שהירי לא פגע באדם מסוים אין בה כדי להקהות מחומרת המעשה, שכן היה זה רק מזל שהירי נגמר בנזק לרכב ולא </w:t>
      </w:r>
      <w:r>
        <w:rPr>
          <w:sz w:val="26"/>
          <w:szCs w:val="26"/>
          <w:rtl/>
        </w:rPr>
        <w:t>ליושבים בו</w:t>
      </w:r>
      <w:r w:rsidRPr="002A483F">
        <w:rPr>
          <w:sz w:val="26"/>
          <w:szCs w:val="26"/>
          <w:rtl/>
        </w:rPr>
        <w:t xml:space="preserve">. </w:t>
      </w:r>
    </w:p>
    <w:p w14:paraId="09A5FC10" w14:textId="77777777" w:rsidR="00FC6325" w:rsidRPr="002A483F" w:rsidRDefault="00FC6325" w:rsidP="00E763A4">
      <w:pPr>
        <w:tabs>
          <w:tab w:val="left" w:pos="1962"/>
          <w:tab w:val="center" w:pos="4156"/>
        </w:tabs>
        <w:spacing w:line="360" w:lineRule="auto"/>
        <w:jc w:val="both"/>
        <w:rPr>
          <w:sz w:val="26"/>
          <w:szCs w:val="26"/>
          <w:rtl/>
        </w:rPr>
      </w:pPr>
    </w:p>
    <w:p w14:paraId="3FC3A6DD"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ב"כ המאשימה הדגיש כי עד היום לא הוסגר הנשק על אף שמקום מחבואו ידוע לנאשם, כך שעדיין קיים חשש כי ייעשה בו שימוש בעתיד אם על ידי הנאשם ואם באמצעות אחר. </w:t>
      </w:r>
    </w:p>
    <w:p w14:paraId="4FE536D7" w14:textId="77777777" w:rsidR="00FC6325" w:rsidRPr="002A483F" w:rsidRDefault="00FC6325" w:rsidP="00E763A4">
      <w:pPr>
        <w:tabs>
          <w:tab w:val="left" w:pos="1962"/>
          <w:tab w:val="center" w:pos="4156"/>
        </w:tabs>
        <w:spacing w:line="360" w:lineRule="auto"/>
        <w:jc w:val="both"/>
        <w:rPr>
          <w:sz w:val="26"/>
          <w:szCs w:val="26"/>
          <w:rtl/>
        </w:rPr>
      </w:pPr>
    </w:p>
    <w:p w14:paraId="2775A5AE"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נטען, כי יש לתת לסולחה משקל יחסי </w:t>
      </w:r>
      <w:r>
        <w:rPr>
          <w:sz w:val="26"/>
          <w:szCs w:val="26"/>
          <w:rtl/>
        </w:rPr>
        <w:t xml:space="preserve">נמוך ולא משמעותי בין שיקולי הענישה, </w:t>
      </w:r>
      <w:r w:rsidRPr="002A483F">
        <w:rPr>
          <w:sz w:val="26"/>
          <w:szCs w:val="26"/>
          <w:rtl/>
        </w:rPr>
        <w:t>בשל חומרת העבירות ובשל העובדה שבית המשפט והצדדים אינם ערים לנסיבות ביצוע הסכם הסולחה ו</w:t>
      </w:r>
      <w:r>
        <w:rPr>
          <w:sz w:val="26"/>
          <w:szCs w:val="26"/>
          <w:rtl/>
        </w:rPr>
        <w:t>ל</w:t>
      </w:r>
      <w:r w:rsidRPr="002A483F">
        <w:rPr>
          <w:sz w:val="26"/>
          <w:szCs w:val="26"/>
          <w:rtl/>
        </w:rPr>
        <w:t>עמדת הקורבן ביחס אליו.</w:t>
      </w:r>
    </w:p>
    <w:p w14:paraId="6761DA4D" w14:textId="77777777" w:rsidR="00FC6325" w:rsidRPr="002A483F" w:rsidRDefault="00FC6325" w:rsidP="00E763A4">
      <w:pPr>
        <w:tabs>
          <w:tab w:val="left" w:pos="1962"/>
          <w:tab w:val="center" w:pos="4156"/>
        </w:tabs>
        <w:spacing w:line="360" w:lineRule="auto"/>
        <w:jc w:val="both"/>
        <w:rPr>
          <w:sz w:val="26"/>
          <w:szCs w:val="26"/>
          <w:rtl/>
        </w:rPr>
      </w:pPr>
    </w:p>
    <w:p w14:paraId="3000B0DD"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עוד הוטעם, כי במסגרת קביעת מתחם העונש ההולם במקרה זה, יש להתחשב </w:t>
      </w:r>
      <w:r>
        <w:rPr>
          <w:sz w:val="26"/>
          <w:szCs w:val="26"/>
          <w:rtl/>
        </w:rPr>
        <w:t xml:space="preserve">בכך שלמעשיו </w:t>
      </w:r>
      <w:r w:rsidRPr="002A483F">
        <w:rPr>
          <w:sz w:val="26"/>
          <w:szCs w:val="26"/>
          <w:rtl/>
        </w:rPr>
        <w:t>של הנאשם קדמו מחשבה ותכנון, וכי כתוצאה מהירי התנפצה שמשתו האחורית של רכב ההאמר ועלול היה להיגרם נזק חמור הרבה יותר</w:t>
      </w:r>
      <w:r>
        <w:rPr>
          <w:sz w:val="26"/>
          <w:szCs w:val="26"/>
          <w:rtl/>
        </w:rPr>
        <w:t>,</w:t>
      </w:r>
      <w:r w:rsidRPr="002A483F">
        <w:rPr>
          <w:sz w:val="26"/>
          <w:szCs w:val="26"/>
          <w:rtl/>
        </w:rPr>
        <w:t xml:space="preserve"> של  פגיעה ביושבי הרכב, ביניהם קטין בן 12.    </w:t>
      </w:r>
    </w:p>
    <w:p w14:paraId="258DCF8D"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נוכח האמור טען ב"כ המאשימה כי מתחם העונש ההולם, בנסיבות המקרה, נע בין 3-5 שנות מאסר בפועל. </w:t>
      </w:r>
    </w:p>
    <w:p w14:paraId="4C600FB7" w14:textId="77777777" w:rsidR="00FC6325" w:rsidRPr="002A483F" w:rsidRDefault="00FC6325" w:rsidP="00E763A4">
      <w:pPr>
        <w:tabs>
          <w:tab w:val="left" w:pos="1962"/>
          <w:tab w:val="center" w:pos="4156"/>
        </w:tabs>
        <w:spacing w:line="360" w:lineRule="auto"/>
        <w:jc w:val="both"/>
        <w:rPr>
          <w:sz w:val="26"/>
          <w:szCs w:val="26"/>
          <w:rtl/>
        </w:rPr>
      </w:pPr>
    </w:p>
    <w:p w14:paraId="1C47C1DD" w14:textId="77777777" w:rsidR="00FC6325" w:rsidRPr="002A483F" w:rsidRDefault="00FC6325" w:rsidP="00336AE5">
      <w:pPr>
        <w:tabs>
          <w:tab w:val="left" w:pos="1962"/>
          <w:tab w:val="center" w:pos="4156"/>
        </w:tabs>
        <w:spacing w:line="360" w:lineRule="auto"/>
        <w:jc w:val="both"/>
        <w:rPr>
          <w:sz w:val="26"/>
          <w:szCs w:val="26"/>
          <w:rtl/>
        </w:rPr>
      </w:pPr>
      <w:r w:rsidRPr="002A483F">
        <w:rPr>
          <w:sz w:val="26"/>
          <w:szCs w:val="26"/>
          <w:rtl/>
        </w:rPr>
        <w:t xml:space="preserve">ב"כ המאשימה ציין </w:t>
      </w:r>
      <w:r>
        <w:rPr>
          <w:sz w:val="26"/>
          <w:szCs w:val="26"/>
          <w:rtl/>
        </w:rPr>
        <w:t xml:space="preserve">כי </w:t>
      </w:r>
      <w:r w:rsidRPr="002A483F">
        <w:rPr>
          <w:sz w:val="26"/>
          <w:szCs w:val="26"/>
          <w:rtl/>
        </w:rPr>
        <w:t xml:space="preserve">מדיניות בית המשפט העליון </w:t>
      </w:r>
      <w:r>
        <w:rPr>
          <w:sz w:val="26"/>
          <w:szCs w:val="26"/>
          <w:rtl/>
        </w:rPr>
        <w:t xml:space="preserve">היא </w:t>
      </w:r>
      <w:r w:rsidRPr="002A483F">
        <w:rPr>
          <w:sz w:val="26"/>
          <w:szCs w:val="26"/>
          <w:rtl/>
        </w:rPr>
        <w:t>להחמיר בענישה בעבירות נשק והפנה לפסקי דין שונים בהם נגזרו עונשי מאסר ממושכים</w:t>
      </w:r>
      <w:r>
        <w:rPr>
          <w:sz w:val="26"/>
          <w:szCs w:val="26"/>
          <w:rtl/>
        </w:rPr>
        <w:t xml:space="preserve"> ועתר </w:t>
      </w:r>
      <w:r w:rsidRPr="002A483F">
        <w:rPr>
          <w:sz w:val="26"/>
          <w:szCs w:val="26"/>
          <w:rtl/>
        </w:rPr>
        <w:t>להטיל על הנאשם עונש מאסר לריצוי בפועל שיעמוד על 3-5 שנים .</w:t>
      </w:r>
    </w:p>
    <w:p w14:paraId="07E501B9" w14:textId="77777777" w:rsidR="00FC6325" w:rsidRPr="002A483F" w:rsidRDefault="00FC6325" w:rsidP="00E763A4">
      <w:pPr>
        <w:tabs>
          <w:tab w:val="left" w:pos="1962"/>
          <w:tab w:val="center" w:pos="4156"/>
        </w:tabs>
        <w:spacing w:line="360" w:lineRule="auto"/>
        <w:jc w:val="both"/>
        <w:rPr>
          <w:b/>
          <w:bCs/>
          <w:sz w:val="26"/>
          <w:szCs w:val="26"/>
          <w:rtl/>
        </w:rPr>
      </w:pPr>
    </w:p>
    <w:p w14:paraId="777FBFCA" w14:textId="77777777" w:rsidR="00FC6325" w:rsidRPr="002A483F" w:rsidRDefault="00FC6325" w:rsidP="00E763A4">
      <w:pPr>
        <w:tabs>
          <w:tab w:val="left" w:pos="1962"/>
          <w:tab w:val="center" w:pos="4156"/>
        </w:tabs>
        <w:spacing w:line="360" w:lineRule="auto"/>
        <w:jc w:val="both"/>
        <w:rPr>
          <w:sz w:val="26"/>
          <w:szCs w:val="26"/>
          <w:rtl/>
        </w:rPr>
      </w:pPr>
      <w:r w:rsidRPr="002A483F">
        <w:rPr>
          <w:b/>
          <w:bCs/>
          <w:sz w:val="26"/>
          <w:szCs w:val="26"/>
          <w:rtl/>
        </w:rPr>
        <w:t>ב"כ הנאשם</w:t>
      </w:r>
      <w:r w:rsidRPr="002A483F">
        <w:rPr>
          <w:sz w:val="26"/>
          <w:szCs w:val="26"/>
          <w:rtl/>
        </w:rPr>
        <w:t xml:space="preserve"> בטיעוניו בעל פה, ביקש להדגיש כי תיקון 113 ל</w:t>
      </w:r>
      <w:hyperlink r:id="rId19" w:history="1">
        <w:r w:rsidR="00AA2AF7" w:rsidRPr="00AA2AF7">
          <w:rPr>
            <w:rStyle w:val="Hyperlink"/>
            <w:sz w:val="26"/>
            <w:szCs w:val="26"/>
            <w:rtl/>
          </w:rPr>
          <w:t>חוק העונשין</w:t>
        </w:r>
      </w:hyperlink>
      <w:r w:rsidRPr="002A483F">
        <w:rPr>
          <w:sz w:val="26"/>
          <w:szCs w:val="26"/>
          <w:rtl/>
        </w:rPr>
        <w:t xml:space="preserve"> קובע שמתחם העונש ההולם ייקבע על סמך הנסיבות הספציפיות של המקרה, ועל כן "המדיניות הנהוגה" בעבירות מעין אלה אינה מהווה את המתחם. </w:t>
      </w:r>
    </w:p>
    <w:p w14:paraId="7AEDA150" w14:textId="77777777" w:rsidR="00FC6325" w:rsidRPr="002A483F" w:rsidRDefault="00FC6325" w:rsidP="00E763A4">
      <w:pPr>
        <w:tabs>
          <w:tab w:val="left" w:pos="1962"/>
          <w:tab w:val="center" w:pos="4156"/>
        </w:tabs>
        <w:spacing w:line="360" w:lineRule="auto"/>
        <w:jc w:val="both"/>
        <w:rPr>
          <w:sz w:val="26"/>
          <w:szCs w:val="26"/>
          <w:rtl/>
        </w:rPr>
      </w:pPr>
    </w:p>
    <w:p w14:paraId="095280DD"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הסניגור הפנה לפסקי דין </w:t>
      </w:r>
      <w:r>
        <w:rPr>
          <w:sz w:val="26"/>
          <w:szCs w:val="26"/>
          <w:rtl/>
        </w:rPr>
        <w:t xml:space="preserve">קודמים </w:t>
      </w:r>
      <w:r w:rsidRPr="002A483F">
        <w:rPr>
          <w:sz w:val="26"/>
          <w:szCs w:val="26"/>
          <w:rtl/>
        </w:rPr>
        <w:t>בהם הוטלו, במקרים דומים, גם עונשי מאסר לריצוי בעבודות שרות.</w:t>
      </w:r>
    </w:p>
    <w:p w14:paraId="3D264912" w14:textId="77777777" w:rsidR="00FC6325" w:rsidRPr="002A483F" w:rsidRDefault="00FC6325" w:rsidP="00E763A4">
      <w:pPr>
        <w:tabs>
          <w:tab w:val="left" w:pos="1962"/>
          <w:tab w:val="center" w:pos="4156"/>
        </w:tabs>
        <w:spacing w:line="360" w:lineRule="auto"/>
        <w:jc w:val="both"/>
        <w:rPr>
          <w:sz w:val="26"/>
          <w:szCs w:val="26"/>
          <w:rtl/>
        </w:rPr>
      </w:pPr>
    </w:p>
    <w:p w14:paraId="00CE0685"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לקולא ציין הסניגור כי האירוע היה חד פעמי, הוא התרחש בעקבות סכסוך בין הצדדים, </w:t>
      </w:r>
      <w:r>
        <w:rPr>
          <w:sz w:val="26"/>
          <w:szCs w:val="26"/>
          <w:rtl/>
        </w:rPr>
        <w:t xml:space="preserve">בעוד </w:t>
      </w:r>
      <w:r w:rsidRPr="002A483F">
        <w:rPr>
          <w:sz w:val="26"/>
          <w:szCs w:val="26"/>
          <w:rtl/>
        </w:rPr>
        <w:t xml:space="preserve">הנאשם </w:t>
      </w:r>
      <w:r>
        <w:rPr>
          <w:sz w:val="26"/>
          <w:szCs w:val="26"/>
          <w:rtl/>
        </w:rPr>
        <w:t xml:space="preserve">הנעדר עבר פלילי </w:t>
      </w:r>
      <w:r w:rsidRPr="002A483F">
        <w:rPr>
          <w:sz w:val="26"/>
          <w:szCs w:val="26"/>
          <w:rtl/>
        </w:rPr>
        <w:t xml:space="preserve">היה נתון בסערת רגשות. לטענתו, הנאשם לא התכוון לממש את איומיו והראיה לכך היא כי הפסיק את הירי ביוזמתו, ללא התערבות של איש. הנאשם נעצר רק יומיים לאחר האירוע ובכל אותו פרק זמן שחלף, לא עשה דבר. </w:t>
      </w:r>
    </w:p>
    <w:p w14:paraId="7ADCBAA9" w14:textId="77777777" w:rsidR="00FC6325" w:rsidRPr="002A483F" w:rsidRDefault="00FC6325" w:rsidP="00E763A4">
      <w:pPr>
        <w:tabs>
          <w:tab w:val="left" w:pos="1962"/>
          <w:tab w:val="center" w:pos="4156"/>
        </w:tabs>
        <w:spacing w:line="360" w:lineRule="auto"/>
        <w:jc w:val="both"/>
        <w:rPr>
          <w:sz w:val="26"/>
          <w:szCs w:val="26"/>
          <w:rtl/>
        </w:rPr>
      </w:pPr>
    </w:p>
    <w:p w14:paraId="00F1D4E5"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עוד ציין הסניגור, כי בסופו של דבר הנזק היחיד שנגרם הוא לשמשת הרכב, איש לא נפגע מהירי ולא היה בכוונתו של הנאשם לפגוע </w:t>
      </w:r>
      <w:r>
        <w:rPr>
          <w:sz w:val="26"/>
          <w:szCs w:val="26"/>
          <w:rtl/>
        </w:rPr>
        <w:t>ב</w:t>
      </w:r>
      <w:r w:rsidRPr="002A483F">
        <w:rPr>
          <w:sz w:val="26"/>
          <w:szCs w:val="26"/>
          <w:rtl/>
        </w:rPr>
        <w:t xml:space="preserve">אדם כלשהו. </w:t>
      </w:r>
    </w:p>
    <w:p w14:paraId="5880F8A2" w14:textId="77777777" w:rsidR="00FC6325" w:rsidRPr="002A483F" w:rsidRDefault="00FC6325" w:rsidP="00E763A4">
      <w:pPr>
        <w:tabs>
          <w:tab w:val="left" w:pos="1962"/>
          <w:tab w:val="center" w:pos="4156"/>
        </w:tabs>
        <w:spacing w:line="360" w:lineRule="auto"/>
        <w:jc w:val="both"/>
        <w:rPr>
          <w:sz w:val="26"/>
          <w:szCs w:val="26"/>
          <w:rtl/>
        </w:rPr>
      </w:pPr>
    </w:p>
    <w:p w14:paraId="66CF3578"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הסניגור ביקש להתחשב </w:t>
      </w:r>
      <w:r>
        <w:rPr>
          <w:sz w:val="26"/>
          <w:szCs w:val="26"/>
          <w:rtl/>
        </w:rPr>
        <w:t xml:space="preserve">לקולא </w:t>
      </w:r>
      <w:r w:rsidRPr="002A483F">
        <w:rPr>
          <w:sz w:val="26"/>
          <w:szCs w:val="26"/>
          <w:rtl/>
        </w:rPr>
        <w:t xml:space="preserve">בנסיבותיו האישיות של הנאשם ובמיוחד </w:t>
      </w:r>
      <w:r>
        <w:rPr>
          <w:sz w:val="26"/>
          <w:szCs w:val="26"/>
          <w:rtl/>
        </w:rPr>
        <w:t>ב</w:t>
      </w:r>
      <w:r w:rsidRPr="002A483F">
        <w:rPr>
          <w:sz w:val="26"/>
          <w:szCs w:val="26"/>
          <w:rtl/>
        </w:rPr>
        <w:t xml:space="preserve">עובדה שנטל הפרנסה מוטל על כתפו; </w:t>
      </w:r>
      <w:r>
        <w:rPr>
          <w:sz w:val="26"/>
          <w:szCs w:val="26"/>
          <w:rtl/>
        </w:rPr>
        <w:t>ב</w:t>
      </w:r>
      <w:r w:rsidRPr="002A483F">
        <w:rPr>
          <w:sz w:val="26"/>
          <w:szCs w:val="26"/>
          <w:rtl/>
        </w:rPr>
        <w:t xml:space="preserve">הסכם הסולחה שנערך עם המתלונן; </w:t>
      </w:r>
      <w:r>
        <w:rPr>
          <w:sz w:val="26"/>
          <w:szCs w:val="26"/>
          <w:rtl/>
        </w:rPr>
        <w:t>ב</w:t>
      </w:r>
      <w:r w:rsidRPr="002A483F">
        <w:rPr>
          <w:sz w:val="26"/>
          <w:szCs w:val="26"/>
          <w:rtl/>
        </w:rPr>
        <w:t xml:space="preserve">היעדר עבר פלילי לחובתו; </w:t>
      </w:r>
      <w:r>
        <w:rPr>
          <w:sz w:val="26"/>
          <w:szCs w:val="26"/>
          <w:rtl/>
        </w:rPr>
        <w:t>ב</w:t>
      </w:r>
      <w:r w:rsidRPr="002A483F">
        <w:rPr>
          <w:sz w:val="26"/>
          <w:szCs w:val="26"/>
          <w:rtl/>
        </w:rPr>
        <w:t>הודאתו וחרטתו</w:t>
      </w:r>
      <w:r>
        <w:rPr>
          <w:sz w:val="26"/>
          <w:szCs w:val="26"/>
          <w:rtl/>
        </w:rPr>
        <w:t>,וב</w:t>
      </w:r>
      <w:r w:rsidRPr="002A483F">
        <w:rPr>
          <w:sz w:val="26"/>
          <w:szCs w:val="26"/>
          <w:rtl/>
        </w:rPr>
        <w:t xml:space="preserve">התרשמות שרות המבחן כי הנאשם מנהל חיים נורמטיביים. </w:t>
      </w:r>
    </w:p>
    <w:p w14:paraId="36432100"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כן צוין, כי הנאשם היה עצור כ- 3 שבועות ומאז הוא נמצא במעצר בית מלא, בתחילה היה במעצר בית במקום מרוחק מביתו</w:t>
      </w:r>
      <w:r>
        <w:rPr>
          <w:sz w:val="26"/>
          <w:szCs w:val="26"/>
          <w:rtl/>
        </w:rPr>
        <w:t xml:space="preserve"> ורק </w:t>
      </w:r>
      <w:r w:rsidRPr="002A483F">
        <w:rPr>
          <w:sz w:val="26"/>
          <w:szCs w:val="26"/>
          <w:rtl/>
        </w:rPr>
        <w:t xml:space="preserve">לאחר הסולחה חזר לביתו. </w:t>
      </w:r>
    </w:p>
    <w:p w14:paraId="4855BFC3" w14:textId="77777777" w:rsidR="00FC6325" w:rsidRPr="002A483F" w:rsidRDefault="00FC6325" w:rsidP="00336AE5">
      <w:pPr>
        <w:tabs>
          <w:tab w:val="left" w:pos="1962"/>
          <w:tab w:val="center" w:pos="4156"/>
        </w:tabs>
        <w:spacing w:line="480" w:lineRule="auto"/>
        <w:jc w:val="both"/>
        <w:rPr>
          <w:sz w:val="26"/>
          <w:szCs w:val="26"/>
          <w:rtl/>
        </w:rPr>
      </w:pPr>
    </w:p>
    <w:p w14:paraId="1CAA6F9D" w14:textId="77777777" w:rsidR="00FC6325" w:rsidRPr="002A483F" w:rsidRDefault="00FC6325" w:rsidP="00E763A4">
      <w:pPr>
        <w:tabs>
          <w:tab w:val="left" w:pos="1962"/>
          <w:tab w:val="center" w:pos="4156"/>
        </w:tabs>
        <w:spacing w:line="360" w:lineRule="auto"/>
        <w:jc w:val="both"/>
        <w:rPr>
          <w:sz w:val="26"/>
          <w:szCs w:val="26"/>
          <w:rtl/>
        </w:rPr>
      </w:pPr>
      <w:r w:rsidRPr="002A483F">
        <w:rPr>
          <w:b/>
          <w:bCs/>
          <w:sz w:val="26"/>
          <w:szCs w:val="26"/>
          <w:u w:val="single"/>
          <w:rtl/>
        </w:rPr>
        <w:t>הנאשם בדברו האחרון</w:t>
      </w:r>
      <w:r w:rsidRPr="002A483F">
        <w:rPr>
          <w:sz w:val="26"/>
          <w:szCs w:val="26"/>
          <w:rtl/>
        </w:rPr>
        <w:t xml:space="preserve"> הביע צער על המקרה וטען כי בכוונתו לקיים את הסכם הסולחה שנערך עם המתלונן. כן הדגיש, כי כתוצאה מהמקרה הוחמר המצב הכלכלי של משפחתו שפרנסתה מוטלת על כתפיו.</w:t>
      </w:r>
    </w:p>
    <w:p w14:paraId="5188905C" w14:textId="77777777" w:rsidR="00FC6325" w:rsidRDefault="00FC6325" w:rsidP="00E763A4">
      <w:pPr>
        <w:tabs>
          <w:tab w:val="left" w:pos="1962"/>
          <w:tab w:val="center" w:pos="4156"/>
        </w:tabs>
        <w:jc w:val="both"/>
        <w:rPr>
          <w:sz w:val="26"/>
          <w:szCs w:val="26"/>
          <w:rtl/>
        </w:rPr>
      </w:pPr>
    </w:p>
    <w:p w14:paraId="7F16E758" w14:textId="77777777" w:rsidR="00FC6325" w:rsidRDefault="00FC6325" w:rsidP="00E763A4">
      <w:pPr>
        <w:tabs>
          <w:tab w:val="left" w:pos="1962"/>
          <w:tab w:val="center" w:pos="4156"/>
        </w:tabs>
        <w:jc w:val="both"/>
        <w:rPr>
          <w:sz w:val="26"/>
          <w:szCs w:val="26"/>
          <w:rtl/>
        </w:rPr>
      </w:pPr>
    </w:p>
    <w:p w14:paraId="2CB61793" w14:textId="77777777" w:rsidR="00FC6325" w:rsidRDefault="00FC6325" w:rsidP="00E763A4">
      <w:pPr>
        <w:tabs>
          <w:tab w:val="left" w:pos="1962"/>
          <w:tab w:val="center" w:pos="4156"/>
        </w:tabs>
        <w:jc w:val="both"/>
        <w:rPr>
          <w:sz w:val="26"/>
          <w:szCs w:val="26"/>
          <w:rtl/>
        </w:rPr>
      </w:pPr>
    </w:p>
    <w:p w14:paraId="60B33EF0" w14:textId="77777777" w:rsidR="00FC6325" w:rsidRPr="002A483F" w:rsidRDefault="00FC6325" w:rsidP="00E763A4">
      <w:pPr>
        <w:tabs>
          <w:tab w:val="left" w:pos="1962"/>
          <w:tab w:val="center" w:pos="4156"/>
        </w:tabs>
        <w:spacing w:line="360" w:lineRule="auto"/>
        <w:jc w:val="both"/>
        <w:rPr>
          <w:b/>
          <w:bCs/>
          <w:sz w:val="26"/>
          <w:szCs w:val="26"/>
          <w:u w:val="single"/>
          <w:rtl/>
        </w:rPr>
      </w:pPr>
      <w:r w:rsidRPr="002A483F">
        <w:rPr>
          <w:b/>
          <w:bCs/>
          <w:sz w:val="26"/>
          <w:szCs w:val="26"/>
          <w:u w:val="single"/>
          <w:rtl/>
        </w:rPr>
        <w:t>דיון</w:t>
      </w:r>
    </w:p>
    <w:p w14:paraId="5782638A" w14:textId="77777777" w:rsidR="00FC6325" w:rsidRPr="002A483F" w:rsidRDefault="00FC6325" w:rsidP="00E763A4">
      <w:pPr>
        <w:tabs>
          <w:tab w:val="left" w:pos="1962"/>
          <w:tab w:val="center" w:pos="4156"/>
        </w:tabs>
        <w:jc w:val="both"/>
        <w:rPr>
          <w:sz w:val="26"/>
          <w:szCs w:val="26"/>
          <w:rtl/>
        </w:rPr>
      </w:pPr>
    </w:p>
    <w:p w14:paraId="4031839E"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אין חולק כי הנאשם הורשע בעבירות חמורות. </w:t>
      </w:r>
    </w:p>
    <w:p w14:paraId="4693201C" w14:textId="77777777" w:rsidR="00FC6325" w:rsidRPr="002A483F" w:rsidRDefault="00FC6325" w:rsidP="00E763A4">
      <w:pPr>
        <w:tabs>
          <w:tab w:val="left" w:pos="1962"/>
          <w:tab w:val="center" w:pos="4156"/>
        </w:tabs>
        <w:spacing w:line="360" w:lineRule="auto"/>
        <w:jc w:val="both"/>
        <w:rPr>
          <w:sz w:val="26"/>
          <w:szCs w:val="26"/>
          <w:rtl/>
        </w:rPr>
      </w:pPr>
      <w:r w:rsidRPr="002A483F">
        <w:rPr>
          <w:sz w:val="26"/>
          <w:szCs w:val="26"/>
          <w:rtl/>
        </w:rPr>
        <w:t xml:space="preserve">הפסיקה המושרשת בעבירות נשק, המתווה את "מדיניות הענישה הנהוגה" – שהיא אחד הפרמטרים לפיו ייקבע מתחם העונש ההולם לפי </w:t>
      </w:r>
      <w:hyperlink r:id="rId20" w:history="1">
        <w:r w:rsidR="00D20D85" w:rsidRPr="00D20D85">
          <w:rPr>
            <w:color w:val="0000FF"/>
            <w:sz w:val="26"/>
            <w:szCs w:val="26"/>
            <w:u w:val="single"/>
            <w:rtl/>
          </w:rPr>
          <w:t>סעיף 40ג.(א)</w:t>
        </w:r>
      </w:hyperlink>
      <w:r w:rsidRPr="002A483F">
        <w:rPr>
          <w:sz w:val="26"/>
          <w:szCs w:val="26"/>
          <w:rtl/>
        </w:rPr>
        <w:t xml:space="preserve"> ל</w:t>
      </w:r>
      <w:hyperlink r:id="rId21" w:history="1">
        <w:r w:rsidR="00AA2AF7" w:rsidRPr="00AA2AF7">
          <w:rPr>
            <w:rStyle w:val="Hyperlink"/>
            <w:sz w:val="26"/>
            <w:szCs w:val="26"/>
            <w:rtl/>
          </w:rPr>
          <w:t>חוק העונשין</w:t>
        </w:r>
      </w:hyperlink>
      <w:r w:rsidRPr="002A483F">
        <w:rPr>
          <w:sz w:val="26"/>
          <w:szCs w:val="26"/>
          <w:rtl/>
        </w:rPr>
        <w:t xml:space="preserve"> – קובעת, כי במסגרת הענישה, יש ליתן משקל בכורה לאינטרס הציבורי ולהגנה על הציבור, בשל הסכנה הרבה הנשקפת מעבירות אלה לחיי אדם וביטחון הציבור, ואף לצורך בהרתעת עבריינים מלבצע עבירות דומות, בשים לב לפוטנציאל הקטלני הגלום בעצם השימוש בנשק (מובן ששיקולי הרתעת היחיד והרבים ייבחנו כיום לפי "מעמדם" </w:t>
      </w:r>
      <w:hyperlink r:id="rId22" w:history="1">
        <w:r w:rsidR="00D20D85" w:rsidRPr="00D20D85">
          <w:rPr>
            <w:color w:val="0000FF"/>
            <w:sz w:val="26"/>
            <w:szCs w:val="26"/>
            <w:u w:val="single"/>
            <w:rtl/>
          </w:rPr>
          <w:t>בסעיפים 40ו.</w:t>
        </w:r>
      </w:hyperlink>
      <w:r w:rsidRPr="002A483F">
        <w:rPr>
          <w:sz w:val="26"/>
          <w:szCs w:val="26"/>
          <w:rtl/>
        </w:rPr>
        <w:t xml:space="preserve"> ו- </w:t>
      </w:r>
      <w:hyperlink r:id="rId23" w:history="1">
        <w:r w:rsidR="00D20D85" w:rsidRPr="00D20D85">
          <w:rPr>
            <w:color w:val="0000FF"/>
            <w:sz w:val="26"/>
            <w:szCs w:val="26"/>
            <w:u w:val="single"/>
            <w:rtl/>
          </w:rPr>
          <w:t>40ז</w:t>
        </w:r>
      </w:hyperlink>
      <w:r w:rsidRPr="002A483F">
        <w:rPr>
          <w:sz w:val="26"/>
          <w:szCs w:val="26"/>
          <w:rtl/>
        </w:rPr>
        <w:t>. ל</w:t>
      </w:r>
      <w:hyperlink r:id="rId24" w:history="1">
        <w:r w:rsidR="00AA2AF7" w:rsidRPr="00AA2AF7">
          <w:rPr>
            <w:rStyle w:val="Hyperlink"/>
            <w:sz w:val="26"/>
            <w:szCs w:val="26"/>
            <w:rtl/>
          </w:rPr>
          <w:t>חוק העונשין</w:t>
        </w:r>
      </w:hyperlink>
      <w:r w:rsidRPr="009D18F0">
        <w:rPr>
          <w:sz w:val="26"/>
          <w:szCs w:val="26"/>
          <w:u w:val="single"/>
          <w:rtl/>
        </w:rPr>
        <w:t>בתוך</w:t>
      </w:r>
      <w:r w:rsidRPr="002A483F">
        <w:rPr>
          <w:sz w:val="26"/>
          <w:szCs w:val="26"/>
          <w:rtl/>
        </w:rPr>
        <w:t xml:space="preserve"> מתחם העונש ההולם). </w:t>
      </w:r>
      <w:r w:rsidRPr="002A483F">
        <w:rPr>
          <w:sz w:val="26"/>
          <w:szCs w:val="26"/>
          <w:rtl/>
        </w:rPr>
        <w:tab/>
      </w:r>
      <w:r w:rsidRPr="002A483F">
        <w:rPr>
          <w:sz w:val="26"/>
          <w:szCs w:val="26"/>
          <w:rtl/>
        </w:rPr>
        <w:br/>
      </w:r>
    </w:p>
    <w:p w14:paraId="1543B89A" w14:textId="77777777" w:rsidR="00FC6325" w:rsidRPr="002A483F" w:rsidRDefault="00FC6325" w:rsidP="00E763A4">
      <w:pPr>
        <w:spacing w:line="360" w:lineRule="auto"/>
        <w:jc w:val="both"/>
        <w:rPr>
          <w:sz w:val="26"/>
          <w:szCs w:val="26"/>
          <w:rtl/>
        </w:rPr>
      </w:pPr>
      <w:r w:rsidRPr="002A483F">
        <w:rPr>
          <w:sz w:val="26"/>
          <w:szCs w:val="26"/>
          <w:rtl/>
        </w:rPr>
        <w:t xml:space="preserve">נפסק לא אחת, כי ככלל, החזקת נשק או נשיאתו ללא רשיון, </w:t>
      </w:r>
      <w:r w:rsidRPr="009D18F0">
        <w:rPr>
          <w:sz w:val="26"/>
          <w:szCs w:val="26"/>
          <w:u w:val="single"/>
          <w:rtl/>
        </w:rPr>
        <w:t>גם על ידי מי שאין לחובתו הרשעות קודמות</w:t>
      </w:r>
      <w:r>
        <w:rPr>
          <w:sz w:val="26"/>
          <w:szCs w:val="26"/>
          <w:rtl/>
        </w:rPr>
        <w:t>,</w:t>
      </w:r>
      <w:r w:rsidRPr="002A483F">
        <w:rPr>
          <w:sz w:val="26"/>
          <w:szCs w:val="26"/>
          <w:rtl/>
        </w:rPr>
        <w:t xml:space="preserve"> מחייבת הטלת עונש מאסר בפועל </w:t>
      </w:r>
      <w:r>
        <w:rPr>
          <w:sz w:val="26"/>
          <w:szCs w:val="26"/>
          <w:rtl/>
        </w:rPr>
        <w:t xml:space="preserve">מאחורי סורג ובריח </w:t>
      </w:r>
      <w:r w:rsidRPr="002A483F">
        <w:rPr>
          <w:sz w:val="26"/>
          <w:szCs w:val="26"/>
          <w:rtl/>
        </w:rPr>
        <w:t xml:space="preserve">וזאת, הן בשל הפוטנציאל הטמון בהחזקת נשק שלא כדין והן בשל הצורך בהרתעה (השוו למשל: </w:t>
      </w:r>
      <w:hyperlink r:id="rId25" w:history="1">
        <w:r w:rsidR="00AA2AF7" w:rsidRPr="00AA2AF7">
          <w:rPr>
            <w:rStyle w:val="Hyperlink"/>
            <w:sz w:val="26"/>
            <w:szCs w:val="26"/>
            <w:rtl/>
          </w:rPr>
          <w:t>רע"פ 2718/04</w:t>
        </w:r>
      </w:hyperlink>
      <w:r w:rsidR="00060400">
        <w:rPr>
          <w:rFonts w:hint="cs"/>
          <w:b/>
          <w:bCs/>
          <w:sz w:val="26"/>
          <w:szCs w:val="26"/>
          <w:rtl/>
        </w:rPr>
        <w:t xml:space="preserve"> </w:t>
      </w:r>
      <w:r w:rsidRPr="002A483F">
        <w:rPr>
          <w:b/>
          <w:bCs/>
          <w:sz w:val="26"/>
          <w:szCs w:val="26"/>
          <w:rtl/>
        </w:rPr>
        <w:t xml:space="preserve">פואד אבו דאחל נ' מדינת ישראל </w:t>
      </w:r>
      <w:r w:rsidRPr="002A483F">
        <w:rPr>
          <w:sz w:val="26"/>
          <w:szCs w:val="26"/>
          <w:rtl/>
        </w:rPr>
        <w:t xml:space="preserve"> [לא פורסם] </w:t>
      </w:r>
      <w:r w:rsidR="00060400" w:rsidRPr="00060400">
        <w:rPr>
          <w:sz w:val="22"/>
          <w:rtl/>
        </w:rPr>
        <w:t xml:space="preserve">[פורסם בנבו] </w:t>
      </w:r>
      <w:r w:rsidRPr="002A483F">
        <w:rPr>
          <w:sz w:val="26"/>
          <w:szCs w:val="26"/>
          <w:rtl/>
        </w:rPr>
        <w:t xml:space="preserve"> 23.9.04 (להלן: </w:t>
      </w:r>
      <w:r w:rsidRPr="002A483F">
        <w:rPr>
          <w:b/>
          <w:bCs/>
          <w:sz w:val="26"/>
          <w:szCs w:val="26"/>
          <w:rtl/>
        </w:rPr>
        <w:t>"עניין דאחל"</w:t>
      </w:r>
      <w:r w:rsidRPr="002A483F">
        <w:rPr>
          <w:sz w:val="26"/>
          <w:szCs w:val="26"/>
          <w:rtl/>
        </w:rPr>
        <w:t xml:space="preserve">; </w:t>
      </w:r>
      <w:hyperlink r:id="rId26" w:history="1">
        <w:r w:rsidR="00AA2AF7" w:rsidRPr="00AA2AF7">
          <w:rPr>
            <w:rStyle w:val="Hyperlink"/>
            <w:sz w:val="26"/>
            <w:szCs w:val="26"/>
            <w:rtl/>
          </w:rPr>
          <w:t>ע"פ 6583/06</w:t>
        </w:r>
      </w:hyperlink>
      <w:r w:rsidR="00060400">
        <w:rPr>
          <w:rFonts w:hint="cs"/>
          <w:b/>
          <w:bCs/>
          <w:sz w:val="26"/>
          <w:szCs w:val="26"/>
          <w:rtl/>
        </w:rPr>
        <w:t xml:space="preserve"> </w:t>
      </w:r>
      <w:r w:rsidRPr="002A483F">
        <w:rPr>
          <w:b/>
          <w:bCs/>
          <w:sz w:val="26"/>
          <w:szCs w:val="26"/>
          <w:rtl/>
        </w:rPr>
        <w:t>אגא אדהאם נ' מדינת ישראל</w:t>
      </w:r>
      <w:r w:rsidRPr="002A483F">
        <w:rPr>
          <w:sz w:val="26"/>
          <w:szCs w:val="26"/>
          <w:rtl/>
        </w:rPr>
        <w:t>, [לא פורסם]</w:t>
      </w:r>
      <w:r w:rsidR="00060400">
        <w:rPr>
          <w:rFonts w:hint="cs"/>
          <w:sz w:val="26"/>
          <w:szCs w:val="26"/>
          <w:rtl/>
        </w:rPr>
        <w:t xml:space="preserve"> </w:t>
      </w:r>
      <w:r w:rsidR="00060400" w:rsidRPr="00060400">
        <w:rPr>
          <w:sz w:val="22"/>
          <w:rtl/>
        </w:rPr>
        <w:t xml:space="preserve">[פורסם בנבו] </w:t>
      </w:r>
      <w:r w:rsidRPr="002A483F">
        <w:rPr>
          <w:sz w:val="26"/>
          <w:szCs w:val="26"/>
          <w:rtl/>
        </w:rPr>
        <w:t xml:space="preserve"> 12.7.06). עצם השגת נשק "בלתי חוקי" ונשיאתו בציבור על-ידי אדם בלתי מורשה מסָכּנים, סיכון ממשי את שלום הציבור ובטחונו ועל כן</w:t>
      </w:r>
      <w:r>
        <w:rPr>
          <w:sz w:val="26"/>
          <w:szCs w:val="26"/>
          <w:rtl/>
        </w:rPr>
        <w:t>,</w:t>
      </w:r>
      <w:r w:rsidRPr="002A483F">
        <w:rPr>
          <w:sz w:val="26"/>
          <w:szCs w:val="26"/>
          <w:rtl/>
        </w:rPr>
        <w:t xml:space="preserve"> ככל שעסקינן בעבירות בנשק, ייסוגו נסיבותיו האישיות של נאשם מפני שיקולים של אינטרס הציבור:</w:t>
      </w:r>
    </w:p>
    <w:p w14:paraId="620DAB08" w14:textId="77777777" w:rsidR="00FC6325" w:rsidRPr="002A483F" w:rsidRDefault="00FC6325" w:rsidP="00E763A4">
      <w:pPr>
        <w:spacing w:line="360" w:lineRule="auto"/>
        <w:jc w:val="both"/>
        <w:rPr>
          <w:spacing w:val="20"/>
          <w:sz w:val="26"/>
          <w:szCs w:val="26"/>
          <w:rtl/>
        </w:rPr>
      </w:pPr>
    </w:p>
    <w:p w14:paraId="41674FDC" w14:textId="77777777" w:rsidR="00FC6325" w:rsidRPr="002A483F" w:rsidRDefault="00FC6325" w:rsidP="00E763A4">
      <w:pPr>
        <w:ind w:left="1179" w:right="1560"/>
        <w:jc w:val="both"/>
        <w:rPr>
          <w:rFonts w:cs="Miriam"/>
          <w:b/>
          <w:bCs/>
          <w:spacing w:val="20"/>
          <w:sz w:val="26"/>
          <w:szCs w:val="26"/>
          <w:rtl/>
        </w:rPr>
      </w:pPr>
      <w:r w:rsidRPr="002A483F">
        <w:rPr>
          <w:spacing w:val="20"/>
          <w:sz w:val="26"/>
          <w:szCs w:val="26"/>
          <w:rtl/>
        </w:rPr>
        <w:t>"</w:t>
      </w:r>
      <w:r w:rsidRPr="002A483F">
        <w:rPr>
          <w:rFonts w:cs="Miriam"/>
          <w:b/>
          <w:bCs/>
          <w:spacing w:val="20"/>
          <w:sz w:val="26"/>
          <w:szCs w:val="26"/>
          <w:rtl/>
        </w:rPr>
        <w:t>הגיעה השעה להעלות את רף הענישה בעבירות נשק...יש לקוות שענישה מחמירה בתחום זה תרתיע את הסוחרים בנשק, מובילים בנשק ומבצעים עבירות דומות בקשר לכלי נשק. המערער אמנם בן 25, ללא עבר פלילי, אך כאשר עסקינן בעבירות כה חמורות ומסוכנות יש ליתן משקל עודף לאינטרס הציבורי על פני נתוניו האישיים של הנאשם" .</w:t>
      </w:r>
    </w:p>
    <w:p w14:paraId="336F91B9" w14:textId="77777777" w:rsidR="00FC6325" w:rsidRPr="002A483F" w:rsidRDefault="00FC6325" w:rsidP="00060400">
      <w:pPr>
        <w:ind w:left="1179" w:right="1134"/>
        <w:jc w:val="both"/>
        <w:rPr>
          <w:sz w:val="26"/>
          <w:szCs w:val="26"/>
          <w:rtl/>
        </w:rPr>
      </w:pPr>
      <w:r w:rsidRPr="002A483F">
        <w:rPr>
          <w:sz w:val="26"/>
          <w:szCs w:val="26"/>
          <w:rtl/>
        </w:rPr>
        <w:t>(</w:t>
      </w:r>
      <w:hyperlink r:id="rId27" w:history="1">
        <w:r w:rsidR="00AA2AF7" w:rsidRPr="00AA2AF7">
          <w:rPr>
            <w:rStyle w:val="Hyperlink"/>
            <w:sz w:val="26"/>
            <w:szCs w:val="26"/>
            <w:rtl/>
          </w:rPr>
          <w:t>ע"פ 8012/04</w:t>
        </w:r>
      </w:hyperlink>
      <w:r w:rsidR="00060400">
        <w:rPr>
          <w:rFonts w:hint="cs"/>
          <w:b/>
          <w:bCs/>
          <w:sz w:val="26"/>
          <w:szCs w:val="26"/>
          <w:rtl/>
        </w:rPr>
        <w:t xml:space="preserve"> </w:t>
      </w:r>
      <w:r w:rsidRPr="002A483F">
        <w:rPr>
          <w:b/>
          <w:bCs/>
          <w:sz w:val="26"/>
          <w:szCs w:val="26"/>
          <w:rtl/>
        </w:rPr>
        <w:t>מתאני נ' מדינת ישראל,</w:t>
      </w:r>
      <w:r w:rsidRPr="002A483F">
        <w:rPr>
          <w:sz w:val="26"/>
          <w:szCs w:val="26"/>
          <w:rtl/>
        </w:rPr>
        <w:t xml:space="preserve"> 16.11.05 [לא פורסם]</w:t>
      </w:r>
      <w:r w:rsidR="00060400">
        <w:rPr>
          <w:rFonts w:hint="cs"/>
          <w:sz w:val="26"/>
          <w:szCs w:val="26"/>
          <w:rtl/>
        </w:rPr>
        <w:t xml:space="preserve"> </w:t>
      </w:r>
      <w:r w:rsidR="00060400" w:rsidRPr="00060400">
        <w:rPr>
          <w:sz w:val="22"/>
          <w:rtl/>
        </w:rPr>
        <w:t>[פורסם בנבו]</w:t>
      </w:r>
      <w:r w:rsidRPr="002A483F">
        <w:rPr>
          <w:sz w:val="26"/>
          <w:szCs w:val="26"/>
          <w:rtl/>
        </w:rPr>
        <w:t>)</w:t>
      </w:r>
    </w:p>
    <w:p w14:paraId="5A364823" w14:textId="77777777" w:rsidR="00FC6325" w:rsidRPr="002A483F" w:rsidRDefault="00FC6325" w:rsidP="00E763A4">
      <w:pPr>
        <w:spacing w:line="360" w:lineRule="auto"/>
        <w:jc w:val="both"/>
        <w:rPr>
          <w:sz w:val="26"/>
          <w:szCs w:val="26"/>
          <w:rtl/>
        </w:rPr>
      </w:pPr>
    </w:p>
    <w:p w14:paraId="6F7A5010" w14:textId="77777777" w:rsidR="00FC6325" w:rsidRPr="002A483F" w:rsidRDefault="00FC6325" w:rsidP="00E763A4">
      <w:pPr>
        <w:jc w:val="both"/>
        <w:rPr>
          <w:sz w:val="26"/>
          <w:szCs w:val="26"/>
        </w:rPr>
      </w:pPr>
      <w:r w:rsidRPr="002A483F">
        <w:rPr>
          <w:sz w:val="26"/>
          <w:szCs w:val="26"/>
          <w:rtl/>
        </w:rPr>
        <w:t xml:space="preserve">וכן נאמר </w:t>
      </w:r>
      <w:r w:rsidRPr="002A483F">
        <w:rPr>
          <w:b/>
          <w:bCs/>
          <w:sz w:val="26"/>
          <w:szCs w:val="26"/>
          <w:rtl/>
        </w:rPr>
        <w:t>בעניין דאחל</w:t>
      </w:r>
      <w:r w:rsidRPr="002A483F">
        <w:rPr>
          <w:sz w:val="26"/>
          <w:szCs w:val="26"/>
          <w:rtl/>
        </w:rPr>
        <w:t>, לעיל:</w:t>
      </w:r>
    </w:p>
    <w:p w14:paraId="425E5E7D" w14:textId="77777777" w:rsidR="00FC6325" w:rsidRPr="002A483F" w:rsidRDefault="00FC6325" w:rsidP="00E763A4">
      <w:pPr>
        <w:jc w:val="both"/>
        <w:rPr>
          <w:sz w:val="26"/>
          <w:szCs w:val="26"/>
          <w:rtl/>
        </w:rPr>
      </w:pPr>
    </w:p>
    <w:p w14:paraId="395BB1CF" w14:textId="77777777" w:rsidR="00FC6325" w:rsidRPr="002A483F" w:rsidRDefault="00FC6325" w:rsidP="00E763A4">
      <w:pPr>
        <w:overflowPunct w:val="0"/>
        <w:autoSpaceDE w:val="0"/>
        <w:autoSpaceDN w:val="0"/>
        <w:adjustRightInd w:val="0"/>
        <w:ind w:left="1179" w:right="1560"/>
        <w:jc w:val="both"/>
        <w:rPr>
          <w:rFonts w:cs="Miriam"/>
          <w:b/>
          <w:bCs/>
          <w:spacing w:val="20"/>
          <w:sz w:val="26"/>
          <w:szCs w:val="26"/>
          <w:rtl/>
        </w:rPr>
      </w:pPr>
      <w:r w:rsidRPr="002A483F">
        <w:rPr>
          <w:rFonts w:cs="Miriam"/>
          <w:b/>
          <w:bCs/>
          <w:spacing w:val="20"/>
          <w:sz w:val="26"/>
          <w:szCs w:val="26"/>
          <w:rtl/>
        </w:rPr>
        <w:t>"</w:t>
      </w:r>
      <w:r w:rsidRPr="002A483F">
        <w:rPr>
          <w:rFonts w:cs="Miriam"/>
          <w:b/>
          <w:bCs/>
          <w:spacing w:val="20"/>
          <w:sz w:val="26"/>
          <w:szCs w:val="26"/>
          <w:u w:val="single"/>
          <w:rtl/>
        </w:rPr>
        <w:t>הסכנה הטמונה בעבירה החמורה של החזקת נשק מצדיקה הטלת עונשי מאסר לריצוי בפועל גם על מי שזו עבירתו הראשונה</w:t>
      </w:r>
      <w:r w:rsidRPr="002A483F">
        <w:rPr>
          <w:rFonts w:cs="Miriam"/>
          <w:b/>
          <w:bCs/>
          <w:spacing w:val="20"/>
          <w:sz w:val="26"/>
          <w:szCs w:val="26"/>
          <w:rtl/>
        </w:rPr>
        <w:t xml:space="preserve">.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p>
    <w:p w14:paraId="0DC12838" w14:textId="77777777" w:rsidR="00FC6325" w:rsidRPr="002A483F" w:rsidRDefault="00FC6325" w:rsidP="00E763A4">
      <w:pPr>
        <w:overflowPunct w:val="0"/>
        <w:autoSpaceDE w:val="0"/>
        <w:autoSpaceDN w:val="0"/>
        <w:adjustRightInd w:val="0"/>
        <w:spacing w:line="360" w:lineRule="auto"/>
        <w:ind w:left="1179" w:right="1134"/>
        <w:jc w:val="both"/>
        <w:rPr>
          <w:sz w:val="26"/>
          <w:szCs w:val="26"/>
          <w:rtl/>
        </w:rPr>
      </w:pPr>
    </w:p>
    <w:p w14:paraId="4630B3E6" w14:textId="77777777" w:rsidR="00FC6325" w:rsidRPr="002A483F" w:rsidRDefault="00FC6325" w:rsidP="00336AE5">
      <w:pPr>
        <w:pStyle w:val="normal-p"/>
        <w:bidi/>
        <w:spacing w:line="360" w:lineRule="auto"/>
        <w:jc w:val="both"/>
        <w:rPr>
          <w:rFonts w:cs="David"/>
          <w:sz w:val="26"/>
          <w:szCs w:val="26"/>
          <w:rtl/>
        </w:rPr>
      </w:pPr>
      <w:r w:rsidRPr="002A483F">
        <w:rPr>
          <w:rFonts w:cs="David"/>
          <w:sz w:val="26"/>
          <w:szCs w:val="26"/>
          <w:rtl/>
        </w:rPr>
        <w:t>על אחת כמה וכמה יש להחמיר עם מי שלא רק מחזיק או נושא נשק, אלא אף עושה בו שימוש, בירי מספר כדורים באזור מגורים צפוף.</w:t>
      </w:r>
      <w:r>
        <w:rPr>
          <w:rFonts w:cs="David"/>
          <w:sz w:val="26"/>
          <w:szCs w:val="26"/>
          <w:rtl/>
        </w:rPr>
        <w:t xml:space="preserve"> ודוק. רק כדור אחד ירה הנאשם "באויר" ומבין שאר הכדורים שירה, אחד פגע ברכב ובנס ניצלו היושבים בו, לרבות קטין, מפגיעתם. </w:t>
      </w:r>
    </w:p>
    <w:p w14:paraId="55726A4D" w14:textId="77777777" w:rsidR="00FC6325" w:rsidRPr="00E763A4" w:rsidRDefault="00FC6325" w:rsidP="00E763A4">
      <w:pPr>
        <w:pStyle w:val="normal-p"/>
        <w:bidi/>
        <w:jc w:val="both"/>
        <w:rPr>
          <w:rFonts w:cs="David"/>
          <w:sz w:val="6"/>
          <w:szCs w:val="6"/>
          <w:rtl/>
        </w:rPr>
      </w:pPr>
    </w:p>
    <w:p w14:paraId="2164ED75" w14:textId="77777777" w:rsidR="00FC6325" w:rsidRPr="002A483F" w:rsidRDefault="00FC6325" w:rsidP="00E763A4">
      <w:pPr>
        <w:pStyle w:val="normal-p"/>
        <w:bidi/>
        <w:spacing w:line="360" w:lineRule="auto"/>
        <w:jc w:val="both"/>
        <w:rPr>
          <w:rFonts w:cs="David"/>
          <w:sz w:val="26"/>
          <w:szCs w:val="26"/>
          <w:rtl/>
        </w:rPr>
      </w:pPr>
      <w:r w:rsidRPr="002A483F">
        <w:rPr>
          <w:rFonts w:cs="David"/>
          <w:sz w:val="26"/>
          <w:szCs w:val="26"/>
          <w:rtl/>
        </w:rPr>
        <w:t xml:space="preserve">על התופעה של שימוש בנשק לפתרון סכסוכים אמר ביהמ"ש העליון: </w:t>
      </w:r>
    </w:p>
    <w:p w14:paraId="37F6610B" w14:textId="77777777" w:rsidR="00FC6325" w:rsidRPr="002A483F" w:rsidRDefault="00FC6325" w:rsidP="00E763A4">
      <w:pPr>
        <w:pStyle w:val="normal-p"/>
        <w:bidi/>
        <w:spacing w:beforeAutospacing="0" w:afterAutospacing="0"/>
        <w:ind w:left="1179" w:right="1560"/>
        <w:jc w:val="both"/>
        <w:rPr>
          <w:rFonts w:cs="David"/>
          <w:sz w:val="26"/>
          <w:szCs w:val="26"/>
          <w:rtl/>
        </w:rPr>
      </w:pPr>
      <w:r w:rsidRPr="002A483F">
        <w:rPr>
          <w:rFonts w:cs="Miriam"/>
          <w:b/>
          <w:bCs/>
          <w:spacing w:val="20"/>
          <w:sz w:val="26"/>
          <w:szCs w:val="26"/>
          <w:rtl/>
        </w:rPr>
        <w:t>"תופעה נוראה זו פשתה בחברתנו, היתה כמחלה ממארת, וחובה היא המוטלת עלינו, על בית-המשפט, להעלות תרומתו למלחמה קשה זו. מלחמה היא שאסור לעשות בה ויתורים, שאם נוותר ונסלח תתגבר התופעה ותלך. חברתנו הפכה להיותה חברה אלימה, ותרומתו של בית-המשפט למלחמה באלימות היא בהטלת עונשים ראויים. בבואנו לגזור עונשים על עבריינים כמשיב שלפנינו,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לא נגיב בחומרה על מעשים כמעשה המשיב"</w:t>
      </w:r>
      <w:r w:rsidRPr="002A483F">
        <w:rPr>
          <w:rFonts w:cs="Miriam"/>
          <w:spacing w:val="20"/>
          <w:sz w:val="26"/>
          <w:szCs w:val="26"/>
          <w:rtl/>
        </w:rPr>
        <w:t>.</w:t>
      </w:r>
      <w:r w:rsidRPr="002A483F">
        <w:rPr>
          <w:rFonts w:cs="David"/>
          <w:sz w:val="26"/>
          <w:szCs w:val="26"/>
          <w:rtl/>
        </w:rPr>
        <w:t xml:space="preserve"> (</w:t>
      </w:r>
      <w:hyperlink r:id="rId28" w:history="1">
        <w:r w:rsidR="00AA2AF7" w:rsidRPr="00AA2AF7">
          <w:rPr>
            <w:rStyle w:val="Hyperlink"/>
            <w:rFonts w:cs="David"/>
            <w:sz w:val="26"/>
            <w:szCs w:val="26"/>
            <w:rtl/>
          </w:rPr>
          <w:t>ע"פ 5753/04</w:t>
        </w:r>
      </w:hyperlink>
      <w:r w:rsidR="00060400">
        <w:rPr>
          <w:rFonts w:cs="David" w:hint="cs"/>
          <w:b/>
          <w:bCs/>
          <w:sz w:val="26"/>
          <w:szCs w:val="26"/>
          <w:u w:val="single"/>
          <w:rtl/>
        </w:rPr>
        <w:t xml:space="preserve"> </w:t>
      </w:r>
      <w:r w:rsidRPr="002A483F">
        <w:rPr>
          <w:rFonts w:cs="David"/>
          <w:b/>
          <w:bCs/>
          <w:sz w:val="26"/>
          <w:szCs w:val="26"/>
          <w:u w:val="single"/>
          <w:rtl/>
        </w:rPr>
        <w:t>מדינת ישראל נ' ירון רייכמן</w:t>
      </w:r>
      <w:r w:rsidRPr="002A483F">
        <w:rPr>
          <w:rFonts w:cs="David"/>
          <w:sz w:val="26"/>
          <w:szCs w:val="26"/>
          <w:rtl/>
        </w:rPr>
        <w:t xml:space="preserve"> [לא פורסם]</w:t>
      </w:r>
      <w:r w:rsidR="00060400">
        <w:rPr>
          <w:rFonts w:cs="David" w:hint="cs"/>
          <w:sz w:val="26"/>
          <w:szCs w:val="26"/>
          <w:rtl/>
        </w:rPr>
        <w:t xml:space="preserve"> </w:t>
      </w:r>
      <w:r w:rsidR="00060400" w:rsidRPr="00060400">
        <w:rPr>
          <w:rFonts w:cs="David"/>
          <w:sz w:val="22"/>
          <w:rtl/>
        </w:rPr>
        <w:t xml:space="preserve">[פורסם בנבו] </w:t>
      </w:r>
      <w:r w:rsidRPr="002A483F">
        <w:rPr>
          <w:rFonts w:cs="David"/>
          <w:sz w:val="26"/>
          <w:szCs w:val="26"/>
          <w:rtl/>
        </w:rPr>
        <w:t xml:space="preserve"> 7.2.05).</w:t>
      </w:r>
    </w:p>
    <w:p w14:paraId="01F5BE0A" w14:textId="77777777" w:rsidR="00FC6325" w:rsidRPr="002A483F" w:rsidRDefault="00FC6325" w:rsidP="00E763A4">
      <w:pPr>
        <w:spacing w:line="480" w:lineRule="auto"/>
        <w:jc w:val="both"/>
        <w:rPr>
          <w:sz w:val="26"/>
          <w:szCs w:val="26"/>
          <w:rtl/>
        </w:rPr>
      </w:pPr>
    </w:p>
    <w:p w14:paraId="4B882D58" w14:textId="77777777" w:rsidR="00FC6325" w:rsidRPr="002A483F" w:rsidRDefault="00FC6325" w:rsidP="00E763A4">
      <w:pPr>
        <w:pStyle w:val="ListParagraph"/>
        <w:spacing w:line="360" w:lineRule="auto"/>
        <w:ind w:left="26"/>
        <w:jc w:val="both"/>
        <w:rPr>
          <w:rFonts w:ascii="Arial" w:hAnsi="Arial"/>
          <w:b/>
          <w:bCs/>
          <w:sz w:val="26"/>
          <w:szCs w:val="26"/>
        </w:rPr>
      </w:pPr>
      <w:r w:rsidRPr="002A483F">
        <w:rPr>
          <w:rFonts w:ascii="Arial" w:hAnsi="Arial"/>
          <w:sz w:val="26"/>
          <w:szCs w:val="26"/>
          <w:rtl/>
        </w:rPr>
        <w:t>כבר אמרתי בעניין אחר (</w:t>
      </w:r>
      <w:hyperlink r:id="rId29" w:history="1">
        <w:r w:rsidR="00AA2AF7" w:rsidRPr="00AA2AF7">
          <w:rPr>
            <w:rStyle w:val="Hyperlink"/>
            <w:rFonts w:ascii="Arial" w:hAnsi="Arial"/>
            <w:sz w:val="26"/>
            <w:szCs w:val="26"/>
            <w:rtl/>
          </w:rPr>
          <w:t>תפ (חי') 31972-04-12</w:t>
        </w:r>
      </w:hyperlink>
      <w:r w:rsidRPr="002A483F">
        <w:rPr>
          <w:rFonts w:ascii="Arial" w:hAnsi="Arial"/>
          <w:sz w:val="26"/>
          <w:szCs w:val="26"/>
          <w:rtl/>
        </w:rPr>
        <w:t xml:space="preserve"> </w:t>
      </w:r>
      <w:r w:rsidRPr="002A483F">
        <w:rPr>
          <w:rFonts w:ascii="Arial" w:hAnsi="Arial"/>
          <w:b/>
          <w:bCs/>
          <w:sz w:val="26"/>
          <w:szCs w:val="26"/>
          <w:u w:val="single"/>
          <w:rtl/>
        </w:rPr>
        <w:t>מ"י נ' בולבול,</w:t>
      </w:r>
      <w:r w:rsidRPr="002A483F">
        <w:rPr>
          <w:rFonts w:ascii="Arial" w:hAnsi="Arial"/>
          <w:sz w:val="26"/>
          <w:szCs w:val="26"/>
          <w:rtl/>
        </w:rPr>
        <w:t xml:space="preserve"> </w:t>
      </w:r>
      <w:r w:rsidR="00060400" w:rsidRPr="00060400">
        <w:rPr>
          <w:sz w:val="22"/>
          <w:rtl/>
        </w:rPr>
        <w:t xml:space="preserve">[פורסם בנבו] </w:t>
      </w:r>
      <w:r w:rsidRPr="002A483F">
        <w:rPr>
          <w:rFonts w:ascii="Arial" w:hAnsi="Arial"/>
          <w:sz w:val="26"/>
          <w:szCs w:val="26"/>
          <w:rtl/>
        </w:rPr>
        <w:t xml:space="preserve">מיום 5.12.12), כיחומרתה של עבירת נשיאת הנשק ללא היתר, מקורה בכך שעבירה זאת נעשית, לרוב, כדי לאפשר ביצוען של עבירות אחרות, שמעצם טבעו של הנשק, כרוכות באלימות או בהפחדה. </w:t>
      </w:r>
      <w:r w:rsidRPr="002A483F">
        <w:rPr>
          <w:rFonts w:ascii="Arial" w:hAnsi="Arial"/>
          <w:b/>
          <w:bCs/>
          <w:sz w:val="26"/>
          <w:szCs w:val="26"/>
          <w:rtl/>
        </w:rPr>
        <w:br/>
      </w:r>
    </w:p>
    <w:p w14:paraId="42406D27" w14:textId="77777777" w:rsidR="00FC6325" w:rsidRDefault="00FC6325" w:rsidP="00E763A4">
      <w:pPr>
        <w:spacing w:line="360" w:lineRule="auto"/>
        <w:jc w:val="both"/>
        <w:rPr>
          <w:sz w:val="26"/>
          <w:szCs w:val="26"/>
          <w:rtl/>
        </w:rPr>
      </w:pPr>
      <w:r w:rsidRPr="002A483F">
        <w:rPr>
          <w:sz w:val="26"/>
          <w:szCs w:val="26"/>
          <w:rtl/>
        </w:rPr>
        <w:t xml:space="preserve">אנו נתקלים במצב שהוא כמעט מגיפה בו נעשה שימוש תדיר בכלי נשק, קלים להשגה, במחיר "השווה לנפש כל עבריין" ולא אחת נפגעו חפים מפשע משימוש של עבריינים בכלי נשק חמים. </w:t>
      </w:r>
    </w:p>
    <w:p w14:paraId="3CA83607" w14:textId="77777777" w:rsidR="00FC6325" w:rsidRPr="002A483F" w:rsidRDefault="00FC6325" w:rsidP="00E763A4">
      <w:pPr>
        <w:spacing w:line="360" w:lineRule="auto"/>
        <w:jc w:val="both"/>
        <w:rPr>
          <w:sz w:val="26"/>
          <w:szCs w:val="26"/>
          <w:rtl/>
        </w:rPr>
      </w:pPr>
    </w:p>
    <w:p w14:paraId="1C2D819D" w14:textId="77777777" w:rsidR="00FC6325" w:rsidRPr="002A483F" w:rsidRDefault="00FC6325" w:rsidP="00E763A4">
      <w:pPr>
        <w:jc w:val="both"/>
        <w:rPr>
          <w:sz w:val="26"/>
          <w:szCs w:val="26"/>
          <w:rtl/>
        </w:rPr>
      </w:pPr>
    </w:p>
    <w:p w14:paraId="18D21A10" w14:textId="77777777" w:rsidR="00FC6325" w:rsidRPr="002A483F" w:rsidRDefault="00FC6325" w:rsidP="00E763A4">
      <w:pPr>
        <w:spacing w:line="360" w:lineRule="auto"/>
        <w:jc w:val="both"/>
        <w:rPr>
          <w:sz w:val="26"/>
          <w:szCs w:val="26"/>
          <w:rtl/>
        </w:rPr>
      </w:pPr>
      <w:r w:rsidRPr="002A483F">
        <w:rPr>
          <w:sz w:val="26"/>
          <w:szCs w:val="26"/>
          <w:rtl/>
        </w:rPr>
        <w:t>אין מדובר במקרה ספונטאני כי אם במעשה מתוכנן, כאשר הנאשם הגיע אל המקום בו היה המתלונן כשהוא מצויד בנשק חם, ביקש ממנו לצאת מן המקום ואז החל לאיים עליו כי "ישחט את ילדיו" וירה באוויר. גם כשהחל המתלונן להימלט, המשיך הנאשם לירות מספר כדורים נוספים.</w:t>
      </w:r>
    </w:p>
    <w:p w14:paraId="4F3E89DD" w14:textId="77777777" w:rsidR="00FC6325" w:rsidRPr="002A483F" w:rsidRDefault="00FC6325" w:rsidP="00E763A4">
      <w:pPr>
        <w:spacing w:line="360" w:lineRule="auto"/>
        <w:jc w:val="both"/>
        <w:rPr>
          <w:sz w:val="26"/>
          <w:szCs w:val="26"/>
          <w:rtl/>
        </w:rPr>
      </w:pPr>
    </w:p>
    <w:p w14:paraId="2D3BCA03" w14:textId="77777777" w:rsidR="00FC6325" w:rsidRDefault="00FC6325" w:rsidP="00E763A4">
      <w:pPr>
        <w:spacing w:line="360" w:lineRule="auto"/>
        <w:jc w:val="both"/>
        <w:rPr>
          <w:sz w:val="26"/>
          <w:szCs w:val="26"/>
          <w:rtl/>
        </w:rPr>
      </w:pPr>
      <w:r w:rsidRPr="002A483F">
        <w:rPr>
          <w:sz w:val="26"/>
          <w:szCs w:val="26"/>
          <w:rtl/>
        </w:rPr>
        <w:t>מאחר שמדובר בשכונת מגורים, פגע אחד הכדורים ברכב שעמד באזור ורק בנס לא נפגעו יושבי הרכב, בהם ילד כבן 12 בלבד.</w:t>
      </w:r>
    </w:p>
    <w:p w14:paraId="69C1B00D" w14:textId="77777777" w:rsidR="00FC6325" w:rsidRPr="002A483F" w:rsidRDefault="00FC6325" w:rsidP="00336AE5">
      <w:pPr>
        <w:jc w:val="both"/>
        <w:rPr>
          <w:sz w:val="26"/>
          <w:szCs w:val="26"/>
          <w:rtl/>
        </w:rPr>
      </w:pPr>
    </w:p>
    <w:p w14:paraId="468BD031" w14:textId="77777777" w:rsidR="00FC6325" w:rsidRDefault="00FC6325" w:rsidP="00E763A4">
      <w:pPr>
        <w:spacing w:line="360" w:lineRule="auto"/>
        <w:jc w:val="both"/>
        <w:rPr>
          <w:sz w:val="26"/>
          <w:szCs w:val="26"/>
          <w:rtl/>
        </w:rPr>
      </w:pPr>
      <w:r w:rsidRPr="002A483F">
        <w:rPr>
          <w:sz w:val="26"/>
          <w:szCs w:val="26"/>
          <w:rtl/>
        </w:rPr>
        <w:t xml:space="preserve">עיינתי בטיעוני הצדדים, והתחשבתי בערך החברתי המוגן </w:t>
      </w:r>
      <w:r>
        <w:rPr>
          <w:sz w:val="26"/>
          <w:szCs w:val="26"/>
          <w:rtl/>
        </w:rPr>
        <w:t>ש</w:t>
      </w:r>
      <w:r w:rsidRPr="002A483F">
        <w:rPr>
          <w:sz w:val="26"/>
          <w:szCs w:val="26"/>
          <w:rtl/>
        </w:rPr>
        <w:t>נפגע מביצוע העבירה - בטחון הציבור ושלמות גופו - במידת הפגיעה בו, במדיניות הענישה הנהוגה במקרים דומים, בנסיבות ביצוע העבירה במקרה זה (</w:t>
      </w:r>
      <w:hyperlink r:id="rId30" w:history="1">
        <w:r w:rsidR="00D20D85" w:rsidRPr="00D20D85">
          <w:rPr>
            <w:color w:val="0000FF"/>
            <w:sz w:val="26"/>
            <w:szCs w:val="26"/>
            <w:u w:val="single"/>
            <w:rtl/>
          </w:rPr>
          <w:t>סעיף 40ט.</w:t>
        </w:r>
      </w:hyperlink>
      <w:r w:rsidRPr="002A483F">
        <w:rPr>
          <w:sz w:val="26"/>
          <w:szCs w:val="26"/>
          <w:rtl/>
        </w:rPr>
        <w:t xml:space="preserve"> ל</w:t>
      </w:r>
      <w:hyperlink r:id="rId31" w:history="1">
        <w:r w:rsidR="00AA2AF7" w:rsidRPr="00AA2AF7">
          <w:rPr>
            <w:rStyle w:val="Hyperlink"/>
            <w:sz w:val="26"/>
            <w:szCs w:val="26"/>
            <w:rtl/>
          </w:rPr>
          <w:t>חוק העונשין</w:t>
        </w:r>
      </w:hyperlink>
      <w:r w:rsidRPr="002A483F">
        <w:rPr>
          <w:sz w:val="26"/>
          <w:szCs w:val="26"/>
          <w:rtl/>
        </w:rPr>
        <w:t xml:space="preserve">), בין היתר הנזק אשר עלול היה להיגרם כתוצאה מירי בשכונת מגורים תוך סיכון המתלונן ועוברי אורח תמימים והנזק </w:t>
      </w:r>
      <w:r>
        <w:rPr>
          <w:sz w:val="26"/>
          <w:szCs w:val="26"/>
          <w:rtl/>
        </w:rPr>
        <w:t xml:space="preserve">– המצומצם למרבה המזל – שנגרם בפועל </w:t>
      </w:r>
      <w:r w:rsidRPr="002A483F">
        <w:rPr>
          <w:sz w:val="26"/>
          <w:szCs w:val="26"/>
          <w:rtl/>
        </w:rPr>
        <w:t xml:space="preserve">לרכב. </w:t>
      </w:r>
    </w:p>
    <w:p w14:paraId="7CBED019" w14:textId="77777777" w:rsidR="00FC6325" w:rsidRDefault="00FC6325" w:rsidP="00E763A4">
      <w:pPr>
        <w:spacing w:line="360" w:lineRule="auto"/>
        <w:jc w:val="both"/>
        <w:rPr>
          <w:sz w:val="26"/>
          <w:szCs w:val="26"/>
          <w:rtl/>
        </w:rPr>
      </w:pPr>
    </w:p>
    <w:p w14:paraId="3F42494A" w14:textId="77777777" w:rsidR="00FC6325" w:rsidRDefault="00FC6325" w:rsidP="00060400">
      <w:pPr>
        <w:spacing w:line="360" w:lineRule="auto"/>
        <w:jc w:val="both"/>
        <w:rPr>
          <w:sz w:val="26"/>
          <w:szCs w:val="26"/>
          <w:rtl/>
        </w:rPr>
      </w:pPr>
      <w:r>
        <w:rPr>
          <w:sz w:val="26"/>
          <w:szCs w:val="26"/>
          <w:rtl/>
        </w:rPr>
        <w:t>בהתייחס ל"מדיניות הענישה הנהוגה", ראוי להפנות ל</w:t>
      </w:r>
      <w:hyperlink r:id="rId32" w:history="1">
        <w:r w:rsidR="00AA2AF7" w:rsidRPr="00AA2AF7">
          <w:rPr>
            <w:rStyle w:val="Hyperlink"/>
            <w:sz w:val="26"/>
            <w:szCs w:val="26"/>
            <w:rtl/>
          </w:rPr>
          <w:t>ע"פ 206/12</w:t>
        </w:r>
      </w:hyperlink>
      <w:r>
        <w:rPr>
          <w:sz w:val="26"/>
          <w:szCs w:val="26"/>
          <w:rtl/>
        </w:rPr>
        <w:t xml:space="preserve"> </w:t>
      </w:r>
      <w:r>
        <w:rPr>
          <w:b/>
          <w:bCs/>
          <w:sz w:val="26"/>
          <w:szCs w:val="26"/>
          <w:u w:val="single"/>
          <w:rtl/>
        </w:rPr>
        <w:t>מדינת ישראל נ' קאסם אסדי</w:t>
      </w:r>
      <w:r w:rsidRPr="00144D87">
        <w:rPr>
          <w:sz w:val="26"/>
          <w:szCs w:val="26"/>
          <w:u w:val="single"/>
          <w:rtl/>
        </w:rPr>
        <w:t>,</w:t>
      </w:r>
      <w:r>
        <w:rPr>
          <w:sz w:val="26"/>
          <w:szCs w:val="26"/>
          <w:rtl/>
        </w:rPr>
        <w:t>מיום 28.3.12 (לא פורסם)</w:t>
      </w:r>
      <w:r w:rsidR="00060400">
        <w:rPr>
          <w:rFonts w:hint="cs"/>
          <w:sz w:val="26"/>
          <w:szCs w:val="26"/>
          <w:rtl/>
        </w:rPr>
        <w:t xml:space="preserve">, </w:t>
      </w:r>
      <w:r w:rsidR="00060400" w:rsidRPr="00060400">
        <w:rPr>
          <w:sz w:val="22"/>
          <w:rtl/>
        </w:rPr>
        <w:t>[פורסם בנבו]</w:t>
      </w:r>
      <w:r>
        <w:rPr>
          <w:sz w:val="26"/>
          <w:szCs w:val="26"/>
          <w:rtl/>
        </w:rPr>
        <w:t xml:space="preserve">, שדומה לעניננו, בו נדון המשיב, שנעדר אף הוא עבר פלילי, על ידִי, בגין ירי באקדח אותו נשא ללא רשיון, איומים וירי בשטח בנוי, שעלול היה לפגוע באם וילדיה ששהו במרפסת, ל- 15 חודשי מאסר בפועל, מאסר מותנה ותשלום פיצויים בסך 10,000 ₪. </w:t>
      </w:r>
    </w:p>
    <w:p w14:paraId="6D027F9C" w14:textId="77777777" w:rsidR="00FC6325" w:rsidRDefault="00FC6325" w:rsidP="00DF181F">
      <w:pPr>
        <w:spacing w:line="360" w:lineRule="auto"/>
        <w:jc w:val="both"/>
        <w:rPr>
          <w:sz w:val="26"/>
          <w:szCs w:val="26"/>
          <w:rtl/>
        </w:rPr>
      </w:pPr>
    </w:p>
    <w:p w14:paraId="13E67AD0" w14:textId="77777777" w:rsidR="00FC6325" w:rsidRDefault="00FC6325" w:rsidP="00DF181F">
      <w:pPr>
        <w:spacing w:line="360" w:lineRule="auto"/>
        <w:jc w:val="both"/>
        <w:rPr>
          <w:sz w:val="26"/>
          <w:szCs w:val="26"/>
          <w:rtl/>
        </w:rPr>
      </w:pPr>
      <w:r>
        <w:rPr>
          <w:sz w:val="26"/>
          <w:szCs w:val="26"/>
          <w:rtl/>
        </w:rPr>
        <w:t xml:space="preserve">בית המשפט העליון דחה את ערעור המדינה על קולת העונש בציינו כי </w:t>
      </w:r>
      <w:r w:rsidRPr="00DF181F">
        <w:rPr>
          <w:rFonts w:cs="Miriam"/>
          <w:b/>
          <w:bCs/>
          <w:rtl/>
        </w:rPr>
        <w:t>"... העונש שהוטל על המשיב הולם את העבירות שביצע ואת כלל נסיבות המקרה..."</w:t>
      </w:r>
      <w:r>
        <w:rPr>
          <w:sz w:val="26"/>
          <w:szCs w:val="26"/>
          <w:rtl/>
        </w:rPr>
        <w:t>.</w:t>
      </w:r>
    </w:p>
    <w:p w14:paraId="0C0229D9" w14:textId="77777777" w:rsidR="00FC6325" w:rsidRDefault="00FC6325" w:rsidP="00DF181F">
      <w:pPr>
        <w:spacing w:line="360" w:lineRule="auto"/>
        <w:jc w:val="both"/>
        <w:rPr>
          <w:sz w:val="26"/>
          <w:szCs w:val="26"/>
          <w:rtl/>
        </w:rPr>
      </w:pPr>
    </w:p>
    <w:p w14:paraId="4A0C2AB8" w14:textId="77777777" w:rsidR="00FC6325" w:rsidRPr="00DF181F" w:rsidRDefault="00FC6325" w:rsidP="00DF181F">
      <w:pPr>
        <w:spacing w:line="360" w:lineRule="auto"/>
        <w:jc w:val="both"/>
        <w:rPr>
          <w:rFonts w:cs="Miriam"/>
          <w:b/>
          <w:bCs/>
          <w:rtl/>
        </w:rPr>
      </w:pPr>
      <w:r>
        <w:rPr>
          <w:sz w:val="26"/>
          <w:szCs w:val="26"/>
          <w:rtl/>
        </w:rPr>
        <w:t xml:space="preserve">אולם, ראוי לזכור כי עונשו של המשיב שם – שגם הוא לא הסגיר את הנשק – נגזר לאחר שהמלצת שרות המבחן לגביו היתה להשית עליו עונש מאסר לתקופה קצרה בלבד, דבר שלא קיים בעניננו. </w:t>
      </w:r>
    </w:p>
    <w:p w14:paraId="4FCFBA39" w14:textId="77777777" w:rsidR="00FC6325" w:rsidRPr="002A483F" w:rsidRDefault="00FC6325" w:rsidP="00336AE5">
      <w:pPr>
        <w:jc w:val="both"/>
        <w:rPr>
          <w:sz w:val="26"/>
          <w:szCs w:val="26"/>
          <w:rtl/>
        </w:rPr>
      </w:pPr>
    </w:p>
    <w:p w14:paraId="6F27ED54" w14:textId="77777777" w:rsidR="00FC6325" w:rsidRPr="002A483F" w:rsidRDefault="00FC6325" w:rsidP="00E763A4">
      <w:pPr>
        <w:spacing w:line="360" w:lineRule="auto"/>
        <w:jc w:val="both"/>
        <w:rPr>
          <w:sz w:val="26"/>
          <w:szCs w:val="26"/>
          <w:rtl/>
        </w:rPr>
      </w:pPr>
      <w:r w:rsidRPr="002A483F">
        <w:rPr>
          <w:sz w:val="26"/>
          <w:szCs w:val="26"/>
          <w:rtl/>
        </w:rPr>
        <w:t xml:space="preserve">לאחר עיון בפסיקה המתאימה לענייננו, אני קובע כי מתחם העונש ההולם בעבירות הנשק בהן הורשע הנאשם, על נסיבות ביצוען, נע בין 15 חודשי מאסר ל – 4 שנות מאסר בפועל. </w:t>
      </w:r>
    </w:p>
    <w:p w14:paraId="69C89A70" w14:textId="77777777" w:rsidR="00FC6325" w:rsidRPr="002A483F" w:rsidRDefault="00FC6325" w:rsidP="00E763A4">
      <w:pPr>
        <w:tabs>
          <w:tab w:val="left" w:pos="1962"/>
          <w:tab w:val="center" w:pos="4156"/>
        </w:tabs>
        <w:spacing w:line="360" w:lineRule="auto"/>
        <w:jc w:val="both"/>
        <w:rPr>
          <w:sz w:val="26"/>
          <w:szCs w:val="26"/>
          <w:rtl/>
        </w:rPr>
      </w:pPr>
    </w:p>
    <w:p w14:paraId="4FD99C52" w14:textId="77777777" w:rsidR="00FC6325" w:rsidRDefault="00FC6325" w:rsidP="00144D87">
      <w:pPr>
        <w:ind w:left="26" w:hanging="26"/>
        <w:jc w:val="both"/>
        <w:rPr>
          <w:sz w:val="26"/>
          <w:szCs w:val="26"/>
          <w:rtl/>
        </w:rPr>
      </w:pPr>
    </w:p>
    <w:p w14:paraId="6A4EC343" w14:textId="77777777" w:rsidR="00FC6325" w:rsidRPr="002A483F" w:rsidRDefault="00FC6325" w:rsidP="00E763A4">
      <w:pPr>
        <w:spacing w:line="360" w:lineRule="auto"/>
        <w:ind w:left="26" w:hanging="26"/>
        <w:jc w:val="both"/>
        <w:rPr>
          <w:rFonts w:ascii="Arial" w:hAnsi="Arial"/>
          <w:sz w:val="26"/>
          <w:szCs w:val="26"/>
          <w:rtl/>
        </w:rPr>
      </w:pPr>
      <w:r w:rsidRPr="002A483F">
        <w:rPr>
          <w:sz w:val="26"/>
          <w:szCs w:val="26"/>
          <w:rtl/>
        </w:rPr>
        <w:t xml:space="preserve">לצורך קביעת העונש </w:t>
      </w:r>
      <w:r w:rsidRPr="002A483F">
        <w:rPr>
          <w:sz w:val="26"/>
          <w:szCs w:val="26"/>
          <w:u w:val="single"/>
          <w:rtl/>
        </w:rPr>
        <w:t>בתוך מסגרת מתחם העונש ההולם</w:t>
      </w:r>
      <w:r w:rsidRPr="002A483F">
        <w:rPr>
          <w:sz w:val="26"/>
          <w:szCs w:val="26"/>
          <w:rtl/>
        </w:rPr>
        <w:t xml:space="preserve">, אתחשב </w:t>
      </w:r>
      <w:r w:rsidRPr="00C60490">
        <w:rPr>
          <w:b/>
          <w:bCs/>
          <w:sz w:val="26"/>
          <w:szCs w:val="26"/>
          <w:rtl/>
        </w:rPr>
        <w:t>לחומרא</w:t>
      </w:r>
      <w:r>
        <w:rPr>
          <w:sz w:val="26"/>
          <w:szCs w:val="26"/>
          <w:rtl/>
        </w:rPr>
        <w:t xml:space="preserve">, </w:t>
      </w:r>
      <w:r w:rsidRPr="002A483F">
        <w:rPr>
          <w:sz w:val="26"/>
          <w:szCs w:val="26"/>
          <w:rtl/>
        </w:rPr>
        <w:t>בהתרשמות שרות המבחן בדבר הסיכון העתידי הנשקף מהנאשם</w:t>
      </w:r>
      <w:r>
        <w:rPr>
          <w:sz w:val="26"/>
          <w:szCs w:val="26"/>
          <w:rtl/>
        </w:rPr>
        <w:t>, שהינו ברמה "בינונית-גבוהה"</w:t>
      </w:r>
      <w:r w:rsidRPr="002A483F">
        <w:rPr>
          <w:sz w:val="26"/>
          <w:szCs w:val="26"/>
          <w:rtl/>
        </w:rPr>
        <w:t xml:space="preserve">. </w:t>
      </w:r>
    </w:p>
    <w:p w14:paraId="6AA5DA7F" w14:textId="77777777" w:rsidR="00FC6325" w:rsidRPr="002A483F" w:rsidRDefault="00FC6325" w:rsidP="00E763A4">
      <w:pPr>
        <w:spacing w:line="360" w:lineRule="auto"/>
        <w:ind w:left="26" w:hanging="26"/>
        <w:jc w:val="both"/>
        <w:rPr>
          <w:rFonts w:ascii="Arial" w:hAnsi="Arial"/>
          <w:sz w:val="26"/>
          <w:szCs w:val="26"/>
          <w:rtl/>
        </w:rPr>
      </w:pPr>
    </w:p>
    <w:p w14:paraId="77BC2F52" w14:textId="77777777" w:rsidR="00FC6325" w:rsidRPr="002A483F" w:rsidRDefault="00FC6325" w:rsidP="00E763A4">
      <w:pPr>
        <w:spacing w:line="360" w:lineRule="auto"/>
        <w:jc w:val="both"/>
        <w:rPr>
          <w:sz w:val="26"/>
          <w:szCs w:val="26"/>
          <w:rtl/>
        </w:rPr>
      </w:pPr>
      <w:r w:rsidRPr="002A483F">
        <w:rPr>
          <w:rFonts w:ascii="Arial" w:hAnsi="Arial"/>
          <w:sz w:val="26"/>
          <w:szCs w:val="26"/>
          <w:rtl/>
        </w:rPr>
        <w:t xml:space="preserve">במקרה זה, לא אוכל לזקוף לזכות הנאשם את הסגרת האקדח. ידוע כי בשל ריבוי כלי הנשק הנמצאים בידי ציבור גדול ללא היתר, בתי המשפט נוהגים להקל </w:t>
      </w:r>
      <w:r>
        <w:rPr>
          <w:rFonts w:ascii="Arial" w:hAnsi="Arial"/>
          <w:sz w:val="26"/>
          <w:szCs w:val="26"/>
          <w:rtl/>
        </w:rPr>
        <w:t>במידת מה</w:t>
      </w:r>
      <w:r w:rsidRPr="002A483F">
        <w:rPr>
          <w:rFonts w:ascii="Arial" w:hAnsi="Arial"/>
          <w:sz w:val="26"/>
          <w:szCs w:val="26"/>
          <w:rtl/>
        </w:rPr>
        <w:t xml:space="preserve"> עם נאשמים המסגירים את כלי הנשק למשטרה, בכדי שיהא בכך לעודד גם אחרים לנהוג כמוהם. </w:t>
      </w:r>
      <w:r>
        <w:rPr>
          <w:sz w:val="26"/>
          <w:szCs w:val="26"/>
          <w:rtl/>
        </w:rPr>
        <w:t xml:space="preserve">מכיוון </w:t>
      </w:r>
      <w:r w:rsidRPr="002A483F">
        <w:rPr>
          <w:sz w:val="26"/>
          <w:szCs w:val="26"/>
          <w:rtl/>
        </w:rPr>
        <w:t>ש</w:t>
      </w:r>
      <w:r w:rsidRPr="002A483F">
        <w:rPr>
          <w:rFonts w:ascii="Arial" w:hAnsi="Arial"/>
          <w:sz w:val="26"/>
          <w:szCs w:val="26"/>
          <w:rtl/>
        </w:rPr>
        <w:t>האקדח בו עשה הנאשם שימוש לא "הוסגר" לידי המשטרה</w:t>
      </w:r>
      <w:r>
        <w:rPr>
          <w:rFonts w:ascii="Arial" w:hAnsi="Arial"/>
          <w:sz w:val="26"/>
          <w:szCs w:val="26"/>
          <w:rtl/>
        </w:rPr>
        <w:t>,</w:t>
      </w:r>
      <w:r w:rsidRPr="002A483F">
        <w:rPr>
          <w:rFonts w:ascii="Arial" w:hAnsi="Arial"/>
          <w:sz w:val="26"/>
          <w:szCs w:val="26"/>
          <w:rtl/>
        </w:rPr>
        <w:t xml:space="preserve"> לא ניתן לשלול את האפשרות כי הנשק ישמש בעתיד </w:t>
      </w:r>
      <w:r>
        <w:rPr>
          <w:rFonts w:ascii="Arial" w:hAnsi="Arial"/>
          <w:sz w:val="26"/>
          <w:szCs w:val="26"/>
          <w:rtl/>
        </w:rPr>
        <w:t xml:space="preserve">לפעילות עבריינית זאת או אחרת. </w:t>
      </w:r>
    </w:p>
    <w:p w14:paraId="0970604B" w14:textId="77777777" w:rsidR="00FC6325" w:rsidRPr="002A483F" w:rsidRDefault="00FC6325" w:rsidP="00E763A4">
      <w:pPr>
        <w:spacing w:line="360" w:lineRule="auto"/>
        <w:jc w:val="both"/>
        <w:rPr>
          <w:sz w:val="26"/>
          <w:szCs w:val="26"/>
          <w:rtl/>
        </w:rPr>
      </w:pPr>
    </w:p>
    <w:p w14:paraId="372AC855" w14:textId="77777777" w:rsidR="00FC6325" w:rsidRPr="002A483F" w:rsidRDefault="00FC6325" w:rsidP="00DF181F">
      <w:pPr>
        <w:spacing w:line="360" w:lineRule="auto"/>
        <w:jc w:val="both"/>
        <w:rPr>
          <w:sz w:val="26"/>
          <w:szCs w:val="26"/>
          <w:rtl/>
        </w:rPr>
      </w:pPr>
      <w:r w:rsidRPr="002A483F">
        <w:rPr>
          <w:b/>
          <w:bCs/>
          <w:sz w:val="26"/>
          <w:szCs w:val="26"/>
          <w:rtl/>
        </w:rPr>
        <w:t>לקולא</w:t>
      </w:r>
      <w:r w:rsidRPr="002A483F">
        <w:rPr>
          <w:sz w:val="26"/>
          <w:szCs w:val="26"/>
          <w:rtl/>
        </w:rPr>
        <w:t xml:space="preserve">, אתחשב </w:t>
      </w:r>
      <w:r>
        <w:rPr>
          <w:sz w:val="26"/>
          <w:szCs w:val="26"/>
          <w:rtl/>
        </w:rPr>
        <w:t>ב</w:t>
      </w:r>
      <w:r w:rsidRPr="002A483F">
        <w:rPr>
          <w:sz w:val="26"/>
          <w:szCs w:val="26"/>
          <w:rtl/>
        </w:rPr>
        <w:t>הודאתו</w:t>
      </w:r>
      <w:r>
        <w:rPr>
          <w:sz w:val="26"/>
          <w:szCs w:val="26"/>
          <w:rtl/>
        </w:rPr>
        <w:t xml:space="preserve">, אשר חסכה זמן שיפוטי ומנעה את העדת המתלונן ובחרטתו של הנאשם, הנראית לי כנה. כן אתחשב </w:t>
      </w:r>
      <w:r w:rsidRPr="002A483F">
        <w:rPr>
          <w:sz w:val="26"/>
          <w:szCs w:val="26"/>
          <w:rtl/>
        </w:rPr>
        <w:t>בגילו הצעיר</w:t>
      </w:r>
      <w:r>
        <w:rPr>
          <w:sz w:val="26"/>
          <w:szCs w:val="26"/>
          <w:rtl/>
        </w:rPr>
        <w:t>,ב</w:t>
      </w:r>
      <w:r w:rsidRPr="002A483F">
        <w:rPr>
          <w:sz w:val="26"/>
          <w:szCs w:val="26"/>
          <w:rtl/>
        </w:rPr>
        <w:t>העדר עבר פלילי לחובתו</w:t>
      </w:r>
      <w:r>
        <w:rPr>
          <w:sz w:val="26"/>
          <w:szCs w:val="26"/>
          <w:rtl/>
        </w:rPr>
        <w:t>, בהיות זה מאסרו הראשון ובתקופת מעצר הבית הממושכת בה היה נתון.</w:t>
      </w:r>
      <w:r w:rsidRPr="002A483F">
        <w:rPr>
          <w:sz w:val="26"/>
          <w:szCs w:val="26"/>
          <w:rtl/>
        </w:rPr>
        <w:t xml:space="preserve"> אתחשב</w:t>
      </w:r>
      <w:r>
        <w:rPr>
          <w:sz w:val="26"/>
          <w:szCs w:val="26"/>
          <w:rtl/>
        </w:rPr>
        <w:t xml:space="preserve"> גם</w:t>
      </w:r>
      <w:r w:rsidRPr="002A483F">
        <w:rPr>
          <w:sz w:val="26"/>
          <w:szCs w:val="26"/>
          <w:rtl/>
        </w:rPr>
        <w:t xml:space="preserve"> בנסיבותיו האישיות כפי שפורטו בפני, ובייחוד </w:t>
      </w:r>
      <w:r>
        <w:rPr>
          <w:sz w:val="26"/>
          <w:szCs w:val="26"/>
          <w:rtl/>
        </w:rPr>
        <w:t xml:space="preserve">בכך </w:t>
      </w:r>
      <w:r w:rsidRPr="002A483F">
        <w:rPr>
          <w:sz w:val="26"/>
          <w:szCs w:val="26"/>
          <w:rtl/>
        </w:rPr>
        <w:t>שהוא מ</w:t>
      </w:r>
      <w:r>
        <w:rPr>
          <w:sz w:val="26"/>
          <w:szCs w:val="26"/>
          <w:rtl/>
        </w:rPr>
        <w:t>שמש</w:t>
      </w:r>
      <w:r w:rsidRPr="002A483F">
        <w:rPr>
          <w:sz w:val="26"/>
          <w:szCs w:val="26"/>
          <w:rtl/>
        </w:rPr>
        <w:t xml:space="preserve"> נדבך מרכזי בפרנסת המשפחה כולה</w:t>
      </w:r>
      <w:r>
        <w:rPr>
          <w:sz w:val="26"/>
          <w:szCs w:val="26"/>
          <w:rtl/>
        </w:rPr>
        <w:t>, שעמד להינשא</w:t>
      </w:r>
      <w:r w:rsidRPr="002A483F">
        <w:rPr>
          <w:sz w:val="26"/>
          <w:szCs w:val="26"/>
          <w:rtl/>
        </w:rPr>
        <w:t>.</w:t>
      </w:r>
    </w:p>
    <w:p w14:paraId="7F54295C" w14:textId="77777777" w:rsidR="00FC6325" w:rsidRPr="002A483F" w:rsidRDefault="00FC6325" w:rsidP="00E763A4">
      <w:pPr>
        <w:spacing w:line="360" w:lineRule="auto"/>
        <w:jc w:val="both"/>
        <w:rPr>
          <w:rFonts w:ascii="Arial" w:hAnsi="Arial"/>
          <w:sz w:val="26"/>
          <w:szCs w:val="26"/>
          <w:rtl/>
        </w:rPr>
      </w:pPr>
    </w:p>
    <w:p w14:paraId="5AC3AF5F" w14:textId="77777777" w:rsidR="00FC6325" w:rsidRPr="002A483F" w:rsidRDefault="00FC6325" w:rsidP="00E763A4">
      <w:pPr>
        <w:spacing w:line="360" w:lineRule="auto"/>
        <w:ind w:left="45"/>
        <w:jc w:val="both"/>
        <w:rPr>
          <w:sz w:val="26"/>
          <w:szCs w:val="26"/>
          <w:rtl/>
        </w:rPr>
      </w:pPr>
      <w:r w:rsidRPr="002A483F">
        <w:rPr>
          <w:sz w:val="26"/>
          <w:szCs w:val="26"/>
          <w:rtl/>
        </w:rPr>
        <w:t xml:space="preserve">אתחשב </w:t>
      </w:r>
      <w:r>
        <w:rPr>
          <w:sz w:val="26"/>
          <w:szCs w:val="26"/>
          <w:rtl/>
        </w:rPr>
        <w:t xml:space="preserve">לקולא </w:t>
      </w:r>
      <w:r w:rsidRPr="002A483F">
        <w:rPr>
          <w:sz w:val="26"/>
          <w:szCs w:val="26"/>
          <w:rtl/>
        </w:rPr>
        <w:t>גם בסולחה שנערכה בין הנאשם למתלונן. אף כי הסולחה אינה תחליף לדין ולמטרות הענישה, ניתן לראות כי בפסיקת בית המשפט העליון, קיימת התחשבות בסולחה כשיקול לקולא</w:t>
      </w:r>
      <w:r>
        <w:rPr>
          <w:sz w:val="26"/>
          <w:szCs w:val="26"/>
          <w:rtl/>
        </w:rPr>
        <w:t>,</w:t>
      </w:r>
      <w:r w:rsidRPr="002A483F">
        <w:rPr>
          <w:sz w:val="26"/>
          <w:szCs w:val="26"/>
          <w:rtl/>
        </w:rPr>
        <w:t xml:space="preserve"> בהיותה, בראש וראשונה</w:t>
      </w:r>
      <w:r>
        <w:rPr>
          <w:sz w:val="26"/>
          <w:szCs w:val="26"/>
          <w:rtl/>
        </w:rPr>
        <w:t>,</w:t>
      </w:r>
      <w:r w:rsidRPr="002A483F">
        <w:rPr>
          <w:sz w:val="26"/>
          <w:szCs w:val="26"/>
          <w:rtl/>
        </w:rPr>
        <w:t xml:space="preserve"> גורם "להשקטת הרוחות" במגזרים בהם היא מקובלת</w:t>
      </w:r>
      <w:r>
        <w:rPr>
          <w:sz w:val="26"/>
          <w:szCs w:val="26"/>
          <w:rtl/>
        </w:rPr>
        <w:t>,</w:t>
      </w:r>
      <w:r w:rsidRPr="002A483F">
        <w:rPr>
          <w:sz w:val="26"/>
          <w:szCs w:val="26"/>
          <w:rtl/>
        </w:rPr>
        <w:t xml:space="preserve"> ובהיותה למעשה התחשבות ברצונו של הקורבן אשר זוכה לאחרונה בחקיקה ובפסיקה למעמד חשוב בין שיקולי הענישה. </w:t>
      </w:r>
    </w:p>
    <w:p w14:paraId="202BC095" w14:textId="77777777" w:rsidR="00FC6325" w:rsidRPr="002A483F" w:rsidRDefault="00FC6325" w:rsidP="00E763A4">
      <w:pPr>
        <w:spacing w:line="360" w:lineRule="auto"/>
        <w:ind w:left="45"/>
        <w:jc w:val="both"/>
        <w:rPr>
          <w:sz w:val="26"/>
          <w:szCs w:val="26"/>
          <w:rtl/>
        </w:rPr>
      </w:pPr>
    </w:p>
    <w:p w14:paraId="4987CB47" w14:textId="77777777" w:rsidR="00FC6325" w:rsidRPr="002A483F" w:rsidRDefault="00FC6325" w:rsidP="00E763A4">
      <w:pPr>
        <w:spacing w:line="360" w:lineRule="auto"/>
        <w:ind w:left="45"/>
        <w:jc w:val="both"/>
        <w:rPr>
          <w:sz w:val="26"/>
          <w:szCs w:val="26"/>
          <w:rtl/>
        </w:rPr>
      </w:pPr>
      <w:r w:rsidRPr="002A483F">
        <w:rPr>
          <w:sz w:val="26"/>
          <w:szCs w:val="26"/>
          <w:rtl/>
        </w:rPr>
        <w:t>היטיב לנסח את חשיבות נושא הסולחה כשיקול לקולא בין שאר שיקולי ומטרות הענישה, עמיתי, כב' השופט ר. שפירא ב</w:t>
      </w:r>
      <w:hyperlink r:id="rId33" w:history="1">
        <w:r w:rsidR="00AA2AF7" w:rsidRPr="00AA2AF7">
          <w:rPr>
            <w:rStyle w:val="Hyperlink"/>
            <w:sz w:val="26"/>
            <w:szCs w:val="26"/>
            <w:rtl/>
          </w:rPr>
          <w:t>ת"פ (חי') 161/01</w:t>
        </w:r>
      </w:hyperlink>
      <w:r w:rsidR="00060400">
        <w:rPr>
          <w:rFonts w:hint="cs"/>
          <w:b/>
          <w:bCs/>
          <w:sz w:val="26"/>
          <w:szCs w:val="26"/>
          <w:u w:val="single"/>
          <w:rtl/>
        </w:rPr>
        <w:t xml:space="preserve"> </w:t>
      </w:r>
      <w:r w:rsidRPr="002A483F">
        <w:rPr>
          <w:b/>
          <w:bCs/>
          <w:sz w:val="26"/>
          <w:szCs w:val="26"/>
          <w:u w:val="single"/>
          <w:rtl/>
        </w:rPr>
        <w:t>מדינת ישראל נ' עומר שאהב</w:t>
      </w:r>
      <w:r w:rsidRPr="002A483F">
        <w:rPr>
          <w:sz w:val="26"/>
          <w:szCs w:val="26"/>
          <w:rtl/>
        </w:rPr>
        <w:t xml:space="preserve"> , </w:t>
      </w:r>
      <w:r w:rsidR="00060400" w:rsidRPr="00060400">
        <w:rPr>
          <w:sz w:val="22"/>
          <w:rtl/>
        </w:rPr>
        <w:t xml:space="preserve">[פורסם בנבו] </w:t>
      </w:r>
      <w:r w:rsidRPr="002A483F">
        <w:rPr>
          <w:sz w:val="26"/>
          <w:szCs w:val="26"/>
          <w:rtl/>
        </w:rPr>
        <w:t>תק-מח 2003 (1) 5917:</w:t>
      </w:r>
    </w:p>
    <w:p w14:paraId="798E30A4" w14:textId="77777777" w:rsidR="00FC6325" w:rsidRPr="002A483F" w:rsidRDefault="00FC6325" w:rsidP="00144D87">
      <w:pPr>
        <w:ind w:left="720"/>
        <w:jc w:val="both"/>
        <w:rPr>
          <w:rFonts w:cs="FrankRuehl"/>
          <w:sz w:val="26"/>
          <w:szCs w:val="26"/>
          <w:rtl/>
        </w:rPr>
      </w:pPr>
    </w:p>
    <w:p w14:paraId="5EECF937" w14:textId="77777777" w:rsidR="00FC6325" w:rsidRPr="002A483F" w:rsidRDefault="00FC6325" w:rsidP="00E763A4">
      <w:pPr>
        <w:ind w:left="1125" w:right="1134"/>
        <w:jc w:val="both"/>
        <w:rPr>
          <w:rFonts w:cs="Miriam"/>
          <w:b/>
          <w:bCs/>
          <w:sz w:val="26"/>
          <w:szCs w:val="26"/>
          <w:rtl/>
        </w:rPr>
      </w:pPr>
      <w:r w:rsidRPr="002A483F">
        <w:rPr>
          <w:rFonts w:cs="Miriam"/>
          <w:b/>
          <w:bCs/>
          <w:sz w:val="26"/>
          <w:szCs w:val="26"/>
          <w:rtl/>
        </w:rPr>
        <w:t xml:space="preserve">"... סבור אני  כי יש מקום ליתן משקל של ממש להסכם סולחה שנערך ע"י נכבדים במגזר הערבי, זאת הן מהטעם של כיבוד רצונו של הקורבן והן מהטעם של חיזוק המערכת המסורתית של גיבוש הסכמי סולחה. מובן כי קיומה של סולחה אינה מפחיתה ממצוות המחוקק בכל הנוגע למדיניות ענישה ראויה ואולם, במקרים מיוחדים, כאשר הנסיבות מצדיקות זאת, יש לתת להסכם הסולחה משקל של ממש במסגרת מכלול שיקולי הענישה".  </w:t>
      </w:r>
    </w:p>
    <w:p w14:paraId="442193B7" w14:textId="77777777" w:rsidR="00FC6325" w:rsidRDefault="00FC6325" w:rsidP="00DF181F">
      <w:pPr>
        <w:spacing w:line="360" w:lineRule="auto"/>
        <w:jc w:val="both"/>
        <w:rPr>
          <w:sz w:val="26"/>
          <w:szCs w:val="26"/>
          <w:rtl/>
        </w:rPr>
      </w:pPr>
    </w:p>
    <w:p w14:paraId="572C9A10" w14:textId="77777777" w:rsidR="00FC6325" w:rsidRPr="002A483F" w:rsidRDefault="00FC6325" w:rsidP="00DF181F">
      <w:pPr>
        <w:spacing w:line="360" w:lineRule="auto"/>
        <w:jc w:val="both"/>
        <w:rPr>
          <w:rStyle w:val="david-h1"/>
          <w:sz w:val="26"/>
          <w:szCs w:val="26"/>
          <w:rtl/>
        </w:rPr>
      </w:pPr>
      <w:r w:rsidRPr="002A483F">
        <w:rPr>
          <w:sz w:val="26"/>
          <w:szCs w:val="26"/>
          <w:rtl/>
        </w:rPr>
        <w:t>בהקשר זה אומר כי התרשמתי מדברי עו"ד מסארוה, ראש מועצ</w:t>
      </w:r>
      <w:r>
        <w:rPr>
          <w:sz w:val="26"/>
          <w:szCs w:val="26"/>
          <w:rtl/>
        </w:rPr>
        <w:t>ת</w:t>
      </w:r>
      <w:r w:rsidRPr="002A483F">
        <w:rPr>
          <w:sz w:val="26"/>
          <w:szCs w:val="26"/>
          <w:rtl/>
        </w:rPr>
        <w:t xml:space="preserve"> כפר קרע, כי מדובר בסולחה אמיתית על אף שלא שולם פיצוי למתלונן. ודוק, אף אם הסולחה מיועדת </w:t>
      </w:r>
      <w:r>
        <w:rPr>
          <w:sz w:val="26"/>
          <w:szCs w:val="26"/>
          <w:rtl/>
        </w:rPr>
        <w:t xml:space="preserve">רק </w:t>
      </w:r>
      <w:bookmarkStart w:id="11" w:name="_GoBack"/>
      <w:bookmarkEnd w:id="11"/>
      <w:r w:rsidRPr="002A483F">
        <w:rPr>
          <w:sz w:val="26"/>
          <w:szCs w:val="26"/>
          <w:rtl/>
        </w:rPr>
        <w:t>להפסיק את מעגל האלימות בין המשפחות</w:t>
      </w:r>
      <w:r>
        <w:rPr>
          <w:sz w:val="26"/>
          <w:szCs w:val="26"/>
          <w:rtl/>
        </w:rPr>
        <w:t xml:space="preserve">, </w:t>
      </w:r>
      <w:r w:rsidRPr="002A483F">
        <w:rPr>
          <w:sz w:val="26"/>
          <w:szCs w:val="26"/>
          <w:rtl/>
        </w:rPr>
        <w:t xml:space="preserve">גם מטרה זו חשובה וראויה להתחשבות לקולא. </w:t>
      </w:r>
    </w:p>
    <w:p w14:paraId="651F35B2" w14:textId="77777777" w:rsidR="00FC6325" w:rsidRPr="002A483F" w:rsidRDefault="00FC6325" w:rsidP="00144D87">
      <w:pPr>
        <w:spacing w:line="360" w:lineRule="auto"/>
        <w:jc w:val="both"/>
        <w:rPr>
          <w:sz w:val="26"/>
          <w:szCs w:val="26"/>
          <w:rtl/>
        </w:rPr>
      </w:pPr>
    </w:p>
    <w:p w14:paraId="795BDE5A" w14:textId="77777777" w:rsidR="00FC6325" w:rsidRPr="002A483F" w:rsidRDefault="00FC6325" w:rsidP="00E763A4">
      <w:pPr>
        <w:spacing w:line="360" w:lineRule="auto"/>
        <w:jc w:val="both"/>
        <w:rPr>
          <w:sz w:val="26"/>
          <w:szCs w:val="26"/>
          <w:rtl/>
        </w:rPr>
      </w:pPr>
      <w:r w:rsidRPr="002A483F">
        <w:rPr>
          <w:sz w:val="26"/>
          <w:szCs w:val="26"/>
          <w:rtl/>
        </w:rPr>
        <w:t xml:space="preserve">אבהיר, כי לצורך קביעת העונש </w:t>
      </w:r>
      <w:r w:rsidRPr="002A483F">
        <w:rPr>
          <w:sz w:val="26"/>
          <w:szCs w:val="26"/>
          <w:u w:val="single"/>
          <w:rtl/>
        </w:rPr>
        <w:t>בתוך מסגרת מתחם העונש ההולם</w:t>
      </w:r>
      <w:r w:rsidRPr="002A483F">
        <w:rPr>
          <w:sz w:val="26"/>
          <w:szCs w:val="26"/>
          <w:rtl/>
        </w:rPr>
        <w:t xml:space="preserve">, התחשבתי בשיקולי הרתעת היחיד והרבים כאמור </w:t>
      </w:r>
      <w:hyperlink r:id="rId34" w:history="1">
        <w:r w:rsidR="00D20D85" w:rsidRPr="00D20D85">
          <w:rPr>
            <w:color w:val="0000FF"/>
            <w:sz w:val="26"/>
            <w:szCs w:val="26"/>
            <w:u w:val="single"/>
            <w:rtl/>
          </w:rPr>
          <w:t>בסעיפים 40ו.</w:t>
        </w:r>
      </w:hyperlink>
      <w:r w:rsidRPr="002A483F">
        <w:rPr>
          <w:sz w:val="26"/>
          <w:szCs w:val="26"/>
          <w:rtl/>
        </w:rPr>
        <w:t xml:space="preserve"> ו- </w:t>
      </w:r>
      <w:hyperlink r:id="rId35" w:history="1">
        <w:r w:rsidR="00D20D85" w:rsidRPr="00D20D85">
          <w:rPr>
            <w:color w:val="0000FF"/>
            <w:sz w:val="26"/>
            <w:szCs w:val="26"/>
            <w:u w:val="single"/>
            <w:rtl/>
          </w:rPr>
          <w:t>40ז</w:t>
        </w:r>
      </w:hyperlink>
      <w:r w:rsidRPr="002A483F">
        <w:rPr>
          <w:sz w:val="26"/>
          <w:szCs w:val="26"/>
          <w:rtl/>
        </w:rPr>
        <w:t>. ל</w:t>
      </w:r>
      <w:hyperlink r:id="rId36" w:history="1">
        <w:r w:rsidR="00AA2AF7" w:rsidRPr="00AA2AF7">
          <w:rPr>
            <w:rStyle w:val="Hyperlink"/>
            <w:sz w:val="26"/>
            <w:szCs w:val="26"/>
            <w:rtl/>
          </w:rPr>
          <w:t>חוק העונשין</w:t>
        </w:r>
      </w:hyperlink>
      <w:r w:rsidRPr="002A483F">
        <w:rPr>
          <w:sz w:val="26"/>
          <w:szCs w:val="26"/>
          <w:rtl/>
        </w:rPr>
        <w:t xml:space="preserve">. </w:t>
      </w:r>
    </w:p>
    <w:p w14:paraId="546E2A17" w14:textId="77777777" w:rsidR="00FC6325" w:rsidRPr="002A483F" w:rsidRDefault="00FC6325" w:rsidP="00144D87">
      <w:pPr>
        <w:spacing w:line="360" w:lineRule="auto"/>
        <w:jc w:val="both"/>
        <w:rPr>
          <w:sz w:val="26"/>
          <w:szCs w:val="26"/>
          <w:rtl/>
        </w:rPr>
      </w:pPr>
    </w:p>
    <w:p w14:paraId="215196E3" w14:textId="77777777" w:rsidR="00FC6325" w:rsidRPr="002A483F" w:rsidRDefault="00FC6325" w:rsidP="00E763A4">
      <w:pPr>
        <w:spacing w:line="360" w:lineRule="auto"/>
        <w:jc w:val="both"/>
        <w:rPr>
          <w:rFonts w:ascii="Arial" w:hAnsi="Arial"/>
          <w:sz w:val="26"/>
          <w:szCs w:val="26"/>
          <w:rtl/>
        </w:rPr>
      </w:pPr>
      <w:r w:rsidRPr="002A483F">
        <w:rPr>
          <w:rFonts w:ascii="Arial" w:hAnsi="Arial"/>
          <w:sz w:val="26"/>
          <w:szCs w:val="26"/>
          <w:rtl/>
        </w:rPr>
        <w:t>לאחר ששקלתי את כל השיקולים לקולא ולחומרא</w:t>
      </w:r>
      <w:r>
        <w:rPr>
          <w:rFonts w:ascii="Arial" w:hAnsi="Arial"/>
          <w:sz w:val="26"/>
          <w:szCs w:val="26"/>
          <w:rtl/>
        </w:rPr>
        <w:t xml:space="preserve"> ותוך הדגשה שאלמלא ההודאה והסולחה היה עונשו של הנאשם חמור יותר באופן משמעותי, </w:t>
      </w:r>
      <w:r w:rsidRPr="002A483F">
        <w:rPr>
          <w:rFonts w:ascii="Arial" w:hAnsi="Arial"/>
          <w:sz w:val="26"/>
          <w:szCs w:val="26"/>
          <w:rtl/>
        </w:rPr>
        <w:t>אני גוזר על הנאשם את העונשים הבאים:</w:t>
      </w:r>
    </w:p>
    <w:p w14:paraId="521656D5" w14:textId="77777777" w:rsidR="00FC6325" w:rsidRPr="002A483F" w:rsidRDefault="00FC6325" w:rsidP="00144D87">
      <w:pPr>
        <w:spacing w:line="360" w:lineRule="auto"/>
        <w:jc w:val="both"/>
        <w:rPr>
          <w:rFonts w:ascii="Arial" w:hAnsi="Arial"/>
          <w:sz w:val="26"/>
          <w:szCs w:val="26"/>
          <w:rtl/>
        </w:rPr>
      </w:pPr>
    </w:p>
    <w:p w14:paraId="3E0E1773" w14:textId="77777777" w:rsidR="00FC6325" w:rsidRDefault="00FC6325" w:rsidP="00144D87">
      <w:pPr>
        <w:spacing w:line="360" w:lineRule="auto"/>
        <w:ind w:left="720" w:hanging="720"/>
        <w:jc w:val="both"/>
        <w:rPr>
          <w:rFonts w:ascii="Arial" w:hAnsi="Arial"/>
          <w:sz w:val="26"/>
          <w:szCs w:val="26"/>
          <w:rtl/>
        </w:rPr>
      </w:pPr>
      <w:r w:rsidRPr="002A483F">
        <w:rPr>
          <w:rFonts w:ascii="Arial" w:hAnsi="Arial"/>
          <w:sz w:val="26"/>
          <w:szCs w:val="26"/>
          <w:rtl/>
        </w:rPr>
        <w:t>א.</w:t>
      </w:r>
      <w:r w:rsidRPr="002A483F">
        <w:rPr>
          <w:rFonts w:ascii="Arial" w:hAnsi="Arial"/>
          <w:sz w:val="26"/>
          <w:szCs w:val="26"/>
          <w:rtl/>
        </w:rPr>
        <w:tab/>
      </w:r>
      <w:r>
        <w:rPr>
          <w:rFonts w:ascii="Arial" w:hAnsi="Arial"/>
          <w:sz w:val="26"/>
          <w:szCs w:val="26"/>
          <w:rtl/>
        </w:rPr>
        <w:t>21</w:t>
      </w:r>
      <w:r w:rsidRPr="002A483F">
        <w:rPr>
          <w:rFonts w:ascii="Arial" w:hAnsi="Arial"/>
          <w:sz w:val="26"/>
          <w:szCs w:val="26"/>
          <w:rtl/>
        </w:rPr>
        <w:t xml:space="preserve"> חודשי מאסר בפועל, בניכוי תקופת מעצרו מיום 24.7.12 ועד 16.8.12.</w:t>
      </w:r>
    </w:p>
    <w:p w14:paraId="3DA66A19" w14:textId="77777777" w:rsidR="00FC6325" w:rsidRPr="002A483F" w:rsidRDefault="00FC6325" w:rsidP="00144D87">
      <w:pPr>
        <w:ind w:left="720" w:hanging="720"/>
        <w:jc w:val="both"/>
        <w:rPr>
          <w:rFonts w:ascii="Arial" w:hAnsi="Arial"/>
          <w:sz w:val="26"/>
          <w:szCs w:val="26"/>
          <w:rtl/>
        </w:rPr>
      </w:pPr>
    </w:p>
    <w:p w14:paraId="34411A53" w14:textId="77777777" w:rsidR="00FC6325" w:rsidRDefault="00FC6325" w:rsidP="00DF181F">
      <w:pPr>
        <w:spacing w:line="360" w:lineRule="auto"/>
        <w:ind w:left="720" w:hanging="720"/>
        <w:jc w:val="both"/>
        <w:rPr>
          <w:rFonts w:ascii="Arial" w:hAnsi="Arial"/>
          <w:sz w:val="26"/>
          <w:szCs w:val="26"/>
          <w:rtl/>
        </w:rPr>
      </w:pPr>
      <w:r w:rsidRPr="002A483F">
        <w:rPr>
          <w:rFonts w:ascii="Arial" w:hAnsi="Arial"/>
          <w:sz w:val="26"/>
          <w:szCs w:val="26"/>
          <w:rtl/>
        </w:rPr>
        <w:t>ב.</w:t>
      </w:r>
      <w:r w:rsidRPr="002A483F">
        <w:rPr>
          <w:rFonts w:ascii="Arial" w:hAnsi="Arial"/>
          <w:sz w:val="26"/>
          <w:szCs w:val="26"/>
          <w:rtl/>
        </w:rPr>
        <w:tab/>
        <w:t xml:space="preserve">מאסר על תנאי של </w:t>
      </w:r>
      <w:r>
        <w:rPr>
          <w:rFonts w:ascii="Arial" w:hAnsi="Arial"/>
          <w:sz w:val="26"/>
          <w:szCs w:val="26"/>
          <w:rtl/>
        </w:rPr>
        <w:t>18</w:t>
      </w:r>
      <w:r w:rsidRPr="002A483F">
        <w:rPr>
          <w:rFonts w:ascii="Arial" w:hAnsi="Arial"/>
          <w:sz w:val="26"/>
          <w:szCs w:val="26"/>
          <w:rtl/>
        </w:rPr>
        <w:t xml:space="preserve"> חודשים, לבל יעבור במשך שנתיים כל עבירת אלימות מסוג פשע או עבירות בנשק</w:t>
      </w:r>
      <w:r>
        <w:rPr>
          <w:rFonts w:ascii="Arial" w:hAnsi="Arial"/>
          <w:sz w:val="26"/>
          <w:szCs w:val="26"/>
          <w:rtl/>
        </w:rPr>
        <w:t>.</w:t>
      </w:r>
    </w:p>
    <w:p w14:paraId="409BA271" w14:textId="77777777" w:rsidR="00FC6325" w:rsidRPr="00144D87" w:rsidRDefault="00FC6325" w:rsidP="00144D87">
      <w:pPr>
        <w:spacing w:line="480" w:lineRule="auto"/>
        <w:ind w:left="720" w:hanging="720"/>
        <w:jc w:val="both"/>
        <w:rPr>
          <w:rFonts w:ascii="Arial" w:hAnsi="Arial"/>
          <w:sz w:val="14"/>
          <w:szCs w:val="14"/>
          <w:rtl/>
        </w:rPr>
      </w:pPr>
    </w:p>
    <w:p w14:paraId="2DB39D0C" w14:textId="77777777" w:rsidR="00FC6325" w:rsidRPr="002A483F" w:rsidRDefault="00FC6325" w:rsidP="00E763A4">
      <w:pPr>
        <w:spacing w:line="360" w:lineRule="auto"/>
        <w:ind w:left="720" w:hanging="720"/>
        <w:jc w:val="both"/>
        <w:rPr>
          <w:rFonts w:ascii="Arial" w:hAnsi="Arial"/>
          <w:sz w:val="26"/>
          <w:szCs w:val="26"/>
          <w:rtl/>
        </w:rPr>
      </w:pPr>
      <w:r w:rsidRPr="002A483F">
        <w:rPr>
          <w:rFonts w:ascii="Arial" w:hAnsi="Arial"/>
          <w:sz w:val="26"/>
          <w:szCs w:val="26"/>
          <w:rtl/>
        </w:rPr>
        <w:t>ג.</w:t>
      </w:r>
      <w:r w:rsidRPr="002A483F">
        <w:rPr>
          <w:rFonts w:ascii="Arial" w:hAnsi="Arial"/>
          <w:sz w:val="26"/>
          <w:szCs w:val="26"/>
          <w:rtl/>
        </w:rPr>
        <w:tab/>
      </w:r>
      <w:r>
        <w:rPr>
          <w:rFonts w:ascii="Arial" w:hAnsi="Arial"/>
          <w:sz w:val="26"/>
          <w:szCs w:val="26"/>
          <w:rtl/>
        </w:rPr>
        <w:t xml:space="preserve">8 </w:t>
      </w:r>
      <w:r w:rsidRPr="002A483F">
        <w:rPr>
          <w:rFonts w:ascii="Arial" w:hAnsi="Arial"/>
          <w:sz w:val="26"/>
          <w:szCs w:val="26"/>
          <w:rtl/>
        </w:rPr>
        <w:t>חודשי מאסר על תנאי למשך 12 חודשים, לבל יעבור הנאשם כל עבירת אלימות מסוג עוון או עביר</w:t>
      </w:r>
      <w:r>
        <w:rPr>
          <w:rFonts w:ascii="Arial" w:hAnsi="Arial"/>
          <w:sz w:val="26"/>
          <w:szCs w:val="26"/>
          <w:rtl/>
        </w:rPr>
        <w:t xml:space="preserve">ה של איומים לפי </w:t>
      </w:r>
      <w:hyperlink r:id="rId37" w:history="1">
        <w:r w:rsidR="00D20D85" w:rsidRPr="00D20D85">
          <w:rPr>
            <w:rFonts w:ascii="Arial" w:hAnsi="Arial"/>
            <w:color w:val="0000FF"/>
            <w:sz w:val="26"/>
            <w:szCs w:val="26"/>
            <w:u w:val="single"/>
            <w:rtl/>
          </w:rPr>
          <w:t>סעיף 192</w:t>
        </w:r>
      </w:hyperlink>
      <w:r>
        <w:rPr>
          <w:rFonts w:ascii="Arial" w:hAnsi="Arial"/>
          <w:sz w:val="26"/>
          <w:szCs w:val="26"/>
          <w:rtl/>
        </w:rPr>
        <w:t xml:space="preserve"> ל</w:t>
      </w:r>
      <w:hyperlink r:id="rId38" w:history="1">
        <w:r w:rsidR="00AA2AF7" w:rsidRPr="00AA2AF7">
          <w:rPr>
            <w:rStyle w:val="Hyperlink"/>
            <w:rFonts w:ascii="Arial" w:hAnsi="Arial"/>
            <w:sz w:val="26"/>
            <w:szCs w:val="26"/>
            <w:rtl/>
          </w:rPr>
          <w:t>חוק העונשין</w:t>
        </w:r>
      </w:hyperlink>
      <w:r w:rsidRPr="002A483F">
        <w:rPr>
          <w:rFonts w:ascii="Arial" w:hAnsi="Arial"/>
          <w:sz w:val="26"/>
          <w:szCs w:val="26"/>
          <w:rtl/>
        </w:rPr>
        <w:t>.</w:t>
      </w:r>
    </w:p>
    <w:p w14:paraId="5E9CA096" w14:textId="77777777" w:rsidR="00FC6325" w:rsidRDefault="00FC6325" w:rsidP="00144D87">
      <w:pPr>
        <w:spacing w:line="480" w:lineRule="auto"/>
        <w:ind w:left="720" w:hanging="720"/>
        <w:jc w:val="both"/>
        <w:rPr>
          <w:rFonts w:ascii="Arial" w:hAnsi="Arial"/>
          <w:sz w:val="26"/>
          <w:szCs w:val="26"/>
          <w:rtl/>
        </w:rPr>
      </w:pPr>
    </w:p>
    <w:p w14:paraId="39C9826B" w14:textId="77777777" w:rsidR="00FC6325" w:rsidRPr="002A483F" w:rsidRDefault="00FC6325" w:rsidP="00144D87">
      <w:pPr>
        <w:ind w:left="720" w:hanging="720"/>
        <w:jc w:val="both"/>
        <w:rPr>
          <w:rFonts w:ascii="Arial" w:hAnsi="Arial"/>
          <w:sz w:val="26"/>
          <w:szCs w:val="26"/>
          <w:rtl/>
        </w:rPr>
      </w:pPr>
    </w:p>
    <w:p w14:paraId="029D1A3E" w14:textId="77777777" w:rsidR="00FC6325" w:rsidRDefault="00FC6325" w:rsidP="00144D87">
      <w:pPr>
        <w:spacing w:line="360" w:lineRule="auto"/>
        <w:jc w:val="both"/>
        <w:rPr>
          <w:rFonts w:ascii="Arial" w:hAnsi="Arial"/>
          <w:sz w:val="26"/>
          <w:szCs w:val="26"/>
          <w:rtl/>
        </w:rPr>
      </w:pPr>
      <w:r w:rsidRPr="002A483F">
        <w:rPr>
          <w:rFonts w:ascii="Arial" w:hAnsi="Arial"/>
          <w:sz w:val="26"/>
          <w:szCs w:val="26"/>
          <w:rtl/>
        </w:rPr>
        <w:t xml:space="preserve">על הנאשם לשלם למתלונן </w:t>
      </w:r>
      <w:r>
        <w:rPr>
          <w:rFonts w:ascii="Arial" w:hAnsi="Arial"/>
          <w:sz w:val="26"/>
          <w:szCs w:val="26"/>
          <w:rtl/>
        </w:rPr>
        <w:t xml:space="preserve">אברהים גהגאה </w:t>
      </w:r>
      <w:r w:rsidRPr="002A483F">
        <w:rPr>
          <w:rFonts w:ascii="Arial" w:hAnsi="Arial"/>
          <w:sz w:val="26"/>
          <w:szCs w:val="26"/>
          <w:rtl/>
        </w:rPr>
        <w:t>פיצויים בסך של</w:t>
      </w:r>
      <w:r>
        <w:rPr>
          <w:rFonts w:ascii="Arial" w:hAnsi="Arial"/>
          <w:sz w:val="26"/>
          <w:szCs w:val="26"/>
          <w:rtl/>
        </w:rPr>
        <w:t xml:space="preserve">8,000 </w:t>
      </w:r>
      <w:r w:rsidRPr="002A483F">
        <w:rPr>
          <w:rFonts w:ascii="Arial" w:hAnsi="Arial"/>
          <w:sz w:val="26"/>
          <w:szCs w:val="26"/>
          <w:rtl/>
        </w:rPr>
        <w:t xml:space="preserve">₪ עד ליום </w:t>
      </w:r>
      <w:r>
        <w:rPr>
          <w:rFonts w:ascii="Arial" w:hAnsi="Arial"/>
          <w:sz w:val="26"/>
          <w:szCs w:val="26"/>
          <w:rtl/>
        </w:rPr>
        <w:t xml:space="preserve">1.8.2013, </w:t>
      </w:r>
      <w:r w:rsidRPr="002A483F">
        <w:rPr>
          <w:rFonts w:ascii="Arial" w:hAnsi="Arial"/>
          <w:sz w:val="26"/>
          <w:szCs w:val="26"/>
          <w:rtl/>
        </w:rPr>
        <w:t>באמצעות הפקדתם בקופת בית המשפט</w:t>
      </w:r>
      <w:r>
        <w:rPr>
          <w:rFonts w:ascii="Arial" w:hAnsi="Arial"/>
          <w:sz w:val="26"/>
          <w:szCs w:val="26"/>
          <w:rtl/>
        </w:rPr>
        <w:t>,</w:t>
      </w:r>
      <w:r w:rsidR="00060400">
        <w:rPr>
          <w:rFonts w:ascii="Arial" w:hAnsi="Arial" w:hint="cs"/>
          <w:sz w:val="26"/>
          <w:szCs w:val="26"/>
          <w:u w:val="single"/>
          <w:rtl/>
        </w:rPr>
        <w:t xml:space="preserve"> </w:t>
      </w:r>
      <w:r w:rsidRPr="002A483F">
        <w:rPr>
          <w:rFonts w:ascii="Arial" w:hAnsi="Arial"/>
          <w:sz w:val="26"/>
          <w:szCs w:val="26"/>
          <w:u w:val="single"/>
          <w:rtl/>
        </w:rPr>
        <w:t>ובדרך זו בלבד, ולא באמצעות תשלום ישיר למתלונ</w:t>
      </w:r>
      <w:r>
        <w:rPr>
          <w:rFonts w:ascii="Arial" w:hAnsi="Arial"/>
          <w:sz w:val="26"/>
          <w:szCs w:val="26"/>
          <w:u w:val="single"/>
          <w:rtl/>
        </w:rPr>
        <w:t>ן</w:t>
      </w:r>
      <w:r w:rsidRPr="002A483F">
        <w:rPr>
          <w:rFonts w:ascii="Arial" w:hAnsi="Arial"/>
          <w:sz w:val="26"/>
          <w:szCs w:val="26"/>
          <w:rtl/>
        </w:rPr>
        <w:t xml:space="preserve">. </w:t>
      </w:r>
    </w:p>
    <w:p w14:paraId="6004680E" w14:textId="77777777" w:rsidR="00FC6325" w:rsidRDefault="00FC6325" w:rsidP="00144D87">
      <w:pPr>
        <w:spacing w:line="480" w:lineRule="auto"/>
        <w:jc w:val="both"/>
        <w:rPr>
          <w:rFonts w:ascii="Arial" w:hAnsi="Arial"/>
          <w:sz w:val="26"/>
          <w:szCs w:val="26"/>
          <w:rtl/>
        </w:rPr>
      </w:pPr>
    </w:p>
    <w:p w14:paraId="2418CF62" w14:textId="77777777" w:rsidR="00FC6325" w:rsidRDefault="00FC6325" w:rsidP="00DC61A1">
      <w:pPr>
        <w:spacing w:line="360" w:lineRule="auto"/>
        <w:jc w:val="both"/>
        <w:rPr>
          <w:rFonts w:ascii="Arial" w:hAnsi="Arial"/>
          <w:sz w:val="26"/>
          <w:szCs w:val="26"/>
          <w:rtl/>
        </w:rPr>
      </w:pPr>
      <w:r>
        <w:rPr>
          <w:rFonts w:ascii="Arial" w:hAnsi="Arial"/>
          <w:sz w:val="26"/>
          <w:szCs w:val="26"/>
          <w:rtl/>
        </w:rPr>
        <w:t xml:space="preserve">על הנאשם להתייצב לתחילת ריצוי עונשו בבית המעצר קישון, ביום 9.6.13, שעה 10:00. </w:t>
      </w:r>
    </w:p>
    <w:p w14:paraId="66D8BB77" w14:textId="77777777" w:rsidR="00FC6325" w:rsidRDefault="00FC6325" w:rsidP="00144D87">
      <w:pPr>
        <w:spacing w:line="480" w:lineRule="auto"/>
        <w:jc w:val="both"/>
        <w:rPr>
          <w:rFonts w:ascii="Arial" w:hAnsi="Arial"/>
          <w:sz w:val="26"/>
          <w:szCs w:val="26"/>
          <w:rtl/>
        </w:rPr>
      </w:pPr>
    </w:p>
    <w:p w14:paraId="239CAE68" w14:textId="77777777" w:rsidR="00FC6325" w:rsidRPr="002A483F" w:rsidRDefault="00FC6325" w:rsidP="00E763A4">
      <w:pPr>
        <w:spacing w:line="360" w:lineRule="auto"/>
        <w:jc w:val="both"/>
        <w:rPr>
          <w:rFonts w:ascii="Arial" w:hAnsi="Arial"/>
          <w:sz w:val="26"/>
          <w:szCs w:val="26"/>
          <w:rtl/>
        </w:rPr>
      </w:pPr>
      <w:r>
        <w:rPr>
          <w:rFonts w:ascii="Arial" w:hAnsi="Arial"/>
          <w:sz w:val="26"/>
          <w:szCs w:val="26"/>
          <w:rtl/>
        </w:rPr>
        <w:t xml:space="preserve">תנאי השחרור בערובה החלים עליו כעת, ימשיכו לחול עד להתייצבותו לתחילת ריצוי עונשו. </w:t>
      </w:r>
    </w:p>
    <w:p w14:paraId="4CDB8E04" w14:textId="77777777" w:rsidR="00FC6325" w:rsidRPr="002A483F" w:rsidRDefault="00FC6325" w:rsidP="00144D87">
      <w:pPr>
        <w:spacing w:line="480" w:lineRule="auto"/>
        <w:jc w:val="both"/>
        <w:rPr>
          <w:rFonts w:ascii="Arial" w:hAnsi="Arial"/>
          <w:sz w:val="26"/>
          <w:szCs w:val="26"/>
          <w:rtl/>
        </w:rPr>
      </w:pPr>
    </w:p>
    <w:p w14:paraId="1DE41F2C" w14:textId="77777777" w:rsidR="00FC6325" w:rsidRPr="002A483F" w:rsidRDefault="00FC6325" w:rsidP="00E763A4">
      <w:pPr>
        <w:spacing w:line="360" w:lineRule="auto"/>
        <w:jc w:val="both"/>
        <w:rPr>
          <w:rFonts w:ascii="Arial" w:hAnsi="Arial"/>
          <w:sz w:val="26"/>
          <w:szCs w:val="26"/>
          <w:rtl/>
        </w:rPr>
      </w:pPr>
      <w:r w:rsidRPr="002A483F">
        <w:rPr>
          <w:rFonts w:ascii="Arial" w:hAnsi="Arial"/>
          <w:sz w:val="26"/>
          <w:szCs w:val="26"/>
          <w:rtl/>
        </w:rPr>
        <w:t>ב"כ המאשימה תעביר למזכירות בית המשפט את הפרטים הנחוצים לצורך העברת הפיצוי למתלונ</w:t>
      </w:r>
      <w:r>
        <w:rPr>
          <w:rFonts w:ascii="Arial" w:hAnsi="Arial"/>
          <w:sz w:val="26"/>
          <w:szCs w:val="26"/>
          <w:rtl/>
        </w:rPr>
        <w:t>ן, ותשלח העתק מגזר הדין לשרות המבחן ולשב"ס</w:t>
      </w:r>
      <w:r w:rsidRPr="002A483F">
        <w:rPr>
          <w:rFonts w:ascii="Arial" w:hAnsi="Arial"/>
          <w:sz w:val="26"/>
          <w:szCs w:val="26"/>
          <w:rtl/>
        </w:rPr>
        <w:t xml:space="preserve">. </w:t>
      </w:r>
    </w:p>
    <w:p w14:paraId="538CAE27" w14:textId="77777777" w:rsidR="00FC6325" w:rsidRDefault="00FC6325" w:rsidP="00E763A4">
      <w:pPr>
        <w:spacing w:line="360" w:lineRule="auto"/>
        <w:jc w:val="both"/>
        <w:rPr>
          <w:b/>
          <w:bCs/>
          <w:sz w:val="26"/>
          <w:szCs w:val="26"/>
          <w:rtl/>
        </w:rPr>
      </w:pPr>
    </w:p>
    <w:p w14:paraId="5701FFD5" w14:textId="77777777" w:rsidR="00FC6325" w:rsidRPr="002A483F" w:rsidRDefault="00FC6325" w:rsidP="00E763A4">
      <w:pPr>
        <w:spacing w:line="360" w:lineRule="auto"/>
        <w:jc w:val="both"/>
        <w:rPr>
          <w:b/>
          <w:bCs/>
          <w:sz w:val="26"/>
          <w:szCs w:val="26"/>
          <w:rtl/>
        </w:rPr>
      </w:pPr>
    </w:p>
    <w:p w14:paraId="02C07D47" w14:textId="77777777" w:rsidR="00FC6325" w:rsidRPr="002A483F" w:rsidRDefault="00FC6325" w:rsidP="00E763A4">
      <w:pPr>
        <w:spacing w:line="360" w:lineRule="auto"/>
        <w:jc w:val="both"/>
        <w:rPr>
          <w:b/>
          <w:bCs/>
          <w:sz w:val="26"/>
          <w:szCs w:val="26"/>
          <w:rtl/>
        </w:rPr>
      </w:pPr>
      <w:r w:rsidRPr="002A483F">
        <w:rPr>
          <w:b/>
          <w:bCs/>
          <w:sz w:val="26"/>
          <w:szCs w:val="26"/>
          <w:rtl/>
        </w:rPr>
        <w:t xml:space="preserve">הודעה לצדדים זכות הערעור לבית המשפט העליון תוך 45 ימים. </w:t>
      </w:r>
    </w:p>
    <w:p w14:paraId="2D92B9AD" w14:textId="77777777" w:rsidR="00FC6325" w:rsidRDefault="00FC6325" w:rsidP="00144D87">
      <w:pPr>
        <w:jc w:val="both"/>
        <w:rPr>
          <w:b/>
          <w:bCs/>
          <w:sz w:val="26"/>
          <w:szCs w:val="26"/>
          <w:rtl/>
        </w:rPr>
      </w:pPr>
    </w:p>
    <w:p w14:paraId="70E9F41E" w14:textId="77777777" w:rsidR="00FC6325" w:rsidRPr="002A483F" w:rsidRDefault="00FC6325" w:rsidP="00E763A4">
      <w:pPr>
        <w:spacing w:line="360" w:lineRule="auto"/>
        <w:jc w:val="both"/>
        <w:rPr>
          <w:b/>
          <w:bCs/>
          <w:sz w:val="26"/>
          <w:szCs w:val="26"/>
          <w:rtl/>
        </w:rPr>
      </w:pPr>
    </w:p>
    <w:p w14:paraId="5A4724AC" w14:textId="77777777" w:rsidR="00FC6325" w:rsidRPr="002A483F" w:rsidRDefault="00FC6325" w:rsidP="00E763A4">
      <w:pPr>
        <w:spacing w:line="360" w:lineRule="auto"/>
        <w:jc w:val="both"/>
        <w:rPr>
          <w:b/>
          <w:bCs/>
          <w:sz w:val="26"/>
          <w:szCs w:val="26"/>
          <w:rtl/>
        </w:rPr>
      </w:pPr>
    </w:p>
    <w:p w14:paraId="7656CB66" w14:textId="77777777" w:rsidR="00FC6325" w:rsidRDefault="00536913" w:rsidP="00E763A4">
      <w:pPr>
        <w:spacing w:line="360" w:lineRule="auto"/>
        <w:jc w:val="both"/>
        <w:rPr>
          <w:sz w:val="26"/>
          <w:szCs w:val="26"/>
          <w:rtl/>
        </w:rPr>
      </w:pPr>
      <w:r>
        <w:rPr>
          <w:sz w:val="26"/>
          <w:szCs w:val="26"/>
          <w:rtl/>
        </w:rPr>
        <w:t xml:space="preserve">ניתן והודע היום, ז'סיון תשע"ג, 16.5.2013, בנוכחות הנאשם וב"כ הצדדים.   </w:t>
      </w:r>
    </w:p>
    <w:p w14:paraId="7AC5FDFD" w14:textId="77777777" w:rsidR="00FC6325" w:rsidRPr="00144D87" w:rsidRDefault="00FC6325" w:rsidP="00E763A4">
      <w:pPr>
        <w:spacing w:line="360" w:lineRule="auto"/>
        <w:jc w:val="both"/>
        <w:rPr>
          <w:sz w:val="28"/>
          <w:szCs w:val="28"/>
          <w:rtl/>
        </w:rPr>
      </w:pPr>
    </w:p>
    <w:p w14:paraId="18ADCF85" w14:textId="77777777" w:rsidR="00FC6325" w:rsidRPr="00144D87" w:rsidRDefault="00FC6325" w:rsidP="00E763A4">
      <w:pPr>
        <w:spacing w:line="360" w:lineRule="auto"/>
        <w:jc w:val="both"/>
        <w:rPr>
          <w:b/>
          <w:bCs/>
          <w:sz w:val="30"/>
          <w:szCs w:val="30"/>
          <w:rtl/>
        </w:rPr>
      </w:pPr>
    </w:p>
    <w:p w14:paraId="5EFED77D" w14:textId="77777777" w:rsidR="00536913" w:rsidRDefault="00536913">
      <w:pPr>
        <w:rPr>
          <w:b/>
          <w:bCs/>
          <w:sz w:val="28"/>
          <w:szCs w:val="28"/>
          <w:rtl/>
        </w:rPr>
      </w:pPr>
    </w:p>
    <w:tbl>
      <w:tblPr>
        <w:bidiVisual/>
        <w:tblW w:w="0" w:type="auto"/>
        <w:tblLook w:val="01E0" w:firstRow="1" w:lastRow="1" w:firstColumn="1" w:lastColumn="1" w:noHBand="0" w:noVBand="0"/>
      </w:tblPr>
      <w:tblGrid>
        <w:gridCol w:w="2474"/>
        <w:gridCol w:w="360"/>
        <w:gridCol w:w="2392"/>
        <w:gridCol w:w="308"/>
        <w:gridCol w:w="2520"/>
      </w:tblGrid>
      <w:tr w:rsidR="00536913" w:rsidRPr="00144D87" w14:paraId="234915D6" w14:textId="77777777">
        <w:tc>
          <w:tcPr>
            <w:tcW w:w="2474" w:type="dxa"/>
            <w:tcBorders>
              <w:top w:val="nil"/>
              <w:left w:val="nil"/>
              <w:right w:val="nil"/>
            </w:tcBorders>
            <w:vAlign w:val="center"/>
          </w:tcPr>
          <w:p w14:paraId="719DBCC2" w14:textId="77777777" w:rsidR="00536913" w:rsidRPr="00535905" w:rsidRDefault="00536913" w:rsidP="00536913">
            <w:pPr>
              <w:jc w:val="center"/>
              <w:rPr>
                <w:rFonts w:ascii="Courier New" w:hAnsi="Courier New"/>
                <w:b/>
                <w:bCs/>
                <w:sz w:val="28"/>
                <w:szCs w:val="28"/>
              </w:rPr>
            </w:pPr>
          </w:p>
        </w:tc>
        <w:tc>
          <w:tcPr>
            <w:tcW w:w="360" w:type="dxa"/>
            <w:vAlign w:val="center"/>
          </w:tcPr>
          <w:p w14:paraId="4B5F6353" w14:textId="77777777" w:rsidR="00536913" w:rsidRPr="00535905" w:rsidRDefault="00536913" w:rsidP="00536913">
            <w:pPr>
              <w:jc w:val="center"/>
              <w:rPr>
                <w:rFonts w:ascii="Courier New" w:hAnsi="Courier New"/>
                <w:b/>
                <w:bCs/>
                <w:sz w:val="28"/>
                <w:szCs w:val="28"/>
              </w:rPr>
            </w:pPr>
          </w:p>
        </w:tc>
        <w:tc>
          <w:tcPr>
            <w:tcW w:w="2392" w:type="dxa"/>
            <w:tcBorders>
              <w:top w:val="nil"/>
              <w:left w:val="nil"/>
              <w:right w:val="nil"/>
            </w:tcBorders>
            <w:vAlign w:val="center"/>
          </w:tcPr>
          <w:p w14:paraId="257242F1" w14:textId="77777777" w:rsidR="00536913" w:rsidRPr="00535905" w:rsidRDefault="00536913" w:rsidP="00536913">
            <w:pPr>
              <w:jc w:val="center"/>
              <w:rPr>
                <w:rFonts w:ascii="Courier New" w:hAnsi="Courier New"/>
                <w:b/>
                <w:bCs/>
                <w:sz w:val="28"/>
                <w:szCs w:val="28"/>
              </w:rPr>
            </w:pPr>
          </w:p>
        </w:tc>
        <w:tc>
          <w:tcPr>
            <w:tcW w:w="308" w:type="dxa"/>
            <w:vAlign w:val="center"/>
          </w:tcPr>
          <w:p w14:paraId="2B7EDE96" w14:textId="77777777" w:rsidR="00536913" w:rsidRPr="00535905" w:rsidRDefault="00536913" w:rsidP="00536913">
            <w:pPr>
              <w:jc w:val="center"/>
              <w:rPr>
                <w:rFonts w:ascii="Courier New" w:hAnsi="Courier New"/>
                <w:b/>
                <w:bCs/>
                <w:sz w:val="28"/>
                <w:szCs w:val="28"/>
              </w:rPr>
            </w:pPr>
          </w:p>
        </w:tc>
        <w:tc>
          <w:tcPr>
            <w:tcW w:w="2520" w:type="dxa"/>
            <w:tcBorders>
              <w:top w:val="nil"/>
              <w:left w:val="nil"/>
              <w:bottom w:val="single" w:sz="4" w:space="0" w:color="auto"/>
              <w:right w:val="nil"/>
            </w:tcBorders>
            <w:vAlign w:val="center"/>
          </w:tcPr>
          <w:p w14:paraId="3D2DDB76" w14:textId="77777777" w:rsidR="00536913" w:rsidRPr="00535905" w:rsidRDefault="00536913" w:rsidP="00536913">
            <w:pPr>
              <w:jc w:val="center"/>
              <w:rPr>
                <w:rFonts w:ascii="Courier New" w:hAnsi="Courier New"/>
                <w:b/>
                <w:bCs/>
                <w:sz w:val="28"/>
                <w:szCs w:val="28"/>
              </w:rPr>
            </w:pPr>
          </w:p>
        </w:tc>
      </w:tr>
      <w:tr w:rsidR="00536913" w:rsidRPr="00144D87" w14:paraId="538A271F" w14:textId="77777777">
        <w:tc>
          <w:tcPr>
            <w:tcW w:w="2474" w:type="dxa"/>
            <w:tcBorders>
              <w:left w:val="nil"/>
              <w:bottom w:val="nil"/>
              <w:right w:val="nil"/>
            </w:tcBorders>
          </w:tcPr>
          <w:p w14:paraId="45D76FA9" w14:textId="77777777" w:rsidR="00536913" w:rsidRPr="00535905" w:rsidRDefault="00536913" w:rsidP="00536913">
            <w:pPr>
              <w:jc w:val="center"/>
              <w:rPr>
                <w:b/>
                <w:bCs/>
                <w:noProof/>
                <w:sz w:val="32"/>
                <w:szCs w:val="28"/>
              </w:rPr>
            </w:pPr>
          </w:p>
        </w:tc>
        <w:tc>
          <w:tcPr>
            <w:tcW w:w="360" w:type="dxa"/>
          </w:tcPr>
          <w:p w14:paraId="74E373B8" w14:textId="77777777" w:rsidR="00536913" w:rsidRPr="00535905" w:rsidRDefault="00536913" w:rsidP="00536913">
            <w:pPr>
              <w:jc w:val="center"/>
              <w:rPr>
                <w:b/>
                <w:bCs/>
                <w:noProof/>
                <w:color w:val="FF0000"/>
                <w:sz w:val="32"/>
                <w:szCs w:val="28"/>
              </w:rPr>
            </w:pPr>
          </w:p>
        </w:tc>
        <w:tc>
          <w:tcPr>
            <w:tcW w:w="2392" w:type="dxa"/>
            <w:tcBorders>
              <w:left w:val="nil"/>
              <w:bottom w:val="nil"/>
              <w:right w:val="nil"/>
            </w:tcBorders>
          </w:tcPr>
          <w:p w14:paraId="54DB4511" w14:textId="77777777" w:rsidR="00536913" w:rsidRPr="00535905" w:rsidRDefault="00536913" w:rsidP="00536913">
            <w:pPr>
              <w:rPr>
                <w:b/>
                <w:bCs/>
                <w:sz w:val="32"/>
                <w:szCs w:val="28"/>
              </w:rPr>
            </w:pPr>
          </w:p>
        </w:tc>
        <w:tc>
          <w:tcPr>
            <w:tcW w:w="308" w:type="dxa"/>
          </w:tcPr>
          <w:p w14:paraId="7AF57450" w14:textId="77777777" w:rsidR="00536913" w:rsidRPr="00535905" w:rsidRDefault="00536913" w:rsidP="00536913">
            <w:pPr>
              <w:jc w:val="center"/>
              <w:rPr>
                <w:b/>
                <w:bCs/>
                <w:noProof/>
                <w:color w:val="FF0000"/>
                <w:sz w:val="32"/>
                <w:szCs w:val="28"/>
              </w:rPr>
            </w:pPr>
          </w:p>
        </w:tc>
        <w:tc>
          <w:tcPr>
            <w:tcW w:w="2520" w:type="dxa"/>
            <w:tcBorders>
              <w:top w:val="single" w:sz="4" w:space="0" w:color="auto"/>
              <w:left w:val="nil"/>
              <w:bottom w:val="nil"/>
              <w:right w:val="nil"/>
            </w:tcBorders>
          </w:tcPr>
          <w:p w14:paraId="357C2AC8" w14:textId="77777777" w:rsidR="00536913" w:rsidRDefault="00536913" w:rsidP="00536913">
            <w:pPr>
              <w:jc w:val="center"/>
              <w:rPr>
                <w:b/>
                <w:bCs/>
                <w:noProof/>
                <w:sz w:val="32"/>
                <w:szCs w:val="28"/>
              </w:rPr>
            </w:pPr>
            <w:r w:rsidRPr="00535905">
              <w:rPr>
                <w:b/>
                <w:bCs/>
                <w:sz w:val="32"/>
                <w:szCs w:val="28"/>
                <w:rtl/>
              </w:rPr>
              <w:t>מ. גלעד, שופט</w:t>
            </w:r>
          </w:p>
          <w:p w14:paraId="77820F19" w14:textId="77777777" w:rsidR="00536913" w:rsidRPr="00535905" w:rsidRDefault="00536913" w:rsidP="00536913">
            <w:pPr>
              <w:jc w:val="center"/>
              <w:rPr>
                <w:b/>
                <w:bCs/>
                <w:noProof/>
                <w:sz w:val="32"/>
                <w:szCs w:val="28"/>
              </w:rPr>
            </w:pPr>
          </w:p>
        </w:tc>
      </w:tr>
    </w:tbl>
    <w:p w14:paraId="760B9F9C" w14:textId="77777777" w:rsidR="00536913" w:rsidRPr="00536913" w:rsidRDefault="00536913" w:rsidP="00536913">
      <w:pPr>
        <w:keepNext/>
        <w:rPr>
          <w:rFonts w:ascii="David" w:hAnsi="David"/>
          <w:color w:val="000000"/>
          <w:sz w:val="22"/>
          <w:szCs w:val="22"/>
          <w:rtl/>
        </w:rPr>
      </w:pPr>
    </w:p>
    <w:p w14:paraId="36F70B39" w14:textId="77777777" w:rsidR="00536913" w:rsidRPr="00536913" w:rsidRDefault="00536913" w:rsidP="00536913">
      <w:pPr>
        <w:keepNext/>
        <w:rPr>
          <w:rFonts w:ascii="David" w:hAnsi="David"/>
          <w:color w:val="000000"/>
          <w:sz w:val="22"/>
          <w:szCs w:val="22"/>
          <w:rtl/>
        </w:rPr>
      </w:pPr>
      <w:r w:rsidRPr="00536913">
        <w:rPr>
          <w:rFonts w:ascii="David" w:hAnsi="David"/>
          <w:color w:val="000000"/>
          <w:sz w:val="22"/>
          <w:szCs w:val="22"/>
          <w:rtl/>
        </w:rPr>
        <w:t>מ. גלעד 54678313</w:t>
      </w:r>
    </w:p>
    <w:p w14:paraId="3E7664BF" w14:textId="77777777" w:rsidR="00FC6325" w:rsidRPr="00144D87" w:rsidRDefault="00FC6325">
      <w:pPr>
        <w:rPr>
          <w:b/>
          <w:bCs/>
          <w:sz w:val="28"/>
          <w:szCs w:val="28"/>
          <w:rtl/>
        </w:rPr>
      </w:pPr>
    </w:p>
    <w:p w14:paraId="5F03C176" w14:textId="77777777" w:rsidR="00FC6325" w:rsidRPr="00536913" w:rsidRDefault="00536913">
      <w:pPr>
        <w:rPr>
          <w:b/>
          <w:bCs/>
          <w:color w:val="FFFFFF"/>
          <w:sz w:val="2"/>
          <w:szCs w:val="2"/>
        </w:rPr>
      </w:pPr>
      <w:r w:rsidRPr="00536913">
        <w:rPr>
          <w:b/>
          <w:bCs/>
          <w:color w:val="FFFFFF"/>
          <w:sz w:val="2"/>
          <w:szCs w:val="2"/>
          <w:rtl/>
        </w:rPr>
        <w:t>5129371</w:t>
      </w:r>
    </w:p>
    <w:p w14:paraId="2E21B00C" w14:textId="77777777" w:rsidR="00FC6325" w:rsidRPr="00536913" w:rsidRDefault="00536913" w:rsidP="00E763A4">
      <w:pPr>
        <w:spacing w:line="360" w:lineRule="auto"/>
        <w:jc w:val="both"/>
        <w:rPr>
          <w:b/>
          <w:bCs/>
          <w:color w:val="FFFFFF"/>
          <w:sz w:val="2"/>
          <w:szCs w:val="2"/>
          <w:rtl/>
        </w:rPr>
      </w:pPr>
      <w:r w:rsidRPr="00536913">
        <w:rPr>
          <w:b/>
          <w:bCs/>
          <w:color w:val="FFFFFF"/>
          <w:sz w:val="2"/>
          <w:szCs w:val="2"/>
          <w:rtl/>
        </w:rPr>
        <w:t>54678313</w:t>
      </w:r>
    </w:p>
    <w:p w14:paraId="5D6B9094" w14:textId="77777777" w:rsidR="00FC6325" w:rsidRDefault="00FC6325" w:rsidP="00E763A4">
      <w:pPr>
        <w:rPr>
          <w:rFonts w:ascii="Arial" w:hAnsi="Arial"/>
          <w:szCs w:val="20"/>
          <w:rtl/>
        </w:rPr>
      </w:pPr>
    </w:p>
    <w:p w14:paraId="02965DE7" w14:textId="77777777" w:rsidR="00536913" w:rsidRPr="00536913" w:rsidRDefault="00FC6325" w:rsidP="00536913">
      <w:pPr>
        <w:rPr>
          <w:color w:val="000000"/>
          <w:rtl/>
        </w:rPr>
      </w:pPr>
      <w:r w:rsidRPr="009877B8">
        <w:rPr>
          <w:rFonts w:ascii="Arial" w:hAnsi="Arial"/>
          <w:sz w:val="26"/>
          <w:szCs w:val="22"/>
          <w:rtl/>
        </w:rPr>
        <w:t>קלדנית: ליאת פ.</w:t>
      </w:r>
    </w:p>
    <w:p w14:paraId="5D9D1C1E" w14:textId="77777777" w:rsidR="00536913" w:rsidRDefault="00536913" w:rsidP="00536913">
      <w:pPr>
        <w:rPr>
          <w:rtl/>
        </w:rPr>
      </w:pPr>
      <w:r w:rsidRPr="00536913">
        <w:rPr>
          <w:color w:val="000000"/>
          <w:rtl/>
        </w:rPr>
        <w:t>נוסח מסמך זה כפוף לשינויי ניסוח ועריכה</w:t>
      </w:r>
    </w:p>
    <w:p w14:paraId="6F4C8363" w14:textId="77777777" w:rsidR="00536913" w:rsidRDefault="00536913" w:rsidP="00536913">
      <w:pPr>
        <w:rPr>
          <w:rtl/>
        </w:rPr>
      </w:pPr>
    </w:p>
    <w:p w14:paraId="655971A9" w14:textId="77777777" w:rsidR="00536913" w:rsidRDefault="00536913" w:rsidP="00536913">
      <w:pPr>
        <w:jc w:val="center"/>
        <w:rPr>
          <w:color w:val="0000FF"/>
          <w:u w:val="single"/>
          <w:rtl/>
        </w:rPr>
      </w:pPr>
      <w:r w:rsidRPr="00706C8C">
        <w:rPr>
          <w:color w:val="000000"/>
          <w:rtl/>
        </w:rPr>
        <w:t>בעניין עריכה ושינויים במסמכי פסיקה, חקיקה ועוד באתר נבו – הקש כאן</w:t>
      </w:r>
    </w:p>
    <w:p w14:paraId="336A549C" w14:textId="77777777" w:rsidR="00FC6325" w:rsidRPr="00536913" w:rsidRDefault="00FC6325" w:rsidP="00536913">
      <w:pPr>
        <w:jc w:val="center"/>
        <w:rPr>
          <w:color w:val="0000FF"/>
          <w:u w:val="single"/>
          <w:rtl/>
        </w:rPr>
      </w:pPr>
    </w:p>
    <w:sectPr w:rsidR="00FC6325" w:rsidRPr="00536913" w:rsidSect="00536913">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7AEA0" w14:textId="77777777" w:rsidR="00B201E0" w:rsidRDefault="00B201E0">
      <w:r>
        <w:separator/>
      </w:r>
    </w:p>
  </w:endnote>
  <w:endnote w:type="continuationSeparator" w:id="0">
    <w:p w14:paraId="4420D0C7" w14:textId="77777777" w:rsidR="00B201E0" w:rsidRDefault="00B2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B5BF8" w14:textId="77777777" w:rsidR="00536913" w:rsidRDefault="00536913" w:rsidP="0053691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70A425BD" w14:textId="77777777" w:rsidR="00FC6325" w:rsidRPr="00536913" w:rsidRDefault="00536913" w:rsidP="00536913">
    <w:pPr>
      <w:pStyle w:val="a4"/>
      <w:pBdr>
        <w:top w:val="single" w:sz="4" w:space="1" w:color="auto"/>
        <w:between w:val="single" w:sz="4" w:space="0" w:color="auto"/>
      </w:pBdr>
      <w:spacing w:after="60"/>
      <w:jc w:val="center"/>
      <w:rPr>
        <w:rFonts w:ascii="FrankRuehl" w:hAnsi="FrankRuehl" w:cs="FrankRuehl"/>
        <w:color w:val="000000"/>
      </w:rPr>
    </w:pPr>
    <w:r w:rsidRPr="0053691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26FE6" w14:textId="77777777" w:rsidR="00536913" w:rsidRDefault="00536913" w:rsidP="0053691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7467">
      <w:rPr>
        <w:rFonts w:ascii="FrankRuehl" w:hAnsi="FrankRuehl" w:cs="FrankRuehl"/>
        <w:noProof/>
        <w:rtl/>
      </w:rPr>
      <w:t>1</w:t>
    </w:r>
    <w:r>
      <w:rPr>
        <w:rFonts w:ascii="FrankRuehl" w:hAnsi="FrankRuehl" w:cs="FrankRuehl"/>
        <w:rtl/>
      </w:rPr>
      <w:fldChar w:fldCharType="end"/>
    </w:r>
  </w:p>
  <w:p w14:paraId="1F8BA8D1" w14:textId="77777777" w:rsidR="00FC6325" w:rsidRPr="00536913" w:rsidRDefault="00536913" w:rsidP="00536913">
    <w:pPr>
      <w:pStyle w:val="a4"/>
      <w:pBdr>
        <w:top w:val="single" w:sz="4" w:space="1" w:color="auto"/>
        <w:between w:val="single" w:sz="4" w:space="0" w:color="auto"/>
      </w:pBdr>
      <w:spacing w:after="60"/>
      <w:jc w:val="center"/>
      <w:rPr>
        <w:rFonts w:ascii="FrankRuehl" w:hAnsi="FrankRuehl" w:cs="FrankRuehl"/>
        <w:color w:val="000000"/>
      </w:rPr>
    </w:pPr>
    <w:r w:rsidRPr="00536913">
      <w:rPr>
        <w:rFonts w:ascii="FrankRuehl" w:hAnsi="FrankRuehl" w:cs="FrankRuehl"/>
        <w:color w:val="000000"/>
      </w:rPr>
      <w:pict w14:anchorId="0A2BD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02B7F" w14:textId="77777777" w:rsidR="00B201E0" w:rsidRDefault="00B201E0">
      <w:r>
        <w:separator/>
      </w:r>
    </w:p>
  </w:footnote>
  <w:footnote w:type="continuationSeparator" w:id="0">
    <w:p w14:paraId="7A241F91" w14:textId="77777777" w:rsidR="00B201E0" w:rsidRDefault="00B20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83259" w14:textId="77777777" w:rsidR="00536913" w:rsidRPr="00536913" w:rsidRDefault="00536913" w:rsidP="005369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פ8641-08-12</w:t>
    </w:r>
    <w:r>
      <w:rPr>
        <w:rFonts w:ascii="David" w:hAnsi="David"/>
        <w:color w:val="000000"/>
        <w:sz w:val="22"/>
        <w:szCs w:val="22"/>
        <w:rtl/>
      </w:rPr>
      <w:tab/>
      <w:t xml:space="preserve"> מדינת ישראל נ' חסן עזב (בן רפיק)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45BDC" w14:textId="77777777" w:rsidR="00536913" w:rsidRPr="00536913" w:rsidRDefault="00536913" w:rsidP="005369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פ8641-08-12</w:t>
    </w:r>
    <w:r>
      <w:rPr>
        <w:rFonts w:ascii="David" w:hAnsi="David"/>
        <w:color w:val="000000"/>
        <w:sz w:val="22"/>
        <w:szCs w:val="22"/>
        <w:rtl/>
      </w:rPr>
      <w:tab/>
      <w:t xml:space="preserve"> מדינת ישראל נ' חסן עזב (בן רפיק)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942227028">
    <w:abstractNumId w:val="1"/>
  </w:num>
  <w:num w:numId="2" w16cid:durableId="143131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467684"/>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70467684&amp;lt;/CaseID&amp;gt;_x005f_x000d__x005f_x000a_        &amp;lt;CaseMonth&amp;gt;8&amp;lt;/CaseMonth&amp;gt;_x005f_x000d__x005f_x000a_        &amp;lt;CaseYear&amp;gt;2012&amp;lt;/CaseYear&amp;gt;_x005f_x000d__x005f_x000a_        &amp;lt;CaseNumber&amp;gt;8641&amp;lt;/CaseNumber&amp;gt;_x005f_x000d__x005f_x000a_        &amp;lt;NumeratorGroupID&amp;gt;1&amp;lt;/NumeratorGroupID&amp;gt;_x005f_x000d__x005f_x000a_        &amp;lt;CaseName&amp;gt;îãéðú éùøàì ð&amp;#39; òæá&amp;lt;/CaseName&amp;gt;_x005f_x000d__x005f_x000a_        &amp;lt;CourtID&amp;gt;13&amp;lt;/CourtID&amp;gt;_x005f_x000d__x005f_x000a_        &amp;lt;CaseTypeID&amp;gt;10048&amp;lt;/CaseTypeID&amp;gt;_x005f_x000d__x005f_x000a_        &amp;lt;CaseJudgeName&amp;gt;îùä âìòã&amp;lt;/CaseJudgeName&amp;gt;_x005f_x000d__x005f_x000a_        &amp;lt;CaseLinkTypeID&amp;gt;9&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8641-08-12&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2-08-06T09:18:00+03:00&amp;lt;/CaseOpenDate&amp;gt;_x005f_x000d__x005f_x000a_        &amp;lt;PleaTypeID&amp;gt;8&amp;lt;/PleaTypeID&amp;gt;_x005f_x000d__x005f_x000a_        &amp;lt;CourtLevelID&amp;gt;2&amp;lt;/CourtLevelID&amp;gt;_x005f_x000d__x005f_x000a_        &amp;lt;CaseJudgeFirstName&amp;gt;îùä&amp;lt;/CaseJudgeFirstName&amp;gt;_x005f_x000d__x005f_x000a_        &amp;lt;CaseJudgeLastName&amp;gt;âìòã&amp;lt;/CaseJudgeLastName&amp;gt;_x005f_x000d__x005f_x000a_        &amp;lt;JudicalPersonID&amp;gt;067578955@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áåöòä ä÷øàä áúé÷ åæàú ìàçø ÷áìú àéùåø èìôåðé îäùåôè àìé÷éí_x005f_x000a_ääççìèä úéùúì áäîùê ìàçø äôâøä&amp;lt;/CaseDesc&amp;gt;_x005f_x000d__x005f_x000a_        &amp;lt;isExistMinorSide&amp;gt;false&amp;lt;/isExistMinorSide&amp;gt;_x005f_x000d__x005f_x000a_        &amp;lt;isExistMinorWitness&amp;gt;false&amp;lt;/isExistMinorWitness&amp;gt;_x005f_x000d__x005f_x000a_        &amp;lt;ArchivingActivityID&amp;gt;1&amp;lt;/ArchivingActivityID&amp;gt;_x005f_x000d__x005f_x000a_        &amp;lt;IsDecisionTypeZaveElyon&amp;gt;false&amp;lt;/IsDecisionTypeZaveElyon&amp;gt;_x005f_x000d__x005f_x000a_        &amp;lt;IsExistPrisoner&amp;gt;false&amp;lt;/IsExistPrisoner&amp;gt;_x005f_x000d__x005f_x000a_        &amp;lt;IsExistDetainee&amp;gt;false&amp;lt;/IsExistDetainee&amp;gt;_x005f_x000d__x005f_x000a_        &amp;lt;IsDebitExist&amp;gt;false&amp;lt;/IsDebitExist&amp;gt;_x005f_x000d__x005f_x000a_        &amp;lt;DebitExsitDate&amp;gt;2013-05-16T03:00:00+03:00&amp;lt;/DebitExsitDate&amp;gt;_x005f_x000d__x005f_x000a_        &amp;lt;IsExistSeizure&amp;gt;false&amp;lt;/IsExistSeizur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70467684&amp;lt;/CaseID&amp;gt;_x005f_x000d__x005f_x000a_        &amp;lt;CaseMonth&amp;gt;8&amp;lt;/CaseMonth&amp;gt;_x005f_x000d__x005f_x000a_        &amp;lt;CaseYear&amp;gt;2012&amp;lt;/CaseYear&amp;gt;_x005f_x000d__x005f_x000a_        &amp;lt;CaseNumber&amp;gt;8641&amp;lt;/CaseNumber&amp;gt;_x005f_x000d__x005f_x000a_        &amp;lt;NumeratorGroupID&amp;gt;1&amp;lt;/NumeratorGroupID&amp;gt;_x005f_x000d__x005f_x000a_        &amp;lt;CaseName&amp;gt;îãéðú éùøàì ð&amp;#39; òæá&amp;lt;/CaseName&amp;gt;_x005f_x000d__x005f_x000a_        &amp;lt;CourtID&amp;gt;13&amp;lt;/CourtID&amp;gt;_x005f_x000d__x005f_x000a_        &amp;lt;CaseTypeID&amp;gt;10048&amp;lt;/CaseTypeID&amp;gt;_x005f_x000d__x005f_x000a_        &amp;lt;CaseJudgeName&amp;gt;îùä âìòã&amp;lt;/CaseJudgeName&amp;gt;_x005f_x000d__x005f_x000a_        &amp;lt;CaseLinkTypeID&amp;gt;9&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8641-08-12&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2-08-06T09:18:00+03:00&amp;lt;/CaseOpenDate&amp;gt;_x005f_x000d__x005f_x000a_        &amp;lt;PleaTypeID&amp;gt;8&amp;lt;/PleaTypeID&amp;gt;_x005f_x000d__x005f_x000a_        &amp;lt;CourtLevelID&amp;gt;2&amp;lt;/CourtLevelID&amp;gt;_x005f_x000d__x005f_x000a_        &amp;lt;CaseJudgeFirstName&amp;gt;îùä&amp;lt;/CaseJudgeFirstName&amp;gt;_x005f_x000d__x005f_x000a_        &amp;lt;CaseJudgeLastName&amp;gt;âìòã&amp;lt;/CaseJudgeLastName&amp;gt;_x005f_x000d__x005f_x000a_        &amp;lt;JudicalPersonID&amp;gt;067578955@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áåöòä ä÷øàä áúé÷ åæàú ìàçø ÷áìú àéùåø èìôåðé îäùåôè àìé÷éí_x005f_x000a_ääççìèä úéùúì áäîùê ìàçø äôâøä&amp;lt;/CaseDesc&amp;gt;_x005f_x000d__x005f_x000a_        &amp;lt;ArchivingActivityID&amp;gt;1&amp;lt;/ArchivingActivityID&amp;gt;_x005f_x000d__x005f_x000a_      &amp;lt;/CasePresentationDataSet&amp;gt;_x005f_x000d__x005f_x000a_    &amp;lt;/diffgr:before&amp;gt;_x005f_x000d__x005f_x000a_  &amp;lt;/diffgr:diffgram&amp;gt;_x005f_x000d__x005f_x000a_&amp;lt;/CasePresentationDS&amp;gt;"/>
    <w:docVar w:name="CourtID" w:val="13"/>
    <w:docVar w:name="DecisionDS" w:val="&amp;lt;?xml version=&amp;quot;1.0&amp;quot;?&amp;gt;_x005f_x000d__x005f_x000a_&amp;lt;DecisionDS&amp;gt;_x005f_x000d__x005f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5f_x000d__x005f_x000a_    &amp;lt;xs:element name=&amp;quot;DecisionDS&amp;quot; msdata:IsDataSet=&amp;quot;true&amp;quot; msdata:Locale=&amp;quot;he-IL&amp;quot;&amp;gt;_x005f_x000d__x005f_x000a_      &amp;lt;xs:complexType&amp;gt;_x005f_x000d__x005f_x000a_        &amp;lt;xs:choice minOccurs=&amp;quot;0&amp;quot; maxOccurs=&amp;quot;unbounded&amp;quot;&amp;gt;_x005f_x000d__x005f_x000a_          &amp;lt;xs:element name=&amp;quot;dt_Decision&amp;quot;&amp;gt;_x005f_x000d__x005f_x000a_            &amp;lt;xs:complexType&amp;gt;_x005f_x000d__x005f_x000a_              &amp;lt;xs:sequence&amp;gt;_x005f_x000d__x005f_x000a_                &amp;lt;xs:element name=&amp;quot;DecisionID&amp;quot; msdata:ReadOnly=&amp;quot;true&amp;quot; msdata:AutoIncrement=&amp;quot;true&amp;quot; type=&amp;quot;xs:int&amp;quot; /&amp;gt;_x005f_x000d__x005f_x000a_                &amp;lt;xs:element name=&amp;quot;DecisionNumber&amp;quot; type=&amp;quot;xs:int&amp;quot; minOccurs=&amp;quot;0&amp;quot; /&amp;gt;_x005f_x000d__x005f_x000a_                &amp;lt;xs:element name=&amp;quot;DecisionName&amp;quot; type=&amp;quot;xs:string&amp;quot; /&amp;gt;_x005f_x000d__x005f_x000a_                &amp;lt;xs:element name=&amp;quot;DecisionStatusID&amp;quot; type=&amp;quot;xs:int&amp;quot; /&amp;gt;_x005f_x000d__x005f_x000a_                &amp;lt;xs:element name=&amp;quot;DecisionStatusChangeDate&amp;quot; type=&amp;quot;xs:dateTime&amp;quot; /&amp;gt;_x005f_x000d__x005f_x000a_                &amp;lt;xs:element name=&amp;quot;DecisionSignatureDate&amp;quot; type=&amp;quot;xs:dateTime&amp;quot; minOccurs=&amp;quot;0&amp;quot; /&amp;gt;_x005f_x000d__x005f_x000a_                &amp;lt;xs:element name=&amp;quot;DecisionSignatureUserID&amp;quot; type=&amp;quot;xs:string&amp;quot; minOccurs=&amp;quot;0&amp;quot; /&amp;gt;_x005f_x000d__x005f_x000a_                &amp;lt;xs:element name=&amp;quot;DecisionCreateDate&amp;quot; type=&amp;quot;xs:dateTime&amp;quot; /&amp;gt;_x005f_x000d__x005f_x000a_                &amp;lt;xs:element name=&amp;quot;DecisionChangeDate&amp;quot; type=&amp;quot;xs:dateTime&amp;quot; minOccurs=&amp;quot;0&amp;quot; /&amp;gt;_x005f_x000d__x005f_x000a_                &amp;lt;xs:element name=&amp;quot;DecisionChangeUserID&amp;quot; type=&amp;quot;xs:string&amp;quot; minOccurs=&amp;quot;0&amp;quot; /&amp;gt;_x005f_x000d__x005f_x000a_                &amp;lt;xs:element name=&amp;quot;DecisionDesc&amp;quot; type=&amp;quot;xs:string&amp;quot; minOccurs=&amp;quot;0&amp;quot; /&amp;gt;_x005f_x000d__x005f_x000a_                &amp;lt;xs:element name=&amp;quot;IsChosenDecision&amp;quot; type=&amp;quot;xs:boolean&amp;quot; default=&amp;quot;false&amp;quot; /&amp;gt;_x005f_x000d__x005f_x000a_                &amp;lt;xs:element name=&amp;quot;IsDecisionImplementationTask&amp;quot; type=&amp;quot;xs:boolean&amp;quot; default=&amp;quot;false&amp;quot; minOccurs=&amp;quot;0&amp;quot; /&amp;gt;_x005f_x000d__x005f_x000a_                &amp;lt;xs:element name=&amp;quot;IsDecisionInProtocol&amp;quot; type=&amp;quot;xs:boolean&amp;quot; default=&amp;quot;false&amp;quot; /&amp;gt;_x005f_x000d__x005f_x000a_                &amp;lt;xs:element name=&amp;quot;DecisionTypeID&amp;quot; type=&amp;quot;xs:int&amp;quot; /&amp;gt;_x005f_x000d__x005f_x000a_                &amp;lt;xs:element name=&amp;quot;DecisionText&amp;quot; type=&amp;quot;xs:string&amp;quot; minOccurs=&amp;quot;0&amp;quot; /&amp;gt;_x005f_x000d__x005f_x000a_                &amp;lt;xs:element name=&amp;quot;IsOnlyOneParty&amp;quot; type=&amp;quot;xs:boolean&amp;quot; default=&amp;quot;false&amp;quot; /&amp;gt;_x005f_x000d__x005f_x000a_                &amp;lt;xs:element name=&amp;quot;IsCanceledDecision&amp;quot; type=&amp;quot;xs:boolean&amp;quot; default=&amp;quot;false&amp;quot; /&amp;gt;_x005f_x000d__x005f_x000a_                &amp;lt;xs:element name=&amp;quot;DecisionLinkID&amp;quot; type=&amp;quot;xs:int&amp;quot; minOccurs=&amp;quot;0&amp;quot; /&amp;gt;_x005f_x000d__x005f_x000a_                &amp;lt;xs:element name=&amp;quot;DecisionLinkTypeID&amp;quot; type=&amp;quot;xs:int&amp;quot; minOccurs=&amp;quot;0&amp;quot; /&amp;gt;_x005f_x000d__x005f_x000a_                &amp;lt;xs:element name=&amp;quot;DocumentID&amp;quot; type=&amp;quot;xs:int&amp;quot; minOccurs=&amp;quot;0&amp;quot; /&amp;gt;_x005f_x000d__x005f_x000a_                &amp;lt;xs:element name=&amp;quot;PrivilegeID&amp;quot; type=&amp;quot;xs:int&amp;quot; /&amp;gt;_x005f_x000d__x005f_x000a_                &amp;lt;xs:element name=&amp;quot;IsDecisionConverted&amp;quot; type=&amp;quot;xs:boolean&amp;quot; default=&amp;quot;false&amp;quot; /&amp;gt;_x005f_x000d__x005f_x000a_                &amp;lt;xs:element name=&amp;quot;SignatureUserTypeID&amp;quot; type=&amp;quot;xs:int&amp;quot; minOccurs=&amp;quot;0&amp;quot; /&amp;gt;_x005f_x000d__x005f_x000a_                &amp;lt;xs:element name=&amp;quot;IsOpenedToSecondSide&amp;quot; type=&amp;quot;xs:boolean&amp;quot; default=&amp;quot;false&amp;quot; /&amp;gt;_x005f_x000d__x005f_x000a_                &amp;lt;xs:element name=&amp;quot;IsDecisionAppeled&amp;quot; type=&amp;quot;xs:boolean&amp;quot; default=&amp;quot;false&amp;quot; /&amp;gt;_x005f_x000d__x005f_x000a_                &amp;lt;xs:element name=&amp;quot;DecisionWriterID&amp;quot; type=&amp;quot;xs:string&amp;quot; minOccurs=&amp;quot;0&amp;quot; /&amp;gt;_x005f_x000d__x005f_x000a_                &amp;lt;xs:element name=&amp;quot;IsInstruction&amp;quot; type=&amp;quot;xs:boolean&amp;quot; default=&amp;quot;false&amp;quot; /&amp;gt;_x005f_x000d__x005f_x000a_                &amp;lt;xs:element name=&amp;quot;PreviousCaseID&amp;quot; type=&amp;quot;xs:string&amp;quot; minOccurs=&amp;quot;0&amp;quot; /&amp;gt;_x005f_x000d__x005f_x000a_                &amp;lt;xs:element name=&amp;quot;IsNeedAllSignatures&amp;quot; type=&amp;quot;xs:boolean&amp;quot; default=&amp;quot;false&amp;quot; minOccurs=&amp;quot;0&amp;quot; /&amp;gt;_x005f_x000d__x005f_x000a_                &amp;lt;xs:element name=&amp;quot;DecisionAttributeID&amp;quot; type=&amp;quot;xs:int&amp;quot; minOccurs=&amp;quot;0&amp;quot; /&amp;gt;_x005f_x000d__x005f_x000a_                &amp;lt;xs:element name=&amp;quot;DecisionCreationUserID&amp;quot; type=&amp;quot;xs:string&amp;quot; /&amp;gt;_x005f_x000d__x005f_x000a_                &amp;lt;xs:element name=&amp;quot;DecisionLinkName&amp;quot; type=&amp;quot;xs:string&amp;quot; minOccurs=&amp;quot;0&amp;quot; /&amp;gt;_x005f_x000d__x005f_x000a_                &amp;lt;xs:element name=&amp;quot;DecisionLinkCaseID&amp;quot; type=&amp;quot;xs:int&amp;quot; minOccurs=&amp;quot;0&amp;quot; /&amp;gt;_x005f_x000d__x005f_x000a_                &amp;lt;xs:element name=&amp;quot;DecisionDisplayName&amp;quot; type=&amp;quot;xs:string&amp;quot; minOccurs=&amp;quot;0&amp;quot; /&amp;gt;_x005f_x000d__x005f_x000a_                &amp;lt;xs:element name=&amp;quot;IsScanned&amp;quot; type=&amp;quot;xs:boolean&amp;quot; minOccurs=&amp;quot;0&amp;quot; /&amp;gt;_x005f_x000d__x005f_x000a_                &amp;lt;xs:element name=&amp;quot;DecisionSignatureUserName&amp;quot; type=&amp;quot;xs:string&amp;quot; minOccurs=&amp;quot;0&amp;quot; /&amp;gt;_x005f_x000d__x005f_x000a_                &amp;lt;xs:element name=&amp;quot;ChangePrivilegeUserID&amp;quot; type=&amp;quot;xs:string&amp;quot; minOccurs=&amp;quot;0&amp;quot; /&amp;gt;_x005f_x000d__x005f_x000a_                &amp;lt;xs:element name=&amp;quot;PublishInWebUserID&amp;quot; type=&amp;quot;xs:string&amp;quot; minOccurs=&amp;quot;0&amp;quot; /&amp;gt;_x005f_x000d__x005f_x000a_                &amp;lt;xs:element name=&amp;quot;NotificationTypeID&amp;quot; type=&amp;quot;xs:int&amp;quot; default=&amp;quot;1&amp;quot; minOccurs=&amp;quot;0&amp;quot; /&amp;gt;_x005f_x000d__x005f_x000a_                &amp;lt;xs:element name=&amp;quot;NotificationAuthorizeUserID&amp;quot; type=&amp;quot;xs:string&amp;quot; minOccurs=&amp;quot;0&amp;quot; /&amp;gt;_x005f_x000d__x005f_x000a_                &amp;lt;xs:element name=&amp;quot;DecisionReleaseDate&amp;quot; type=&amp;quot;xs:dateTime&amp;quot; minOccurs=&amp;quot;0&amp;quot; /&amp;gt;_x005f_x000d__x005f_x000a_                &amp;lt;xs:element name=&amp;quot;IsDecisionInNote&amp;quot; type=&amp;quot;xs:boolean&amp;quot; default=&amp;quot;false&amp;quot; /&amp;gt;_x005f_x000d__x005f_x000a_                &amp;lt;xs:element name=&amp;quot;IsOriginal&amp;quot; type=&amp;quot;xs:boolean&amp;quot; minOccurs=&amp;quot;0&amp;quot; /&amp;gt;_x005f_x000d__x005f_x000a_              &amp;lt;/xs:sequence&amp;gt;_x005f_x000d__x005f_x000a_            &amp;lt;/xs:complexType&amp;gt;_x005f_x000d__x005f_x000a_          &amp;lt;/xs:element&amp;gt;_x005f_x000d__x005f_x000a_          &amp;lt;xs:element name=&amp;quot;dt_DecisionCase&amp;quot;&amp;gt;_x005f_x000d__x005f_x000a_            &amp;lt;xs:complexType&amp;gt;_x005f_x000d__x005f_x000a_              &amp;lt;xs:sequence&amp;gt;_x005f_x000d__x005f_x000a_                &amp;lt;xs:element name=&amp;quot;DecisionID&amp;quot; type=&amp;quot;xs:int&amp;quot; /&amp;gt;_x005f_x000d__x005f_x000a_                &amp;lt;xs:element name=&amp;quot;CaseID&amp;quot; type=&amp;quot;xs:int&amp;quot; /&amp;gt;_x005f_x000d__x005f_x000a_                &amp;lt;xs:element name=&amp;quot;IsOriginal&amp;quot; type=&amp;quot;xs:boolean&amp;quot; default=&amp;quot;false&amp;quot; minOccurs=&amp;quot;0&amp;quot; /&amp;gt;_x005f_x000d__x005f_x000a_                &amp;lt;xs:element name=&amp;quot;IsDeleted&amp;quot; type=&amp;quot;xs:boolean&amp;quot; default=&amp;quot;false&amp;quot; /&amp;gt;_x005f_x000d__x005f_x000a_                &amp;lt;xs:element name=&amp;quot;CaseLinkTypeID&amp;quot; type=&amp;quot;xs:int&amp;quot; minOccurs=&amp;quot;0&amp;quot; /&amp;gt;_x005f_x000d__x005f_x000a_                &amp;lt;xs:element name=&amp;quot;CaseName&amp;quot; type=&amp;quot;xs:string&amp;quot; minOccurs=&amp;quot;0&amp;quot; /&amp;gt;_x005f_x000d__x005f_x000a_                &amp;lt;xs:element name=&amp;quot;CaseDisplayIdentifier&amp;quot; type=&amp;quot;xs:string&amp;quot; minOccurs=&amp;quot;0&amp;quot; /&amp;gt;_x005f_x000d__x005f_x000a_              &amp;lt;/xs:sequence&amp;gt;_x005f_x000d__x005f_x000a_            &amp;lt;/xs:complexType&amp;gt;_x005f_x000d__x005f_x000a_          &amp;lt;/xs:element&amp;gt;_x005f_x000d__x005f_x000a_          &amp;lt;xs:element name=&amp;quot;dt_DecisionMotion&amp;quot;&amp;gt;_x005f_x000d__x005f_x000a_            &amp;lt;xs:complexType&amp;gt;_x005f_x000d__x005f_x000a_              &amp;lt;xs:sequence&amp;gt;_x005f_x000d__x005f_x000a_                &amp;lt;xs:element name=&amp;quot;DecisionID&amp;quot; type=&amp;quot;xs:int&amp;quot; /&amp;gt;_x005f_x000d__x005f_x000a_                &amp;lt;xs:element name=&amp;quot;MotionID&amp;quot; type=&amp;quot;xs:int&amp;quot; /&amp;gt;_x005f_x000d__x005f_x000a_                &amp;lt;xs:element name=&amp;quot;DecisionResultID&amp;quot; type=&amp;quot;xs:int&amp;quot; minOccurs=&amp;quot;0&amp;quot; /&amp;gt;_x005f_x000d__x005f_x000a_                &amp;lt;xs:element name=&amp;quot;IsOriginalMotion&amp;quot; type=&amp;quot;xs:boolean&amp;quot; default=&amp;quot;false&amp;quot; minOccurs=&amp;quot;0&amp;quot; /&amp;gt;_x005f_x000d__x005f_x000a_                &amp;lt;xs:element name=&amp;quot;MotionName&amp;quot; type=&amp;quot;xs:string&amp;quot; minOccurs=&amp;quot;0&amp;quot; /&amp;gt;_x005f_x000d__x005f_x000a_                &amp;lt;xs:element name=&amp;quot;MotionOpenDate&amp;quot; type=&amp;quot;xs:dateTime&amp;quot; minOccurs=&amp;quot;0&amp;quot; /&amp;gt;_x005f_x000d__x005f_x000a_                &amp;lt;xs:element name=&amp;quot;CaseID&amp;quot; type=&amp;quot;xs:int&amp;quot; minOccurs=&amp;quot;0&amp;quot; /&amp;gt;_x005f_x000d__x005f_x000a_                &amp;lt;xs:element name=&amp;quot;CaseDisplayIdentifier&amp;quot; type=&amp;quot;xs:string&amp;quot; minOccurs=&amp;quot;0&amp;quot; /&amp;gt;_x005f_x000d__x005f_x000a_                &amp;lt;xs:element name=&amp;quot;ProcessNumber&amp;quot; type=&amp;quot;xs:int&amp;quot; minOccurs=&amp;quot;0&amp;quot; /&amp;gt;_x005f_x000d__x005f_x000a_              &amp;lt;/xs:sequence&amp;gt;_x005f_x000d__x005f_x000a_            &amp;lt;/xs:complexType&amp;gt;_x005f_x000d__x005f_x000a_          &amp;lt;/xs:element&amp;gt;_x005f_x000d__x005f_x000a_          &amp;lt;xs:element name=&amp;quot;dt_DecisionProtocol&amp;quot;&amp;gt;_x005f_x000d__x005f_x000a_            &amp;lt;xs:complexType&amp;gt;_x005f_x000d__x005f_x000a_              &amp;lt;xs:sequence&amp;gt;_x005f_x000d__x005f_x000a_                &amp;lt;xs:element name=&amp;quot;DecisionID&amp;quot; type=&amp;quot;xs:int&amp;quot; /&amp;gt;_x005f_x000d__x005f_x000a_                &amp;lt;xs:element name=&amp;quot;ProtocolID&amp;quot; type=&amp;quot;xs:int&amp;quot; /&amp;gt;_x005f_x000d__x005f_x000a_                &amp;lt;xs:element name=&amp;quot;ProtocolEventID&amp;quot; type=&amp;quot;xs:int&amp;quot; /&amp;gt;_x005f_x000d__x005f_x000a_              &amp;lt;/xs:sequence&amp;gt;_x005f_x000d__x005f_x000a_            &amp;lt;/xs:complexType&amp;gt;_x005f_x000d__x005f_x000a_          &amp;lt;/xs:element&amp;gt;_x005f_x000d__x005f_x000a_          &amp;lt;xs:element name=&amp;quot;dt_DecisionJudgePanel&amp;quot;&amp;gt;_x005f_x000d__x005f_x000a_            &amp;lt;xs:complexType&amp;gt;_x005f_x000d__x005f_x000a_              &amp;lt;xs:sequence&amp;gt;_x005f_x000d__x005f_x000a_                &amp;lt;xs:element name=&amp;quot;DecisionID&amp;quot; type=&amp;quot;xs:int&amp;quot; /&amp;gt;_x005f_x000d__x005f_x000a_                &amp;lt;xs:element name=&amp;quot;JudgeID&amp;quot; type=&amp;quot;xs:string&amp;quot; /&amp;gt;_x005f_x000d__x005f_x000a_                &amp;lt;xs:element name=&amp;quot;DocumentSendDate&amp;quot; type=&amp;quot;xs:dateTime&amp;quot; minOccurs=&amp;quot;0&amp;quot; /&amp;gt;_x005f_x000d__x005f_x000a_                &amp;lt;xs:element name=&amp;quot;FinalDate&amp;quot; type=&amp;quot;xs:dateTime&amp;quot; minOccurs=&amp;quot;0&amp;quot; /&amp;gt;_x005f_x000d__x005f_x000a_                &amp;lt;xs:element name=&amp;quot;SignatureDate&amp;quot; type=&amp;quot;xs:dateTime&amp;quot; minOccurs=&amp;quot;0&amp;quot; /&amp;gt;_x005f_x000d__x005f_x000a_                &amp;lt;xs:element name=&amp;quot;DocumentID&amp;quot; type=&amp;quot;xs:int&amp;quot; minOccurs=&amp;quot;0&amp;quot; /&amp;gt;_x005f_x000d__x005f_x000a_                &amp;lt;xs:element name=&amp;quot;DecisionOpinionDate&amp;quot; type=&amp;quot;xs:dateTime&amp;quot; minOccurs=&amp;quot;0&amp;quot; /&amp;gt;_x005f_x000d__x005f_x000a_                &amp;lt;xs:element name=&amp;quot;WriterViewedDraftDate&amp;quot; type=&amp;quot;xs:dateTime&amp;quot; minOccurs=&amp;quot;0&amp;quot; /&amp;gt;_x005f_x000d__x005f_x000a_                &amp;lt;xs:element name=&amp;quot;IsNeedAllSignatures&amp;quot; type=&amp;quot;xs:boolean&amp;quot; minOccurs=&amp;quot;0&amp;quot; /&amp;gt;_x005f_x000d__x005f_x000a_                &amp;lt;xs:element name=&amp;quot;DocumentIDNotes&amp;quot; type=&amp;quot;xs:int&amp;quot; minOccurs=&amp;quot;0&amp;quot; /&amp;gt;_x005f_x000d__x005f_x000a_                &amp;lt;xs:element name=&amp;quot;OrdinalNumber&amp;quot; type=&amp;quot;xs:int&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DecisionDSKey1&amp;quot; msdata:PrimaryKey=&amp;quot;true&amp;quot;&amp;gt;_x005f_x000d__x005f_x000a_        &amp;lt;xs:selector xpath=&amp;quot;.//mstns:dt_Decision&amp;quot; /&amp;gt;_x005f_x000d__x005f_x000a_        &amp;lt;xs:field xpath=&amp;quot;mstns:DecisionID&amp;quot; /&amp;gt;_x005f_x000d__x005f_x000a_      &amp;lt;/xs:unique&amp;gt;_x005f_x000d__x005f_x000a_      &amp;lt;xs:unique name=&amp;quot;DecisionDSKey2&amp;quot; msdata:PrimaryKey=&amp;quot;true&amp;quot;&amp;gt;_x005f_x000d__x005f_x000a_        &amp;lt;xs:selector xpath=&amp;quot;.//mstns:dt_DecisionCase&amp;quot; /&amp;gt;_x005f_x000d__x005f_x000a_        &amp;lt;xs:field xpath=&amp;quot;mstns:DecisionID&amp;quot; /&amp;gt;_x005f_x000d__x005f_x000a_        &amp;lt;xs:field xpath=&amp;quot;mstns:CaseID&amp;quot; /&amp;gt;_x005f_x000d__x005f_x000a_      &amp;lt;/xs:unique&amp;gt;_x005f_x000d__x005f_x000a_      &amp;lt;xs:unique name=&amp;quot;DecisionDSKey3&amp;quot; msdata:PrimaryKey=&amp;quot;true&amp;quot;&amp;gt;_x005f_x000d__x005f_x000a_        &amp;lt;xs:selector xpath=&amp;quot;.//mstns:dt_DecisionMotion&amp;quot; /&amp;gt;_x005f_x000d__x005f_x000a_        &amp;lt;xs:field xpath=&amp;quot;mstns:DecisionID&amp;quot; /&amp;gt;_x005f_x000d__x005f_x000a_        &amp;lt;xs:field xpath=&amp;quot;mstns:MotionID&amp;quot; /&amp;gt;_x005f_x000d__x005f_x000a_      &amp;lt;/xs:unique&amp;gt;_x005f_x000d__x005f_x000a_      &amp;lt;xs:unique name=&amp;quot;DecisionDSKey4&amp;quot; msdata:PrimaryKey=&amp;quot;true&amp;quot;&amp;gt;_x005f_x000d__x005f_x000a_        &amp;lt;xs:selector xpath=&amp;quot;.//mstns:dt_DecisionProtocol&amp;quot; /&amp;gt;_x005f_x000d__x005f_x000a_        &amp;lt;xs:field xpath=&amp;quot;mstns:DecisionID&amp;quot; /&amp;gt;_x005f_x000d__x005f_x000a_        &amp;lt;xs:field xpath=&amp;quot;mstns:ProtocolID&amp;quot; /&amp;gt;_x005f_x000d__x005f_x000a_        &amp;lt;xs:field xpath=&amp;quot;mstns:ProtocolEventID&amp;quot; /&amp;gt;_x005f_x000d__x005f_x000a_      &amp;lt;/xs:unique&amp;gt;_x005f_x000d__x005f_x000a_      &amp;lt;xs:unique name=&amp;quot;DecisionDSKey10&amp;quot; msdata:PrimaryKey=&amp;quot;true&amp;quot;&amp;gt;_x005f_x000d__x005f_x000a_        &amp;lt;xs:selector xpath=&amp;quot;.//mstns:dt_DecisionJudgePanel&amp;quot; /&amp;gt;_x005f_x000d__x005f_x000a_        &amp;lt;xs:field xpath=&amp;quot;mstns:DecisionID&amp;quot; /&amp;gt;_x005f_x000d__x005f_x000a_        &amp;lt;xs:field xpath=&amp;quot;mstns:JudgeID&amp;quot; /&amp;gt;_x005f_x000d__x005f_x000a_      &amp;lt;/xs:unique&amp;gt;_x005f_x000d__x005f_x000a_      &amp;lt;xs:keyref name=&amp;quot;dt_Decisiondt_DecisionJudgePanel&amp;quot; refer=&amp;quot;DecisionDSKey1&amp;quot;&amp;gt;_x005f_x000d__x005f_x000a_        &amp;lt;xs:selector xpath=&amp;quot;.//mstns:dt_DecisionJudgePanel&amp;quot; /&amp;gt;_x005f_x000d__x005f_x000a_        &amp;lt;xs:field xpath=&amp;quot;mstns:DecisionID&amp;quot; /&amp;gt;_x005f_x000d__x005f_x000a_      &amp;lt;/xs:keyref&amp;gt;_x005f_x000d__x005f_x000a_      &amp;lt;xs:keyref name=&amp;quot;dt_Decisiondt_DecisionProtocol&amp;quot; refer=&amp;quot;DecisionDSKey1&amp;quot;&amp;gt;_x005f_x000d__x005f_x000a_        &amp;lt;xs:selector xpath=&amp;quot;.//mstns:dt_DecisionProtocol&amp;quot; /&amp;gt;_x005f_x000d__x005f_x000a_        &amp;lt;xs:field xpath=&amp;quot;mstns:DecisionID&amp;quot; /&amp;gt;_x005f_x000d__x005f_x000a_      &amp;lt;/xs:keyref&amp;gt;_x005f_x000d__x005f_x000a_      &amp;lt;xs:keyref name=&amp;quot;dt_Decisiondt_DecisionMotion&amp;quot; refer=&amp;quot;DecisionDSKey1&amp;quot;&amp;gt;_x005f_x000d__x005f_x000a_        &amp;lt;xs:selector xpath=&amp;quot;.//mstns:dt_DecisionMotion&amp;quot; /&amp;gt;_x005f_x000d__x005f_x000a_        &amp;lt;xs:field xpath=&amp;quot;mstns:DecisionID&amp;quot; /&amp;gt;_x005f_x000d__x005f_x000a_      &amp;lt;/xs:keyref&amp;gt;_x005f_x000d__x005f_x000a_      &amp;lt;xs:keyref name=&amp;quot;dt_Decisiondt_DecisionCase&amp;quot; refer=&amp;quot;DecisionDSKey1&amp;quot;&amp;gt;_x005f_x000d__x005f_x000a_        &amp;lt;xs:selector xpath=&amp;quot;.//mstns:dt_DecisionCase&amp;quot; /&amp;gt;_x005f_x000d__x005f_x000a_        &amp;lt;xs:field xpath=&amp;quot;mstns:Decision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ecisionDS xmlns=&amp;quot;http://www.tempuri.org/DecisionDS.xsd&amp;quot;&amp;gt;_x005f_x000d__x005f_x000a_      &amp;lt;dt_Decision diffgr:id=&amp;quot;dt_Decision1&amp;quot; msdata:rowOrder=&amp;quot;0&amp;quot;&amp;gt;_x005f_x000d__x005f_x000a_        &amp;lt;DecisionID&amp;gt;85299643&amp;lt;/DecisionID&amp;gt;_x005f_x000d__x005f_x000a_        &amp;lt;DecisionName&amp;gt;âæø ãéï  îúàøéê  07/05/13  ùðéúðä ò&amp;quot;é  îùä âìòã&amp;lt;/DecisionName&amp;gt;_x005f_x000d__x005f_x000a_        &amp;lt;DecisionStatusID&amp;gt;1&amp;lt;/DecisionStatusID&amp;gt;_x005f_x000d__x005f_x000a_        &amp;lt;DecisionStatusChangeDate&amp;gt;2013-05-16T09:27:40.28+03:00&amp;lt;/DecisionStatusChangeDate&amp;gt;_x005f_x000d__x005f_x000a_        &amp;lt;DecisionSignatureDate&amp;gt;2013-05-07T10:13:21.54+03:00&amp;lt;/DecisionSignatureDate&amp;gt;_x005f_x000d__x005f_x000a_        &amp;lt;DecisionSignatureUserID&amp;gt;067578955@GOV.IL&amp;lt;/DecisionSignatureUserID&amp;gt;_x005f_x000d__x005f_x000a_        &amp;lt;DecisionCreateDate&amp;gt;2013-05-07T10:18:37.74+03:00&amp;lt;/DecisionCreateDate&amp;gt;_x005f_x000d__x005f_x000a_        &amp;lt;DecisionChangeDate&amp;gt;2013-05-16T09:27:40.637+03:00&amp;lt;/DecisionChangeDate&amp;gt;_x005f_x000d__x005f_x000a_        &amp;lt;DecisionChangeUserID&amp;gt;031804206@GOV.IL&amp;lt;/DecisionChangeUserID&amp;gt;_x005f_x000d__x005f_x000a_        &amp;lt;IsChosenDecision&amp;gt;false&amp;lt;/IsChosenDecision&amp;gt;_x005f_x000d__x005f_x000a_        &amp;lt;IsDecisionImplementationTask&amp;gt;true&amp;lt;/IsDecisionImplementationTask&amp;gt;_x005f_x000d__x005f_x000a_        &amp;lt;IsDecisionInProtocol&amp;gt;false&amp;lt;/IsDecisionInProtocol&amp;gt;_x005f_x000d__x005f_x000a_        &amp;lt;DecisionTypeID&amp;gt;4&amp;lt;/DecisionTypeID&amp;gt;_x005f_x000d__x005f_x000a_        &amp;lt;IsOnlyOneParty&amp;gt;false&amp;lt;/IsOnlyOneParty&amp;gt;_x005f_x000d__x005f_x000a_        &amp;lt;IsCanceledDecision&amp;gt;false&amp;lt;/IsCanceledDecision&amp;gt;_x005f_x000d__x005f_x000a_        &amp;lt;DocumentID&amp;gt;160350028&amp;lt;/DocumentID&amp;gt;_x005f_x000d__x005f_x000a_        &amp;lt;PrivilegeID&amp;gt;1&amp;lt;/PrivilegeID&amp;gt;_x005f_x000d__x005f_x000a_        &amp;lt;IsDecisionConverted&amp;gt;false&amp;lt;/IsDecisionConverted&amp;gt;_x005f_x000d__x005f_x000a_        &amp;lt;IsOpenedToSecondSide&amp;gt;false&amp;lt;/IsOpenedToSecondSide&amp;gt;_x005f_x000d__x005f_x000a_        &amp;lt;IsDecisionAppeled&amp;gt;false&amp;lt;/IsDecisionAppeled&amp;gt;_x005f_x000d__x005f_x000a_        &amp;lt;DecisionWriterID&amp;gt;067578955@GOV.IL&amp;lt;/DecisionWriterID&amp;gt;_x005f_x000d__x005f_x000a_        &amp;lt;IsInstruction&amp;gt;false&amp;lt;/IsInstruction&amp;gt;_x005f_x000d__x005f_x000a_        &amp;lt;IsNeedAllSignatures&amp;gt;false&amp;lt;/IsNeedAllSignatures&amp;gt;_x005f_x000d__x005f_x000a_        &amp;lt;DecisionAttributeID&amp;gt;1&amp;lt;/DecisionAttributeID&amp;gt;_x005f_x000d__x005f_x000a_        &amp;lt;DecisionCreationUserID&amp;gt;031804206@GOV.IL&amp;lt;/DecisionCreationUserID&amp;gt;_x005f_x000d__x005f_x000a_        &amp;lt;DecisionDisplayName&amp;gt;âæø ãéï  îúàøéê  07/05/13  ùðéúðä ò&amp;quot;é  îùä âìòã&amp;lt;/DecisionDisplayName&amp;gt;_x005f_x000d__x005f_x000a_        &amp;lt;IsScanned&amp;gt;false&amp;lt;/IsScanned&amp;gt;_x005f_x000d__x005f_x000a_        &amp;lt;DecisionSignatureUserName&amp;gt;îùä âìòã&amp;lt;/DecisionSignatureUserName&amp;gt;_x005f_x000d__x005f_x000a_        &amp;lt;NotificationTypeID&amp;gt;1&amp;lt;/NotificationTypeID&amp;gt;_x005f_x000d__x005f_x000a_        &amp;lt;IsDecisionInNote&amp;gt;false&amp;lt;/IsDecisionInNote&amp;gt;_x005f_x000d__x005f_x000a_      &amp;lt;/dt_Decision&amp;gt;_x005f_x000d__x005f_x000a_      &amp;lt;dt_DecisionCase diffgr:id=&amp;quot;dt_DecisionCase1&amp;quot; msdata:rowOrder=&amp;quot;0&amp;quot;&amp;gt;_x005f_x000d__x005f_x000a_        &amp;lt;DecisionID&amp;gt;85299643&amp;lt;/DecisionID&amp;gt;_x005f_x000d__x005f_x000a_        &amp;lt;CaseID&amp;gt;70467684&amp;lt;/CaseID&amp;gt;_x005f_x000d__x005f_x000a_        &amp;lt;IsOriginal&amp;gt;true&amp;lt;/IsOriginal&amp;gt;_x005f_x000d__x005f_x000a_        &amp;lt;IsDeleted&amp;gt;false&amp;lt;/IsDeleted&amp;gt;_x005f_x000d__x005f_x000a_        &amp;lt;CaseName&amp;gt;îãéðú éùøàì ð&amp;#39; òæá&amp;lt;/CaseName&amp;gt;_x005f_x000d__x005f_x000a_        &amp;lt;CaseDisplayIdentifier&amp;gt;8641-08-12 ú&amp;quot;ô&amp;lt;/CaseDisplayIdentifier&amp;gt;_x005f_x000d__x005f_x000a_      &amp;lt;/dt_DecisionCase&amp;gt;_x005f_x000d__x005f_x000a_    &amp;lt;/DecisionDS&amp;gt;_x005f_x000d__x005f_x000a_  &amp;lt;/diffgr:diffgram&amp;gt;_x005f_x000d__x005f_x000a_&amp;lt;/DecisionDS&amp;gt;"/>
    <w:docVar w:name="DecisionID" w:val="85299643"/>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seInterestID" w:val="-1"/>
    <w:docVar w:name="NGCS.TemplateCaseTypeID" w:val="10048"/>
    <w:docVar w:name="NGCS.TemplateCategoryID" w:val="80"/>
    <w:docVar w:name="NGCS.TemplateCourtID" w:val="13"/>
    <w:docVar w:name="NGCS.TemplateProceedingID" w:val="2"/>
    <w:docVar w:name="NGCS.userUPN" w:val="ëåìí"/>
    <w:docVar w:name="WordClientAssemblyName" w:val="NGCS.Decision.ClientWordBL"/>
    <w:docVar w:name="WordClientClassName" w:val="NGCS.Decision.ClientWordBL.DecisionClient"/>
  </w:docVars>
  <w:rsids>
    <w:rsidRoot w:val="00507694"/>
    <w:rsid w:val="00054FC4"/>
    <w:rsid w:val="00060400"/>
    <w:rsid w:val="000607F7"/>
    <w:rsid w:val="0006726A"/>
    <w:rsid w:val="000B086F"/>
    <w:rsid w:val="000C265C"/>
    <w:rsid w:val="00100577"/>
    <w:rsid w:val="00144D87"/>
    <w:rsid w:val="00163209"/>
    <w:rsid w:val="001A0972"/>
    <w:rsid w:val="00212125"/>
    <w:rsid w:val="002747FE"/>
    <w:rsid w:val="00294FC8"/>
    <w:rsid w:val="002A483F"/>
    <w:rsid w:val="002D6C61"/>
    <w:rsid w:val="00336AE5"/>
    <w:rsid w:val="00344DBA"/>
    <w:rsid w:val="00367565"/>
    <w:rsid w:val="003768B8"/>
    <w:rsid w:val="0039207E"/>
    <w:rsid w:val="003E0C9F"/>
    <w:rsid w:val="00476119"/>
    <w:rsid w:val="004B063D"/>
    <w:rsid w:val="004D72DA"/>
    <w:rsid w:val="004D7467"/>
    <w:rsid w:val="00507694"/>
    <w:rsid w:val="005324C8"/>
    <w:rsid w:val="00535905"/>
    <w:rsid w:val="00536913"/>
    <w:rsid w:val="005C7B0B"/>
    <w:rsid w:val="00683ABD"/>
    <w:rsid w:val="00684E84"/>
    <w:rsid w:val="00704531"/>
    <w:rsid w:val="00706C8C"/>
    <w:rsid w:val="00757983"/>
    <w:rsid w:val="007D46DD"/>
    <w:rsid w:val="00832D73"/>
    <w:rsid w:val="008E0CC5"/>
    <w:rsid w:val="009877B8"/>
    <w:rsid w:val="009D18F0"/>
    <w:rsid w:val="009D5A97"/>
    <w:rsid w:val="009E35A7"/>
    <w:rsid w:val="009E49A1"/>
    <w:rsid w:val="009F5D12"/>
    <w:rsid w:val="00A053E5"/>
    <w:rsid w:val="00A504C4"/>
    <w:rsid w:val="00AA2AF7"/>
    <w:rsid w:val="00AB74CA"/>
    <w:rsid w:val="00B05847"/>
    <w:rsid w:val="00B201E0"/>
    <w:rsid w:val="00BD28AE"/>
    <w:rsid w:val="00BD67E7"/>
    <w:rsid w:val="00BE0015"/>
    <w:rsid w:val="00C02463"/>
    <w:rsid w:val="00C55E62"/>
    <w:rsid w:val="00C572E8"/>
    <w:rsid w:val="00C60490"/>
    <w:rsid w:val="00CF5055"/>
    <w:rsid w:val="00D15483"/>
    <w:rsid w:val="00D202F4"/>
    <w:rsid w:val="00D20D85"/>
    <w:rsid w:val="00D3203D"/>
    <w:rsid w:val="00DC61A1"/>
    <w:rsid w:val="00DF181F"/>
    <w:rsid w:val="00DF79C0"/>
    <w:rsid w:val="00E70F9C"/>
    <w:rsid w:val="00E763A4"/>
    <w:rsid w:val="00F74705"/>
    <w:rsid w:val="00FC63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2F94BDFD"/>
  <w15:chartTrackingRefBased/>
  <w15:docId w15:val="{F3746D8A-329E-4B91-ACA9-B50F6396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E763A4"/>
    <w:pPr>
      <w:keepNext/>
      <w:spacing w:line="360" w:lineRule="auto"/>
      <w:jc w:val="both"/>
      <w:outlineLvl w:val="2"/>
    </w:pPr>
    <w:rPr>
      <w:b/>
      <w:bCs/>
      <w:noProof/>
      <w:sz w:val="20"/>
      <w:lang w:eastAsia="he-IL"/>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basedOn w:val="a0"/>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rPr>
      <w:rFonts w:cs="Times New Roman"/>
    </w:rPr>
  </w:style>
  <w:style w:type="paragraph" w:customStyle="1" w:styleId="aa">
    <w:name w:val="שמות"/>
    <w:basedOn w:val="a"/>
    <w:rsid w:val="00E763A4"/>
    <w:pPr>
      <w:suppressLineNumbers/>
      <w:spacing w:line="360" w:lineRule="auto"/>
      <w:jc w:val="both"/>
    </w:pPr>
    <w:rPr>
      <w:b/>
      <w:bCs/>
      <w:sz w:val="22"/>
      <w:lang w:eastAsia="he-IL"/>
    </w:rPr>
  </w:style>
  <w:style w:type="paragraph" w:customStyle="1" w:styleId="ListParagraph">
    <w:name w:val="List Paragraph"/>
    <w:basedOn w:val="a"/>
    <w:rsid w:val="00E763A4"/>
    <w:pPr>
      <w:ind w:left="720"/>
    </w:pPr>
  </w:style>
  <w:style w:type="character" w:customStyle="1" w:styleId="david-h1">
    <w:name w:val="david-h1"/>
    <w:basedOn w:val="a0"/>
    <w:rsid w:val="00E763A4"/>
    <w:rPr>
      <w:rFonts w:ascii="Times New Roman" w:hAnsi="Times New Roman" w:cs="Times New Roman"/>
      <w:sz w:val="24"/>
      <w:szCs w:val="24"/>
    </w:rPr>
  </w:style>
  <w:style w:type="paragraph" w:customStyle="1" w:styleId="normal-p">
    <w:name w:val="normal-p"/>
    <w:basedOn w:val="a"/>
    <w:rsid w:val="00E763A4"/>
    <w:pPr>
      <w:bidi w:val="0"/>
      <w:spacing w:before="100" w:beforeAutospacing="1" w:after="100" w:afterAutospacing="1"/>
    </w:pPr>
    <w:rPr>
      <w:rFonts w:cs="Times New Roman"/>
    </w:rPr>
  </w:style>
  <w:style w:type="character" w:customStyle="1" w:styleId="30">
    <w:name w:val="כותרת 3 תו"/>
    <w:basedOn w:val="a0"/>
    <w:link w:val="3"/>
    <w:locked/>
    <w:rsid w:val="00E763A4"/>
    <w:rPr>
      <w:rFonts w:cs="David"/>
      <w:b/>
      <w:bCs/>
      <w:noProof/>
      <w:sz w:val="24"/>
      <w:szCs w:val="24"/>
      <w:lang w:eastAsia="he-IL" w:bidi="he-IL"/>
    </w:rPr>
  </w:style>
  <w:style w:type="character" w:styleId="Hyperlink">
    <w:name w:val="Hyperlink"/>
    <w:basedOn w:val="a0"/>
    <w:rsid w:val="00536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70301/413e" TargetMode="External"/><Relationship Id="rId26" Type="http://schemas.openxmlformats.org/officeDocument/2006/relationships/hyperlink" Target="http://www.nevo.co.il/case/6072945"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law/70301/40f"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40c.a" TargetMode="External"/><Relationship Id="rId29" Type="http://schemas.openxmlformats.org/officeDocument/2006/relationships/hyperlink" Target="http://www.nevo.co.il/case/4909624"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571181" TargetMode="External"/><Relationship Id="rId37" Type="http://schemas.openxmlformats.org/officeDocument/2006/relationships/hyperlink" Target="http://www.nevo.co.il/law/70301/192"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40g" TargetMode="External"/><Relationship Id="rId28" Type="http://schemas.openxmlformats.org/officeDocument/2006/relationships/hyperlink" Target="http://www.nevo.co.il/case/6030667"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g"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f" TargetMode="External"/><Relationship Id="rId14" Type="http://schemas.openxmlformats.org/officeDocument/2006/relationships/hyperlink" Target="http://www.nevo.co.il/law/70301/413e" TargetMode="External"/><Relationship Id="rId22" Type="http://schemas.openxmlformats.org/officeDocument/2006/relationships/hyperlink" Target="http://www.nevo.co.il/law/70301/40f" TargetMode="External"/><Relationship Id="rId27" Type="http://schemas.openxmlformats.org/officeDocument/2006/relationships/hyperlink" Target="http://www.nevo.co.il/case/6118595" TargetMode="External"/><Relationship Id="rId30" Type="http://schemas.openxmlformats.org/officeDocument/2006/relationships/hyperlink" Target="http://www.nevo.co.il/law/70301/40i" TargetMode="External"/><Relationship Id="rId35" Type="http://schemas.openxmlformats.org/officeDocument/2006/relationships/hyperlink" Target="http://www.nevo.co.il/law/70301/40g" TargetMode="External"/><Relationship Id="rId43" Type="http://schemas.openxmlformats.org/officeDocument/2006/relationships/fontTable" Target="fontTable.xml"/><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5852404" TargetMode="External"/><Relationship Id="rId33" Type="http://schemas.openxmlformats.org/officeDocument/2006/relationships/hyperlink" Target="http://www.nevo.co.il/case/225102" TargetMode="External"/><Relationship Id="rId3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3017</Words>
  <Characters>15089</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18070</CharactersWithSpaces>
  <SharedDoc>false</SharedDoc>
  <HLinks>
    <vt:vector size="192" baseType="variant">
      <vt:variant>
        <vt:i4>7995492</vt:i4>
      </vt:variant>
      <vt:variant>
        <vt:i4>93</vt:i4>
      </vt:variant>
      <vt:variant>
        <vt:i4>0</vt:i4>
      </vt:variant>
      <vt:variant>
        <vt:i4>5</vt:i4>
      </vt:variant>
      <vt:variant>
        <vt:lpwstr>http://www.nevo.co.il/law/70301</vt:lpwstr>
      </vt:variant>
      <vt:variant>
        <vt:lpwstr/>
      </vt:variant>
      <vt:variant>
        <vt:i4>7077988</vt:i4>
      </vt:variant>
      <vt:variant>
        <vt:i4>90</vt:i4>
      </vt:variant>
      <vt:variant>
        <vt:i4>0</vt:i4>
      </vt:variant>
      <vt:variant>
        <vt:i4>5</vt:i4>
      </vt:variant>
      <vt:variant>
        <vt:lpwstr>http://www.nevo.co.il/law/70301/192</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http://www.nevo.co.il/law/70301/40g</vt:lpwstr>
      </vt:variant>
      <vt:variant>
        <vt:lpwstr/>
      </vt:variant>
      <vt:variant>
        <vt:i4>6619233</vt:i4>
      </vt:variant>
      <vt:variant>
        <vt:i4>81</vt:i4>
      </vt:variant>
      <vt:variant>
        <vt:i4>0</vt:i4>
      </vt:variant>
      <vt:variant>
        <vt:i4>5</vt:i4>
      </vt:variant>
      <vt:variant>
        <vt:lpwstr>http://www.nevo.co.il/law/70301/40f</vt:lpwstr>
      </vt:variant>
      <vt:variant>
        <vt:lpwstr/>
      </vt:variant>
      <vt:variant>
        <vt:i4>458823</vt:i4>
      </vt:variant>
      <vt:variant>
        <vt:i4>78</vt:i4>
      </vt:variant>
      <vt:variant>
        <vt:i4>0</vt:i4>
      </vt:variant>
      <vt:variant>
        <vt:i4>5</vt:i4>
      </vt:variant>
      <vt:variant>
        <vt:lpwstr>http://www.nevo.co.il/case/225102</vt:lpwstr>
      </vt:variant>
      <vt:variant>
        <vt:lpwstr/>
      </vt:variant>
      <vt:variant>
        <vt:i4>3276920</vt:i4>
      </vt:variant>
      <vt:variant>
        <vt:i4>75</vt:i4>
      </vt:variant>
      <vt:variant>
        <vt:i4>0</vt:i4>
      </vt:variant>
      <vt:variant>
        <vt:i4>5</vt:i4>
      </vt:variant>
      <vt:variant>
        <vt:lpwstr>http://www.nevo.co.il/case/5571181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3539062</vt:i4>
      </vt:variant>
      <vt:variant>
        <vt:i4>66</vt:i4>
      </vt:variant>
      <vt:variant>
        <vt:i4>0</vt:i4>
      </vt:variant>
      <vt:variant>
        <vt:i4>5</vt:i4>
      </vt:variant>
      <vt:variant>
        <vt:lpwstr>http://www.nevo.co.il/case/4909624</vt:lpwstr>
      </vt:variant>
      <vt:variant>
        <vt:lpwstr/>
      </vt:variant>
      <vt:variant>
        <vt:i4>3407986</vt:i4>
      </vt:variant>
      <vt:variant>
        <vt:i4>63</vt:i4>
      </vt:variant>
      <vt:variant>
        <vt:i4>0</vt:i4>
      </vt:variant>
      <vt:variant>
        <vt:i4>5</vt:i4>
      </vt:variant>
      <vt:variant>
        <vt:lpwstr>http://www.nevo.co.il/case/6030667</vt:lpwstr>
      </vt:variant>
      <vt:variant>
        <vt:lpwstr/>
      </vt:variant>
      <vt:variant>
        <vt:i4>3604596</vt:i4>
      </vt:variant>
      <vt:variant>
        <vt:i4>60</vt:i4>
      </vt:variant>
      <vt:variant>
        <vt:i4>0</vt:i4>
      </vt:variant>
      <vt:variant>
        <vt:i4>5</vt:i4>
      </vt:variant>
      <vt:variant>
        <vt:lpwstr>http://www.nevo.co.il/case/6118595</vt:lpwstr>
      </vt:variant>
      <vt:variant>
        <vt:lpwstr/>
      </vt:variant>
      <vt:variant>
        <vt:i4>3997810</vt:i4>
      </vt:variant>
      <vt:variant>
        <vt:i4>57</vt:i4>
      </vt:variant>
      <vt:variant>
        <vt:i4>0</vt:i4>
      </vt:variant>
      <vt:variant>
        <vt:i4>5</vt:i4>
      </vt:variant>
      <vt:variant>
        <vt:lpwstr>http://www.nevo.co.il/case/6072945</vt:lpwstr>
      </vt:variant>
      <vt:variant>
        <vt:lpwstr/>
      </vt:variant>
      <vt:variant>
        <vt:i4>3145854</vt:i4>
      </vt:variant>
      <vt:variant>
        <vt:i4>54</vt:i4>
      </vt:variant>
      <vt:variant>
        <vt:i4>0</vt:i4>
      </vt:variant>
      <vt:variant>
        <vt:i4>5</vt:i4>
      </vt:variant>
      <vt:variant>
        <vt:lpwstr>http://www.nevo.co.il/case/5852404</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http://www.nevo.co.il/law/70301/40g</vt:lpwstr>
      </vt:variant>
      <vt:variant>
        <vt:lpwstr/>
      </vt:variant>
      <vt:variant>
        <vt:i4>6619233</vt:i4>
      </vt:variant>
      <vt:variant>
        <vt:i4>45</vt:i4>
      </vt:variant>
      <vt:variant>
        <vt:i4>0</vt:i4>
      </vt:variant>
      <vt:variant>
        <vt:i4>5</vt:i4>
      </vt:variant>
      <vt:variant>
        <vt:lpwstr>http://www.nevo.co.il/law/70301/40f</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65618</vt:i4>
      </vt:variant>
      <vt:variant>
        <vt:i4>33</vt:i4>
      </vt:variant>
      <vt:variant>
        <vt:i4>0</vt:i4>
      </vt:variant>
      <vt:variant>
        <vt:i4>5</vt:i4>
      </vt:variant>
      <vt:variant>
        <vt:lpwstr>http://www.nevo.co.il/law/70301/413e</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65618</vt:i4>
      </vt:variant>
      <vt:variant>
        <vt:i4>21</vt:i4>
      </vt:variant>
      <vt:variant>
        <vt:i4>0</vt:i4>
      </vt:variant>
      <vt:variant>
        <vt:i4>5</vt:i4>
      </vt:variant>
      <vt:variant>
        <vt:lpwstr>http://www.nevo.co.il/law/70301/413e</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2013-05-16T06:26:00Z</cp:lastPrinted>
  <dcterms:created xsi:type="dcterms:W3CDTF">2025-04-25T10:28:00Z</dcterms:created>
  <dcterms:modified xsi:type="dcterms:W3CDTF">2025-04-25T10:28:00Z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8641</vt:lpwstr>
  </property>
  <property fmtid="{D5CDD505-2E9C-101B-9397-08002B2CF9AE}" pid="6" name="NEWPARTB">
    <vt:lpwstr>08</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חסן עזב (בן רפיק)</vt:lpwstr>
  </property>
  <property fmtid="{D5CDD505-2E9C-101B-9397-08002B2CF9AE}" pid="10" name="LAWYER">
    <vt:lpwstr>ערן בר;עלאא עתאמנה</vt:lpwstr>
  </property>
  <property fmtid="{D5CDD505-2E9C-101B-9397-08002B2CF9AE}" pid="11" name="JUDGE">
    <vt:lpwstr>מ. גלעד</vt:lpwstr>
  </property>
  <property fmtid="{D5CDD505-2E9C-101B-9397-08002B2CF9AE}" pid="12" name="CITY">
    <vt:lpwstr>חי'</vt:lpwstr>
  </property>
  <property fmtid="{D5CDD505-2E9C-101B-9397-08002B2CF9AE}" pid="13" name="DATE">
    <vt:lpwstr>20130516</vt:lpwstr>
  </property>
  <property fmtid="{D5CDD505-2E9C-101B-9397-08002B2CF9AE}" pid="14" name="TYPE_N_DATE">
    <vt:lpwstr>39020130516</vt:lpwstr>
  </property>
  <property fmtid="{D5CDD505-2E9C-101B-9397-08002B2CF9AE}" pid="15" name="WORDNUMPAGES">
    <vt:lpwstr>12</vt:lpwstr>
  </property>
  <property fmtid="{D5CDD505-2E9C-101B-9397-08002B2CF9AE}" pid="16" name="TYPE_ABS_DATE">
    <vt:lpwstr>390120130516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vt:lpwstr>
  </property>
  <property fmtid="{D5CDD505-2E9C-101B-9397-08002B2CF9AE}" pid="37" name="NOSE2ID">
    <vt:lpwstr>1446</vt:lpwstr>
  </property>
  <property fmtid="{D5CDD505-2E9C-101B-9397-08002B2CF9AE}" pid="38" name="NOSE3ID">
    <vt:lpwstr>13800</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נשק</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20130521</vt:lpwstr>
  </property>
  <property fmtid="{D5CDD505-2E9C-101B-9397-08002B2CF9AE}" pid="70" name="CASESLISTTMP1">
    <vt:lpwstr>5852404;6072945;6118595;6030667;4909624;5571181;225102</vt:lpwstr>
  </property>
  <property fmtid="{D5CDD505-2E9C-101B-9397-08002B2CF9AE}" pid="71" name="LAWLISTTMP1">
    <vt:lpwstr>70301/144.b;192;413e;040c.a;040f;040g;040i</vt:lpwstr>
  </property>
</Properties>
</file>